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jc w:val="right"/>
        <w:rPr>
          <w:b w:val="false"/>
          <w:sz w:val="30"/>
          <w:szCs w:val="30"/>
        </w:rPr>
      </w:pPr>
      <w:r>
        <w:rPr>
          <w:b w:val="false"/>
          <w:sz w:val="30"/>
          <w:szCs w:val="30"/>
          <w:highlight w:val="none"/>
        </w:rPr>
        <w:t xml:space="preserve">Утверждаю</w:t>
        <w:br/>
        <w:t xml:space="preserve">ректор </w:t>
      </w:r>
      <w:r>
        <w:rPr>
          <w:b w:val="false"/>
          <w:sz w:val="28"/>
          <w:szCs w:val="28"/>
          <w:highlight w:val="none"/>
          <w:lang w:val="ru-RU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</w:t>
      </w:r>
      <w:r>
        <w:rPr>
          <w:b w:val="false"/>
          <w:sz w:val="30"/>
          <w:szCs w:val="30"/>
        </w:rPr>
      </w:r>
      <w:r>
        <w:rPr>
          <w:b w:val="false"/>
        </w:rPr>
      </w:r>
    </w:p>
    <w:p>
      <w:pPr>
        <w:pStyle w:val="824"/>
        <w:jc w:val="right"/>
        <w:rPr>
          <w:b w:val="false"/>
          <w:sz w:val="30"/>
          <w:szCs w:val="30"/>
        </w:rPr>
      </w:pPr>
      <w:r>
        <w:rPr>
          <w:b w:val="false"/>
          <w:sz w:val="30"/>
          <w:szCs w:val="30"/>
          <w:highlight w:val="none"/>
        </w:rPr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right"/>
        <w:rPr>
          <w:b w:val="false"/>
          <w:sz w:val="30"/>
          <w:szCs w:val="30"/>
          <w:highlight w:val="none"/>
        </w:rPr>
      </w:pPr>
      <w:r>
        <w:rPr>
          <w:b w:val="false"/>
          <w:sz w:val="30"/>
          <w:szCs w:val="30"/>
          <w:highlight w:val="none"/>
        </w:rPr>
        <w:br/>
        <w:t xml:space="preserve">проф., д.м.н Загайнова</w:t>
      </w:r>
      <w:r>
        <w:rPr>
          <w:b w:val="false"/>
          <w:sz w:val="30"/>
          <w:szCs w:val="30"/>
          <w:highlight w:val="none"/>
        </w:rPr>
      </w:r>
      <w:r/>
    </w:p>
    <w:p>
      <w:pPr>
        <w:pStyle w:val="824"/>
        <w:jc w:val="center"/>
        <w:rPr>
          <w:b w:val="false"/>
          <w:sz w:val="30"/>
          <w:szCs w:val="30"/>
          <w:highlight w:val="none"/>
        </w:rPr>
      </w:pPr>
      <w:r>
        <w:rPr>
          <w:b w:val="false"/>
          <w:sz w:val="30"/>
          <w:szCs w:val="30"/>
          <w:highlight w:val="none"/>
        </w:rPr>
      </w:r>
      <w:r>
        <w:rPr>
          <w:b w:val="false"/>
          <w:sz w:val="30"/>
          <w:szCs w:val="30"/>
          <w:highlight w:val="none"/>
        </w:rPr>
      </w:r>
      <w:r/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  <w:highlight w:val="none"/>
        </w:rPr>
      </w:r>
      <w:r>
        <w:rPr>
          <w:b/>
          <w:sz w:val="30"/>
          <w:szCs w:val="30"/>
          <w:highlight w:val="none"/>
        </w:rPr>
      </w:r>
      <w:r/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</w:rPr>
        <w:t xml:space="preserve">ЗАКЛЮЧЕНИЕ</w:t>
      </w:r>
      <w:r/>
    </w:p>
    <w:p>
      <w:pPr>
        <w:pStyle w:val="824"/>
        <w:jc w:val="center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кафедры радиотехники радиофизического факультета</w:t>
      </w:r>
      <w:r/>
    </w:p>
    <w:p>
      <w:pPr>
        <w:pStyle w:val="824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Диссертация 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выполнена на </w:t>
      </w:r>
      <w:r>
        <w:rPr>
          <w:sz w:val="28"/>
          <w:szCs w:val="28"/>
        </w:rPr>
        <w:t xml:space="preserve">кафедре радиотехники радиофизического факультета.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период подготовки диссертации </w:t>
      </w:r>
      <w:r>
        <w:rPr>
          <w:sz w:val="28"/>
          <w:szCs w:val="28"/>
        </w:rPr>
        <w:t xml:space="preserve">соискатель Морозов Никита Сергеевич работал на кафедре радиотехники радиофизического факультета ННГУ им.Н.И.Лобачевского в должности преподавателя.</w:t>
      </w:r>
      <w:r/>
    </w:p>
    <w:p>
      <w:pPr>
        <w:pStyle w:val="824"/>
        <w:ind w:firstLine="708"/>
        <w:jc w:val="both"/>
        <w:rPr>
          <w:i/>
          <w:iCs/>
          <w:sz w:val="19"/>
          <w:szCs w:val="19"/>
        </w:rPr>
      </w:pPr>
      <w:r>
        <w:rPr>
          <w:iCs/>
          <w:sz w:val="28"/>
          <w:szCs w:val="28"/>
        </w:rPr>
        <w:t xml:space="preserve">В 2009 г. окончил </w:t>
      </w:r>
      <w:r>
        <w:rPr>
          <w:sz w:val="28"/>
          <w:szCs w:val="28"/>
        </w:rPr>
        <w:t xml:space="preserve">Нижегородский государственный университет </w:t>
      </w:r>
      <w:r>
        <w:rPr>
          <w:sz w:val="28"/>
          <w:szCs w:val="28"/>
        </w:rPr>
        <w:t xml:space="preserve">им.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Н.И.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Лобачевского по </w:t>
      </w: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Информационные системы и технологии в радиофизике и телекоммуникациях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Кандидатские экзамены по истории и философии науки и английскому языку сданы, о чем свидетельствует диплом об окончании аспирантуры по направлению 03.06.01 № 105204 0038464 р/н 18/04-77</w:t>
      </w:r>
      <w:r>
        <w:rPr>
          <w:sz w:val="28"/>
          <w:szCs w:val="28"/>
        </w:rPr>
        <w:t xml:space="preserve">.</w:t>
      </w:r>
      <w:r>
        <w:rPr>
          <w:i/>
          <w:iCs/>
          <w:sz w:val="19"/>
          <w:szCs w:val="19"/>
        </w:rPr>
      </w:r>
      <w:r/>
    </w:p>
    <w:p>
      <w:pPr>
        <w:pStyle w:val="824"/>
        <w:jc w:val="both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  <w:r>
        <w:rPr>
          <w:sz w:val="28"/>
          <w:szCs w:val="28"/>
        </w:rPr>
        <w:t xml:space="preserve">Бугров Владимир Николаевич</w:t>
      </w:r>
      <w:r>
        <w:rPr>
          <w:sz w:val="28"/>
          <w:szCs w:val="28"/>
        </w:rPr>
        <w:t xml:space="preserve">, к.т.н.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Нижегородский государственный университет им. Н.И. Лобачевского, </w:t>
      </w:r>
      <w:r>
        <w:rPr>
          <w:sz w:val="28"/>
          <w:szCs w:val="28"/>
        </w:rPr>
        <w:t xml:space="preserve">доцент</w:t>
      </w:r>
      <w:r>
        <w:rPr>
          <w:sz w:val="28"/>
          <w:szCs w:val="28"/>
        </w:rPr>
        <w:t xml:space="preserve"> кафедры радиотехники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По итогам обсуждения принято следующее заключение:</w:t>
      </w:r>
      <w:r/>
    </w:p>
    <w:p>
      <w:pPr>
        <w:pStyle w:val="824"/>
        <w:numPr>
          <w:ilvl w:val="0"/>
          <w:numId w:val="3"/>
        </w:numPr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Н.С.Морозова  посвящена проектированию цифровых фазовых корректоров для компенсации фазовых и дисперсионных искажений в сигнальных и измерительных трактах</w:t>
      </w:r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азличных аналого-цифровых систем связи. При синтезе фазовых корректоров или компенсаторов дисперсии перед разработчиком стоит задача реализации фазовых характеристик сложной формы (в случае коррекции), либо иметь дело с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есьма малыми фазовыми девиациями при компенсации частотной дисперсии сигнала в узкой полосе канала связи. В большинстве публикациях и аналитических подходах к синтезу цифровых корректирующих цепей вопросы практической реализации полученных </w:t>
      </w:r>
      <w:r>
        <w:rPr>
          <w:sz w:val="28"/>
          <w:szCs w:val="28"/>
        </w:rPr>
        <w:t xml:space="preserve">решений не рассматриваются.</w:t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Поэтому задача разработки методов синтеза цифровых фазовых корректоров (ЦФК) является актуальной как с теоретической, так и с практической точки зрения. Ошибки аппроксимации и квантования могут быть устранены при проектировании </w:t>
      </w: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ФК современными методами дискретного программирования, позволяющими работать не с аналитическим, а с дискретным представлением характеристик корректора. В этом случае  как исходные требуемые, так и текущие характеристики табулированы с заданной дискретност</w:t>
      </w:r>
      <w:r>
        <w:rPr>
          <w:sz w:val="28"/>
          <w:szCs w:val="28"/>
        </w:rPr>
        <w:t xml:space="preserve">ью в частотной области и в вычислительной системе представлены двумерными массивами.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елью диссертационной работы являлась </w:t>
      </w:r>
      <w:r>
        <w:rPr>
          <w:sz w:val="28"/>
          <w:szCs w:val="28"/>
        </w:rPr>
        <w:t xml:space="preserve">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Личное участие </w:t>
      </w:r>
      <w:r>
        <w:rPr>
          <w:b/>
          <w:sz w:val="28"/>
          <w:szCs w:val="28"/>
        </w:rPr>
        <w:t xml:space="preserve">соискателя</w:t>
      </w:r>
      <w:r>
        <w:rPr>
          <w:sz w:val="28"/>
          <w:szCs w:val="28"/>
        </w:rPr>
        <w:t xml:space="preserve"> в получении результатов, изложенных в ди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ыносимые на защиту результаты получены совместно с Бугровым В.Н. </w:t>
      </w:r>
      <w:r>
        <w:rPr>
          <w:sz w:val="28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8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8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8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. Достоверность </w:t>
      </w:r>
      <w:r>
        <w:rPr>
          <w:b/>
          <w:sz w:val="28"/>
          <w:szCs w:val="28"/>
        </w:rPr>
        <w:t xml:space="preserve">результатов </w:t>
      </w:r>
      <w:r>
        <w:rPr>
          <w:sz w:val="28"/>
          <w:szCs w:val="28"/>
        </w:rPr>
        <w:t xml:space="preserve">исследований,</w:t>
      </w:r>
      <w:r>
        <w:rPr>
          <w:sz w:val="28"/>
          <w:szCs w:val="28"/>
        </w:rPr>
        <w:t xml:space="preserve"> сформулированных в диссертации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езультаты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иссертации согласую</w:t>
      </w:r>
      <w:r>
        <w:rPr>
          <w:sz w:val="28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8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8"/>
          <w:szCs w:val="28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4. Научная новизна</w:t>
      </w:r>
      <w:r>
        <w:rPr>
          <w:rFonts w:ascii="Times New Roman" w:hAnsi="Times New Roman"/>
          <w:sz w:val="28"/>
          <w:szCs w:val="28"/>
        </w:rPr>
        <w:t xml:space="preserve"> полученных автором результатов</w:t>
      </w:r>
      <w:r>
        <w:rPr>
          <w:rFonts w:ascii="Times New Roman" w:hAnsi="Times New Roman"/>
          <w:sz w:val="28"/>
          <w:szCs w:val="28"/>
        </w:rPr>
        <w:t xml:space="preserve"> заключается в следующем: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фильтров, которая, в отличие от </w:t>
      </w:r>
      <w:r>
        <w:rPr>
          <w:rFonts w:ascii="Times New Roman" w:hAnsi="Times New Roman"/>
          <w:sz w:val="28"/>
          <w:szCs w:val="28"/>
          <w:highlight w:val="none"/>
        </w:rPr>
        <w:t xml:space="preserve">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Впервые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программирования, позволяющих находить технические р</w:t>
      </w:r>
      <w:r>
        <w:rPr>
          <w:rFonts w:ascii="Times New Roman" w:hAnsi="Times New Roman"/>
          <w:sz w:val="28"/>
          <w:szCs w:val="28"/>
          <w:highlight w:val="none"/>
        </w:rPr>
        <w:t xml:space="preserve">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линейно падающей частотной дисперсии в линии связи. Их уст</w:t>
      </w:r>
      <w:r>
        <w:rPr>
          <w:rFonts w:ascii="Times New Roman" w:hAnsi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/>
          <w:sz w:val="28"/>
          <w:szCs w:val="28"/>
          <w:highlight w:val="none"/>
        </w:rPr>
        <w:t xml:space="preserve">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В отличие от решений, полученных другими методами, они о</w:t>
      </w:r>
      <w:r>
        <w:rPr>
          <w:rFonts w:ascii="Times New Roman" w:hAnsi="Times New Roman"/>
          <w:sz w:val="28"/>
          <w:szCs w:val="28"/>
          <w:highlight w:val="none"/>
        </w:rPr>
        <w:t xml:space="preserve">бладают высоким быстродействием и малой вносимой в сигнал задержкой.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5. Практическая значимость</w:t>
      </w:r>
      <w:r>
        <w:rPr>
          <w:rFonts w:ascii="Times New Roman" w:hAnsi="Times New Roman"/>
          <w:sz w:val="28"/>
          <w:szCs w:val="28"/>
        </w:rPr>
        <w:t xml:space="preserve"> диссертационной работы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Предложенный метод синтеза позволяет получить решения с заданной конечной разрядностью коэффициентов, что позволяет избежать дополнительных операций округления или усечения при практической реализации, а это, в свою очередь, приводит к нулевой ошибке кван</w:t>
      </w:r>
      <w:r>
        <w:rPr>
          <w:rFonts w:ascii="Times New Roman" w:hAnsi="Times New Roman"/>
          <w:sz w:val="28"/>
          <w:szCs w:val="28"/>
          <w:highlight w:val="none"/>
        </w:rPr>
        <w:t xml:space="preserve">тования при аппаратной реализации;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Полученные в результате синтеза цифровые фазовые корректоры позволяют успешно компенсировать фазовые искажения как широкополосного видеотракта, так и узкополосного радиоканала.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Разработанная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</w:t>
      </w:r>
      <w:r>
        <w:rPr>
          <w:rFonts w:ascii="Times New Roman" w:hAnsi="Times New Roman"/>
          <w:sz w:val="28"/>
          <w:szCs w:val="28"/>
          <w:highlight w:val="none"/>
        </w:rPr>
        <w:t xml:space="preserve">процессоре.</w:t>
      </w:r>
      <w:r>
        <w:rPr>
          <w:rFonts w:ascii="Times New Roman" w:hAnsi="Times New Roman"/>
          <w:sz w:val="28"/>
          <w:szCs w:val="28"/>
          <w:highlight w:val="none"/>
        </w:rPr>
        <w:br/>
      </w:r>
      <w:r>
        <w:rPr>
          <w:rFonts w:ascii="Times New Roman" w:hAnsi="Times New Roman"/>
          <w:b/>
          <w:bCs/>
          <w:sz w:val="28"/>
          <w:szCs w:val="24"/>
        </w:rPr>
        <w:t xml:space="preserve">Научная новизна</w:t>
      </w:r>
      <w:r>
        <w:rPr>
          <w:rFonts w:ascii="Times New Roman" w:hAnsi="Times New Roman"/>
          <w:b/>
          <w:bCs/>
          <w:sz w:val="28"/>
          <w:szCs w:val="24"/>
        </w:rPr>
      </w:r>
      <w:r>
        <w:rPr>
          <w:rFonts w:ascii="Times New Roman" w:hAnsi="Times New Roman"/>
          <w:b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rPr>
          <w:rFonts w:ascii="Times New Roman" w:hAnsi="Times New Roman"/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/>
          <w:sz w:val="28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rFonts w:ascii="Times New Roman" w:hAnsi="Times New Roman"/>
          <w:sz w:val="28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rFonts w:ascii="Times New Roman" w:hAnsi="Times New Roman"/>
          <w:sz w:val="28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/>
          <w:b/>
          <w:sz w:val="28"/>
          <w:szCs w:val="28"/>
        </w:rPr>
        <w:t xml:space="preserve">Апробация</w:t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</w:r>
      <w:r>
        <w:rPr>
          <w:rFonts w:ascii="Times New Roman" w:hAnsi="Times New Roman"/>
          <w:sz w:val="28"/>
          <w:szCs w:val="28"/>
          <w:highlight w:val="none"/>
        </w:rPr>
        <w:t xml:space="preserve">международные конференции - 3:</w:t>
      </w:r>
      <w:r/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rFonts w:ascii="Times New Roman" w:hAnsi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XХI международная научно-технической конференции «Информационные системы и технологии ИСТ-2017»;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highlight w:val="none"/>
          <w:lang w:val="ru-RU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rFonts w:ascii="Times New Roman" w:hAnsi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всероссийская конференция – 2; </w:t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региональная конференция – 3.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7</w:t>
      </w:r>
      <w:r>
        <w:rPr>
          <w:rFonts w:ascii="Times New Roman" w:hAnsi="Times New Roman"/>
          <w:b/>
          <w:sz w:val="28"/>
          <w:szCs w:val="28"/>
        </w:rPr>
        <w:t xml:space="preserve">. Практическая ценность научных работ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соискателя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Впервые предложенная методика синтеза рекурсивных фазовых фильтров позволяет получить как целочисленные, так и вещественные решения для компенсаторов сигнальных и измерительных трактов.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  <w:tab/>
        <w:t xml:space="preserve">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ab/>
        <w:t xml:space="preserve">Методика решения задачи синтеза как задачи нелинейного математического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</w:t>
      </w:r>
      <w:r>
        <w:rPr>
          <w:rFonts w:ascii="Times New Roman" w:hAnsi="Times New Roman"/>
          <w:sz w:val="28"/>
          <w:szCs w:val="28"/>
        </w:rPr>
        <w:t xml:space="preserve">применять компенсаторы фазовых искажений в системах реального времени.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</w:t>
      </w:r>
      <w:r>
        <w:rPr>
          <w:b/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Основные публикации по теме работы.</w:t>
      </w:r>
      <w:r>
        <w:rPr>
          <w:sz w:val="28"/>
          <w:szCs w:val="28"/>
        </w:rPr>
        <w:t xml:space="preserve"> По теме</w:t>
      </w:r>
      <w:r>
        <w:rPr>
          <w:sz w:val="28"/>
          <w:szCs w:val="28"/>
        </w:rPr>
        <w:t xml:space="preserve"> работы автором опубликовано </w:t>
      </w:r>
      <w:r>
        <w:rPr>
          <w:sz w:val="28"/>
          <w:szCs w:val="28"/>
          <w:u w:val="single"/>
        </w:rPr>
        <w:t xml:space="preserve">11</w:t>
      </w:r>
      <w:r>
        <w:rPr>
          <w:sz w:val="28"/>
          <w:szCs w:val="28"/>
        </w:rPr>
        <w:t xml:space="preserve"> работ, в том числе 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</w:rPr>
        <w:t xml:space="preserve"> работ в научных журналах и изданиях, которые включены в перечень рецензируемых научных изданий, рекомендованных ВАК для опубликования основных научных результатов диссертаций.</w:t>
      </w:r>
      <w:r/>
    </w:p>
    <w:p>
      <w:pPr>
        <w:pStyle w:val="82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диссертации достаточно полно изложены в работах, опубликованных соискателем: </w:t>
      </w:r>
      <w:r/>
    </w:p>
    <w:p>
      <w:pPr>
        <w:pStyle w:val="824"/>
        <w:ind w:firstLine="567"/>
        <w:jc w:val="both"/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изданиях,</w:t>
      </w:r>
      <w:r>
        <w:rPr>
          <w:sz w:val="28"/>
          <w:szCs w:val="28"/>
          <w:u w:val="single"/>
        </w:rPr>
        <w:t xml:space="preserve"> рекомендованных ВАК:</w:t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В.Н.Бугров, Н.С.Морозов Синтез целочисленных цифровых КИХ-фильтров с линейной фазой // Цифровая обработка сигналов 2016 №1. стр. 14-19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firstLine="709"/>
        <w:spacing w:before="240"/>
        <w:tabs>
          <w:tab w:val="num" w:pos="0" w:leader="none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в</w:t>
      </w:r>
      <w:r>
        <w:rPr>
          <w:rFonts w:ascii="Times New Roman" w:hAnsi="Times New Roman"/>
          <w:sz w:val="28"/>
          <w:szCs w:val="28"/>
          <w:u w:val="single"/>
        </w:rPr>
        <w:t xml:space="preserve"> прочих изданиях</w:t>
      </w:r>
      <w:r>
        <w:rPr>
          <w:rFonts w:ascii="Times New Roman" w:hAnsi="Times New Roman"/>
          <w:sz w:val="28"/>
          <w:szCs w:val="28"/>
          <w:u w:val="single"/>
        </w:rPr>
        <w:t xml:space="preserve">:</w:t>
      </w:r>
      <w:r>
        <w:rPr>
          <w:rFonts w:ascii="Times New Roman" w:hAnsi="Times New Roman"/>
          <w:sz w:val="28"/>
          <w:szCs w:val="28"/>
          <w:u w:val="singl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Поисковые технологии проектирования целочисленных цифровых фильтров // Компоненты и технологии №1'2015, ISSN 2079-6811, стр.122-128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Фазовая линейность целочисленных КИХ-фильтров // Компоненты и технологии №10'2020, ISSN 2079-6811, стр.113-120.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9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требованиям ВАК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Диссертационная работа соответствует требованиям у</w:t>
      </w:r>
      <w:r>
        <w:rPr>
          <w:rFonts w:ascii="Times New Roman" w:hAnsi="Times New Roman"/>
          <w:sz w:val="28"/>
          <w:szCs w:val="28"/>
        </w:rPr>
        <w:t xml:space="preserve">становленным пунктом 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Положения о присуждении ученых степеней, утвержденного постановлением Правительства РФ от 24.09.2013 № 842.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тексту диссертации даны ссылки на цитируемые литературные источники, а также на результаты собственных работ, выполненных единолично или в соавторстве.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10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научной специальности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Н.С.Морозова, представленная на соискание ученой степени кандидата технических наук, соответствует специальности </w:t>
      </w:r>
      <w:r>
        <w:rPr>
          <w:rFonts w:ascii="Times New Roman" w:hAnsi="Times New Roman"/>
          <w:sz w:val="28"/>
          <w:szCs w:val="28"/>
          <w:highlight w:val="none"/>
          <w:u w:val="single"/>
        </w:rPr>
        <w:t xml:space="preserve">05.12.04</w:t>
      </w:r>
      <w:r>
        <w:rPr>
          <w:rFonts w:ascii="Times New Roman" w:hAnsi="Times New Roman"/>
          <w:sz w:val="28"/>
          <w:szCs w:val="28"/>
        </w:rPr>
        <w:t xml:space="preserve"> - Радиотехника, в том числе системы и устройства телевидения.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4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. Выводы</w:t>
      </w:r>
      <w:r/>
    </w:p>
    <w:p>
      <w:pPr>
        <w:pStyle w:val="830"/>
        <w:ind w:firstLine="709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Диссертация </w:t>
      </w:r>
      <w:r>
        <w:rPr>
          <w:rFonts w:ascii="Times New Roman" w:hAnsi="Times New Roman"/>
          <w:b w:val="false"/>
          <w:sz w:val="28"/>
          <w:szCs w:val="28"/>
        </w:rPr>
        <w:t xml:space="preserve">«</w:t>
      </w:r>
      <w:r>
        <w:rPr>
          <w:rFonts w:ascii="Times New Roman" w:hAnsi="Times New Roman"/>
          <w:b w:val="false"/>
          <w:sz w:val="28"/>
          <w:szCs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rFonts w:ascii="Times New Roman" w:hAnsi="Times New Roman"/>
          <w:b w:val="false"/>
          <w:sz w:val="28"/>
          <w:szCs w:val="28"/>
        </w:rPr>
        <w:t xml:space="preserve">»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Н.С.Морозова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является законченной научно</w:t>
      </w:r>
      <w:r>
        <w:rPr>
          <w:rFonts w:ascii="Times New Roman" w:hAnsi="Times New Roman"/>
          <w:b w:val="false"/>
          <w:sz w:val="28"/>
          <w:szCs w:val="28"/>
        </w:rPr>
        <w:t xml:space="preserve">-квалификационной</w:t>
      </w:r>
      <w:r>
        <w:rPr>
          <w:rFonts w:ascii="Times New Roman" w:hAnsi="Times New Roman"/>
          <w:b w:val="false"/>
          <w:sz w:val="28"/>
          <w:szCs w:val="28"/>
        </w:rPr>
        <w:t xml:space="preserve"> работой, </w:t>
      </w:r>
      <w:r>
        <w:rPr>
          <w:rFonts w:ascii="Times New Roman" w:hAnsi="Times New Roman"/>
          <w:b w:val="false"/>
          <w:sz w:val="28"/>
          <w:szCs w:val="28"/>
        </w:rPr>
        <w:t xml:space="preserve">в </w:t>
      </w:r>
      <w:r>
        <w:rPr>
          <w:rFonts w:ascii="Times New Roman" w:hAnsi="Times New Roman"/>
          <w:b w:val="false"/>
          <w:sz w:val="28"/>
          <w:szCs w:val="28"/>
        </w:rPr>
        <w:t xml:space="preserve">которой изложены новые научно обоснованные технические решения и разработки, имеющее существенное значение для цифровой обработки сигналов.</w:t>
      </w:r>
      <w:r/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Никиты Сергеевича Морозова </w:t>
      </w:r>
      <w:r>
        <w:rPr>
          <w:sz w:val="28"/>
          <w:szCs w:val="28"/>
        </w:rPr>
        <w:t xml:space="preserve">рекомендуется к защите на соискание ученой степени</w:t>
      </w:r>
      <w:r>
        <w:rPr>
          <w:sz w:val="28"/>
          <w:szCs w:val="28"/>
        </w:rPr>
        <w:t xml:space="preserve"> кандидата технических наук по специальности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05.12.04</w:t>
      </w:r>
      <w:r>
        <w:rPr>
          <w:sz w:val="28"/>
          <w:szCs w:val="28"/>
        </w:rPr>
        <w:t xml:space="preserve"> - Радиотехника, в том числе системы и устройства телевидения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 принято на </w:t>
      </w:r>
      <w:r>
        <w:rPr>
          <w:sz w:val="28"/>
          <w:szCs w:val="28"/>
        </w:rPr>
        <w:t xml:space="preserve">заседании </w:t>
      </w:r>
      <w:r>
        <w:rPr>
          <w:sz w:val="28"/>
          <w:szCs w:val="28"/>
        </w:rPr>
        <w:t xml:space="preserve">кафедры радиотехники радиофизического факультета </w:t>
      </w:r>
      <w:r>
        <w:rPr>
          <w:sz w:val="28"/>
          <w:szCs w:val="28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им.Н.И.Лобачевского».</w:t>
      </w:r>
      <w:r>
        <w:rPr>
          <w:sz w:val="28"/>
          <w:szCs w:val="28"/>
        </w:rPr>
      </w:r>
      <w:r/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3714"/>
        <w:gridCol w:w="510"/>
        <w:gridCol w:w="4536"/>
        <w:gridCol w:w="510"/>
        <w:gridCol w:w="85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Присутствовало на заседании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 Результаты голосования: “за”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</w:t>
            </w:r>
            <w:r/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474"/>
        <w:gridCol w:w="454"/>
        <w:gridCol w:w="2948"/>
        <w:gridCol w:w="454"/>
        <w:gridCol w:w="2268"/>
        <w:gridCol w:w="2381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7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“против”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48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“воздержалось”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протокол №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1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284"/>
        <w:gridCol w:w="1814"/>
        <w:gridCol w:w="510"/>
        <w:gridCol w:w="284"/>
        <w:gridCol w:w="453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“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”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1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</w:t>
            </w:r>
            <w:r/>
          </w:p>
        </w:tc>
      </w:tr>
    </w:tbl>
    <w:p>
      <w:pPr>
        <w:pStyle w:val="824"/>
        <w:spacing w:after="96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каф.радиотехники РФФ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80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д.т.н. Фитасов Е.С.</w:t>
            </w:r>
            <w:r/>
          </w:p>
        </w:tc>
      </w:tr>
    </w:tbl>
    <w:p>
      <w:r/>
      <w:r/>
    </w:p>
    <w:sectPr>
      <w:footnotePr/>
      <w:endnotePr/>
      <w:type w:val="continuous"/>
      <w:pgSz w:w="11907" w:h="16840" w:orient="portrait"/>
      <w:pgMar w:top="1134" w:right="567" w:bottom="1134" w:left="1418" w:header="720" w:footer="72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egoe UI">
    <w:panose1 w:val="020B0502040204020203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4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4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4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4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4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4"/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824"/>
        <w:ind w:left="2700" w:hanging="360"/>
        <w:tabs>
          <w:tab w:val="num" w:pos="2700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572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29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301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73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45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17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89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61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332" w:hanging="180"/>
      </w:pPr>
    </w:lvl>
  </w:abstractNum>
  <w:abstractNum w:abstractNumId="6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qFormat/>
    <w:uiPriority w:val="34"/>
    <w:pPr>
      <w:contextualSpacing w:val="true"/>
      <w:ind w:left="720"/>
    </w:p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uiPriority w:val="39"/>
    <w:unhideWhenUsed/>
    <w:pPr>
      <w:ind w:left="0" w:right="0" w:firstLine="0"/>
      <w:spacing w:after="57"/>
    </w:pPr>
  </w:style>
  <w:style w:type="paragraph" w:styleId="814">
    <w:name w:val="toc 2"/>
    <w:uiPriority w:val="39"/>
    <w:unhideWhenUsed/>
    <w:pPr>
      <w:ind w:left="283" w:right="0" w:firstLine="0"/>
      <w:spacing w:after="57"/>
    </w:pPr>
  </w:style>
  <w:style w:type="paragraph" w:styleId="815">
    <w:name w:val="toc 3"/>
    <w:uiPriority w:val="39"/>
    <w:unhideWhenUsed/>
    <w:pPr>
      <w:ind w:left="567" w:right="0" w:firstLine="0"/>
      <w:spacing w:after="57"/>
    </w:pPr>
  </w:style>
  <w:style w:type="paragraph" w:styleId="816">
    <w:name w:val="toc 4"/>
    <w:uiPriority w:val="39"/>
    <w:unhideWhenUsed/>
    <w:pPr>
      <w:ind w:left="850" w:right="0" w:firstLine="0"/>
      <w:spacing w:after="57"/>
    </w:pPr>
  </w:style>
  <w:style w:type="paragraph" w:styleId="817">
    <w:name w:val="toc 5"/>
    <w:uiPriority w:val="39"/>
    <w:unhideWhenUsed/>
    <w:pPr>
      <w:ind w:left="1134" w:right="0" w:firstLine="0"/>
      <w:spacing w:after="57"/>
    </w:pPr>
  </w:style>
  <w:style w:type="paragraph" w:styleId="818">
    <w:name w:val="toc 6"/>
    <w:uiPriority w:val="39"/>
    <w:unhideWhenUsed/>
    <w:pPr>
      <w:ind w:left="1417" w:right="0" w:firstLine="0"/>
      <w:spacing w:after="57"/>
    </w:pPr>
  </w:style>
  <w:style w:type="paragraph" w:styleId="819">
    <w:name w:val="toc 7"/>
    <w:uiPriority w:val="39"/>
    <w:unhideWhenUsed/>
    <w:pPr>
      <w:ind w:left="1701" w:right="0" w:firstLine="0"/>
      <w:spacing w:after="57"/>
    </w:pPr>
  </w:style>
  <w:style w:type="paragraph" w:styleId="820">
    <w:name w:val="toc 8"/>
    <w:uiPriority w:val="39"/>
    <w:unhideWhenUsed/>
    <w:pPr>
      <w:ind w:left="1984" w:right="0" w:firstLine="0"/>
      <w:spacing w:after="57"/>
    </w:pPr>
  </w:style>
  <w:style w:type="paragraph" w:styleId="821">
    <w:name w:val="toc 9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uiPriority w:val="99"/>
    <w:unhideWhenUsed/>
    <w:pPr>
      <w:spacing w:after="0" w:afterAutospacing="0"/>
    </w:pPr>
  </w:style>
  <w:style w:type="paragraph" w:styleId="824">
    <w:name w:val="Обычный"/>
    <w:next w:val="824"/>
    <w:link w:val="824"/>
    <w:rPr>
      <w:sz w:val="24"/>
      <w:szCs w:val="24"/>
      <w:lang w:val="ru-RU" w:bidi="ar-SA" w:eastAsia="ru-RU"/>
    </w:rPr>
  </w:style>
  <w:style w:type="character" w:styleId="825">
    <w:name w:val="Основной шрифт абзаца"/>
    <w:next w:val="825"/>
    <w:link w:val="824"/>
    <w:semiHidden/>
  </w:style>
  <w:style w:type="table" w:styleId="826">
    <w:name w:val="Обычная таблица"/>
    <w:next w:val="826"/>
    <w:link w:val="824"/>
    <w:semiHidden/>
    <w:tblPr/>
  </w:style>
  <w:style w:type="numbering" w:styleId="827">
    <w:name w:val="Нет списка"/>
    <w:next w:val="827"/>
    <w:link w:val="824"/>
    <w:semiHidden/>
  </w:style>
  <w:style w:type="paragraph" w:styleId="828">
    <w:name w:val="Обычный (веб)"/>
    <w:basedOn w:val="824"/>
    <w:next w:val="828"/>
    <w:link w:val="824"/>
    <w:pPr>
      <w:spacing w:lineRule="atLeast" w:line="360" w:after="240"/>
    </w:pPr>
  </w:style>
  <w:style w:type="paragraph" w:styleId="829">
    <w:name w:val="ConsPlusNormal"/>
    <w:next w:val="829"/>
    <w:link w:val="824"/>
    <w:rPr>
      <w:rFonts w:ascii="Calibri" w:hAnsi="Calibri"/>
      <w:sz w:val="22"/>
      <w:lang w:val="ru-RU" w:bidi="ar-SA" w:eastAsia="ru-RU"/>
    </w:rPr>
    <w:pPr>
      <w:widowControl w:val="off"/>
    </w:pPr>
  </w:style>
  <w:style w:type="paragraph" w:styleId="830">
    <w:name w:val="ConsPlusTitle"/>
    <w:next w:val="830"/>
    <w:link w:val="824"/>
    <w:rPr>
      <w:rFonts w:ascii="Calibri" w:hAnsi="Calibri"/>
      <w:b/>
      <w:sz w:val="22"/>
      <w:lang w:val="ru-RU" w:bidi="ar-SA" w:eastAsia="ru-RU"/>
    </w:rPr>
    <w:pPr>
      <w:widowControl w:val="off"/>
    </w:pPr>
  </w:style>
  <w:style w:type="table" w:styleId="831">
    <w:name w:val="Сетка таблицы"/>
    <w:basedOn w:val="826"/>
    <w:next w:val="831"/>
    <w:link w:val="824"/>
    <w:tblPr/>
  </w:style>
  <w:style w:type="paragraph" w:styleId="832">
    <w:name w:val="Текст выноски"/>
    <w:basedOn w:val="824"/>
    <w:next w:val="832"/>
    <w:link w:val="833"/>
    <w:rPr>
      <w:rFonts w:ascii="Segoe UI" w:hAnsi="Segoe UI"/>
      <w:sz w:val="18"/>
      <w:szCs w:val="18"/>
    </w:rPr>
  </w:style>
  <w:style w:type="character" w:styleId="833">
    <w:name w:val="Текст выноски Знак"/>
    <w:next w:val="833"/>
    <w:link w:val="832"/>
    <w:rPr>
      <w:rFonts w:ascii="Segoe UI" w:hAnsi="Segoe UI"/>
      <w:sz w:val="18"/>
      <w:szCs w:val="18"/>
    </w:rPr>
  </w:style>
  <w:style w:type="character" w:styleId="834" w:default="1">
    <w:name w:val="Default Paragraph Font"/>
    <w:uiPriority w:val="1"/>
    <w:semiHidden/>
    <w:unhideWhenUsed/>
  </w:style>
  <w:style w:type="numbering" w:styleId="835" w:default="1">
    <w:name w:val="No List"/>
    <w:uiPriority w:val="99"/>
    <w:semiHidden/>
    <w:unhideWhenUsed/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/>
  </w:style>
  <w:style w:type="paragraph" w:styleId="1_870">
    <w:name w:val="Основной текст с отступом 3"/>
    <w:basedOn w:val="839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708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374">
    <w:name w:val="Литература"/>
    <w:basedOn w:val="1089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zh-CN"/>
    </w:rPr>
    <w:pPr>
      <w:numPr>
        <w:ilvl w:val="0"/>
        <w:numId w:val="0"/>
      </w:numPr>
      <w:contextualSpacing w:val="false"/>
      <w:ind w:left="0" w:right="0" w:hanging="720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color="000000"/>
      <w:widowControl/>
      <w:tabs>
        <w:tab w:val="clear" w:pos="408" w:leader="none"/>
        <w:tab w:val="left" w:pos="788" w:leader="none"/>
        <w:tab w:val="left" w:pos="900" w:leader="none"/>
        <w:tab w:val="left" w:pos="1440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2021-10-06T07:54:17Z</dcterms:modified>
</cp:coreProperties>
</file>