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sz w:val="24"/>
          <w:highlight w:val="none"/>
        </w:rPr>
        <w:t xml:space="preserve">Директор </w:t>
      </w:r>
      <w:r>
        <w:rPr>
          <w:rFonts w:ascii="Arial" w:hAnsi="Arial" w:cs="Arial" w:eastAsia="Arial"/>
          <w:color w:val="2D2D2D"/>
          <w:sz w:val="24"/>
        </w:rPr>
        <w:t xml:space="preserve">филиала АО «Корпорация «Комета» - «КБ «Квазар»</w:t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Сатаев Василий Валентинович</w:t>
      </w:r>
      <w:r>
        <w:rPr>
          <w:rFonts w:ascii="Arial" w:hAnsi="Arial" w:cs="Arial" w:eastAsia="Arial"/>
          <w:color w:val="2D2D2D"/>
          <w:sz w:val="24"/>
          <w:highlight w:val="none"/>
        </w:rPr>
      </w:r>
      <w:r/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составной части опытно-конструкторской работы оптимизации алгоритма для обработки сигналов с фазовой манипуляцией «ЦОС-ННГУ».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СЧ ОКР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компенсатор фазовых искажений канала связи;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Компенсатор искажений приемного тракта гидроакустической станции.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 эффектом внедрения результатов исследования является повышение эффективности применения гидрофонов и точности получаемых данных.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Главный инженер филиала</w:t>
        <w:br/>
      </w:r>
      <w:r>
        <w:rPr>
          <w:rFonts w:ascii="Arial" w:hAnsi="Arial" w:cs="Arial" w:eastAsia="Arial"/>
          <w:color w:val="2D2D2D"/>
          <w:sz w:val="24"/>
        </w:rPr>
        <w:t xml:space="preserve"> АО «Корпорация «Комета» - </w:t>
        <w:br/>
        <w:t xml:space="preserve">«КБ «Квазар»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 xml:space="preserve">Телехов Игорь Владимирович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2021-11-11T09:28:56Z</dcterms:modified>
</cp:coreProperties>
</file>