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ind w:left="5244" w:righ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Председателю диссертационного </w:t>
      </w:r>
      <w:r/>
    </w:p>
    <w:p>
      <w:pPr>
        <w:pStyle w:val="605"/>
        <w:ind w:left="5244" w:righ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совета</w:t>
      </w:r>
      <w:r>
        <w:rPr>
          <w:sz w:val="28"/>
          <w:szCs w:val="28"/>
        </w:rPr>
        <w:t xml:space="preserve"> </w:t>
      </w:r>
      <w:r>
        <w:rPr>
          <w:sz w:val="28"/>
        </w:rPr>
        <w:t xml:space="preserve">24.2.345.01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базе </w:t>
      </w:r>
      <w:r>
        <w:rPr>
          <w:sz w:val="28"/>
        </w:rPr>
      </w:r>
    </w:p>
    <w:p>
      <w:pPr>
        <w:pStyle w:val="605"/>
        <w:ind w:left="5244" w:right="0" w:firstLine="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</w:rPr>
        <w:t xml:space="preserve">федерального государственного бюджетного образовательного учреждения высшего образования «Нижегородский государственный технический университет им. Р.Е. Алексеева»</w:t>
      </w:r>
      <w:r>
        <w:rPr>
          <w:sz w:val="28"/>
          <w:szCs w:val="28"/>
        </w:rPr>
        <w:t xml:space="preserve"> </w:t>
      </w:r>
      <w:r>
        <w:rPr>
          <w:sz w:val="28"/>
        </w:rPr>
      </w:r>
    </w:p>
    <w:p>
      <w:pPr>
        <w:pStyle w:val="605"/>
        <w:ind w:left="5244" w:righ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д.ф.-м.н., профессору </w:t>
      </w:r>
      <w:r/>
    </w:p>
    <w:p>
      <w:pPr>
        <w:pStyle w:val="605"/>
        <w:ind w:left="5244" w:righ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Раевск</w:t>
      </w:r>
      <w:r>
        <w:rPr>
          <w:sz w:val="28"/>
          <w:szCs w:val="28"/>
        </w:rPr>
        <w:t xml:space="preserve">ому</w:t>
      </w:r>
      <w:r>
        <w:rPr>
          <w:sz w:val="28"/>
          <w:szCs w:val="28"/>
        </w:rPr>
        <w:t xml:space="preserve"> Алексею Сергеевичу</w:t>
      </w:r>
      <w:r>
        <w:rPr>
          <w:sz w:val="28"/>
          <w:szCs w:val="28"/>
        </w:rPr>
        <w:t xml:space="preserve">.</w:t>
      </w:r>
      <w:r/>
    </w:p>
    <w:p>
      <w:pPr>
        <w:pStyle w:val="60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05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5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Уважаемый Алексей Сергеевич</w:t>
      </w:r>
      <w:r>
        <w:rPr>
          <w:sz w:val="28"/>
          <w:szCs w:val="28"/>
        </w:rPr>
        <w:t xml:space="preserve">!</w:t>
      </w:r>
      <w:r/>
    </w:p>
    <w:p>
      <w:pPr>
        <w:pStyle w:val="605"/>
        <w:jc w:val="center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0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Сообщаем Вам,</w:t>
      </w:r>
      <w:r>
        <w:rPr>
          <w:sz w:val="28"/>
          <w:szCs w:val="28"/>
        </w:rPr>
        <w:t xml:space="preserve"> что </w:t>
      </w:r>
      <w:r>
        <w:rPr>
          <w:sz w:val="28"/>
        </w:rPr>
        <w:t xml:space="preserve">Филиал РФЯЦ-ВНИИЭФ «НИИИС им.Ю.Е. Седакова»</w:t>
      </w:r>
      <w:r>
        <w:rPr>
          <w:sz w:val="28"/>
          <w:szCs w:val="28"/>
        </w:rPr>
        <w:t xml:space="preserve"> согласен выступить в качестве ведущей организации по диссертации </w:t>
      </w:r>
      <w:r>
        <w:rPr>
          <w:sz w:val="28"/>
          <w:szCs w:val="28"/>
        </w:rPr>
        <w:t xml:space="preserve">Н.С.Морозова «</w:t>
      </w:r>
      <w:r>
        <w:rPr>
          <w:bCs/>
          <w:sz w:val="28"/>
          <w:szCs w:val="28"/>
        </w:rPr>
        <w:t xml:space="preserve">Цифровая коррекция фазовых и дисперсионных искажений в каналах связи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  <w:t xml:space="preserve">, представленной на соискание ученой степени кандидата технических наук по специальности </w:t>
      </w:r>
      <w:r>
        <w:rPr>
          <w:sz w:val="28"/>
          <w:szCs w:val="28"/>
        </w:rPr>
        <w:t xml:space="preserve">2.2.13 — Радиотехника, в том числе системы и устройства телевидения</w:t>
      </w:r>
      <w:r>
        <w:rPr>
          <w:sz w:val="28"/>
          <w:szCs w:val="28"/>
        </w:rPr>
        <w:t xml:space="preserve">, и представить официальный отзыв в установленные сроки.</w:t>
      </w:r>
      <w:r>
        <w:rPr>
          <w:sz w:val="28"/>
          <w:szCs w:val="28"/>
        </w:rPr>
      </w:r>
      <w:r>
        <w:rPr>
          <w:sz w:val="28"/>
        </w:rPr>
      </w:r>
    </w:p>
    <w:p>
      <w:pPr>
        <w:pStyle w:val="6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Сведения о ведущей организации</w:t>
      </w:r>
      <w:r/>
    </w:p>
    <w:p>
      <w:pPr>
        <w:pStyle w:val="605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05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0" w:type="auto"/>
        <w:tblInd w:w="25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3543"/>
        <w:gridCol w:w="5671"/>
      </w:tblGrid>
      <w:tr>
        <w:trPr/>
        <w:tc>
          <w:tcPr>
            <w:tcW w:w="3543" w:type="dxa"/>
            <w:vAlign w:val="top"/>
            <w:textDirection w:val="lrTb"/>
            <w:noWrap w:val="false"/>
          </w:tcPr>
          <w:p>
            <w:pPr>
              <w:pStyle w:val="6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Полное и сокращенное наименование организации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5671" w:type="dxa"/>
            <w:vAlign w:val="top"/>
            <w:textDirection w:val="lrTb"/>
            <w:noWrap w:val="false"/>
          </w:tcPr>
          <w:p>
            <w:pPr>
              <w:pStyle w:val="605"/>
              <w:ind w:left="0" w:right="0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  <w:r>
              <w:rPr>
                <w:sz w:val="24"/>
              </w:rPr>
              <w:t xml:space="preserve">Филиал Федерального государственного унитарного предприятия «Российский федеральный ядерный центр — Всероссийский  научно-исследовательский институт экспериментальной физики» «Научно-исследовательский институт измерительных систем им. Ю.Е. Седакова»</w:t>
            </w: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  <w:p>
            <w:pPr>
              <w:pStyle w:val="605"/>
              <w:ind w:left="0" w:right="0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</w:rPr>
              <w:t xml:space="preserve">(</w:t>
            </w:r>
            <w:r>
              <w:rPr>
                <w:sz w:val="24"/>
              </w:rPr>
              <w:t xml:space="preserve">Филиал РФЯЦ-ВНИИЭФ «НИИИС им. Ю.Е. Седакова»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3543" w:type="dxa"/>
            <w:vAlign w:val="top"/>
            <w:textDirection w:val="lrTb"/>
            <w:noWrap w:val="false"/>
          </w:tcPr>
          <w:p>
            <w:pPr>
              <w:pStyle w:val="6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нахождения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5671" w:type="dxa"/>
            <w:vAlign w:val="top"/>
            <w:textDirection w:val="lrTb"/>
            <w:noWrap w:val="false"/>
          </w:tcPr>
          <w:p>
            <w:pPr>
              <w:pStyle w:val="605"/>
              <w:ind w:left="0" w:right="0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г. Н.Новгород </w:t>
            </w:r>
            <w:r>
              <w:rPr>
                <w:sz w:val="24"/>
              </w:rPr>
            </w:r>
          </w:p>
        </w:tc>
      </w:tr>
      <w:tr>
        <w:trPr/>
        <w:tc>
          <w:tcPr>
            <w:tcW w:w="3543" w:type="dxa"/>
            <w:vAlign w:val="top"/>
            <w:textDirection w:val="lrTb"/>
            <w:noWrap w:val="false"/>
          </w:tcPr>
          <w:p>
            <w:pPr>
              <w:pStyle w:val="6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Почтовый адрес</w:t>
            </w:r>
            <w:r/>
          </w:p>
        </w:tc>
        <w:tc>
          <w:tcPr>
            <w:tcW w:w="5671" w:type="dxa"/>
            <w:vAlign w:val="top"/>
            <w:textDirection w:val="lrTb"/>
            <w:noWrap w:val="false"/>
          </w:tcPr>
          <w:p>
            <w:pPr>
              <w:pStyle w:val="605"/>
              <w:ind w:left="0" w:right="0" w:firstLine="0"/>
              <w:jc w:val="both"/>
              <w:rPr>
                <w:sz w:val="24"/>
                <w:szCs w:val="28"/>
                <w:highlight w:val="none"/>
              </w:rPr>
            </w:pPr>
            <w:r>
              <w:rPr>
                <w:sz w:val="24"/>
                <w:szCs w:val="28"/>
              </w:rPr>
            </w:r>
            <w:r>
              <w:rPr>
                <w:sz w:val="24"/>
              </w:rPr>
              <w:t xml:space="preserve">603951, Россия, Нижний Новгород, Бокс № 486,</w:t>
              <w:br/>
            </w: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  <w:r>
              <w:rPr>
                <w:sz w:val="24"/>
                <w:highlight w:val="none"/>
              </w:rPr>
              <w:t xml:space="preserve">ННИИИС</w:t>
            </w:r>
            <w:r>
              <w:rPr>
                <w:sz w:val="24"/>
                <w:highlight w:val="none"/>
              </w:rPr>
            </w:r>
          </w:p>
        </w:tc>
      </w:tr>
      <w:tr>
        <w:trPr/>
        <w:tc>
          <w:tcPr>
            <w:tcW w:w="3543" w:type="dxa"/>
            <w:vAlign w:val="top"/>
            <w:textDirection w:val="lrTb"/>
            <w:noWrap w:val="false"/>
          </w:tcPr>
          <w:p>
            <w:pPr>
              <w:pStyle w:val="6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</w:t>
            </w:r>
            <w:r>
              <w:rPr>
                <w:sz w:val="28"/>
                <w:szCs w:val="28"/>
              </w:rPr>
              <w:t xml:space="preserve">, адрес электронной почты, сайт (при наличии)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5671" w:type="dxa"/>
            <w:vAlign w:val="top"/>
            <w:textDirection w:val="lrTb"/>
            <w:noWrap w:val="false"/>
          </w:tcPr>
          <w:p>
            <w:pPr>
              <w:pStyle w:val="605"/>
              <w:ind w:left="0" w:right="0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Телефон/факс: </w:t>
            </w:r>
            <w:r>
              <w:rPr>
                <w:sz w:val="24"/>
              </w:rPr>
              <w:t xml:space="preserve">(831) 465-49-90</w:t>
            </w:r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  <w:p>
            <w:pPr>
              <w:pStyle w:val="605"/>
              <w:ind w:left="0" w:right="0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 xml:space="preserve">E-mail: </w:t>
            </w:r>
            <w:r>
              <w:rPr>
                <w:sz w:val="24"/>
                <w:szCs w:val="28"/>
              </w:rPr>
            </w:r>
            <w:hyperlink r:id="rId10" w:tooltip="mailto:niiis@niiis.nnov.ru" w:history="1">
              <w:r>
                <w:rPr>
                  <w:sz w:val="24"/>
                </w:rPr>
                <w:t xml:space="preserve">niiis@niiis.nnov.ru</w:t>
              </w:r>
            </w:hyperlink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  <w:p>
            <w:pPr>
              <w:pStyle w:val="605"/>
              <w:ind w:left="0" w:right="0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Сайт</w:t>
            </w:r>
            <w:r>
              <w:rPr>
                <w:sz w:val="24"/>
                <w:szCs w:val="28"/>
                <w:lang w:val="en-US"/>
              </w:rPr>
              <w:t xml:space="preserve">: </w:t>
            </w:r>
            <w:r>
              <w:rPr>
                <w:sz w:val="24"/>
                <w:szCs w:val="28"/>
              </w:rPr>
            </w:r>
            <w:hyperlink r:id="rId11" w:tooltip="http://www.niiis.nnov.ru/" w:history="1">
              <w:r>
                <w:rPr>
                  <w:sz w:val="24"/>
                </w:rPr>
                <w:t xml:space="preserve">http://www.niiis.nnov.ru/</w:t>
              </w:r>
            </w:hyperlink>
            <w:r>
              <w:rPr>
                <w:sz w:val="24"/>
                <w:szCs w:val="28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3543" w:type="dxa"/>
            <w:vAlign w:val="top"/>
            <w:textDirection w:val="lrTb"/>
            <w:noWrap w:val="false"/>
          </w:tcPr>
          <w:p>
            <w:pPr>
              <w:pStyle w:val="6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Список публикаций </w:t>
            </w:r>
            <w:r>
              <w:rPr>
                <w:sz w:val="28"/>
                <w:szCs w:val="28"/>
              </w:rPr>
              <w:t xml:space="preserve">работников организации</w:t>
            </w:r>
            <w:r>
              <w:rPr>
                <w:sz w:val="28"/>
                <w:szCs w:val="28"/>
              </w:rPr>
              <w:t xml:space="preserve"> по теме диссертации Н.С.Морозова в рецензируемых научных изданиях за последние </w:t>
            </w: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  <w:t xml:space="preserve">лет (не более </w:t>
            </w:r>
            <w:r>
              <w:rPr>
                <w:sz w:val="28"/>
                <w:szCs w:val="28"/>
              </w:rPr>
              <w:t xml:space="preserve">15</w:t>
            </w:r>
            <w:r>
              <w:rPr>
                <w:sz w:val="28"/>
                <w:szCs w:val="28"/>
              </w:rPr>
              <w:t xml:space="preserve"> публикаций)</w:t>
            </w:r>
            <w:r/>
          </w:p>
        </w:tc>
        <w:tc>
          <w:tcPr>
            <w:tcW w:w="5671" w:type="dxa"/>
            <w:vAlign w:val="top"/>
            <w:textDirection w:val="lrTb"/>
            <w:noWrap w:val="false"/>
          </w:tcPr>
          <w:p>
            <w:pPr>
              <w:pStyle w:val="605"/>
              <w:ind w:left="0" w:right="0" w:firstLine="0"/>
              <w:jc w:val="both"/>
              <w:rPr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4"/>
              </w:rPr>
            </w:r>
            <w:r>
              <w:rPr>
                <w:sz w:val="24"/>
              </w:rPr>
              <w:t xml:space="preserve">ЦЕЛОЧИСЛЕННЫЕ ЦИФРОВЫЕ РЕКУРСИВНЫЕ ФИЛЬТРЫ НА НЕЭКВИДИСТАНТНЫХ МНОЖЕСТВАХ КОЭФФИЦИЕНТОВ, РЕАЛИЗУЕМЫЕ НА ПЛИС // 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  <w:t xml:space="preserve">Бугров В.Н., Артемьев В.В. // </w:t>
            </w:r>
            <w:r>
              <w:rPr>
                <w:sz w:val="24"/>
              </w:rPr>
            </w:r>
            <w:r>
              <w:rPr>
                <w:sz w:val="24"/>
              </w:rPr>
            </w:r>
            <w:hyperlink r:id="rId12" w:tooltip="https://elibrary.ru/contents.asp?id=36548399" w:history="1">
              <w:r>
                <w:rPr>
                  <w:sz w:val="24"/>
                </w:rPr>
                <w:t xml:space="preserve">DSPA: Вопросы применения цифровой обработки сигналов</w:t>
              </w:r>
            </w:hyperlink>
            <w:r>
              <w:rPr>
                <w:sz w:val="24"/>
              </w:rPr>
              <w:t xml:space="preserve">. 2018. Т. 8. № 4. С. 10-14.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605"/>
              <w:ind w:left="0" w:right="0" w:firstLine="0"/>
              <w:jc w:val="both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605"/>
              <w:ind w:left="0" w:right="0" w:firstLine="0"/>
              <w:jc w:val="both"/>
              <w:rPr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4"/>
              </w:rPr>
            </w:r>
            <w:r>
              <w:rPr>
                <w:sz w:val="24"/>
              </w:rPr>
              <w:t xml:space="preserve">О ВЛИЯНИИ ДИСПЕРСИИ НА РАСПРОСТРАНЕНИЕ СВЕРХШИРОКОПОЛОСНЫХ ИМПУЛЬСОВ ПО ВОЛОКОННОМУ СВЕТОВОДУ // 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  <w:t xml:space="preserve">Капустин С.А., Малышев Г.С., Порошенков А.Ю., Раевский А.С. // </w:t>
            </w:r>
            <w:r>
              <w:rPr>
                <w:sz w:val="24"/>
              </w:rPr>
            </w:r>
            <w:r>
              <w:rPr>
                <w:sz w:val="24"/>
              </w:rPr>
              <w:t xml:space="preserve">В сборнике: Информационные системы и технологии ИСТ-2017. Материалы докладов XХIII Международной научно-технической конференции, посвященной 100-летию НГТУ - Нижегородского политехнического института. 2017. С. 1328-1332.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605"/>
              <w:ind w:left="0" w:right="0" w:firstLine="0"/>
              <w:jc w:val="both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605"/>
              <w:ind w:left="0" w:right="0" w:firstLine="0"/>
              <w:jc w:val="both"/>
              <w:rPr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4"/>
              </w:rPr>
            </w:r>
            <w:r>
              <w:rPr>
                <w:sz w:val="24"/>
              </w:rPr>
              <w:t xml:space="preserve">РЕАЛИЗАЦИЯ НА ПЛИС ЦЕЛОЧИСЛЕННЫХ ЦИФРОВЫХ РЕКУРСИВНЫХ ФИЛЬТРОВ БЕЗ УМНОЖИТЕЛЕЙ, СИНТЕЗИРОВАННЫХ НА НЕЭКВИДИСТАНТНОМ МНОЖЕСТВЕ ПАРАМЕТРОВ // 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  <w:t xml:space="preserve">Артемьев В.В. // </w:t>
            </w:r>
            <w:r>
              <w:rPr>
                <w:sz w:val="24"/>
              </w:rPr>
            </w:r>
            <w:r>
              <w:rPr>
                <w:sz w:val="24"/>
              </w:rPr>
            </w:r>
            <w:hyperlink r:id="rId13" w:tooltip="https://elibrary.ru/contents.asp?id=34533061" w:history="1">
              <w:r>
                <w:rPr>
                  <w:sz w:val="24"/>
                </w:rPr>
                <w:t xml:space="preserve">Успехи современной радиоэлектроники</w:t>
              </w:r>
            </w:hyperlink>
            <w:r>
              <w:rPr>
                <w:sz w:val="24"/>
              </w:rPr>
              <w:t xml:space="preserve">. 2017. № 8. С. 67-76.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605"/>
              <w:ind w:left="0" w:right="0" w:firstLine="0"/>
              <w:jc w:val="both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pStyle w:val="605"/>
              <w:ind w:left="0" w:right="0" w:firstLine="0"/>
              <w:jc w:val="both"/>
              <w:rPr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sz w:val="24"/>
              </w:rPr>
            </w:r>
            <w:r>
              <w:rPr>
                <w:sz w:val="24"/>
              </w:rPr>
              <w:t xml:space="preserve">ИССЛЕДОВАНИЕ ДИСПЕРСИОННЫХ ИСКАЖЕНИЙ СИГНАЛОВ С ШИРОКИМ СПЕКТРОМ ПРИ РАСПРОСТРАНЕНИИ В ИОНОСФЕРЕ ЗЕМЛИ // 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  <w:t xml:space="preserve">Ивойлова М.М. // </w:t>
            </w:r>
            <w:r>
              <w:rPr>
                <w:sz w:val="24"/>
              </w:rPr>
            </w:r>
            <w:r>
              <w:rPr>
                <w:sz w:val="24"/>
              </w:rPr>
              <w:t xml:space="preserve">В сборнике: Обмен опытом в области создания сверхширокополосных радиоэлектронных систем. Материалы VI общероссийской научно-технической конференции. АО «Корпорация «Тактическое ракетное вооружение»; АО «Центральное конструкторское бюро автоматики»; ФГБОУ В</w:t>
            </w:r>
            <w:r>
              <w:rPr>
                <w:sz w:val="24"/>
              </w:rPr>
              <w:t xml:space="preserve">О «Омский государственный технический университет». 2016. С. 195-207.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rFonts w:ascii="Tahoma" w:hAnsi="Tahoma" w:cs="Tahoma" w:eastAsia="Tahoma"/>
                <w:sz w:val="16"/>
              </w:rPr>
            </w:r>
            <w:r>
              <w:rPr>
                <w:rFonts w:ascii="Tahoma" w:hAnsi="Tahoma" w:cs="Tahoma" w:eastAsia="Tahoma"/>
                <w:sz w:val="16"/>
              </w:rPr>
            </w:r>
          </w:p>
          <w:p>
            <w:pPr>
              <w:rPr>
                <w:rFonts w:ascii="Tahoma" w:hAnsi="Tahoma" w:cs="Tahoma" w:eastAsia="Tahoma"/>
                <w:sz w:val="16"/>
              </w:rPr>
            </w:pPr>
            <w:r>
              <w:rPr>
                <w:rFonts w:ascii="Tahoma" w:hAnsi="Tahoma" w:cs="Tahoma" w:eastAsia="Tahoma"/>
                <w:color w:val="00008F"/>
                <w:sz w:val="16"/>
                <w:highlight w:val="none"/>
              </w:rPr>
            </w:r>
            <w:r>
              <w:rPr>
                <w:rFonts w:ascii="Tahoma" w:hAnsi="Tahoma" w:cs="Tahoma" w:eastAsia="Tahoma"/>
                <w:color w:val="00008F"/>
                <w:sz w:val="16"/>
                <w:highlight w:val="none"/>
              </w:rPr>
            </w:r>
          </w:p>
        </w:tc>
      </w:tr>
    </w:tbl>
    <w:p>
      <w:pPr>
        <w:pStyle w:val="605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0" w:type="auto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90"/>
        <w:gridCol w:w="2871"/>
        <w:gridCol w:w="3510"/>
      </w:tblGrid>
      <w:tr>
        <w:trPr/>
        <w:tc>
          <w:tcPr>
            <w:tcW w:w="3190" w:type="dxa"/>
            <w:vAlign w:val="center"/>
            <w:textDirection w:val="lrTb"/>
            <w:noWrap w:val="false"/>
          </w:tcPr>
          <w:p>
            <w:pPr>
              <w:pStyle w:val="6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</w:rPr>
              <w:t xml:space="preserve">Директор филиала</w:t>
            </w:r>
            <w:r>
              <w:rPr>
                <w:sz w:val="28"/>
                <w:szCs w:val="28"/>
              </w:rPr>
            </w:r>
            <w:r>
              <w:rPr>
                <w:sz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871" w:type="dxa"/>
            <w:vAlign w:val="center"/>
            <w:textDirection w:val="lrTb"/>
            <w:noWrap w:val="false"/>
          </w:tcPr>
          <w:p>
            <w:pPr>
              <w:pStyle w:val="6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</w:rPr>
            </w:r>
          </w:p>
        </w:tc>
        <w:tc>
          <w:tcPr>
            <w:tcW w:w="3510" w:type="dxa"/>
            <w:vAlign w:val="center"/>
            <w:textDirection w:val="lrTb"/>
            <w:noWrap w:val="false"/>
          </w:tcPr>
          <w:p>
            <w:pPr>
              <w:pStyle w:val="6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</w:rPr>
              <w:t xml:space="preserve">Седаков Андрей Юлиевич</w:t>
            </w:r>
            <w:r>
              <w:rPr>
                <w:sz w:val="28"/>
                <w:szCs w:val="28"/>
              </w:rPr>
            </w:r>
            <w:r>
              <w:rPr>
                <w:sz w:val="28"/>
              </w:rPr>
            </w:r>
          </w:p>
        </w:tc>
      </w:tr>
    </w:tbl>
    <w:p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Times New Roman">
    <w:panose1 w:val="02020603050405020304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05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05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05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05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05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05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05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05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05"/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05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05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05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05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05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05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05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05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05"/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05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05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05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05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05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05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05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05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05"/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05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05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05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05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05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05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05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05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05"/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8"/>
    <w:next w:val="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8"/>
    <w:next w:val="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"/>
    <w:next w:val="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"/>
    <w:next w:val="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"/>
    <w:next w:val="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"/>
    <w:next w:val="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"/>
    <w:next w:val="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"/>
    <w:next w:val="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"/>
    <w:next w:val="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"/>
    <w:next w:val="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"/>
    <w:next w:val="8"/>
    <w:uiPriority w:val="99"/>
    <w:unhideWhenUsed/>
    <w:pPr>
      <w:spacing w:after="0" w:afterAutospacing="0"/>
    </w:pPr>
  </w:style>
  <w:style w:type="paragraph" w:styleId="605">
    <w:name w:val="Обычный"/>
    <w:next w:val="605"/>
    <w:link w:val="605"/>
    <w:rPr>
      <w:sz w:val="24"/>
      <w:szCs w:val="24"/>
      <w:lang w:val="ru-RU" w:bidi="ar-SA" w:eastAsia="ru-RU"/>
    </w:rPr>
  </w:style>
  <w:style w:type="character" w:styleId="606">
    <w:name w:val="Основной шрифт абзаца"/>
    <w:next w:val="606"/>
    <w:link w:val="605"/>
    <w:semiHidden/>
  </w:style>
  <w:style w:type="table" w:styleId="607">
    <w:name w:val="Обычная таблица"/>
    <w:next w:val="607"/>
    <w:link w:val="605"/>
    <w:semiHidden/>
    <w:tblPr/>
  </w:style>
  <w:style w:type="numbering" w:styleId="608">
    <w:name w:val="Нет списка"/>
    <w:next w:val="608"/>
    <w:link w:val="605"/>
    <w:semiHidden/>
  </w:style>
  <w:style w:type="table" w:styleId="609">
    <w:name w:val="Сетка таблицы"/>
    <w:basedOn w:val="607"/>
    <w:next w:val="609"/>
    <w:link w:val="605"/>
    <w:tblPr/>
  </w:style>
  <w:style w:type="character" w:styleId="610">
    <w:name w:val="Гиперссылка"/>
    <w:next w:val="610"/>
    <w:link w:val="605"/>
    <w:rPr>
      <w:color w:val="0563C1"/>
      <w:u w:val="single"/>
    </w:rPr>
  </w:style>
  <w:style w:type="character" w:styleId="958" w:default="1">
    <w:name w:val="Default Paragraph Font"/>
    <w:uiPriority w:val="1"/>
    <w:semiHidden/>
    <w:unhideWhenUsed/>
  </w:style>
  <w:style w:type="numbering" w:styleId="959" w:default="1">
    <w:name w:val="No List"/>
    <w:uiPriority w:val="99"/>
    <w:semiHidden/>
    <w:unhideWhenUsed/>
  </w:style>
  <w:style w:type="paragraph" w:styleId="960" w:default="1">
    <w:name w:val="Normal"/>
    <w:qFormat/>
  </w:style>
  <w:style w:type="table" w:styleId="961" w:default="1">
    <w:name w:val="Normal Table"/>
    <w:uiPriority w:val="99"/>
    <w:semiHidden/>
    <w:unhideWhenUsed/>
    <w:tblPr/>
  </w:style>
  <w:style w:type="paragraph" w:styleId="1_1287">
    <w:name w:val="Обычный (Web)"/>
    <w:basedOn w:val="903"/>
    <w:qFormat/>
    <w:rPr>
      <w:rFonts w:ascii="Arial Unicode MS;Malgun Gothic;Times New Roman" w:hAnsi="Arial Unicode MS;Malgun Gothic;Times New Roman" w:cs="Arial Unicode MS;Malgun Gothic;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280" w:afterAutospacing="0" w:before="28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niiis@niiis.nnov.ru" TargetMode="External"/><Relationship Id="rId11" Type="http://schemas.openxmlformats.org/officeDocument/2006/relationships/hyperlink" Target="http://www.niiis.nnov.ru/" TargetMode="External"/><Relationship Id="rId12" Type="http://schemas.openxmlformats.org/officeDocument/2006/relationships/hyperlink" Target="https://elibrary.ru/contents.asp?id=36548399" TargetMode="External"/><Relationship Id="rId13" Type="http://schemas.openxmlformats.org/officeDocument/2006/relationships/hyperlink" Target="https://elibrary.ru/contents.asp?id=3453306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2021-12-13T18:00:54Z</dcterms:modified>
</cp:coreProperties>
</file>