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  <w:t xml:space="preserve">Возможные критические замечания совета</w:t>
      </w:r>
      <w:r>
        <w:rPr>
          <w:b/>
          <w:sz w:val="36"/>
          <w:highlight w:val="none"/>
        </w:rPr>
      </w:r>
    </w:p>
    <w:p>
      <w:pPr>
        <w:jc w:val="center"/>
        <w:rPr>
          <w:b/>
          <w:sz w:val="36"/>
          <w:highlight w:val="none"/>
        </w:rPr>
      </w:pPr>
      <w:r>
        <w:rPr>
          <w:b/>
          <w:sz w:val="36"/>
          <w:highlight w:val="none"/>
        </w:rPr>
      </w:r>
      <w:r>
        <w:rPr>
          <w:b/>
          <w:sz w:val="36"/>
          <w:highlight w:val="none"/>
        </w:rPr>
      </w:r>
    </w:p>
    <w:p>
      <w:pPr>
        <w:rPr>
          <w:sz w:val="36"/>
          <w:highlight w:val="none"/>
        </w:rPr>
      </w:pPr>
      <w:r>
        <w:rPr>
          <w:sz w:val="36"/>
        </w:rPr>
        <w:t xml:space="preserve">1) </w:t>
      </w:r>
      <w:r>
        <w:rPr>
          <w:sz w:val="36"/>
        </w:rPr>
        <w:t xml:space="preserve">Н.С.Морозов ограничился рассмотрением цифровых фильтров только с действительными коэффициентами, вопрос эффективности использования в указанных задачах фильтров с комплексными</w:t>
      </w:r>
      <w:r>
        <w:rPr>
          <w:rFonts w:ascii="Times New Roman" w:hAnsi="Times New Roman" w:cs="Times New Roman" w:eastAsia="Times New Roman"/>
          <w:b w:val="0"/>
          <w:i w:val="0"/>
          <w:strike w:val="false"/>
          <w:color w:val="000000"/>
          <w:sz w:val="36"/>
          <w:u w:val="none"/>
        </w:rPr>
        <w:t xml:space="preserve"> весовыми коэффициентами, важных при обработке комплексных сигналов</w:t>
      </w:r>
      <w:r>
        <w:rPr>
          <w:rFonts w:ascii="Times New Roman" w:hAnsi="Times New Roman" w:cs="Times New Roman" w:eastAsia="Times New Roman"/>
          <w:b w:val="0"/>
          <w:i w:val="0"/>
          <w:strike w:val="false"/>
          <w:color w:val="000000"/>
          <w:sz w:val="36"/>
          <w:u w:val="none"/>
        </w:rPr>
        <w:t xml:space="preserve">, не рассмотрен.</w:t>
      </w:r>
      <w:r>
        <w:rPr>
          <w:sz w:val="36"/>
        </w:rPr>
        <w:t xml:space="preserve"> Нет примеров для сравнения.</w:t>
      </w:r>
      <w:r>
        <w:rPr>
          <w:sz w:val="36"/>
        </w:rPr>
      </w:r>
    </w:p>
    <w:p>
      <w:pPr>
        <w:rPr>
          <w:sz w:val="32"/>
        </w:rPr>
      </w:pPr>
      <w:r>
        <w:rPr>
          <w:sz w:val="32"/>
        </w:rPr>
      </w:r>
      <w:r>
        <w:rPr>
          <w:sz w:val="32"/>
        </w:rPr>
      </w:r>
    </w:p>
    <w:p>
      <w:pPr>
        <w:rPr>
          <w:sz w:val="36"/>
        </w:rPr>
      </w:pPr>
      <w:r>
        <w:rPr>
          <w:sz w:val="36"/>
          <w:highlight w:val="none"/>
        </w:rPr>
      </w:r>
      <w:r>
        <w:rPr>
          <w:sz w:val="36"/>
        </w:rPr>
        <w:t xml:space="preserve">2) Показаны примеры практической реализации фильтров-корректоров фазовых искажений узкополосного и широкополосного трактов, но для компенсаторов частотной дисперсии пример реализации не приведен. </w:t>
      </w:r>
      <w:r>
        <w:rPr>
          <w:rFonts w:ascii="Times New Roman" w:hAnsi="Times New Roman" w:cs="Times New Roman" w:eastAsia="Times New Roman"/>
          <w:b w:val="0"/>
          <w:i w:val="0"/>
          <w:strike w:val="false"/>
          <w:color w:val="000000"/>
          <w:sz w:val="36"/>
          <w:u w:val="none"/>
        </w:rPr>
        <w:t xml:space="preserve">При возможной их реализации на основе ПЛИС,</w:t>
      </w:r>
      <w:r>
        <w:rPr>
          <w:sz w:val="36"/>
        </w:rPr>
        <w:t xml:space="preserve"> нет практического подтверждения устойчивости приведенных фильтров-компенсаторов и не указано, может ли такой фильтр фактически применяться на практике для в</w:t>
      </w:r>
      <w:r>
        <w:rPr>
          <w:rFonts w:ascii="Times New Roman" w:hAnsi="Times New Roman" w:cs="Times New Roman" w:eastAsia="Times New Roman"/>
          <w:b w:val="0"/>
          <w:i w:val="0"/>
          <w:strike w:val="false"/>
          <w:color w:val="000000"/>
          <w:sz w:val="36"/>
          <w:u w:val="none"/>
        </w:rPr>
        <w:t xml:space="preserve">ысокоскоростных систем оптоволоконных линий связи</w:t>
      </w:r>
      <w:r>
        <w:rPr>
          <w:rFonts w:ascii="Times New Roman" w:hAnsi="Times New Roman" w:cs="Times New Roman" w:eastAsia="Times New Roman"/>
          <w:b w:val="0"/>
          <w:i w:val="0"/>
          <w:strike w:val="false"/>
          <w:color w:val="000000"/>
          <w:sz w:val="36"/>
          <w:u w:val="none"/>
        </w:rPr>
        <w:t xml:space="preserve">.</w:t>
      </w:r>
      <w:r>
        <w:rPr>
          <w:sz w:val="36"/>
        </w:rPr>
      </w:r>
      <w:r>
        <w:rPr>
          <w:sz w:val="36"/>
          <w:highlight w:val="none"/>
        </w:rPr>
      </w:r>
    </w:p>
    <w:sectPr>
      <w:footnotePr/>
      <w:endnotePr/>
      <w:type w:val="nextPage"/>
      <w:pgSz w:w="11906" w:h="16838" w:orient="portrait"/>
      <w:pgMar w:top="1134" w:right="1134" w:bottom="1134" w:left="1134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Times New Roman" w:eastAsia="Calibri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uiPriority w:val="34"/>
    <w:qFormat/>
    <w:pPr>
      <w:contextualSpacing/>
      <w:ind w:left="720"/>
    </w:pPr>
  </w:style>
  <w:style w:type="paragraph" w:styleId="653">
    <w:name w:val="No Spacing"/>
    <w:uiPriority w:val="1"/>
    <w:qFormat/>
    <w:pPr>
      <w:spacing w:before="0" w:after="0" w:line="240" w:lineRule="auto"/>
    </w:p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68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69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70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71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72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73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75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76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77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78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79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0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782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783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784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785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786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787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next w:val="812"/>
    <w:link w:val="812"/>
    <w:rPr>
      <w:rFonts w:ascii="Times New Roman" w:hAnsi="Times New Roman" w:eastAsia="Times New Roman"/>
      <w:sz w:val="24"/>
      <w:szCs w:val="24"/>
      <w:lang w:val="ru-RU" w:bidi="ar-SA" w:eastAsia="ru-RU"/>
    </w:rPr>
  </w:style>
  <w:style w:type="character" w:styleId="813">
    <w:name w:val="Основной шрифт абзаца"/>
    <w:next w:val="813"/>
    <w:link w:val="812"/>
  </w:style>
  <w:style w:type="table" w:styleId="814">
    <w:name w:val="Обычная таблица"/>
    <w:next w:val="814"/>
    <w:link w:val="812"/>
    <w:semiHidden/>
    <w:tblPr/>
  </w:style>
  <w:style w:type="numbering" w:styleId="815">
    <w:name w:val="Нет списка"/>
    <w:next w:val="815"/>
    <w:link w:val="812"/>
    <w:semiHidden/>
  </w:style>
  <w:style w:type="character" w:styleId="816">
    <w:name w:val="Гиперссылка"/>
    <w:next w:val="816"/>
    <w:link w:val="812"/>
    <w:rPr>
      <w:color w:val="0000FF"/>
      <w:u w:val="single"/>
    </w:rPr>
  </w:style>
  <w:style w:type="paragraph" w:styleId="817">
    <w:name w:val="Минобр"/>
    <w:basedOn w:val="812"/>
    <w:next w:val="817"/>
    <w:link w:val="812"/>
    <w:pPr>
      <w:jc w:val="center"/>
      <w:spacing w:line="360" w:lineRule="auto"/>
    </w:pPr>
    <w:rPr>
      <w:b/>
      <w:sz w:val="18"/>
    </w:rPr>
  </w:style>
  <w:style w:type="paragraph" w:styleId="818">
    <w:name w:val="ГОУ"/>
    <w:basedOn w:val="812"/>
    <w:next w:val="818"/>
    <w:link w:val="812"/>
    <w:pPr>
      <w:jc w:val="center"/>
    </w:pPr>
    <w:rPr>
      <w:b/>
      <w:sz w:val="18"/>
    </w:rPr>
  </w:style>
  <w:style w:type="paragraph" w:styleId="819">
    <w:name w:val="НГТУ"/>
    <w:basedOn w:val="812"/>
    <w:next w:val="819"/>
    <w:link w:val="812"/>
    <w:pPr>
      <w:jc w:val="center"/>
      <w:spacing w:before="200"/>
    </w:pPr>
    <w:rPr>
      <w:b/>
      <w:caps/>
      <w:sz w:val="20"/>
    </w:rPr>
  </w:style>
  <w:style w:type="paragraph" w:styleId="820">
    <w:name w:val="адрес"/>
    <w:basedOn w:val="812"/>
    <w:next w:val="820"/>
    <w:link w:val="812"/>
    <w:pPr>
      <w:jc w:val="center"/>
    </w:pPr>
    <w:rPr>
      <w:sz w:val="18"/>
    </w:rPr>
  </w:style>
  <w:style w:type="table" w:styleId="821">
    <w:name w:val="Сетка таблицы"/>
    <w:basedOn w:val="814"/>
    <w:next w:val="821"/>
    <w:link w:val="812"/>
    <w:rPr>
      <w:rFonts w:eastAsia="Times New Roman"/>
      <w:lang w:val="ru-RU" w:bidi="ar-SA" w:eastAsia="ru-RU"/>
    </w:rPr>
    <w:tblPr/>
  </w:style>
  <w:style w:type="character" w:styleId="822" w:default="1">
    <w:name w:val="Default Paragraph Font"/>
    <w:uiPriority w:val="1"/>
    <w:semiHidden/>
    <w:unhideWhenUsed/>
  </w:style>
  <w:style w:type="numbering" w:styleId="823" w:default="1">
    <w:name w:val="No List"/>
    <w:uiPriority w:val="99"/>
    <w:semiHidden/>
    <w:unhideWhenUsed/>
  </w:style>
  <w:style w:type="table" w:styleId="824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2022-06-15T17:40:31Z</dcterms:modified>
</cp:coreProperties>
</file>