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center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</w:rPr>
              <w:t xml:space="preserve">ФГУП РФЯЦ-ВНИИЭФ, </w:t>
            </w:r>
            <w:r>
              <w:rPr>
                <w:rFonts w:ascii="Liberation Serif" w:hAnsi="Liberation Serif" w:cs="Liberation Serif"/>
                <w:color w:val="000000"/>
                <w:sz w:val="24"/>
              </w:rPr>
              <w:t xml:space="preserve">Филиал РФЯЦ-ВНИИЭФ «НИИИС им. Ю.Е. Седакова»</w:t>
            </w: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r>
            <w:r>
              <w:rPr>
                <w:rFonts w:ascii="Liberation Serif" w:hAnsi="Liberation Serif" w:cs="Liberation Serif"/>
                <w:color w:val="000000"/>
                <w:sz w:val="24"/>
              </w:rPr>
            </w:r>
          </w:p>
        </w:tc>
      </w:tr>
    </w:tbl>
    <w:p>
      <w:pPr>
        <w:pStyle w:val="1152"/>
        <w:ind w:left="0" w:right="0" w:firstLine="567"/>
        <w:jc w:val="left"/>
        <w:spacing w:lineRule="auto" w:line="360"/>
      </w:pPr>
      <w:r/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«16» июня 2022 в 13.00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</w:rPr>
      </w:r>
      <w:hyperlink r:id="rId12" w:tooltip="https://www.nntu.ru/frontend/web/ngtu/files/org_structura/instit_fakul_kaf_shkoly/fsvk/dissertacii/2021/morozov_n_s.pdf" w:history="1">
        <w:r>
          <w:rPr>
            <w:rStyle w:val="885"/>
            <w:sz w:val="24"/>
            <w:szCs w:val="24"/>
          </w:rPr>
          <w:t xml:space="preserve">https://www.nntu.ru/frontend/web/ngtu/files/org_structura/instit_fakul_kaf_shkoly/fsvk/dissertacii/2021/morozov_n_s.pdf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«04» апреля 202</w:t>
      </w:r>
      <w:r>
        <w:rPr>
          <w:sz w:val="24"/>
          <w:szCs w:val="24"/>
          <w:lang w:val="ru-RU"/>
        </w:rPr>
        <w:t xml:space="preserve">2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52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</w:t>
      </w:r>
      <w:r>
        <w:rPr>
          <w:highlight w:val="none"/>
        </w:rPr>
        <w:t xml:space="preserve">ли компенсаторов дисперсии перед разработчиком стоит непростая задача реализации </w:t>
      </w:r>
      <w:r>
        <w:rPr>
          <w:highlight w:val="none"/>
        </w:rPr>
        <w:t xml:space="preserve">фазовых характеристик</w:t>
      </w:r>
      <w:r>
        <w:rPr>
          <w:highlight w:val="none"/>
        </w:rPr>
        <w:t xml:space="preserve"> с</w:t>
      </w:r>
      <w:r>
        <w:rPr>
          <w:highlight w:val="none"/>
        </w:rPr>
        <w:t xml:space="preserve">ложной формы. Это требует </w:t>
      </w:r>
      <w:r>
        <w:rPr>
          <w:highlight w:val="none"/>
        </w:rPr>
        <w:t xml:space="preserve">макси</w:t>
      </w:r>
      <w:r>
        <w:rPr>
          <w:highlight w:val="none"/>
        </w:rPr>
        <w:t xml:space="preserve">мально точного представления фазочастотной характеристики </w:t>
      </w:r>
      <w:r>
        <w:rPr>
          <w:highlight w:val="none"/>
        </w:rPr>
        <w:t xml:space="preserve">и её производных (группового времени запаздывания и частотной дисперсии) как на стадии синтеза технического решения, так и на стадии его прак</w:t>
      </w:r>
      <w:r>
        <w:t xml:space="preserve">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</w:t>
      </w:r>
      <w:r>
        <w:rPr>
          <w:highlight w:val="white"/>
          <w:lang w:val="ru-RU"/>
        </w:rPr>
        <w:t xml:space="preserve">банков цифровых фильтр</w:t>
      </w:r>
      <w:r>
        <w:rPr>
          <w:highlight w:val="white"/>
          <w:lang w:val="ru-RU"/>
        </w:rPr>
        <w:t xml:space="preserve">о</w:t>
      </w:r>
      <w:r>
        <w:rPr>
          <w:highlight w:val="none"/>
          <w:lang w:val="ru-RU"/>
        </w:rPr>
        <w:t xml:space="preserve">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Вышеперечисленны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подходы </w:t>
      </w:r>
      <w:r>
        <w:rPr>
          <w:highlight w:val="none"/>
          <w:lang w:val="ru-RU"/>
        </w:rPr>
        <w:t xml:space="preserve">позвол</w:t>
      </w:r>
      <w:r>
        <w:rPr>
          <w:highlight w:val="none"/>
          <w:lang w:val="ru-RU"/>
        </w:rPr>
        <w:t xml:space="preserve">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ара</w:t>
      </w:r>
      <w:r>
        <w:rPr>
          <w:highlight w:val="none"/>
          <w:lang w:val="ru-RU"/>
        </w:rPr>
        <w:t xml:space="preserve">ктеристиками</w:t>
      </w:r>
      <w:r>
        <w:rPr>
          <w:highlight w:val="none"/>
          <w:lang w:val="ru-RU"/>
        </w:rPr>
        <w:t xml:space="preserve">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</w:t>
      </w:r>
      <w:r>
        <w:rPr>
          <w:highlight w:val="none"/>
          <w:lang w:val="ru-RU"/>
        </w:rPr>
        <w:t xml:space="preserve">Характерной </w:t>
      </w:r>
      <w:r>
        <w:rPr>
          <w:highlight w:val="none"/>
          <w:lang w:val="ru-RU"/>
        </w:rPr>
        <w:t xml:space="preserve">особенн</w:t>
      </w:r>
      <w:r>
        <w:rPr>
          <w:highlight w:val="none"/>
          <w:lang w:val="ru-RU"/>
        </w:rPr>
        <w:t xml:space="preserve">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t xml:space="preserve">Обычно проектирование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характеристик,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определяемая</w:t>
      </w:r>
      <w:r>
        <w:rPr>
          <w:color w:val="000000"/>
          <w:highlight w:val="none"/>
        </w:rPr>
        <w:t xml:space="preserve"> </w:t>
      </w:r>
      <w:r>
        <w:rPr>
          <w:color w:val="000000"/>
        </w:rPr>
        <w:t xml:space="preserve">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 особо удобными</w:t>
      </w:r>
      <w:r>
        <w:rPr>
          <w:color w:val="000000"/>
        </w:rPr>
        <w:t xml:space="preserve"> </w:t>
      </w:r>
      <w:r>
        <w:rPr>
          <w:color w:val="000000"/>
        </w:rPr>
        <w:t xml:space="preserve">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видео-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 В патенте использована схема корректировки фазовых искажений.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наименований, и приложений. Она изложена на 9</w:t>
      </w:r>
      <w:r>
        <w:rPr>
          <w:sz w:val="24"/>
          <w:szCs w:val="24"/>
        </w:rPr>
        <w:t xml:space="preserve">4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  <w:highlight w:val="none"/>
        </w:rPr>
      </w:pPr>
      <w:r>
        <w:rPr>
          <w:color w:val="000000"/>
          <w:sz w:val="24"/>
          <w:szCs w:val="24"/>
        </w:rPr>
        <w:t xml:space="preserve">Вся цепь не</w:t>
      </w:r>
      <w:r>
        <w:rPr>
          <w:color w:val="000000"/>
          <w:sz w:val="24"/>
          <w:szCs w:val="24"/>
          <w:highlight w:val="none"/>
        </w:rPr>
        <w:t xml:space="preserve"> </w:t>
      </w:r>
      <w:r>
        <w:rPr>
          <w:color w:val="000000"/>
          <w:sz w:val="24"/>
          <w:szCs w:val="24"/>
          <w:highlight w:val="none"/>
        </w:rPr>
        <w:t xml:space="preserve">вносит искажений, если:</w:t>
      </w:r>
      <w:r>
        <w:rPr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 w:after="120" w:before="120"/>
        <w:rPr>
          <w:highlight w:val="none"/>
        </w:rPr>
      </w:pPr>
      <w:r/>
      <m:oMath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и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lang w:val="en-US"/>
          </w:rPr>
          <m:rPr/>
          <m:t>+</m:t>
        </m:r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K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highlight w:val="none"/>
            <w:lang w:val="en-US"/>
          </w:rPr>
          <m:rPr/>
          <m:t>=Const</m:t>
        </m:r>
        <m:r>
          <w:rPr>
            <w:highlight w:val="none"/>
          </w:rPr>
          <m:rPr/>
          <m:t> </m:t>
        </m:r>
        <m:r>
          <w:rPr>
            <w:highlight w:val="none"/>
            <w:lang w:val="en-US"/>
          </w:rPr>
          <m:rPr/>
          <m:t> </m:t>
        </m:r>
        <m:r>
          <w:rPr>
            <w:highlight w:val="none"/>
            <w:lang w:val="ru-RU"/>
          </w:rPr>
          <m:rPr/>
          <m:t>и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+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 </m:t>
        </m:r>
        <m:r>
          <w:rPr>
            <w:rFonts w:ascii="Cambria Math" w:hAnsi="Cambria Math" w:cs="Cambria Math" w:eastAsia="Cambria Math"/>
            <w:lang w:val="ru-RU"/>
          </w:rPr>
          <m:rPr/>
          <m:t>=</m:t>
        </m:r>
        <m:r>
          <m:rPr/>
          <m:t>ω</m:t>
        </m:r>
        <m:r>
          <m:rPr/>
          <m:t>τ</m:t>
        </m:r>
        <m:r>
          <w:rPr>
            <w:lang w:val="en-US"/>
          </w:rPr>
          <m:rPr/>
          <m:t>,</m:t>
        </m:r>
      </m:oMath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Rule="auto" w:line="360"/>
      </w:pPr>
      <w:r/>
      <m:oMath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/>
            <w:lang w:val="en-US"/>
          </w:rPr>
          <m:rPr/>
          <m:t>(</m:t>
        </m:r>
        <m:r>
          <m:rPr/>
          <m:t>ω</m:t>
        </m:r>
        <m:r>
          <w:rPr>
            <w:rFonts w:ascii="Cambria Math" w:hAnsi="Cambria Math"/>
            <w:lang w:val="en-US"/>
          </w:rPr>
          <m:rPr/>
          <m:t>)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lang w:val="en-US"/>
          </w:rPr>
          <m:rPr/>
          <m:t>(</m:t>
        </m:r>
        <m:r>
          <m:rPr/>
          <m:t>ω</m:t>
        </m:r>
        <m:r>
          <w:rPr>
            <w:lang w:val="en-US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искажений. </w:t>
      </w:r>
      <w:r/>
    </w:p>
    <w:p>
      <w:pPr>
        <w:pStyle w:val="1152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разностным уравнением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Rule="auto" w:line="360"/>
      </w:pPr>
      <w:r>
        <w:t xml:space="preserve">а его передаточная функция – соотношением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не превышала 6 градусов, то есть уменьшилась в 8 раз.</w:t>
      </w:r>
      <w:r/>
    </w:p>
    <w:p>
      <w:pPr>
        <w:pStyle w:val="1152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Характеристика скорректированного радиотракта показывает</w:t>
      </w:r>
      <w:r>
        <w:rPr>
          <w:highlight w:val="none"/>
        </w:rPr>
        <w:t xml:space="preserve">, </w:t>
      </w:r>
      <w:r>
        <w:rPr>
          <w:highlight w:val="none"/>
        </w:rPr>
        <w:t xml:space="preserve">что фазовая нелинейность в </w:t>
      </w:r>
      <w:r>
        <w:rPr>
          <w:highlight w:val="none"/>
        </w:rPr>
        <w:t xml:space="preserve">полосе после коррекции не превышала 2 градусов, то есть уменьшилась в 6 раз.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6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6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6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6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jc w:val="left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03"/>
              <w:jc w:val="left"/>
              <w:rPr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jc w:val="center"/>
              <w:spacing w:lineRule="auto" w:line="360" w:after="0" w:before="120"/>
              <w:rPr>
                <w:highlight w:val="none"/>
              </w:rPr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Rule="auto" w:line="360"/>
      </w:pPr>
      <w:r/>
      <w:r/>
    </w:p>
    <w:p>
      <w:pPr>
        <w:pStyle w:val="1152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видео-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3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2"/>
        <w:ind w:left="0" w:right="0" w:firstLine="708"/>
        <w:jc w:val="left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false"/>
        </w:rPr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Rule="auto" w:line="360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false"/>
        </w:rPr>
      </w:pPr>
      <w:r>
        <w:rPr>
          <w:b w:val="false"/>
          <w:u w:val="single"/>
          <w:lang w:val="ru-RU"/>
        </w:rPr>
        <w:t xml:space="preserve">Патент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qFormat/>
    <w:uiPriority w:val="34"/>
    <w:pPr>
      <w:contextualSpacing w:val="true"/>
      <w:ind w:left="720"/>
    </w:pPr>
  </w:style>
  <w:style w:type="paragraph" w:styleId="749">
    <w:name w:val="No Spacing"/>
    <w:qFormat/>
    <w:uiPriority w:val="1"/>
    <w:pPr>
      <w:spacing w:lineRule="auto" w:line="240" w:after="0" w:before="0"/>
    </w:pPr>
  </w:style>
  <w:style w:type="paragraph" w:styleId="750">
    <w:name w:val="Title"/>
    <w:basedOn w:val="903"/>
    <w:next w:val="903"/>
    <w:link w:val="7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qFormat/>
    <w:uiPriority w:val="11"/>
    <w:rPr>
      <w:sz w:val="24"/>
      <w:szCs w:val="24"/>
    </w:rPr>
    <w:pPr>
      <w:spacing w:after="200" w:before="200"/>
    </w:p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qFormat/>
    <w:uiPriority w:val="29"/>
    <w:rPr>
      <w:i/>
    </w:rPr>
    <w:pPr>
      <w:ind w:left="720" w:right="720"/>
    </w:p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0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rPr>
      <w:sz w:val="18"/>
    </w:rPr>
    <w:pPr>
      <w:spacing w:lineRule="auto" w:line="240" w:after="40"/>
    </w:p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rPr>
      <w:sz w:val="20"/>
    </w:rPr>
    <w:pPr>
      <w:spacing w:lineRule="auto" w:line="240" w:after="0"/>
    </w:p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904">
    <w:name w:val="Heading 1"/>
    <w:basedOn w:val="903"/>
    <w:next w:val="903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905">
    <w:name w:val="Heading 2"/>
    <w:basedOn w:val="903"/>
    <w:next w:val="903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906">
    <w:name w:val="Heading 3"/>
    <w:basedOn w:val="903"/>
    <w:next w:val="903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907">
    <w:name w:val="Heading 5"/>
    <w:basedOn w:val="903"/>
    <w:next w:val="903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908">
    <w:name w:val="Heading 8"/>
    <w:basedOn w:val="903"/>
    <w:next w:val="903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909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45">
    <w:name w:val="Body Text"/>
    <w:basedOn w:val="903"/>
    <w:rPr>
      <w:sz w:val="24"/>
      <w:szCs w:val="24"/>
    </w:rPr>
    <w:pPr>
      <w:jc w:val="center"/>
    </w:p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48">
    <w:name w:val="Указатель"/>
    <w:basedOn w:val="903"/>
    <w:qFormat/>
    <w:rPr>
      <w:rFonts w:cs="Arial"/>
    </w:rPr>
    <w:pPr>
      <w:suppressLineNumbers/>
    </w:pPr>
  </w:style>
  <w:style w:type="paragraph" w:styleId="1149">
    <w:name w:val="Название объекта"/>
    <w:basedOn w:val="903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rPr>
      <w:rFonts w:ascii="Arial" w:hAnsi="Arial" w:cs="Arial"/>
    </w:rPr>
    <w:pPr>
      <w:suppressLineNumbers/>
    </w:pPr>
  </w:style>
  <w:style w:type="paragraph" w:styleId="1152">
    <w:name w:val="Основной текст 3"/>
    <w:basedOn w:val="903"/>
    <w:qFormat/>
    <w:rPr>
      <w:sz w:val="24"/>
      <w:szCs w:val="24"/>
    </w:rPr>
    <w:pPr>
      <w:jc w:val="both"/>
      <w:spacing w:lineRule="auto" w:line="480"/>
    </w:pPr>
  </w:style>
  <w:style w:type="paragraph" w:styleId="1153">
    <w:name w:val="Основной текст с отступом 2"/>
    <w:basedOn w:val="903"/>
    <w:qFormat/>
    <w:rPr>
      <w:sz w:val="24"/>
      <w:szCs w:val="24"/>
    </w:rPr>
    <w:pPr>
      <w:ind w:left="0" w:right="0" w:firstLine="720"/>
      <w:jc w:val="both"/>
    </w:p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56">
    <w:name w:val="Footer"/>
    <w:basedOn w:val="903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57">
    <w:name w:val="Body Text Indent"/>
    <w:basedOn w:val="903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58">
    <w:name w:val="Body Text Indent"/>
    <w:basedOn w:val="903"/>
    <w:rPr>
      <w:sz w:val="28"/>
      <w:szCs w:val="28"/>
    </w:rPr>
    <w:pPr>
      <w:spacing w:lineRule="auto" w:line="360"/>
    </w:pPr>
  </w:style>
  <w:style w:type="paragraph" w:styleId="1159">
    <w:name w:val="Основной текст с отступом 3"/>
    <w:basedOn w:val="903"/>
    <w:qFormat/>
    <w:rPr>
      <w:sz w:val="24"/>
      <w:szCs w:val="24"/>
    </w:rPr>
    <w:pPr>
      <w:ind w:left="0" w:right="0" w:firstLine="708"/>
      <w:jc w:val="both"/>
    </w:p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rPr>
      <w:b/>
      <w:bCs/>
    </w:rPr>
    <w:pPr>
      <w:jc w:val="center"/>
    </w:p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64">
    <w:name w:val="Абзац списка"/>
    <w:basedOn w:val="903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65">
    <w:name w:val="Литература"/>
    <w:basedOn w:val="1153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66">
    <w:name w:val="western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7">
    <w:name w:val="cjk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8">
    <w:name w:val="ctl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4">
    <w:name w:val="ConsPlusNormal"/>
    <w:next w:val="899"/>
    <w:link w:val="894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nntu.ru/frontend/web/ngtu/files/org_structura/instit_fakul_kaf_shkoly/fsvk/dissertacii/2021/morozov_n_s.pdf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73</cp:revision>
  <dcterms:created xsi:type="dcterms:W3CDTF">2021-02-15T12:32:00Z</dcterms:created>
  <dcterms:modified xsi:type="dcterms:W3CDTF">2022-03-31T07:07:49Z</dcterms:modified>
</cp:coreProperties>
</file>