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3010" w14:textId="77777777" w:rsidR="004818C1" w:rsidRDefault="00000000">
      <w:pPr>
        <w:rPr>
          <w:rFonts w:cs="Calibri"/>
          <w:kern w:val="0"/>
          <w:sz w:val="24"/>
          <w:szCs w:val="24"/>
          <w:lang w:eastAsia="en-GB"/>
        </w:rPr>
      </w:pPr>
      <w:r>
        <w:rPr>
          <w:rFonts w:cs="Calibri"/>
          <w:kern w:val="0"/>
          <w:sz w:val="24"/>
          <w:szCs w:val="24"/>
          <w:lang w:eastAsia="en-GB"/>
        </w:rPr>
        <w:t xml:space="preserve">Our previous blog post featured a deep dive into the pool of informants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frequently. Now we turn to the big picture of how he says he acquired his information.</w:t>
      </w:r>
    </w:p>
    <w:p w14:paraId="2ED5AE61" w14:textId="77777777" w:rsidR="004818C1" w:rsidRDefault="00000000" w:rsidP="00E361F2">
      <w:pPr>
        <w:pStyle w:val="Heading2"/>
      </w:pPr>
      <w:r>
        <w:t xml:space="preserve">Primary terms </w:t>
      </w:r>
    </w:p>
    <w:p w14:paraId="568F8D8A" w14:textId="77777777" w:rsidR="004818C1" w:rsidRDefault="00000000">
      <w:r>
        <w:rPr>
          <w:rFonts w:cs="Calibri"/>
          <w:kern w:val="0"/>
          <w:sz w:val="24"/>
          <w:szCs w:val="24"/>
          <w:lang w:eastAsia="en-GB"/>
        </w:rPr>
        <w:t xml:space="preserve">We collected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kern w:val="0"/>
          <w:sz w:val="24"/>
          <w:szCs w:val="24"/>
          <w:lang w:eastAsia="en-GB"/>
        </w:rPr>
        <w:t xml:space="preserve">citations by splitting the text using the # paragraph marker plus a list of transmission terms. Although we started with a long list of possible terms for splitting the text, we found only the following groups to be useful (insofar as other terms generally produced, for example, not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followed by reports, but only quoted speech). </w:t>
      </w:r>
    </w:p>
    <w:tbl>
      <w:tblPr>
        <w:tblW w:w="0" w:type="dxa"/>
        <w:tblCellMar>
          <w:left w:w="10" w:type="dxa"/>
          <w:right w:w="10" w:type="dxa"/>
        </w:tblCellMar>
        <w:tblLook w:val="04A0" w:firstRow="1" w:lastRow="0" w:firstColumn="1" w:lastColumn="0" w:noHBand="0" w:noVBand="1"/>
      </w:tblPr>
      <w:tblGrid>
        <w:gridCol w:w="2699"/>
        <w:gridCol w:w="3178"/>
        <w:gridCol w:w="759"/>
        <w:gridCol w:w="2374"/>
      </w:tblGrid>
      <w:tr w:rsidR="004818C1" w14:paraId="06CB1CEF" w14:textId="77777777">
        <w:trPr>
          <w:trHeight w:val="315"/>
        </w:trPr>
        <w:tc>
          <w:tcPr>
            <w:tcW w:w="2699"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bottom"/>
          </w:tcPr>
          <w:p w14:paraId="5C35B9DA" w14:textId="77777777" w:rsidR="004818C1" w:rsidRDefault="00000000">
            <w:pPr>
              <w:suppressAutoHyphens w:val="0"/>
              <w:spacing w:after="0"/>
              <w:jc w:val="center"/>
              <w:rPr>
                <w:rFonts w:eastAsia="Times New Roman" w:cs="Calibri"/>
                <w:b/>
                <w:bCs/>
                <w:kern w:val="0"/>
                <w:sz w:val="24"/>
                <w:szCs w:val="24"/>
                <w:lang w:eastAsia="en-GB"/>
              </w:rPr>
            </w:pPr>
            <w:r>
              <w:rPr>
                <w:rFonts w:eastAsia="Times New Roman" w:cs="Calibri"/>
                <w:b/>
                <w:bCs/>
                <w:kern w:val="0"/>
                <w:sz w:val="24"/>
                <w:szCs w:val="24"/>
                <w:lang w:eastAsia="en-GB"/>
              </w:rPr>
              <w:t>Term (most common form)</w:t>
            </w:r>
          </w:p>
        </w:tc>
        <w:tc>
          <w:tcPr>
            <w:tcW w:w="3178"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tcPr>
          <w:p w14:paraId="1427CE6B" w14:textId="77777777" w:rsidR="004818C1" w:rsidRDefault="00000000">
            <w:pPr>
              <w:suppressAutoHyphens w:val="0"/>
              <w:spacing w:after="0"/>
              <w:jc w:val="center"/>
              <w:rPr>
                <w:rFonts w:eastAsia="Times New Roman" w:cs="Calibri"/>
                <w:b/>
                <w:bCs/>
                <w:kern w:val="0"/>
                <w:sz w:val="24"/>
                <w:szCs w:val="24"/>
                <w:lang w:eastAsia="en-GB"/>
              </w:rPr>
            </w:pPr>
            <w:r>
              <w:rPr>
                <w:rFonts w:eastAsia="Times New Roman" w:cs="Calibri"/>
                <w:b/>
                <w:bCs/>
                <w:kern w:val="0"/>
                <w:sz w:val="24"/>
                <w:szCs w:val="24"/>
                <w:lang w:eastAsia="en-GB"/>
              </w:rPr>
              <w:t>Translation</w:t>
            </w:r>
          </w:p>
        </w:tc>
        <w:tc>
          <w:tcPr>
            <w:tcW w:w="759"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tcPr>
          <w:p w14:paraId="562699C4" w14:textId="77777777" w:rsidR="004818C1" w:rsidRDefault="00000000">
            <w:pPr>
              <w:suppressAutoHyphens w:val="0"/>
              <w:spacing w:after="0"/>
              <w:jc w:val="center"/>
              <w:rPr>
                <w:rFonts w:eastAsia="Times New Roman" w:cs="Calibri"/>
                <w:b/>
                <w:bCs/>
                <w:kern w:val="0"/>
                <w:sz w:val="24"/>
                <w:szCs w:val="24"/>
                <w:lang w:eastAsia="en-GB"/>
              </w:rPr>
            </w:pPr>
            <w:r>
              <w:rPr>
                <w:rFonts w:eastAsia="Times New Roman" w:cs="Calibri"/>
                <w:b/>
                <w:bCs/>
                <w:kern w:val="0"/>
                <w:sz w:val="24"/>
                <w:szCs w:val="24"/>
                <w:lang w:eastAsia="en-GB"/>
              </w:rPr>
              <w:t>Count</w:t>
            </w:r>
          </w:p>
        </w:tc>
        <w:tc>
          <w:tcPr>
            <w:tcW w:w="2374"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tcPr>
          <w:p w14:paraId="21E5C534" w14:textId="77777777" w:rsidR="004818C1" w:rsidRDefault="00000000">
            <w:pPr>
              <w:suppressAutoHyphens w:val="0"/>
              <w:spacing w:after="0"/>
              <w:jc w:val="center"/>
              <w:rPr>
                <w:rFonts w:eastAsia="Times New Roman" w:cs="Calibri"/>
                <w:b/>
                <w:bCs/>
                <w:kern w:val="0"/>
                <w:sz w:val="24"/>
                <w:szCs w:val="24"/>
                <w:lang w:eastAsia="en-GB"/>
              </w:rPr>
            </w:pPr>
            <w:r>
              <w:rPr>
                <w:rFonts w:eastAsia="Times New Roman" w:cs="Calibri"/>
                <w:b/>
                <w:bCs/>
                <w:kern w:val="0"/>
                <w:sz w:val="24"/>
                <w:szCs w:val="24"/>
                <w:lang w:eastAsia="en-GB"/>
              </w:rPr>
              <w:t>Individual transmissions</w:t>
            </w:r>
          </w:p>
        </w:tc>
      </w:tr>
      <w:tr w:rsidR="004818C1" w14:paraId="46D38518" w14:textId="77777777">
        <w:trPr>
          <w:trHeight w:val="315"/>
        </w:trPr>
        <w:tc>
          <w:tcPr>
            <w:tcW w:w="269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921A36A" w14:textId="77777777" w:rsidR="004818C1" w:rsidRDefault="00000000">
            <w:pPr>
              <w:suppressAutoHyphens w:val="0"/>
              <w:spacing w:after="0"/>
              <w:jc w:val="center"/>
            </w:pPr>
            <w:r>
              <w:rPr>
                <w:rFonts w:eastAsia="Times New Roman" w:cs="Calibri"/>
                <w:kern w:val="0"/>
                <w:sz w:val="24"/>
                <w:szCs w:val="24"/>
                <w:rtl/>
                <w:lang w:eastAsia="en-GB"/>
              </w:rPr>
              <w:t>أخبرنا</w:t>
            </w:r>
          </w:p>
        </w:tc>
        <w:tc>
          <w:tcPr>
            <w:tcW w:w="31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86E1E3"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he informed us</w:t>
            </w:r>
          </w:p>
        </w:tc>
        <w:tc>
          <w:tcPr>
            <w:tcW w:w="75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94AD24"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53,841</w:t>
            </w:r>
          </w:p>
        </w:tc>
        <w:tc>
          <w:tcPr>
            <w:tcW w:w="237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9C2F23A"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&lt;1%</w:t>
            </w:r>
          </w:p>
        </w:tc>
      </w:tr>
      <w:tr w:rsidR="004818C1" w14:paraId="754197DE" w14:textId="77777777">
        <w:trPr>
          <w:trHeight w:val="315"/>
        </w:trPr>
        <w:tc>
          <w:tcPr>
            <w:tcW w:w="269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3BA5C475" w14:textId="77777777" w:rsidR="004818C1" w:rsidRDefault="00000000">
            <w:pPr>
              <w:suppressAutoHyphens w:val="0"/>
              <w:spacing w:after="0"/>
              <w:jc w:val="center"/>
            </w:pPr>
            <w:r>
              <w:rPr>
                <w:rFonts w:eastAsia="Times New Roman" w:cs="Calibri"/>
                <w:kern w:val="0"/>
                <w:sz w:val="24"/>
                <w:szCs w:val="24"/>
                <w:rtl/>
                <w:lang w:eastAsia="en-GB"/>
              </w:rPr>
              <w:t>أنبأنا</w:t>
            </w:r>
          </w:p>
        </w:tc>
        <w:tc>
          <w:tcPr>
            <w:tcW w:w="31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E9511"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he communicated to us</w:t>
            </w:r>
          </w:p>
        </w:tc>
        <w:tc>
          <w:tcPr>
            <w:tcW w:w="75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59A1D6"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8,462</w:t>
            </w:r>
          </w:p>
        </w:tc>
        <w:tc>
          <w:tcPr>
            <w:tcW w:w="237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BA287D4"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&lt;1%</w:t>
            </w:r>
          </w:p>
        </w:tc>
      </w:tr>
      <w:tr w:rsidR="004818C1" w14:paraId="46BD67DE" w14:textId="77777777">
        <w:trPr>
          <w:trHeight w:val="315"/>
        </w:trPr>
        <w:tc>
          <w:tcPr>
            <w:tcW w:w="269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06C2744" w14:textId="77777777" w:rsidR="004818C1" w:rsidRDefault="00000000">
            <w:pPr>
              <w:suppressAutoHyphens w:val="0"/>
              <w:spacing w:after="0"/>
              <w:jc w:val="center"/>
            </w:pPr>
            <w:r>
              <w:rPr>
                <w:rFonts w:eastAsia="Times New Roman" w:cs="Calibri"/>
                <w:kern w:val="0"/>
                <w:sz w:val="24"/>
                <w:szCs w:val="24"/>
                <w:rtl/>
                <w:lang w:eastAsia="en-GB"/>
              </w:rPr>
              <w:t>ح[تحويل/حيلولة]</w:t>
            </w:r>
          </w:p>
        </w:tc>
        <w:tc>
          <w:tcPr>
            <w:tcW w:w="31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B5338" w14:textId="77777777" w:rsidR="004818C1" w:rsidRDefault="00000000">
            <w:pPr>
              <w:suppressAutoHyphens w:val="0"/>
              <w:spacing w:after="0"/>
              <w:jc w:val="center"/>
            </w:pPr>
            <w:r>
              <w:rPr>
                <w:rFonts w:eastAsia="Times New Roman" w:cs="Calibri"/>
                <w:kern w:val="0"/>
                <w:sz w:val="24"/>
                <w:szCs w:val="24"/>
                <w:lang w:eastAsia="en-GB"/>
              </w:rPr>
              <w:t xml:space="preserve">transition [to a new set of </w:t>
            </w:r>
            <w:proofErr w:type="spellStart"/>
            <w:r>
              <w:rPr>
                <w:rFonts w:eastAsia="Times New Roman" w:cs="Calibri"/>
                <w:i/>
                <w:iCs/>
                <w:kern w:val="0"/>
                <w:sz w:val="24"/>
                <w:szCs w:val="24"/>
                <w:lang w:eastAsia="en-GB"/>
              </w:rPr>
              <w:t>isnād</w:t>
            </w:r>
            <w:r>
              <w:rPr>
                <w:rFonts w:eastAsia="Times New Roman" w:cs="Calibri"/>
                <w:kern w:val="0"/>
                <w:sz w:val="24"/>
                <w:szCs w:val="24"/>
                <w:lang w:eastAsia="en-GB"/>
              </w:rPr>
              <w:t>s</w:t>
            </w:r>
            <w:proofErr w:type="spellEnd"/>
            <w:r>
              <w:rPr>
                <w:rFonts w:eastAsia="Times New Roman" w:cs="Calibri"/>
                <w:kern w:val="0"/>
                <w:sz w:val="24"/>
                <w:szCs w:val="24"/>
                <w:lang w:eastAsia="en-GB"/>
              </w:rPr>
              <w:t>]</w:t>
            </w:r>
          </w:p>
        </w:tc>
        <w:tc>
          <w:tcPr>
            <w:tcW w:w="75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43408"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6,195</w:t>
            </w:r>
          </w:p>
        </w:tc>
        <w:tc>
          <w:tcPr>
            <w:tcW w:w="237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CECE296"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3%</w:t>
            </w:r>
          </w:p>
        </w:tc>
      </w:tr>
      <w:tr w:rsidR="004818C1" w14:paraId="27BBB0DC" w14:textId="77777777">
        <w:trPr>
          <w:trHeight w:val="315"/>
        </w:trPr>
        <w:tc>
          <w:tcPr>
            <w:tcW w:w="269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B4697B9" w14:textId="77777777" w:rsidR="004818C1" w:rsidRDefault="00000000">
            <w:pPr>
              <w:suppressAutoHyphens w:val="0"/>
              <w:spacing w:after="0"/>
              <w:jc w:val="center"/>
            </w:pPr>
            <w:r>
              <w:rPr>
                <w:rFonts w:eastAsia="Times New Roman" w:cs="Calibri"/>
                <w:kern w:val="0"/>
                <w:sz w:val="24"/>
                <w:szCs w:val="24"/>
                <w:rtl/>
                <w:lang w:eastAsia="en-GB"/>
              </w:rPr>
              <w:t>قرأت على</w:t>
            </w:r>
          </w:p>
        </w:tc>
        <w:tc>
          <w:tcPr>
            <w:tcW w:w="31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377983"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I read/recited to</w:t>
            </w:r>
          </w:p>
        </w:tc>
        <w:tc>
          <w:tcPr>
            <w:tcW w:w="75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3D6040"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5,949</w:t>
            </w:r>
          </w:p>
        </w:tc>
        <w:tc>
          <w:tcPr>
            <w:tcW w:w="237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AA21992"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90%</w:t>
            </w:r>
          </w:p>
        </w:tc>
      </w:tr>
      <w:tr w:rsidR="004818C1" w14:paraId="1A06C921" w14:textId="77777777">
        <w:trPr>
          <w:trHeight w:val="315"/>
        </w:trPr>
        <w:tc>
          <w:tcPr>
            <w:tcW w:w="2699"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667CBD73" w14:textId="77777777" w:rsidR="004818C1" w:rsidRDefault="00000000">
            <w:pPr>
              <w:suppressAutoHyphens w:val="0"/>
              <w:spacing w:after="0"/>
              <w:jc w:val="center"/>
            </w:pPr>
            <w:r>
              <w:rPr>
                <w:rFonts w:eastAsia="Times New Roman" w:cs="Calibri"/>
                <w:kern w:val="0"/>
                <w:sz w:val="24"/>
                <w:szCs w:val="24"/>
                <w:rtl/>
                <w:lang w:eastAsia="en-GB"/>
              </w:rPr>
              <w:t>حدثنا</w:t>
            </w:r>
          </w:p>
        </w:tc>
        <w:tc>
          <w:tcPr>
            <w:tcW w:w="31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7CDEF2"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he transmitted to us</w:t>
            </w:r>
          </w:p>
        </w:tc>
        <w:tc>
          <w:tcPr>
            <w:tcW w:w="75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81DD4F"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1,244</w:t>
            </w:r>
          </w:p>
        </w:tc>
        <w:tc>
          <w:tcPr>
            <w:tcW w:w="237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813C8B0"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33%</w:t>
            </w:r>
          </w:p>
        </w:tc>
      </w:tr>
      <w:tr w:rsidR="004818C1" w14:paraId="746201E2" w14:textId="77777777">
        <w:trPr>
          <w:trHeight w:val="315"/>
        </w:trPr>
        <w:tc>
          <w:tcPr>
            <w:tcW w:w="2699"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tcPr>
          <w:p w14:paraId="115EAB84" w14:textId="77777777" w:rsidR="004818C1" w:rsidRDefault="00000000">
            <w:pPr>
              <w:suppressAutoHyphens w:val="0"/>
              <w:spacing w:after="0"/>
              <w:jc w:val="center"/>
            </w:pPr>
            <w:r>
              <w:rPr>
                <w:rFonts w:eastAsia="Times New Roman" w:cs="Calibri"/>
                <w:kern w:val="0"/>
                <w:sz w:val="24"/>
                <w:szCs w:val="24"/>
                <w:rtl/>
                <w:lang w:eastAsia="en-GB"/>
              </w:rPr>
              <w:t>كتب إلي</w:t>
            </w:r>
          </w:p>
        </w:tc>
        <w:tc>
          <w:tcPr>
            <w:tcW w:w="317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7E6A717"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he wrote to me</w:t>
            </w:r>
          </w:p>
        </w:tc>
        <w:tc>
          <w:tcPr>
            <w:tcW w:w="759"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6A509C6"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1,001</w:t>
            </w:r>
          </w:p>
        </w:tc>
        <w:tc>
          <w:tcPr>
            <w:tcW w:w="237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6474EAD6" w14:textId="77777777" w:rsidR="004818C1" w:rsidRDefault="00000000">
            <w:pPr>
              <w:suppressAutoHyphens w:val="0"/>
              <w:spacing w:after="0"/>
              <w:jc w:val="center"/>
              <w:rPr>
                <w:rFonts w:eastAsia="Times New Roman" w:cs="Calibri"/>
                <w:kern w:val="0"/>
                <w:sz w:val="24"/>
                <w:szCs w:val="24"/>
                <w:lang w:eastAsia="en-GB"/>
              </w:rPr>
            </w:pPr>
            <w:r>
              <w:rPr>
                <w:rFonts w:eastAsia="Times New Roman" w:cs="Calibri"/>
                <w:kern w:val="0"/>
                <w:sz w:val="24"/>
                <w:szCs w:val="24"/>
                <w:lang w:eastAsia="en-GB"/>
              </w:rPr>
              <w:t>100%</w:t>
            </w:r>
          </w:p>
        </w:tc>
      </w:tr>
    </w:tbl>
    <w:p w14:paraId="6EEF3BC0" w14:textId="77777777" w:rsidR="004818C1" w:rsidRDefault="00000000">
      <w:r>
        <w:rPr>
          <w:rFonts w:cs="Calibri"/>
          <w:kern w:val="0"/>
          <w:sz w:val="24"/>
          <w:szCs w:val="24"/>
          <w:lang w:eastAsia="en-GB"/>
        </w:rPr>
        <w:t xml:space="preserve">Table 4.1: The most common transmission terms in the </w:t>
      </w:r>
      <w:r>
        <w:rPr>
          <w:rFonts w:cs="Calibri"/>
          <w:i/>
          <w:iCs/>
          <w:kern w:val="0"/>
          <w:sz w:val="24"/>
          <w:szCs w:val="24"/>
          <w:lang w:eastAsia="en-GB"/>
        </w:rPr>
        <w:t>TMD</w:t>
      </w:r>
      <w:r>
        <w:rPr>
          <w:rFonts w:cs="Calibri"/>
          <w:kern w:val="0"/>
          <w:sz w:val="24"/>
          <w:szCs w:val="24"/>
          <w:lang w:eastAsia="en-GB"/>
        </w:rPr>
        <w:t xml:space="preserve">’s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By ‘individual transmissions’, we mean instances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reports having received the material individually rather than as part of a group. </w:t>
      </w:r>
    </w:p>
    <w:p w14:paraId="6AD4304E" w14:textId="77777777" w:rsidR="004818C1" w:rsidRDefault="00000000">
      <w:bookmarkStart w:id="0" w:name="_Hlk138681512"/>
      <w:r>
        <w:rPr>
          <w:rFonts w:cs="Calibri"/>
          <w:kern w:val="0"/>
          <w:sz w:val="24"/>
          <w:szCs w:val="24"/>
          <w:lang w:eastAsia="en-GB"/>
        </w:rPr>
        <w:t xml:space="preserve">By far the most common term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to describe the way his direct informants transferred information to him is </w:t>
      </w:r>
      <w:proofErr w:type="spellStart"/>
      <w:r>
        <w:rPr>
          <w:rFonts w:cs="Calibri"/>
          <w:i/>
          <w:kern w:val="0"/>
          <w:sz w:val="24"/>
          <w:szCs w:val="24"/>
          <w:lang w:eastAsia="en-GB"/>
        </w:rPr>
        <w:t>akhbaranā</w:t>
      </w:r>
      <w:proofErr w:type="spellEnd"/>
      <w:r>
        <w:rPr>
          <w:rFonts w:cs="Calibri"/>
          <w:kern w:val="0"/>
          <w:sz w:val="24"/>
          <w:szCs w:val="24"/>
          <w:lang w:eastAsia="en-GB"/>
        </w:rPr>
        <w:t xml:space="preserve"> (‘he informed us’). This is the term he uses most often for his transmissions from Abu al-Qasim al-</w:t>
      </w:r>
      <w:proofErr w:type="spellStart"/>
      <w:r>
        <w:rPr>
          <w:rFonts w:cs="Calibri"/>
          <w:kern w:val="0"/>
          <w:sz w:val="24"/>
          <w:szCs w:val="24"/>
          <w:lang w:eastAsia="en-GB"/>
        </w:rPr>
        <w:t>Samarqandi</w:t>
      </w:r>
      <w:proofErr w:type="spellEnd"/>
      <w:r>
        <w:rPr>
          <w:rFonts w:cs="Calibri"/>
          <w:kern w:val="0"/>
          <w:sz w:val="24"/>
          <w:szCs w:val="24"/>
          <w:lang w:eastAsia="en-GB"/>
        </w:rPr>
        <w:t>, Abu Ghalib, Abu al-Barakat and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four of the five people he cites most frequently in the </w:t>
      </w:r>
      <w:r>
        <w:rPr>
          <w:rFonts w:cs="Calibri"/>
          <w:i/>
          <w:kern w:val="0"/>
          <w:sz w:val="24"/>
          <w:szCs w:val="24"/>
          <w:lang w:eastAsia="en-GB"/>
        </w:rPr>
        <w:t>TMD</w:t>
      </w:r>
      <w:r>
        <w:rPr>
          <w:rFonts w:cs="Calibri"/>
          <w:kern w:val="0"/>
          <w:sz w:val="24"/>
          <w:szCs w:val="24"/>
          <w:lang w:eastAsia="en-GB"/>
        </w:rPr>
        <w:t xml:space="preserve">. </w:t>
      </w:r>
      <w:bookmarkStart w:id="1" w:name="_Hlk138681636"/>
      <w:bookmarkEnd w:id="0"/>
      <w:r>
        <w:rPr>
          <w:rFonts w:cs="Calibri"/>
          <w:kern w:val="0"/>
          <w:sz w:val="24"/>
          <w:szCs w:val="24"/>
          <w:lang w:eastAsia="en-GB"/>
        </w:rPr>
        <w:t>It is also the most common term used with all other direct informants if these four are excluded from the count</w:t>
      </w:r>
      <w:bookmarkEnd w:id="1"/>
      <w:r>
        <w:rPr>
          <w:rFonts w:cs="Calibri"/>
          <w:kern w:val="0"/>
          <w:sz w:val="24"/>
          <w:szCs w:val="24"/>
          <w:lang w:eastAsia="en-GB"/>
        </w:rPr>
        <w:t xml:space="preserve">. The next most common term is </w:t>
      </w:r>
      <w:proofErr w:type="spellStart"/>
      <w:r>
        <w:rPr>
          <w:rFonts w:cs="Calibri"/>
          <w:i/>
          <w:kern w:val="0"/>
          <w:sz w:val="24"/>
          <w:szCs w:val="24"/>
          <w:lang w:eastAsia="en-GB"/>
        </w:rPr>
        <w:t>anbaʾanā</w:t>
      </w:r>
      <w:proofErr w:type="spellEnd"/>
      <w:r>
        <w:rPr>
          <w:rFonts w:cs="Calibri"/>
          <w:kern w:val="0"/>
          <w:sz w:val="24"/>
          <w:szCs w:val="24"/>
          <w:lang w:eastAsia="en-GB"/>
        </w:rPr>
        <w:t xml:space="preserve"> (‘he communicated to us’) and its variants. Another noteworthy term is an abbreviation (the Arabic letter </w:t>
      </w:r>
      <w:r>
        <w:rPr>
          <w:rFonts w:cs="Calibri"/>
          <w:i/>
          <w:iCs/>
          <w:kern w:val="0"/>
          <w:sz w:val="24"/>
          <w:szCs w:val="24"/>
          <w:lang w:eastAsia="en-GB"/>
        </w:rPr>
        <w:t>ḥ</w:t>
      </w:r>
      <w:r>
        <w:rPr>
          <w:rFonts w:cs="Calibri"/>
          <w:kern w:val="0"/>
          <w:sz w:val="24"/>
          <w:szCs w:val="24"/>
          <w:lang w:eastAsia="en-GB"/>
        </w:rPr>
        <w:t xml:space="preserve">) for the word </w:t>
      </w:r>
      <w:proofErr w:type="spellStart"/>
      <w:r>
        <w:rPr>
          <w:rFonts w:cs="Calibri"/>
          <w:i/>
          <w:iCs/>
          <w:kern w:val="0"/>
          <w:sz w:val="24"/>
          <w:szCs w:val="24"/>
          <w:lang w:eastAsia="en-GB"/>
        </w:rPr>
        <w:t>taḥwīl</w:t>
      </w:r>
      <w:proofErr w:type="spellEnd"/>
      <w:r>
        <w:rPr>
          <w:rFonts w:cs="Calibri"/>
          <w:kern w:val="0"/>
          <w:sz w:val="24"/>
          <w:szCs w:val="24"/>
          <w:lang w:eastAsia="en-GB"/>
        </w:rPr>
        <w:t xml:space="preserve">, which marks the transition from one </w:t>
      </w:r>
      <w:proofErr w:type="spellStart"/>
      <w:r>
        <w:rPr>
          <w:rFonts w:cs="Calibri"/>
          <w:i/>
          <w:iCs/>
          <w:kern w:val="0"/>
          <w:sz w:val="24"/>
          <w:szCs w:val="24"/>
          <w:lang w:eastAsia="en-GB"/>
        </w:rPr>
        <w:t>isnād</w:t>
      </w:r>
      <w:proofErr w:type="spellEnd"/>
      <w:r>
        <w:rPr>
          <w:rFonts w:cs="Calibri"/>
          <w:kern w:val="0"/>
          <w:sz w:val="24"/>
          <w:szCs w:val="24"/>
          <w:lang w:eastAsia="en-GB"/>
        </w:rPr>
        <w:t xml:space="preserve"> or group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to another, new one. It is always followed by another transmission term (most often </w:t>
      </w:r>
      <w:proofErr w:type="spellStart"/>
      <w:r>
        <w:rPr>
          <w:rFonts w:cs="Calibri"/>
          <w:i/>
          <w:iCs/>
          <w:kern w:val="0"/>
          <w:sz w:val="24"/>
          <w:szCs w:val="24"/>
          <w:lang w:eastAsia="en-GB"/>
        </w:rPr>
        <w:t>akhbaranā</w:t>
      </w:r>
      <w:proofErr w:type="spellEnd"/>
      <w:r>
        <w:rPr>
          <w:rFonts w:cs="Calibri"/>
          <w:kern w:val="0"/>
          <w:sz w:val="24"/>
          <w:szCs w:val="24"/>
          <w:lang w:eastAsia="en-GB"/>
        </w:rPr>
        <w:t>, ‘he informed us’).</w:t>
      </w:r>
      <w:r>
        <w:rPr>
          <w:rStyle w:val="FootnoteReference"/>
          <w:rFonts w:cs="Calibri"/>
          <w:kern w:val="0"/>
          <w:sz w:val="24"/>
          <w:szCs w:val="24"/>
          <w:lang w:eastAsia="en-GB"/>
        </w:rPr>
        <w:footnoteReference w:id="1"/>
      </w:r>
      <w:r>
        <w:rPr>
          <w:rFonts w:cs="Calibri"/>
          <w:kern w:val="0"/>
          <w:sz w:val="24"/>
          <w:szCs w:val="24"/>
          <w:lang w:eastAsia="en-GB"/>
        </w:rPr>
        <w:t xml:space="preserve"> We also tracked Ibn </w:t>
      </w:r>
      <w:proofErr w:type="spellStart"/>
      <w:r>
        <w:rPr>
          <w:rFonts w:cs="Calibri"/>
          <w:kern w:val="0"/>
          <w:sz w:val="24"/>
          <w:szCs w:val="24"/>
          <w:lang w:eastAsia="en-GB"/>
        </w:rPr>
        <w:t>ʿAsākir’s</w:t>
      </w:r>
      <w:proofErr w:type="spellEnd"/>
      <w:r>
        <w:rPr>
          <w:rFonts w:cs="Calibri"/>
          <w:kern w:val="0"/>
          <w:sz w:val="24"/>
          <w:szCs w:val="24"/>
          <w:lang w:eastAsia="en-GB"/>
        </w:rPr>
        <w:t xml:space="preserve"> uses of </w:t>
      </w:r>
      <w:proofErr w:type="spellStart"/>
      <w:r>
        <w:rPr>
          <w:rFonts w:cs="Calibri"/>
          <w:i/>
          <w:iCs/>
          <w:kern w:val="0"/>
          <w:sz w:val="24"/>
          <w:szCs w:val="24"/>
          <w:lang w:eastAsia="en-GB"/>
        </w:rPr>
        <w:t>kataba</w:t>
      </w:r>
      <w:proofErr w:type="spellEnd"/>
      <w:r>
        <w:rPr>
          <w:rFonts w:cs="Calibri"/>
          <w:i/>
          <w:iCs/>
          <w:kern w:val="0"/>
          <w:sz w:val="24"/>
          <w:szCs w:val="24"/>
          <w:lang w:eastAsia="en-GB"/>
        </w:rPr>
        <w:t xml:space="preserve"> </w:t>
      </w:r>
      <w:proofErr w:type="spellStart"/>
      <w:r>
        <w:rPr>
          <w:rFonts w:cs="Calibri"/>
          <w:i/>
          <w:iCs/>
          <w:kern w:val="0"/>
          <w:sz w:val="24"/>
          <w:szCs w:val="24"/>
          <w:lang w:eastAsia="en-GB"/>
        </w:rPr>
        <w:t>ilayya</w:t>
      </w:r>
      <w:proofErr w:type="spellEnd"/>
      <w:r>
        <w:rPr>
          <w:rFonts w:cs="Calibri"/>
          <w:kern w:val="0"/>
          <w:sz w:val="24"/>
          <w:szCs w:val="24"/>
          <w:lang w:eastAsia="en-GB"/>
        </w:rPr>
        <w:t xml:space="preserve">, because the phrase is often followed by the name of a direct informant (and sometimes with an entire </w:t>
      </w:r>
      <w:proofErr w:type="spellStart"/>
      <w:r>
        <w:rPr>
          <w:rFonts w:cs="Calibri"/>
          <w:i/>
          <w:iCs/>
          <w:kern w:val="0"/>
          <w:sz w:val="24"/>
          <w:szCs w:val="24"/>
          <w:lang w:eastAsia="en-GB"/>
        </w:rPr>
        <w:t>isnād</w:t>
      </w:r>
      <w:proofErr w:type="spellEnd"/>
      <w:r>
        <w:rPr>
          <w:rFonts w:cs="Calibri"/>
          <w:kern w:val="0"/>
          <w:sz w:val="24"/>
          <w:szCs w:val="24"/>
          <w:lang w:eastAsia="en-GB"/>
        </w:rPr>
        <w:t>).</w:t>
      </w:r>
    </w:p>
    <w:p w14:paraId="694E0E67" w14:textId="77777777" w:rsidR="004818C1" w:rsidRDefault="00000000">
      <w:pPr>
        <w:rPr>
          <w:rFonts w:cs="Calibri"/>
          <w:kern w:val="0"/>
          <w:sz w:val="24"/>
          <w:szCs w:val="24"/>
          <w:lang w:eastAsia="en-GB"/>
        </w:rPr>
      </w:pPr>
      <w:r>
        <w:rPr>
          <w:rFonts w:cs="Calibri"/>
          <w:kern w:val="0"/>
          <w:sz w:val="24"/>
          <w:szCs w:val="24"/>
          <w:lang w:eastAsia="en-GB"/>
        </w:rPr>
        <w:t xml:space="preserve">What is the precise meaning of these terms? What do they reveal about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w:t>
      </w:r>
    </w:p>
    <w:p w14:paraId="728B7F2C" w14:textId="77777777" w:rsidR="004818C1" w:rsidRDefault="00000000">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does not define his terminology for us. We find some helpful definitions outside the </w:t>
      </w:r>
      <w:r>
        <w:rPr>
          <w:rFonts w:cs="Calibri"/>
          <w:i/>
          <w:kern w:val="0"/>
          <w:sz w:val="24"/>
          <w:szCs w:val="24"/>
          <w:lang w:eastAsia="en-GB"/>
        </w:rPr>
        <w:t>TMD</w:t>
      </w:r>
      <w:r>
        <w:rPr>
          <w:rFonts w:cs="Calibri"/>
          <w:kern w:val="0"/>
          <w:sz w:val="24"/>
          <w:szCs w:val="24"/>
          <w:lang w:eastAsia="en-GB"/>
        </w:rPr>
        <w:t xml:space="preserve">, but caution is in order. We should not assume continuity in meanings across time, nor can we take it for granted that Ibn </w:t>
      </w:r>
      <w:proofErr w:type="spellStart"/>
      <w:r>
        <w:rPr>
          <w:rFonts w:cs="Calibri"/>
          <w:kern w:val="0"/>
          <w:sz w:val="24"/>
          <w:szCs w:val="24"/>
          <w:lang w:eastAsia="en-GB"/>
        </w:rPr>
        <w:t>ʿAsākir</w:t>
      </w:r>
      <w:proofErr w:type="spellEnd"/>
      <w:r>
        <w:rPr>
          <w:rFonts w:cs="Calibri"/>
          <w:kern w:val="0"/>
          <w:sz w:val="24"/>
          <w:szCs w:val="24"/>
          <w:lang w:eastAsia="en-GB"/>
        </w:rPr>
        <w:t xml:space="preserve"> shared another scholar’s definitions. That said, Ibn al-</w:t>
      </w:r>
      <w:proofErr w:type="spellStart"/>
      <w:r>
        <w:rPr>
          <w:rFonts w:cs="Calibri"/>
          <w:kern w:val="0"/>
          <w:sz w:val="24"/>
          <w:szCs w:val="24"/>
          <w:lang w:eastAsia="en-GB"/>
        </w:rPr>
        <w:t>Ṣalāḥ</w:t>
      </w:r>
      <w:proofErr w:type="spellEnd"/>
      <w:r>
        <w:rPr>
          <w:rFonts w:cs="Calibri"/>
          <w:kern w:val="0"/>
          <w:sz w:val="24"/>
          <w:szCs w:val="24"/>
          <w:lang w:eastAsia="en-GB"/>
        </w:rPr>
        <w:t xml:space="preserve">, writing less than a century after Ibn </w:t>
      </w:r>
      <w:proofErr w:type="spellStart"/>
      <w:r>
        <w:rPr>
          <w:rFonts w:cs="Calibri"/>
          <w:kern w:val="0"/>
          <w:sz w:val="24"/>
          <w:szCs w:val="24"/>
          <w:lang w:eastAsia="en-GB"/>
        </w:rPr>
        <w:t>ʿAsākir</w:t>
      </w:r>
      <w:proofErr w:type="spellEnd"/>
      <w:r>
        <w:rPr>
          <w:rFonts w:cs="Calibri"/>
          <w:kern w:val="0"/>
          <w:sz w:val="24"/>
          <w:szCs w:val="24"/>
          <w:lang w:eastAsia="en-GB"/>
        </w:rPr>
        <w:t xml:space="preserve">, has much to say about Hadith transmission that speaks to what Ibn </w:t>
      </w:r>
      <w:proofErr w:type="spellStart"/>
      <w:r>
        <w:rPr>
          <w:rFonts w:cs="Calibri"/>
          <w:kern w:val="0"/>
          <w:sz w:val="24"/>
          <w:szCs w:val="24"/>
          <w:lang w:eastAsia="en-GB"/>
        </w:rPr>
        <w:t>ʿAsākir</w:t>
      </w:r>
      <w:proofErr w:type="spellEnd"/>
      <w:r>
        <w:rPr>
          <w:rFonts w:cs="Calibri"/>
          <w:kern w:val="0"/>
          <w:sz w:val="24"/>
          <w:szCs w:val="24"/>
          <w:lang w:eastAsia="en-GB"/>
        </w:rPr>
        <w:t xml:space="preserve"> is doing in the </w:t>
      </w:r>
      <w:r>
        <w:rPr>
          <w:rFonts w:cs="Calibri"/>
          <w:i/>
          <w:iCs/>
          <w:kern w:val="0"/>
          <w:sz w:val="24"/>
          <w:szCs w:val="24"/>
          <w:lang w:eastAsia="en-GB"/>
        </w:rPr>
        <w:t>TMD</w:t>
      </w:r>
      <w:r>
        <w:rPr>
          <w:rFonts w:cs="Calibri"/>
          <w:kern w:val="0"/>
          <w:sz w:val="24"/>
          <w:szCs w:val="24"/>
          <w:lang w:eastAsia="en-GB"/>
        </w:rPr>
        <w:t>. Ibn al-</w:t>
      </w:r>
      <w:proofErr w:type="spellStart"/>
      <w:r>
        <w:rPr>
          <w:rFonts w:cs="Calibri"/>
          <w:kern w:val="0"/>
          <w:sz w:val="24"/>
          <w:szCs w:val="24"/>
          <w:lang w:eastAsia="en-GB"/>
        </w:rPr>
        <w:t>Ṣalāḥ’s</w:t>
      </w:r>
      <w:proofErr w:type="spellEnd"/>
      <w:r>
        <w:rPr>
          <w:rFonts w:cs="Calibri"/>
          <w:kern w:val="0"/>
          <w:sz w:val="24"/>
          <w:szCs w:val="24"/>
          <w:lang w:eastAsia="en-GB"/>
        </w:rPr>
        <w:t xml:space="preserve"> </w:t>
      </w:r>
      <w:proofErr w:type="spellStart"/>
      <w:r>
        <w:rPr>
          <w:rFonts w:cs="Calibri"/>
          <w:i/>
          <w:kern w:val="0"/>
          <w:sz w:val="24"/>
          <w:szCs w:val="24"/>
          <w:lang w:eastAsia="en-GB"/>
        </w:rPr>
        <w:t>Kitāb</w:t>
      </w:r>
      <w:proofErr w:type="spellEnd"/>
      <w:r>
        <w:rPr>
          <w:rFonts w:cs="Calibri"/>
          <w:i/>
          <w:kern w:val="0"/>
          <w:sz w:val="24"/>
          <w:szCs w:val="24"/>
          <w:lang w:eastAsia="en-GB"/>
        </w:rPr>
        <w:t xml:space="preserve"> </w:t>
      </w:r>
      <w:proofErr w:type="spellStart"/>
      <w:r>
        <w:rPr>
          <w:rFonts w:cs="Calibri"/>
          <w:i/>
          <w:kern w:val="0"/>
          <w:sz w:val="24"/>
          <w:szCs w:val="24"/>
          <w:lang w:eastAsia="en-GB"/>
        </w:rPr>
        <w:lastRenderedPageBreak/>
        <w:t>Maʿrifat</w:t>
      </w:r>
      <w:proofErr w:type="spellEnd"/>
      <w:r>
        <w:rPr>
          <w:rFonts w:cs="Calibri"/>
          <w:i/>
          <w:kern w:val="0"/>
          <w:sz w:val="24"/>
          <w:szCs w:val="24"/>
          <w:lang w:eastAsia="en-GB"/>
        </w:rPr>
        <w:t xml:space="preserve"> </w:t>
      </w:r>
      <w:proofErr w:type="spellStart"/>
      <w:r>
        <w:rPr>
          <w:rFonts w:cs="Calibri"/>
          <w:i/>
          <w:kern w:val="0"/>
          <w:sz w:val="24"/>
          <w:szCs w:val="24"/>
          <w:lang w:eastAsia="en-GB"/>
        </w:rPr>
        <w:t>anwāʿ</w:t>
      </w:r>
      <w:proofErr w:type="spellEnd"/>
      <w:r>
        <w:rPr>
          <w:rFonts w:cs="Calibri"/>
          <w:i/>
          <w:kern w:val="0"/>
          <w:sz w:val="24"/>
          <w:szCs w:val="24"/>
          <w:lang w:eastAsia="en-GB"/>
        </w:rPr>
        <w:t xml:space="preserve"> </w:t>
      </w:r>
      <w:proofErr w:type="spellStart"/>
      <w:r>
        <w:rPr>
          <w:rFonts w:cs="Calibri"/>
          <w:i/>
          <w:kern w:val="0"/>
          <w:sz w:val="24"/>
          <w:szCs w:val="24"/>
          <w:lang w:eastAsia="en-GB"/>
        </w:rPr>
        <w:t>ʿilm</w:t>
      </w:r>
      <w:proofErr w:type="spellEnd"/>
      <w:r>
        <w:rPr>
          <w:rFonts w:cs="Calibri"/>
          <w:i/>
          <w:kern w:val="0"/>
          <w:sz w:val="24"/>
          <w:szCs w:val="24"/>
          <w:lang w:eastAsia="en-GB"/>
        </w:rPr>
        <w:t xml:space="preserve"> al-</w:t>
      </w:r>
      <w:proofErr w:type="spellStart"/>
      <w:r>
        <w:rPr>
          <w:rFonts w:cs="Calibri"/>
          <w:i/>
          <w:kern w:val="0"/>
          <w:sz w:val="24"/>
          <w:szCs w:val="24"/>
          <w:lang w:eastAsia="en-GB"/>
        </w:rPr>
        <w:t>ḥadīth</w:t>
      </w:r>
      <w:proofErr w:type="spellEnd"/>
      <w:r>
        <w:rPr>
          <w:rFonts w:cs="Calibri"/>
          <w:kern w:val="0"/>
          <w:sz w:val="24"/>
          <w:szCs w:val="24"/>
          <w:lang w:eastAsia="en-GB"/>
        </w:rPr>
        <w:t xml:space="preserve"> is often taken to reflect the technical vocabulary of Hadith transmission after its crystallisation, and it thus deserves a close reading.</w:t>
      </w:r>
      <w:r>
        <w:rPr>
          <w:rFonts w:cs="Calibri"/>
          <w:kern w:val="0"/>
          <w:sz w:val="24"/>
          <w:szCs w:val="24"/>
          <w:vertAlign w:val="superscript"/>
          <w:lang w:val="en-US" w:eastAsia="en-GB"/>
        </w:rPr>
        <w:footnoteReference w:id="2"/>
      </w:r>
      <w:r>
        <w:rPr>
          <w:rFonts w:cs="Calibri"/>
          <w:kern w:val="0"/>
          <w:sz w:val="24"/>
          <w:szCs w:val="24"/>
          <w:lang w:eastAsia="en-GB"/>
        </w:rPr>
        <w:t xml:space="preserve"> </w:t>
      </w:r>
    </w:p>
    <w:p w14:paraId="6C9AC18E" w14:textId="77777777" w:rsidR="004818C1" w:rsidRPr="00E361F2" w:rsidRDefault="00000000" w:rsidP="00E361F2">
      <w:pPr>
        <w:pStyle w:val="Heading3"/>
        <w:rPr>
          <w:i/>
          <w:iCs/>
        </w:rPr>
      </w:pPr>
      <w:proofErr w:type="spellStart"/>
      <w:r w:rsidRPr="00E361F2">
        <w:rPr>
          <w:i/>
          <w:iCs/>
        </w:rPr>
        <w:t>Akhbaranā</w:t>
      </w:r>
      <w:proofErr w:type="spellEnd"/>
      <w:r>
        <w:t xml:space="preserve">, </w:t>
      </w:r>
      <w:proofErr w:type="spellStart"/>
      <w:r w:rsidRPr="00E361F2">
        <w:rPr>
          <w:i/>
          <w:iCs/>
        </w:rPr>
        <w:t>ḥaddathanā</w:t>
      </w:r>
      <w:proofErr w:type="spellEnd"/>
      <w:r w:rsidRPr="00E361F2">
        <w:rPr>
          <w:i/>
          <w:iCs/>
        </w:rPr>
        <w:t xml:space="preserve"> </w:t>
      </w:r>
      <w:r>
        <w:t xml:space="preserve">and </w:t>
      </w:r>
      <w:proofErr w:type="spellStart"/>
      <w:r w:rsidRPr="00E361F2">
        <w:rPr>
          <w:i/>
          <w:iCs/>
        </w:rPr>
        <w:t>anbaʾanā</w:t>
      </w:r>
      <w:proofErr w:type="spellEnd"/>
    </w:p>
    <w:p w14:paraId="0800471F" w14:textId="77777777" w:rsidR="004818C1" w:rsidRDefault="00000000">
      <w:r>
        <w:rPr>
          <w:rFonts w:cs="Calibri"/>
          <w:kern w:val="0"/>
          <w:sz w:val="24"/>
          <w:szCs w:val="24"/>
          <w:lang w:eastAsia="en-GB"/>
        </w:rPr>
        <w:t>Ibn al-</w:t>
      </w:r>
      <w:proofErr w:type="spellStart"/>
      <w:r>
        <w:rPr>
          <w:rFonts w:cs="Calibri"/>
          <w:kern w:val="0"/>
          <w:sz w:val="24"/>
          <w:szCs w:val="24"/>
          <w:lang w:eastAsia="en-GB"/>
        </w:rPr>
        <w:t>Ṣalāḥ</w:t>
      </w:r>
      <w:proofErr w:type="spellEnd"/>
      <w:r>
        <w:rPr>
          <w:rFonts w:cs="Calibri"/>
          <w:kern w:val="0"/>
          <w:sz w:val="24"/>
          <w:szCs w:val="24"/>
          <w:lang w:eastAsia="en-GB"/>
        </w:rPr>
        <w:t xml:space="preserve"> describes eight ways of conveying and receiving Hadith, including audition of the speech of the teacher (</w:t>
      </w:r>
      <w:r>
        <w:rPr>
          <w:rFonts w:cs="Calibri"/>
          <w:i/>
          <w:kern w:val="0"/>
          <w:sz w:val="24"/>
          <w:szCs w:val="24"/>
          <w:lang w:eastAsia="en-GB"/>
        </w:rPr>
        <w:t>al-</w:t>
      </w:r>
      <w:proofErr w:type="spellStart"/>
      <w:r>
        <w:rPr>
          <w:rFonts w:cs="Calibri"/>
          <w:i/>
          <w:kern w:val="0"/>
          <w:sz w:val="24"/>
          <w:szCs w:val="24"/>
          <w:lang w:eastAsia="en-GB"/>
        </w:rPr>
        <w:t>samāʿ</w:t>
      </w:r>
      <w:proofErr w:type="spellEnd"/>
      <w:r>
        <w:rPr>
          <w:rFonts w:cs="Calibri"/>
          <w:i/>
          <w:kern w:val="0"/>
          <w:sz w:val="24"/>
          <w:szCs w:val="24"/>
          <w:lang w:eastAsia="en-GB"/>
        </w:rPr>
        <w:t xml:space="preserve"> min </w:t>
      </w:r>
      <w:proofErr w:type="spellStart"/>
      <w:r>
        <w:rPr>
          <w:rFonts w:cs="Calibri"/>
          <w:i/>
          <w:kern w:val="0"/>
          <w:sz w:val="24"/>
          <w:szCs w:val="24"/>
          <w:lang w:eastAsia="en-GB"/>
        </w:rPr>
        <w:t>lafẓ</w:t>
      </w:r>
      <w:proofErr w:type="spellEnd"/>
      <w:r>
        <w:rPr>
          <w:rFonts w:cs="Calibri"/>
          <w:i/>
          <w:kern w:val="0"/>
          <w:sz w:val="24"/>
          <w:szCs w:val="24"/>
          <w:lang w:eastAsia="en-GB"/>
        </w:rPr>
        <w:t xml:space="preserve"> al-shaykh</w:t>
      </w:r>
      <w:r>
        <w:rPr>
          <w:rFonts w:cs="Calibri"/>
          <w:kern w:val="0"/>
          <w:sz w:val="24"/>
          <w:szCs w:val="24"/>
          <w:lang w:eastAsia="en-GB"/>
        </w:rPr>
        <w:t>) and recitation to the teacher (</w:t>
      </w:r>
      <w:r>
        <w:rPr>
          <w:rFonts w:cs="Calibri"/>
          <w:i/>
          <w:kern w:val="0"/>
          <w:sz w:val="24"/>
          <w:szCs w:val="24"/>
          <w:lang w:eastAsia="en-GB"/>
        </w:rPr>
        <w:t>al-</w:t>
      </w:r>
      <w:proofErr w:type="spellStart"/>
      <w:r>
        <w:rPr>
          <w:rFonts w:cs="Calibri"/>
          <w:i/>
          <w:kern w:val="0"/>
          <w:sz w:val="24"/>
          <w:szCs w:val="24"/>
          <w:lang w:eastAsia="en-GB"/>
        </w:rPr>
        <w:t>qirāʾa</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i/>
          <w:kern w:val="0"/>
          <w:sz w:val="24"/>
          <w:szCs w:val="24"/>
          <w:lang w:eastAsia="en-GB"/>
        </w:rPr>
        <w:t xml:space="preserve"> al-shaykh</w:t>
      </w:r>
      <w:r>
        <w:rPr>
          <w:rFonts w:cs="Calibri"/>
          <w:kern w:val="0"/>
          <w:sz w:val="24"/>
          <w:szCs w:val="24"/>
          <w:lang w:eastAsia="en-GB"/>
        </w:rPr>
        <w:t>). Ibn al-</w:t>
      </w:r>
      <w:proofErr w:type="spellStart"/>
      <w:r>
        <w:rPr>
          <w:rFonts w:cs="Calibri"/>
          <w:kern w:val="0"/>
          <w:sz w:val="24"/>
          <w:szCs w:val="24"/>
          <w:lang w:eastAsia="en-GB"/>
        </w:rPr>
        <w:t>Ṣalāḥ’s</w:t>
      </w:r>
      <w:proofErr w:type="spellEnd"/>
      <w:r>
        <w:rPr>
          <w:rFonts w:cs="Calibri"/>
          <w:kern w:val="0"/>
          <w:sz w:val="24"/>
          <w:szCs w:val="24"/>
          <w:lang w:eastAsia="en-GB"/>
        </w:rPr>
        <w:t xml:space="preserve"> comments fit well with Ibn </w:t>
      </w:r>
      <w:proofErr w:type="spellStart"/>
      <w:r>
        <w:rPr>
          <w:rFonts w:cs="Calibri"/>
          <w:kern w:val="0"/>
          <w:sz w:val="24"/>
          <w:szCs w:val="24"/>
          <w:lang w:eastAsia="en-GB"/>
        </w:rPr>
        <w:t>ʿAsākir’s</w:t>
      </w:r>
      <w:proofErr w:type="spellEnd"/>
      <w:r>
        <w:rPr>
          <w:rFonts w:cs="Calibri"/>
          <w:kern w:val="0"/>
          <w:sz w:val="24"/>
          <w:szCs w:val="24"/>
          <w:lang w:eastAsia="en-GB"/>
        </w:rPr>
        <w:t xml:space="preserve"> usage of his most common transmission terms in Table 4.1:</w:t>
      </w:r>
      <w:r>
        <w:rPr>
          <w:rStyle w:val="FootnoteReference"/>
          <w:rFonts w:cs="Calibri"/>
          <w:kern w:val="0"/>
          <w:sz w:val="24"/>
          <w:szCs w:val="24"/>
          <w:lang w:eastAsia="en-GB"/>
        </w:rPr>
        <w:footnoteReference w:id="3"/>
      </w:r>
      <w:r>
        <w:rPr>
          <w:rFonts w:cs="Calibri"/>
          <w:kern w:val="0"/>
          <w:sz w:val="24"/>
          <w:szCs w:val="24"/>
          <w:lang w:eastAsia="en-GB"/>
        </w:rPr>
        <w:t xml:space="preserve"> </w:t>
      </w:r>
    </w:p>
    <w:p w14:paraId="0DB51E59" w14:textId="77777777" w:rsidR="004818C1" w:rsidRDefault="00000000">
      <w:pPr>
        <w:numPr>
          <w:ilvl w:val="0"/>
          <w:numId w:val="1"/>
        </w:numPr>
      </w:pPr>
      <w:proofErr w:type="spellStart"/>
      <w:r>
        <w:rPr>
          <w:rFonts w:cs="Calibri"/>
          <w:i/>
          <w:sz w:val="24"/>
          <w:szCs w:val="24"/>
        </w:rPr>
        <w:t>akhbaranā</w:t>
      </w:r>
      <w:proofErr w:type="spellEnd"/>
      <w:r>
        <w:rPr>
          <w:rFonts w:cs="Calibri"/>
          <w:sz w:val="24"/>
          <w:szCs w:val="24"/>
        </w:rPr>
        <w:t xml:space="preserve"> (‘he informed us’): Ibn al-</w:t>
      </w:r>
      <w:proofErr w:type="spellStart"/>
      <w:r>
        <w:rPr>
          <w:rFonts w:cs="Calibri"/>
          <w:sz w:val="24"/>
          <w:szCs w:val="24"/>
        </w:rPr>
        <w:t>Ṣalāḥ</w:t>
      </w:r>
      <w:proofErr w:type="spellEnd"/>
      <w:r>
        <w:rPr>
          <w:rFonts w:cs="Calibri"/>
          <w:sz w:val="24"/>
          <w:szCs w:val="24"/>
        </w:rPr>
        <w:t xml:space="preserve"> reports that this term is used extensively and has become, by his time, the primary way of referring to the transfer of information by reciting material back to one’s teacher.</w:t>
      </w:r>
    </w:p>
    <w:p w14:paraId="7859E4A4" w14:textId="77777777" w:rsidR="004818C1" w:rsidRDefault="00000000">
      <w:pPr>
        <w:numPr>
          <w:ilvl w:val="0"/>
          <w:numId w:val="1"/>
        </w:numPr>
      </w:pPr>
      <w:proofErr w:type="spellStart"/>
      <w:r>
        <w:rPr>
          <w:rFonts w:cs="Calibri"/>
          <w:i/>
          <w:sz w:val="24"/>
          <w:szCs w:val="24"/>
        </w:rPr>
        <w:t>ḥaddathanā</w:t>
      </w:r>
      <w:proofErr w:type="spellEnd"/>
      <w:r>
        <w:rPr>
          <w:rFonts w:cs="Calibri"/>
          <w:i/>
          <w:sz w:val="24"/>
          <w:szCs w:val="24"/>
        </w:rPr>
        <w:t xml:space="preserve"> </w:t>
      </w:r>
      <w:r>
        <w:rPr>
          <w:rFonts w:cs="Calibri"/>
          <w:sz w:val="24"/>
          <w:szCs w:val="24"/>
        </w:rPr>
        <w:t>(‘he transmitted to us’): This is a more ambiguous term according to Ibn al-</w:t>
      </w:r>
      <w:proofErr w:type="spellStart"/>
      <w:r>
        <w:rPr>
          <w:rFonts w:cs="Calibri"/>
          <w:sz w:val="24"/>
          <w:szCs w:val="24"/>
        </w:rPr>
        <w:t>Ṣalāḥ</w:t>
      </w:r>
      <w:proofErr w:type="spellEnd"/>
      <w:r>
        <w:rPr>
          <w:rFonts w:cs="Calibri"/>
          <w:sz w:val="24"/>
          <w:szCs w:val="24"/>
        </w:rPr>
        <w:t xml:space="preserve">, with some scholars using it even for material transmitted to them through </w:t>
      </w:r>
      <w:proofErr w:type="spellStart"/>
      <w:r>
        <w:rPr>
          <w:rFonts w:cs="Calibri"/>
          <w:i/>
          <w:sz w:val="24"/>
          <w:szCs w:val="24"/>
        </w:rPr>
        <w:t>ijāza</w:t>
      </w:r>
      <w:proofErr w:type="spellEnd"/>
      <w:r>
        <w:rPr>
          <w:rFonts w:cs="Calibri"/>
          <w:sz w:val="24"/>
          <w:szCs w:val="24"/>
        </w:rPr>
        <w:t xml:space="preserve"> (written means). Still, it normally carries a ‘strong implication of pronunciation and oral communication’.</w:t>
      </w:r>
      <w:r>
        <w:rPr>
          <w:rStyle w:val="FootnoteReference"/>
          <w:rFonts w:cs="Calibri"/>
          <w:sz w:val="24"/>
          <w:szCs w:val="24"/>
        </w:rPr>
        <w:footnoteReference w:id="4"/>
      </w:r>
    </w:p>
    <w:p w14:paraId="2BA55D24" w14:textId="77777777" w:rsidR="004818C1" w:rsidRDefault="00000000">
      <w:pPr>
        <w:numPr>
          <w:ilvl w:val="0"/>
          <w:numId w:val="1"/>
        </w:numPr>
      </w:pPr>
      <w:proofErr w:type="spellStart"/>
      <w:r>
        <w:rPr>
          <w:rFonts w:cs="Calibri"/>
          <w:i/>
          <w:sz w:val="24"/>
          <w:szCs w:val="24"/>
        </w:rPr>
        <w:t>anbaʾanā</w:t>
      </w:r>
      <w:proofErr w:type="spellEnd"/>
      <w:r>
        <w:rPr>
          <w:rFonts w:cs="Calibri"/>
          <w:i/>
          <w:sz w:val="24"/>
          <w:szCs w:val="24"/>
        </w:rPr>
        <w:t xml:space="preserve"> </w:t>
      </w:r>
      <w:r>
        <w:rPr>
          <w:rFonts w:cs="Calibri"/>
          <w:sz w:val="24"/>
          <w:szCs w:val="24"/>
        </w:rPr>
        <w:t>(‘he communicated to us’): This term is rarely used for material heard via the speech of a teacher.</w:t>
      </w:r>
    </w:p>
    <w:p w14:paraId="01F307C5" w14:textId="77777777" w:rsidR="004818C1" w:rsidRDefault="00000000">
      <w:r>
        <w:rPr>
          <w:rFonts w:cs="Calibri"/>
          <w:kern w:val="0"/>
          <w:sz w:val="24"/>
          <w:szCs w:val="24"/>
          <w:lang w:eastAsia="en-GB"/>
        </w:rPr>
        <w:t>Ibn al-</w:t>
      </w:r>
      <w:proofErr w:type="spellStart"/>
      <w:r>
        <w:rPr>
          <w:rFonts w:cs="Calibri"/>
          <w:kern w:val="0"/>
          <w:sz w:val="24"/>
          <w:szCs w:val="24"/>
          <w:lang w:eastAsia="en-GB"/>
        </w:rPr>
        <w:t>Ṣalāḥ</w:t>
      </w:r>
      <w:proofErr w:type="spellEnd"/>
      <w:r>
        <w:rPr>
          <w:rFonts w:cs="Calibri"/>
          <w:kern w:val="0"/>
          <w:sz w:val="24"/>
          <w:szCs w:val="24"/>
          <w:lang w:eastAsia="en-GB"/>
        </w:rPr>
        <w:t xml:space="preserve"> describes the challenges of interpreting the meanings intended by scholars when they use the terms </w:t>
      </w:r>
      <w:proofErr w:type="spellStart"/>
      <w:r>
        <w:rPr>
          <w:rFonts w:cs="Calibri"/>
          <w:i/>
          <w:kern w:val="0"/>
          <w:sz w:val="24"/>
          <w:szCs w:val="24"/>
          <w:lang w:eastAsia="en-GB"/>
        </w:rPr>
        <w:t>akhbaranā</w:t>
      </w:r>
      <w:proofErr w:type="spellEnd"/>
      <w:r>
        <w:rPr>
          <w:rFonts w:cs="Calibri"/>
          <w:kern w:val="0"/>
          <w:sz w:val="24"/>
          <w:szCs w:val="24"/>
          <w:lang w:eastAsia="en-GB"/>
        </w:rPr>
        <w:t xml:space="preserve"> and </w:t>
      </w:r>
      <w:proofErr w:type="spellStart"/>
      <w:r>
        <w:rPr>
          <w:rFonts w:cs="Calibri"/>
          <w:i/>
          <w:kern w:val="0"/>
          <w:sz w:val="24"/>
          <w:szCs w:val="24"/>
          <w:lang w:eastAsia="en-GB"/>
        </w:rPr>
        <w:t>ḥaddathanā</w:t>
      </w:r>
      <w:proofErr w:type="spellEnd"/>
      <w:r>
        <w:rPr>
          <w:rFonts w:cs="Calibri"/>
          <w:kern w:val="0"/>
          <w:sz w:val="24"/>
          <w:szCs w:val="24"/>
          <w:lang w:eastAsia="en-GB"/>
        </w:rPr>
        <w:t xml:space="preserve"> and concludes:</w:t>
      </w:r>
    </w:p>
    <w:p w14:paraId="637DD44D" w14:textId="77777777" w:rsidR="004818C1" w:rsidRDefault="00000000">
      <w:pPr>
        <w:ind w:left="720"/>
      </w:pPr>
      <w:r>
        <w:rPr>
          <w:rFonts w:cs="Calibri"/>
          <w:kern w:val="0"/>
          <w:sz w:val="24"/>
          <w:szCs w:val="24"/>
          <w:lang w:eastAsia="en-GB"/>
        </w:rPr>
        <w:t>Differentiating between ‘He transmitted to us’ (</w:t>
      </w:r>
      <w:proofErr w:type="spellStart"/>
      <w:r>
        <w:rPr>
          <w:rFonts w:cs="Calibri"/>
          <w:i/>
          <w:kern w:val="0"/>
          <w:sz w:val="24"/>
          <w:szCs w:val="24"/>
          <w:lang w:eastAsia="en-GB"/>
        </w:rPr>
        <w:t>ḥaddathanā</w:t>
      </w:r>
      <w:proofErr w:type="spellEnd"/>
      <w:r>
        <w:rPr>
          <w:rFonts w:cs="Calibri"/>
          <w:kern w:val="0"/>
          <w:sz w:val="24"/>
          <w:szCs w:val="24"/>
          <w:lang w:eastAsia="en-GB"/>
        </w:rPr>
        <w:t>) and ‘He informed us’ (</w:t>
      </w:r>
      <w:proofErr w:type="spellStart"/>
      <w:r>
        <w:rPr>
          <w:rFonts w:cs="Calibri"/>
          <w:i/>
          <w:kern w:val="0"/>
          <w:sz w:val="24"/>
          <w:szCs w:val="24"/>
          <w:lang w:eastAsia="en-GB"/>
        </w:rPr>
        <w:t>akhbaranā</w:t>
      </w:r>
      <w:proofErr w:type="spellEnd"/>
      <w:r>
        <w:rPr>
          <w:rFonts w:cs="Calibri"/>
          <w:iCs/>
          <w:kern w:val="0"/>
          <w:sz w:val="24"/>
          <w:szCs w:val="24"/>
          <w:lang w:eastAsia="en-GB"/>
        </w:rPr>
        <w:t>)</w:t>
      </w:r>
      <w:r>
        <w:rPr>
          <w:rFonts w:cs="Calibri"/>
          <w:kern w:val="0"/>
          <w:sz w:val="24"/>
          <w:szCs w:val="24"/>
          <w:lang w:eastAsia="en-GB"/>
        </w:rPr>
        <w:t xml:space="preserve"> has become widespread, predominating among the scholars of Hadith. The attempt to justify the differentiation from the standpoint of linguistic usage is laboured and contrived. The best that may be said for it is that it is a convention among the scholars of Hadith who sought by observing it to discriminate between the two means of receiving Hadith.</w:t>
      </w:r>
      <w:bookmarkStart w:id="3" w:name="_Hlk129089943"/>
      <w:r>
        <w:rPr>
          <w:rStyle w:val="FootnoteReference"/>
          <w:rFonts w:cs="Calibri"/>
          <w:kern w:val="0"/>
          <w:sz w:val="24"/>
          <w:szCs w:val="24"/>
          <w:lang w:eastAsia="en-GB"/>
        </w:rPr>
        <w:footnoteReference w:id="5"/>
      </w:r>
    </w:p>
    <w:bookmarkEnd w:id="3"/>
    <w:p w14:paraId="6D466F9B" w14:textId="77777777" w:rsidR="004818C1" w:rsidRDefault="00000000">
      <w:r>
        <w:rPr>
          <w:rFonts w:cs="Calibri"/>
          <w:kern w:val="0"/>
          <w:sz w:val="24"/>
          <w:szCs w:val="24"/>
          <w:lang w:eastAsia="en-GB"/>
        </w:rPr>
        <w:t xml:space="preserve">He then discusses the issue of passing on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their specific transmission terms. He advises against replacing the transmission term used in an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iCs/>
          <w:kern w:val="0"/>
          <w:sz w:val="24"/>
          <w:szCs w:val="24"/>
          <w:lang w:eastAsia="en-GB"/>
        </w:rPr>
        <w:t>with another one</w:t>
      </w:r>
      <w:r>
        <w:rPr>
          <w:rFonts w:cs="Calibri"/>
          <w:kern w:val="0"/>
          <w:sz w:val="24"/>
          <w:szCs w:val="24"/>
          <w:lang w:eastAsia="en-GB"/>
        </w:rPr>
        <w:t xml:space="preserve"> even when one is certain that the quoted person considered the two terms equivalent. Such changes might be permissible under a principle that allows paraphrasing Hadith but, he says, ‘We think it best to avoid doing anything along these lines in regard to changing the contents of books and collections of Hadith.’</w:t>
      </w:r>
      <w:r>
        <w:rPr>
          <w:rFonts w:cs="Calibri"/>
          <w:kern w:val="0"/>
          <w:sz w:val="24"/>
          <w:szCs w:val="24"/>
          <w:vertAlign w:val="superscript"/>
          <w:lang w:val="en-US" w:eastAsia="en-GB"/>
        </w:rPr>
        <w:footnoteReference w:id="6"/>
      </w:r>
    </w:p>
    <w:p w14:paraId="423471CA" w14:textId="77777777" w:rsidR="004818C1" w:rsidRDefault="00000000">
      <w:r>
        <w:rPr>
          <w:rFonts w:cs="Calibri"/>
          <w:kern w:val="0"/>
          <w:sz w:val="24"/>
          <w:szCs w:val="24"/>
          <w:lang w:eastAsia="en-GB"/>
        </w:rPr>
        <w:t>This leaves us better off, though not fully satisfied. Ibn al-</w:t>
      </w:r>
      <w:proofErr w:type="spellStart"/>
      <w:r>
        <w:rPr>
          <w:rFonts w:cs="Calibri"/>
          <w:kern w:val="0"/>
          <w:sz w:val="24"/>
          <w:szCs w:val="24"/>
          <w:lang w:eastAsia="en-GB"/>
        </w:rPr>
        <w:t>Ṣalāḥ</w:t>
      </w:r>
      <w:proofErr w:type="spellEnd"/>
      <w:r>
        <w:rPr>
          <w:rFonts w:cs="Calibri"/>
          <w:kern w:val="0"/>
          <w:sz w:val="24"/>
          <w:szCs w:val="24"/>
          <w:lang w:eastAsia="en-GB"/>
        </w:rPr>
        <w:t xml:space="preserve"> is telling us that </w:t>
      </w:r>
      <w:proofErr w:type="spellStart"/>
      <w:r>
        <w:rPr>
          <w:rFonts w:cs="Calibri"/>
          <w:i/>
          <w:kern w:val="0"/>
          <w:sz w:val="24"/>
          <w:szCs w:val="24"/>
          <w:lang w:eastAsia="en-GB"/>
        </w:rPr>
        <w:t>akhbaranā</w:t>
      </w:r>
      <w:proofErr w:type="spellEnd"/>
      <w:r>
        <w:rPr>
          <w:rFonts w:cs="Calibri"/>
          <w:kern w:val="0"/>
          <w:sz w:val="24"/>
          <w:szCs w:val="24"/>
          <w:lang w:eastAsia="en-GB"/>
        </w:rPr>
        <w:t xml:space="preserve"> and </w:t>
      </w:r>
      <w:proofErr w:type="spellStart"/>
      <w:r>
        <w:rPr>
          <w:rFonts w:cs="Calibri"/>
          <w:i/>
          <w:kern w:val="0"/>
          <w:sz w:val="24"/>
          <w:szCs w:val="24"/>
          <w:lang w:eastAsia="en-GB"/>
        </w:rPr>
        <w:t>ḥaddathanā</w:t>
      </w:r>
      <w:proofErr w:type="spellEnd"/>
      <w:r>
        <w:rPr>
          <w:rFonts w:cs="Calibri"/>
          <w:kern w:val="0"/>
          <w:sz w:val="24"/>
          <w:szCs w:val="24"/>
          <w:lang w:eastAsia="en-GB"/>
        </w:rPr>
        <w:t xml:space="preserve"> both generally signify in-person transmission and that </w:t>
      </w:r>
      <w:proofErr w:type="spellStart"/>
      <w:r>
        <w:rPr>
          <w:rFonts w:cs="Calibri"/>
          <w:i/>
          <w:kern w:val="0"/>
          <w:sz w:val="24"/>
          <w:szCs w:val="24"/>
          <w:lang w:eastAsia="en-GB"/>
        </w:rPr>
        <w:t>akhbaranā</w:t>
      </w:r>
      <w:proofErr w:type="spellEnd"/>
      <w:r>
        <w:rPr>
          <w:rFonts w:cs="Calibri"/>
          <w:kern w:val="0"/>
          <w:sz w:val="24"/>
          <w:szCs w:val="24"/>
          <w:lang w:eastAsia="en-GB"/>
        </w:rPr>
        <w:t xml:space="preserve"> typically </w:t>
      </w:r>
      <w:r>
        <w:rPr>
          <w:rFonts w:cs="Calibri"/>
          <w:kern w:val="0"/>
          <w:sz w:val="24"/>
          <w:szCs w:val="24"/>
          <w:lang w:eastAsia="en-GB"/>
        </w:rPr>
        <w:lastRenderedPageBreak/>
        <w:t xml:space="preserve">points to a student reading material back to a teacher. The formulas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for the sample Hadiths he quotes from his top four direct informants, </w:t>
      </w:r>
      <w:proofErr w:type="spellStart"/>
      <w:r>
        <w:rPr>
          <w:rFonts w:cs="Calibri"/>
          <w:i/>
          <w:kern w:val="0"/>
          <w:sz w:val="24"/>
          <w:szCs w:val="24"/>
          <w:lang w:eastAsia="en-GB"/>
        </w:rPr>
        <w:t>akhbaranā</w:t>
      </w:r>
      <w:proofErr w:type="spellEnd"/>
      <w:r>
        <w:rPr>
          <w:rFonts w:cs="Calibri"/>
          <w:kern w:val="0"/>
          <w:sz w:val="24"/>
          <w:szCs w:val="24"/>
          <w:lang w:eastAsia="en-GB"/>
        </w:rPr>
        <w:t xml:space="preserve"> and </w:t>
      </w:r>
      <w:r>
        <w:rPr>
          <w:rFonts w:cs="Calibri"/>
          <w:i/>
          <w:kern w:val="0"/>
          <w:sz w:val="24"/>
          <w:szCs w:val="24"/>
          <w:lang w:eastAsia="en-GB"/>
        </w:rPr>
        <w:t>bi-</w:t>
      </w:r>
      <w:proofErr w:type="spellStart"/>
      <w:r>
        <w:rPr>
          <w:rFonts w:cs="Calibri"/>
          <w:i/>
          <w:kern w:val="0"/>
          <w:sz w:val="24"/>
          <w:szCs w:val="24"/>
          <w:lang w:eastAsia="en-GB"/>
        </w:rPr>
        <w:t>qirāʾatī</w:t>
      </w:r>
      <w:proofErr w:type="spellEnd"/>
      <w:r>
        <w:rPr>
          <w:rFonts w:cs="Calibri"/>
          <w:i/>
          <w:kern w:val="0"/>
          <w:sz w:val="24"/>
          <w:szCs w:val="24"/>
          <w:lang w:eastAsia="en-GB"/>
        </w:rPr>
        <w:t xml:space="preserve"> </w:t>
      </w:r>
      <w:proofErr w:type="spellStart"/>
      <w:r>
        <w:rPr>
          <w:rFonts w:cs="Calibri"/>
          <w:i/>
          <w:kern w:val="0"/>
          <w:sz w:val="24"/>
          <w:szCs w:val="24"/>
          <w:lang w:eastAsia="en-GB"/>
        </w:rPr>
        <w:t>ʿalayhi</w:t>
      </w:r>
      <w:proofErr w:type="spellEnd"/>
      <w:r>
        <w:rPr>
          <w:rFonts w:cs="Calibri"/>
          <w:kern w:val="0"/>
          <w:sz w:val="24"/>
          <w:szCs w:val="24"/>
          <w:lang w:eastAsia="en-GB"/>
        </w:rPr>
        <w:t xml:space="preserve"> (‘by my reading back to him’), fit well with Ibn al-</w:t>
      </w:r>
      <w:proofErr w:type="spellStart"/>
      <w:r>
        <w:rPr>
          <w:rFonts w:cs="Calibri"/>
          <w:kern w:val="0"/>
          <w:sz w:val="24"/>
          <w:szCs w:val="24"/>
          <w:lang w:eastAsia="en-GB"/>
        </w:rPr>
        <w:t>Ṣalāḥ’s</w:t>
      </w:r>
      <w:proofErr w:type="spellEnd"/>
      <w:r>
        <w:rPr>
          <w:rFonts w:cs="Calibri"/>
          <w:kern w:val="0"/>
          <w:sz w:val="24"/>
          <w:szCs w:val="24"/>
          <w:lang w:eastAsia="en-GB"/>
        </w:rPr>
        <w:t xml:space="preserve"> information. So far so good.</w:t>
      </w:r>
    </w:p>
    <w:p w14:paraId="70FE1C2F" w14:textId="77777777" w:rsidR="004818C1" w:rsidRDefault="00000000">
      <w:r>
        <w:rPr>
          <w:rFonts w:cs="Calibri"/>
          <w:kern w:val="0"/>
          <w:sz w:val="24"/>
          <w:szCs w:val="24"/>
          <w:lang w:eastAsia="en-GB"/>
        </w:rPr>
        <w:t xml:space="preserve">But the meaning of the term </w:t>
      </w:r>
      <w:proofErr w:type="spellStart"/>
      <w:r>
        <w:rPr>
          <w:rFonts w:cs="Calibri"/>
          <w:i/>
          <w:kern w:val="0"/>
          <w:sz w:val="24"/>
          <w:szCs w:val="24"/>
          <w:lang w:eastAsia="en-GB"/>
        </w:rPr>
        <w:t>ḥaddathanā</w:t>
      </w:r>
      <w:proofErr w:type="spellEnd"/>
      <w:r>
        <w:rPr>
          <w:rFonts w:cs="Calibri"/>
          <w:kern w:val="0"/>
          <w:sz w:val="24"/>
          <w:szCs w:val="24"/>
          <w:lang w:eastAsia="en-GB"/>
        </w:rPr>
        <w:t xml:space="preserve"> is less clear-cut. Although Ibn al-</w:t>
      </w:r>
      <w:proofErr w:type="spellStart"/>
      <w:r>
        <w:rPr>
          <w:rFonts w:cs="Calibri"/>
          <w:kern w:val="0"/>
          <w:sz w:val="24"/>
          <w:szCs w:val="24"/>
          <w:lang w:eastAsia="en-GB"/>
        </w:rPr>
        <w:t>Ṣalāḥ</w:t>
      </w:r>
      <w:proofErr w:type="spellEnd"/>
      <w:r>
        <w:rPr>
          <w:rFonts w:cs="Calibri"/>
          <w:kern w:val="0"/>
          <w:sz w:val="24"/>
          <w:szCs w:val="24"/>
          <w:lang w:eastAsia="en-GB"/>
        </w:rPr>
        <w:t xml:space="preserve"> argues that it generally implies oral communication, he acknowledges that it can be ambiguous, and for this reason we (following Ibn al-</w:t>
      </w:r>
      <w:proofErr w:type="spellStart"/>
      <w:r>
        <w:rPr>
          <w:rFonts w:cs="Calibri"/>
          <w:kern w:val="0"/>
          <w:sz w:val="24"/>
          <w:szCs w:val="24"/>
          <w:lang w:eastAsia="en-GB"/>
        </w:rPr>
        <w:t>Ṣalāḥ’s</w:t>
      </w:r>
      <w:proofErr w:type="spellEnd"/>
      <w:r>
        <w:rPr>
          <w:rFonts w:cs="Calibri"/>
          <w:kern w:val="0"/>
          <w:sz w:val="24"/>
          <w:szCs w:val="24"/>
          <w:lang w:eastAsia="en-GB"/>
        </w:rPr>
        <w:t xml:space="preserve"> translator, </w:t>
      </w:r>
      <w:proofErr w:type="spellStart"/>
      <w:r>
        <w:rPr>
          <w:rFonts w:cs="Calibri"/>
          <w:kern w:val="0"/>
          <w:sz w:val="24"/>
          <w:szCs w:val="24"/>
          <w:lang w:eastAsia="en-GB"/>
        </w:rPr>
        <w:t>Eerik</w:t>
      </w:r>
      <w:proofErr w:type="spellEnd"/>
      <w:r>
        <w:rPr>
          <w:rFonts w:cs="Calibri"/>
          <w:kern w:val="0"/>
          <w:sz w:val="24"/>
          <w:szCs w:val="24"/>
          <w:lang w:eastAsia="en-GB"/>
        </w:rPr>
        <w:t xml:space="preserve"> Dickinson) translate it as ‘he transmitted to us’. By contrast, when writing about al-</w:t>
      </w:r>
      <w:proofErr w:type="spellStart"/>
      <w:r>
        <w:rPr>
          <w:rFonts w:cs="Calibri"/>
          <w:kern w:val="0"/>
          <w:sz w:val="24"/>
          <w:szCs w:val="24"/>
          <w:lang w:eastAsia="en-GB"/>
        </w:rPr>
        <w:t>Ṭabarī’s</w:t>
      </w:r>
      <w:proofErr w:type="spellEnd"/>
      <w:r>
        <w:rPr>
          <w:rFonts w:cs="Calibri"/>
          <w:kern w:val="0"/>
          <w:sz w:val="24"/>
          <w:szCs w:val="24"/>
          <w:lang w:eastAsia="en-GB"/>
        </w:rPr>
        <w:t xml:space="preserve"> citation practices, we translated </w:t>
      </w:r>
      <w:proofErr w:type="spellStart"/>
      <w:r>
        <w:rPr>
          <w:rFonts w:cs="Calibri"/>
          <w:i/>
          <w:kern w:val="0"/>
          <w:sz w:val="24"/>
          <w:szCs w:val="24"/>
          <w:lang w:eastAsia="en-GB"/>
        </w:rPr>
        <w:t>ḥaddathanā</w:t>
      </w:r>
      <w:proofErr w:type="spellEnd"/>
      <w:r>
        <w:rPr>
          <w:rFonts w:cs="Calibri"/>
          <w:kern w:val="0"/>
          <w:sz w:val="24"/>
          <w:szCs w:val="24"/>
          <w:lang w:eastAsia="en-GB"/>
        </w:rPr>
        <w:t xml:space="preserve"> as ‘he told us’, because al-</w:t>
      </w:r>
      <w:proofErr w:type="spellStart"/>
      <w:r>
        <w:rPr>
          <w:rFonts w:cs="Calibri"/>
          <w:kern w:val="0"/>
          <w:sz w:val="24"/>
          <w:szCs w:val="24"/>
          <w:lang w:eastAsia="en-GB"/>
        </w:rPr>
        <w:t>Ṭabarī’s</w:t>
      </w:r>
      <w:proofErr w:type="spellEnd"/>
      <w:r>
        <w:rPr>
          <w:rFonts w:cs="Calibri"/>
          <w:kern w:val="0"/>
          <w:sz w:val="24"/>
          <w:szCs w:val="24"/>
          <w:lang w:eastAsia="en-GB"/>
        </w:rPr>
        <w:t xml:space="preserve"> usage suggested that for him the term denoted the acquisition of material in person from his direct informants. We are less sure that the same is true of Ibn </w:t>
      </w:r>
      <w:proofErr w:type="spellStart"/>
      <w:r>
        <w:rPr>
          <w:rFonts w:cs="Calibri"/>
          <w:kern w:val="0"/>
          <w:sz w:val="24"/>
          <w:szCs w:val="24"/>
          <w:lang w:eastAsia="en-GB"/>
        </w:rPr>
        <w:t>ʿAsākir</w:t>
      </w:r>
      <w:proofErr w:type="spellEnd"/>
      <w:r>
        <w:rPr>
          <w:rFonts w:cs="Calibri"/>
          <w:kern w:val="0"/>
          <w:sz w:val="24"/>
          <w:szCs w:val="24"/>
          <w:lang w:eastAsia="en-GB"/>
        </w:rPr>
        <w:t>. Therefore, whether the two terms can or should be distinguished remains an open question.</w:t>
      </w:r>
      <w:r>
        <w:rPr>
          <w:rFonts w:cs="Calibri"/>
          <w:kern w:val="0"/>
          <w:sz w:val="24"/>
          <w:szCs w:val="24"/>
          <w:vertAlign w:val="superscript"/>
          <w:lang w:val="en-US" w:eastAsia="en-GB"/>
        </w:rPr>
        <w:footnoteReference w:id="7"/>
      </w:r>
      <w:r>
        <w:rPr>
          <w:rFonts w:cs="Calibri"/>
          <w:kern w:val="0"/>
          <w:sz w:val="24"/>
          <w:szCs w:val="24"/>
          <w:lang w:eastAsia="en-GB"/>
        </w:rPr>
        <w:t xml:space="preserve"> </w:t>
      </w:r>
    </w:p>
    <w:p w14:paraId="5F8C340E" w14:textId="77777777" w:rsidR="004818C1" w:rsidRDefault="00000000">
      <w:r>
        <w:rPr>
          <w:rFonts w:cs="Calibri"/>
          <w:kern w:val="0"/>
          <w:sz w:val="24"/>
          <w:szCs w:val="24"/>
          <w:lang w:eastAsia="en-GB"/>
        </w:rPr>
        <w:t xml:space="preserve">As we noted in Post 3, Ibn </w:t>
      </w:r>
      <w:proofErr w:type="spellStart"/>
      <w:r>
        <w:rPr>
          <w:rFonts w:cs="Calibri"/>
          <w:kern w:val="0"/>
          <w:sz w:val="24"/>
          <w:szCs w:val="24"/>
          <w:lang w:eastAsia="en-GB"/>
        </w:rPr>
        <w:t>ʿAsākir</w:t>
      </w:r>
      <w:proofErr w:type="spellEnd"/>
      <w:r>
        <w:rPr>
          <w:rFonts w:cs="Calibri"/>
          <w:kern w:val="0"/>
          <w:sz w:val="24"/>
          <w:szCs w:val="24"/>
          <w:lang w:eastAsia="en-GB"/>
        </w:rPr>
        <w:t xml:space="preserve"> often uses the transmission term </w:t>
      </w:r>
      <w:proofErr w:type="spellStart"/>
      <w:r>
        <w:rPr>
          <w:rFonts w:cs="Calibri"/>
          <w:i/>
          <w:iCs/>
          <w:kern w:val="0"/>
          <w:sz w:val="24"/>
          <w:szCs w:val="24"/>
          <w:lang w:eastAsia="en-GB"/>
        </w:rPr>
        <w:t>anbaʾanā</w:t>
      </w:r>
      <w:proofErr w:type="spellEnd"/>
      <w:r>
        <w:rPr>
          <w:rFonts w:cs="Calibri"/>
          <w:kern w:val="0"/>
          <w:sz w:val="24"/>
          <w:szCs w:val="24"/>
          <w:lang w:eastAsia="en-GB"/>
        </w:rPr>
        <w:t xml:space="preserve"> in situations in which he would have been very young at the time he encountered the direct informant he is quoting. Ibn al-</w:t>
      </w:r>
      <w:proofErr w:type="spellStart"/>
      <w:r>
        <w:rPr>
          <w:rFonts w:cs="Calibri"/>
          <w:kern w:val="0"/>
          <w:sz w:val="24"/>
          <w:szCs w:val="24"/>
          <w:lang w:eastAsia="en-GB"/>
        </w:rPr>
        <w:t>Ṣalāḥ’s</w:t>
      </w:r>
      <w:proofErr w:type="spellEnd"/>
      <w:r>
        <w:rPr>
          <w:rFonts w:cs="Calibri"/>
          <w:kern w:val="0"/>
          <w:sz w:val="24"/>
          <w:szCs w:val="24"/>
          <w:lang w:eastAsia="en-GB"/>
        </w:rPr>
        <w:t xml:space="preserve"> understanding of </w:t>
      </w:r>
      <w:proofErr w:type="spellStart"/>
      <w:r>
        <w:rPr>
          <w:rFonts w:cs="Calibri"/>
          <w:i/>
          <w:iCs/>
          <w:kern w:val="0"/>
          <w:sz w:val="24"/>
          <w:szCs w:val="24"/>
          <w:lang w:eastAsia="en-GB"/>
        </w:rPr>
        <w:t>anbaʾanā</w:t>
      </w:r>
      <w:proofErr w:type="spellEnd"/>
      <w:r>
        <w:rPr>
          <w:rFonts w:cs="Calibri"/>
          <w:kern w:val="0"/>
          <w:sz w:val="24"/>
          <w:szCs w:val="24"/>
          <w:lang w:eastAsia="en-GB"/>
        </w:rPr>
        <w:t xml:space="preserve"> as generally referring to indirect transmission again seems apt for Ibn </w:t>
      </w:r>
      <w:proofErr w:type="spellStart"/>
      <w:r>
        <w:rPr>
          <w:rFonts w:cs="Calibri"/>
          <w:kern w:val="0"/>
          <w:sz w:val="24"/>
          <w:szCs w:val="24"/>
          <w:lang w:eastAsia="en-GB"/>
        </w:rPr>
        <w:t>ʿAsākir</w:t>
      </w:r>
      <w:proofErr w:type="spellEnd"/>
      <w:r>
        <w:rPr>
          <w:rFonts w:cs="Calibri"/>
          <w:kern w:val="0"/>
          <w:sz w:val="24"/>
          <w:szCs w:val="24"/>
          <w:lang w:eastAsia="en-GB"/>
        </w:rPr>
        <w:t xml:space="preserve">, who may have used the term for the practice of acquiring information via intermediaries and their notes, even if he subsequently omitted these intermediaries from his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p>
    <w:p w14:paraId="20B5D607" w14:textId="77777777" w:rsidR="004818C1" w:rsidRDefault="00000000">
      <w:r>
        <w:rPr>
          <w:rFonts w:cs="Calibri"/>
          <w:kern w:val="0"/>
          <w:sz w:val="24"/>
          <w:szCs w:val="24"/>
          <w:lang w:eastAsia="en-GB"/>
        </w:rPr>
        <w:t xml:space="preserve">We gain more certainty when Ibn </w:t>
      </w:r>
      <w:proofErr w:type="spellStart"/>
      <w:r>
        <w:rPr>
          <w:rFonts w:cs="Calibri"/>
          <w:kern w:val="0"/>
          <w:sz w:val="24"/>
          <w:szCs w:val="24"/>
          <w:lang w:eastAsia="en-GB"/>
        </w:rPr>
        <w:t>ʿAsākir</w:t>
      </w:r>
      <w:proofErr w:type="spellEnd"/>
      <w:r>
        <w:rPr>
          <w:rFonts w:cs="Calibri"/>
          <w:kern w:val="0"/>
          <w:sz w:val="24"/>
          <w:szCs w:val="24"/>
          <w:lang w:eastAsia="en-GB"/>
        </w:rPr>
        <w:t xml:space="preserve"> uses other transmission terms alongside those in Table 4.1. However, he provides this added precision in only 5% of the citations in our data set, as we discuss below.</w:t>
      </w:r>
    </w:p>
    <w:p w14:paraId="7AE09551" w14:textId="77777777" w:rsidR="004818C1" w:rsidRDefault="00000000">
      <w:pPr>
        <w:rPr>
          <w:rFonts w:cs="Calibri"/>
          <w:kern w:val="0"/>
          <w:sz w:val="24"/>
          <w:szCs w:val="24"/>
          <w:lang w:eastAsia="en-GB"/>
        </w:rPr>
      </w:pPr>
      <w:r>
        <w:rPr>
          <w:rFonts w:cs="Calibri"/>
          <w:kern w:val="0"/>
          <w:sz w:val="24"/>
          <w:szCs w:val="24"/>
          <w:lang w:eastAsia="en-GB"/>
        </w:rPr>
        <w:t xml:space="preserve">Another point of ambiguity is Ibn </w:t>
      </w:r>
      <w:proofErr w:type="spellStart"/>
      <w:r>
        <w:rPr>
          <w:rFonts w:cs="Calibri"/>
          <w:kern w:val="0"/>
          <w:sz w:val="24"/>
          <w:szCs w:val="24"/>
          <w:lang w:eastAsia="en-GB"/>
        </w:rPr>
        <w:t>ʿAsākir’s</w:t>
      </w:r>
      <w:proofErr w:type="spellEnd"/>
      <w:r>
        <w:rPr>
          <w:rFonts w:cs="Calibri"/>
          <w:kern w:val="0"/>
          <w:sz w:val="24"/>
          <w:szCs w:val="24"/>
          <w:lang w:eastAsia="en-GB"/>
        </w:rPr>
        <w:t xml:space="preserve"> predominant use of the first-person plural rather than the singular (‘he informed us’, not ‘he informed me’) in his descriptions of how information was passed on to him. Does this mean that he in fact received the information as part of a group? Ibn al-</w:t>
      </w:r>
      <w:proofErr w:type="spellStart"/>
      <w:r>
        <w:rPr>
          <w:rFonts w:cs="Calibri"/>
          <w:kern w:val="0"/>
          <w:sz w:val="24"/>
          <w:szCs w:val="24"/>
          <w:lang w:eastAsia="en-GB"/>
        </w:rPr>
        <w:t>Ṣalāḥ</w:t>
      </w:r>
      <w:proofErr w:type="spellEnd"/>
      <w:r>
        <w:rPr>
          <w:rFonts w:cs="Calibri"/>
          <w:kern w:val="0"/>
          <w:sz w:val="24"/>
          <w:szCs w:val="24"/>
          <w:lang w:eastAsia="en-GB"/>
        </w:rPr>
        <w:t xml:space="preserve"> cites al-Khatib as holding that it is desirable but not mandatory to distinguish between ‘me’ and ‘us’ in Hadith transmission. However, he concludes:</w:t>
      </w:r>
    </w:p>
    <w:p w14:paraId="14CD4F45" w14:textId="77777777" w:rsidR="004818C1" w:rsidRDefault="00000000">
      <w:pPr>
        <w:ind w:left="720"/>
      </w:pPr>
      <w:r>
        <w:rPr>
          <w:rFonts w:cs="Calibri"/>
          <w:kern w:val="0"/>
          <w:sz w:val="24"/>
          <w:szCs w:val="24"/>
          <w:lang w:eastAsia="en-GB"/>
        </w:rPr>
        <w:t>Thus, it is permissible for the student, when he hears Hadith by himself, to say, ‘He transmitted to us’, or something similar, because in the speech of the Arabs that is permissible for a single individual. Furthermore, he is permitted, when he hears Hadith as a part of a group, to say, ‘He transmitted to me’, because the teacher did transmit to him as well as transmitting to others. God knows best.</w:t>
      </w:r>
      <w:r>
        <w:rPr>
          <w:rFonts w:cs="Calibri"/>
          <w:kern w:val="0"/>
          <w:sz w:val="24"/>
          <w:szCs w:val="24"/>
          <w:vertAlign w:val="superscript"/>
          <w:lang w:val="en-US" w:eastAsia="en-GB"/>
        </w:rPr>
        <w:footnoteReference w:id="8"/>
      </w:r>
    </w:p>
    <w:p w14:paraId="2366D3DF" w14:textId="77777777" w:rsidR="004818C1" w:rsidRDefault="00000000">
      <w:pPr>
        <w:rPr>
          <w:rFonts w:cs="Calibri"/>
          <w:kern w:val="0"/>
          <w:sz w:val="24"/>
          <w:szCs w:val="24"/>
          <w:lang w:eastAsia="en-GB"/>
        </w:rPr>
      </w:pPr>
      <w:r>
        <w:rPr>
          <w:rFonts w:cs="Calibri"/>
          <w:kern w:val="0"/>
          <w:sz w:val="24"/>
          <w:szCs w:val="24"/>
          <w:lang w:eastAsia="en-GB"/>
        </w:rPr>
        <w:t xml:space="preserve">This ambiguity is irresolvable. We cannot be certain why Ibn </w:t>
      </w:r>
      <w:proofErr w:type="spellStart"/>
      <w:r>
        <w:rPr>
          <w:rFonts w:cs="Calibri"/>
          <w:kern w:val="0"/>
          <w:sz w:val="24"/>
          <w:szCs w:val="24"/>
          <w:lang w:eastAsia="en-GB"/>
        </w:rPr>
        <w:t>ʿAsākir</w:t>
      </w:r>
      <w:proofErr w:type="spellEnd"/>
      <w:r>
        <w:rPr>
          <w:rFonts w:cs="Calibri"/>
          <w:kern w:val="0"/>
          <w:sz w:val="24"/>
          <w:szCs w:val="24"/>
          <w:lang w:eastAsia="en-GB"/>
        </w:rPr>
        <w:t xml:space="preserve"> favoured the plural – whether this was simply a linguistic preference or indicated actual collective transmission (the latter implying a lesson with audience and witnesses). But the marked predominance of the plural is clearly not accidental: Ibn </w:t>
      </w:r>
      <w:proofErr w:type="spellStart"/>
      <w:r>
        <w:rPr>
          <w:rFonts w:cs="Calibri"/>
          <w:kern w:val="0"/>
          <w:sz w:val="24"/>
          <w:szCs w:val="24"/>
          <w:lang w:eastAsia="en-GB"/>
        </w:rPr>
        <w:t>ʿAsākir</w:t>
      </w:r>
      <w:proofErr w:type="spellEnd"/>
      <w:r>
        <w:rPr>
          <w:rFonts w:cs="Calibri"/>
          <w:kern w:val="0"/>
          <w:sz w:val="24"/>
          <w:szCs w:val="24"/>
          <w:lang w:eastAsia="en-GB"/>
        </w:rPr>
        <w:t xml:space="preserve"> chose to express himself in this way, which </w:t>
      </w:r>
      <w:r>
        <w:rPr>
          <w:rFonts w:cs="Calibri"/>
          <w:kern w:val="0"/>
          <w:sz w:val="24"/>
          <w:szCs w:val="24"/>
          <w:lang w:eastAsia="en-GB"/>
        </w:rPr>
        <w:lastRenderedPageBreak/>
        <w:t xml:space="preserve">suggests that he might have sought to convey that transmission typically occurred within groups and had a social dimension. </w:t>
      </w:r>
    </w:p>
    <w:p w14:paraId="3ADAE8A1" w14:textId="77777777" w:rsidR="004818C1" w:rsidRDefault="00000000">
      <w:r>
        <w:rPr>
          <w:rFonts w:cs="Calibri"/>
          <w:kern w:val="0"/>
          <w:sz w:val="24"/>
          <w:szCs w:val="24"/>
          <w:lang w:eastAsia="en-GB"/>
        </w:rPr>
        <w:t xml:space="preserve">A final question – perhaps the elephant in the room – is whether Ibn </w:t>
      </w:r>
      <w:proofErr w:type="spellStart"/>
      <w:r>
        <w:rPr>
          <w:rFonts w:cs="Calibri"/>
          <w:kern w:val="0"/>
          <w:sz w:val="24"/>
          <w:szCs w:val="24"/>
          <w:lang w:eastAsia="en-GB"/>
        </w:rPr>
        <w:t>ʿAsākir</w:t>
      </w:r>
      <w:proofErr w:type="spellEnd"/>
      <w:r>
        <w:rPr>
          <w:rFonts w:cs="Calibri"/>
          <w:kern w:val="0"/>
          <w:sz w:val="24"/>
          <w:szCs w:val="24"/>
          <w:lang w:eastAsia="en-GB"/>
        </w:rPr>
        <w:t xml:space="preserve"> actually means anything at all with these terms. The fact that he uses different transmission terms for the same individuals, as we saw with his top five direct informants, raises the possibility that the variance is in fact meaningless. </w:t>
      </w:r>
    </w:p>
    <w:p w14:paraId="7B1B416D" w14:textId="77777777" w:rsidR="004818C1" w:rsidRDefault="00000000">
      <w:r>
        <w:rPr>
          <w:rFonts w:cs="Calibri"/>
          <w:kern w:val="0"/>
          <w:sz w:val="24"/>
          <w:szCs w:val="24"/>
          <w:lang w:eastAsia="en-GB"/>
        </w:rPr>
        <w:t xml:space="preserve">Although the question remains open, we believe that he did generally (though perhaps not always) have something specific in mind when he used one term versus another. This conclusion is supported by his care in collating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specifying, for example, the different ways in which two different direct informants gave him information (one </w:t>
      </w:r>
      <w:proofErr w:type="spellStart"/>
      <w:r>
        <w:rPr>
          <w:rFonts w:cs="Calibri"/>
          <w:i/>
          <w:iCs/>
          <w:kern w:val="0"/>
          <w:sz w:val="24"/>
          <w:szCs w:val="24"/>
          <w:lang w:eastAsia="en-GB"/>
        </w:rPr>
        <w:t>qirāʾatan</w:t>
      </w:r>
      <w:proofErr w:type="spellEnd"/>
      <w:r>
        <w:rPr>
          <w:rFonts w:cs="Calibri"/>
          <w:kern w:val="0"/>
          <w:sz w:val="24"/>
          <w:szCs w:val="24"/>
          <w:lang w:eastAsia="en-GB"/>
        </w:rPr>
        <w:t xml:space="preserve"> and the other </w:t>
      </w:r>
      <w:proofErr w:type="spellStart"/>
      <w:r>
        <w:rPr>
          <w:rFonts w:cs="Calibri"/>
          <w:i/>
          <w:iCs/>
          <w:kern w:val="0"/>
          <w:sz w:val="24"/>
          <w:szCs w:val="24"/>
          <w:lang w:eastAsia="en-GB"/>
        </w:rPr>
        <w:t>shifāhan</w:t>
      </w:r>
      <w:proofErr w:type="spellEnd"/>
      <w:r>
        <w:rPr>
          <w:rFonts w:cs="Calibri"/>
          <w:kern w:val="0"/>
          <w:sz w:val="24"/>
          <w:szCs w:val="24"/>
          <w:lang w:eastAsia="en-GB"/>
        </w:rPr>
        <w:t xml:space="preserve">). A further indication is that he sometimes starts an </w:t>
      </w:r>
      <w:proofErr w:type="spellStart"/>
      <w:r>
        <w:rPr>
          <w:rFonts w:cs="Calibri"/>
          <w:i/>
          <w:iCs/>
          <w:kern w:val="0"/>
          <w:sz w:val="24"/>
          <w:szCs w:val="24"/>
          <w:lang w:eastAsia="en-GB"/>
        </w:rPr>
        <w:t>isnād</w:t>
      </w:r>
      <w:proofErr w:type="spellEnd"/>
      <w:r>
        <w:rPr>
          <w:rFonts w:cs="Calibri"/>
          <w:kern w:val="0"/>
          <w:sz w:val="24"/>
          <w:szCs w:val="24"/>
          <w:lang w:eastAsia="en-GB"/>
        </w:rPr>
        <w:t xml:space="preserve"> with one person using one transmission term and then introduces another person with a different term before running through the rest of the </w:t>
      </w:r>
      <w:proofErr w:type="spellStart"/>
      <w:r>
        <w:rPr>
          <w:rFonts w:cs="Calibri"/>
          <w:i/>
          <w:iCs/>
          <w:kern w:val="0"/>
          <w:sz w:val="24"/>
          <w:szCs w:val="24"/>
          <w:lang w:eastAsia="en-GB"/>
        </w:rPr>
        <w:t>isnād</w:t>
      </w:r>
      <w:proofErr w:type="spellEnd"/>
      <w:r>
        <w:rPr>
          <w:rFonts w:cs="Calibri"/>
          <w:kern w:val="0"/>
          <w:sz w:val="24"/>
          <w:szCs w:val="24"/>
          <w:lang w:eastAsia="en-GB"/>
        </w:rPr>
        <w:t xml:space="preserve"> up to the report. This practice strongly suggests a deliberate effort to distinguish the respective methods of transmission used by the two people.</w:t>
      </w:r>
      <w:r>
        <w:rPr>
          <w:rFonts w:cs="Calibri"/>
          <w:kern w:val="0"/>
          <w:sz w:val="24"/>
          <w:szCs w:val="24"/>
          <w:vertAlign w:val="superscript"/>
          <w:lang w:val="en-US" w:eastAsia="en-GB"/>
        </w:rPr>
        <w:footnoteReference w:id="9"/>
      </w:r>
    </w:p>
    <w:p w14:paraId="5FA9E3BD" w14:textId="77777777" w:rsidR="004818C1" w:rsidRDefault="00000000">
      <w:r>
        <w:rPr>
          <w:rFonts w:cs="Calibri"/>
          <w:kern w:val="0"/>
          <w:sz w:val="24"/>
          <w:szCs w:val="24"/>
          <w:lang w:eastAsia="en-GB"/>
        </w:rPr>
        <w:t xml:space="preserve">It is hard to imagine how Ibn </w:t>
      </w:r>
      <w:proofErr w:type="spellStart"/>
      <w:r>
        <w:rPr>
          <w:rFonts w:cs="Calibri"/>
          <w:kern w:val="0"/>
          <w:sz w:val="24"/>
          <w:szCs w:val="24"/>
          <w:lang w:eastAsia="en-GB"/>
        </w:rPr>
        <w:t>ʿAsākir</w:t>
      </w:r>
      <w:proofErr w:type="spellEnd"/>
      <w:r>
        <w:rPr>
          <w:rFonts w:cs="Calibri"/>
          <w:kern w:val="0"/>
          <w:sz w:val="24"/>
          <w:szCs w:val="24"/>
          <w:lang w:eastAsia="en-GB"/>
        </w:rPr>
        <w:t xml:space="preserve"> would have kept track of dozens of transmitters giving him information in different ways. Perhaps he associated each individual’s corpus of material loosely with a particular context and used the appropriate term when writing the </w:t>
      </w:r>
      <w:r>
        <w:rPr>
          <w:rFonts w:cs="Calibri"/>
          <w:i/>
          <w:iCs/>
          <w:kern w:val="0"/>
          <w:sz w:val="24"/>
          <w:szCs w:val="24"/>
          <w:lang w:eastAsia="en-GB"/>
        </w:rPr>
        <w:t>TMD</w:t>
      </w:r>
      <w:r>
        <w:rPr>
          <w:rFonts w:cs="Calibri"/>
          <w:kern w:val="0"/>
          <w:sz w:val="24"/>
          <w:szCs w:val="24"/>
          <w:lang w:eastAsia="en-GB"/>
        </w:rPr>
        <w:t xml:space="preserve">. But memory is fallible; did he also record this information in his notes? Incomplete notes and lapses of memory might explain why Ibn </w:t>
      </w:r>
      <w:proofErr w:type="spellStart"/>
      <w:r>
        <w:rPr>
          <w:rFonts w:cs="Calibri"/>
          <w:kern w:val="0"/>
          <w:sz w:val="24"/>
          <w:szCs w:val="24"/>
          <w:lang w:eastAsia="en-GB"/>
        </w:rPr>
        <w:t>ʿAsākir</w:t>
      </w:r>
      <w:proofErr w:type="spellEnd"/>
      <w:r>
        <w:rPr>
          <w:rFonts w:cs="Calibri"/>
          <w:kern w:val="0"/>
          <w:sz w:val="24"/>
          <w:szCs w:val="24"/>
          <w:lang w:eastAsia="en-GB"/>
        </w:rPr>
        <w:t xml:space="preserve"> occasionally uses different terms for the same people in different contexts within his work. In other words, he obtained information via different routes and later remembered them with only partial consistency.</w:t>
      </w:r>
    </w:p>
    <w:p w14:paraId="1392AE4B" w14:textId="77777777" w:rsidR="004818C1" w:rsidRPr="00E361F2" w:rsidRDefault="00000000" w:rsidP="00E361F2">
      <w:pPr>
        <w:pStyle w:val="Heading3"/>
        <w:rPr>
          <w:i/>
          <w:iCs/>
        </w:rPr>
      </w:pPr>
      <w:proofErr w:type="spellStart"/>
      <w:r w:rsidRPr="00E361F2">
        <w:rPr>
          <w:i/>
          <w:iCs/>
        </w:rPr>
        <w:t>Qaraʾtu</w:t>
      </w:r>
      <w:proofErr w:type="spellEnd"/>
      <w:r w:rsidRPr="00E361F2">
        <w:rPr>
          <w:i/>
          <w:iCs/>
        </w:rPr>
        <w:t xml:space="preserve"> </w:t>
      </w:r>
      <w:proofErr w:type="spellStart"/>
      <w:r w:rsidRPr="00E361F2">
        <w:rPr>
          <w:i/>
          <w:iCs/>
        </w:rPr>
        <w:t>ʿalā</w:t>
      </w:r>
      <w:proofErr w:type="spellEnd"/>
    </w:p>
    <w:p w14:paraId="7D35248C" w14:textId="77777777" w:rsidR="004818C1" w:rsidRDefault="00000000">
      <w:r>
        <w:rPr>
          <w:rFonts w:cs="Calibri"/>
          <w:kern w:val="0"/>
          <w:sz w:val="24"/>
          <w:szCs w:val="24"/>
          <w:lang w:eastAsia="en-GB"/>
        </w:rPr>
        <w:t xml:space="preserve">Two of the transmission terms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in our </w:t>
      </w:r>
      <w:proofErr w:type="spellStart"/>
      <w:r>
        <w:rPr>
          <w:rFonts w:cs="Calibri"/>
          <w:i/>
          <w:kern w:val="0"/>
          <w:sz w:val="24"/>
          <w:szCs w:val="24"/>
          <w:lang w:eastAsia="en-GB"/>
        </w:rPr>
        <w:t>isnād</w:t>
      </w:r>
      <w:proofErr w:type="spellEnd"/>
      <w:r>
        <w:rPr>
          <w:rFonts w:cs="Calibri"/>
          <w:kern w:val="0"/>
          <w:sz w:val="24"/>
          <w:szCs w:val="24"/>
          <w:lang w:eastAsia="en-GB"/>
        </w:rPr>
        <w:t xml:space="preserve"> data set refer unambiguously to written materials.</w:t>
      </w:r>
    </w:p>
    <w:p w14:paraId="7AC7FCA0" w14:textId="77777777" w:rsidR="004818C1" w:rsidRDefault="00000000">
      <w:r>
        <w:rPr>
          <w:rFonts w:cs="Calibri"/>
          <w:kern w:val="0"/>
          <w:sz w:val="24"/>
          <w:szCs w:val="24"/>
          <w:lang w:eastAsia="en-GB"/>
        </w:rPr>
        <w:t xml:space="preserve">Most importantly, Ibn </w:t>
      </w:r>
      <w:proofErr w:type="spellStart"/>
      <w:r>
        <w:rPr>
          <w:rFonts w:cs="Calibri"/>
          <w:kern w:val="0"/>
          <w:sz w:val="24"/>
          <w:szCs w:val="24"/>
          <w:lang w:eastAsia="en-GB"/>
        </w:rPr>
        <w:t>ʿAsākir</w:t>
      </w:r>
      <w:proofErr w:type="spellEnd"/>
      <w:r>
        <w:rPr>
          <w:rFonts w:cs="Calibri"/>
          <w:kern w:val="0"/>
          <w:sz w:val="24"/>
          <w:szCs w:val="24"/>
          <w:lang w:eastAsia="en-GB"/>
        </w:rPr>
        <w:t xml:space="preserve"> employs the phrase </w:t>
      </w:r>
      <w:proofErr w:type="spellStart"/>
      <w:r>
        <w:rPr>
          <w:rFonts w:cs="Calibri"/>
          <w:i/>
          <w:kern w:val="0"/>
          <w:sz w:val="24"/>
          <w:szCs w:val="24"/>
          <w:lang w:eastAsia="en-GB"/>
        </w:rPr>
        <w:t>qaraʾtu</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kern w:val="0"/>
          <w:sz w:val="24"/>
          <w:szCs w:val="24"/>
          <w:lang w:eastAsia="en-GB"/>
        </w:rPr>
        <w:t xml:space="preserve"> (‘I read/recited to’</w:t>
      </w:r>
      <w:bookmarkStart w:id="4" w:name="_Hlk138763804"/>
      <w:r>
        <w:rPr>
          <w:rFonts w:cs="Calibri"/>
          <w:kern w:val="0"/>
          <w:sz w:val="24"/>
          <w:szCs w:val="24"/>
          <w:lang w:eastAsia="en-GB"/>
        </w:rPr>
        <w:t>) 5,328 times</w:t>
      </w:r>
      <w:bookmarkEnd w:id="4"/>
      <w:r>
        <w:rPr>
          <w:rFonts w:cs="Calibri"/>
          <w:kern w:val="0"/>
          <w:sz w:val="24"/>
          <w:szCs w:val="24"/>
          <w:lang w:eastAsia="en-GB"/>
        </w:rPr>
        <w:t xml:space="preserve">. The plural form of the phrase, </w:t>
      </w:r>
      <w:proofErr w:type="spellStart"/>
      <w:r>
        <w:rPr>
          <w:rFonts w:cs="Calibri"/>
          <w:i/>
          <w:kern w:val="0"/>
          <w:sz w:val="24"/>
          <w:szCs w:val="24"/>
          <w:lang w:eastAsia="en-GB"/>
        </w:rPr>
        <w:t>qaraʾnā</w:t>
      </w:r>
      <w:proofErr w:type="spellEnd"/>
      <w:r>
        <w:rPr>
          <w:rFonts w:cs="Calibri"/>
          <w:i/>
          <w:kern w:val="0"/>
          <w:sz w:val="24"/>
          <w:szCs w:val="24"/>
          <w:lang w:eastAsia="en-GB"/>
        </w:rPr>
        <w:t xml:space="preserve"> </w:t>
      </w:r>
      <w:proofErr w:type="spellStart"/>
      <w:r>
        <w:rPr>
          <w:rFonts w:cs="Calibri"/>
          <w:i/>
          <w:kern w:val="0"/>
          <w:sz w:val="24"/>
          <w:szCs w:val="24"/>
          <w:lang w:eastAsia="en-GB"/>
        </w:rPr>
        <w:t>ʿalā</w:t>
      </w:r>
      <w:proofErr w:type="spellEnd"/>
      <w:r>
        <w:rPr>
          <w:rFonts w:cs="Calibri"/>
          <w:kern w:val="0"/>
          <w:sz w:val="24"/>
          <w:szCs w:val="24"/>
          <w:lang w:eastAsia="en-GB"/>
        </w:rPr>
        <w:t xml:space="preserve"> (</w:t>
      </w:r>
      <w:r>
        <w:rPr>
          <w:rFonts w:cs="Calibri"/>
          <w:iCs/>
          <w:kern w:val="0"/>
          <w:sz w:val="24"/>
          <w:szCs w:val="24"/>
          <w:lang w:eastAsia="en-GB"/>
        </w:rPr>
        <w:t xml:space="preserve">‘we read/recited to’), appears </w:t>
      </w:r>
      <w:r>
        <w:rPr>
          <w:rFonts w:cs="Calibri"/>
          <w:kern w:val="0"/>
          <w:sz w:val="24"/>
          <w:szCs w:val="24"/>
          <w:lang w:eastAsia="en-GB"/>
        </w:rPr>
        <w:t>621 times. This means that on 90% of the occasions on which he refers to reading/reciting material back to a direct informant, he says he was the one doing the reading. The following report via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provides an example: </w:t>
      </w:r>
    </w:p>
    <w:p w14:paraId="65338A5F" w14:textId="77777777" w:rsidR="004818C1" w:rsidRDefault="00000000">
      <w:pPr>
        <w:bidi/>
      </w:pPr>
      <w:r>
        <w:rPr>
          <w:rFonts w:cs="Calibri"/>
          <w:kern w:val="0"/>
          <w:sz w:val="24"/>
          <w:szCs w:val="24"/>
          <w:rtl/>
          <w:lang w:eastAsia="en-GB"/>
        </w:rPr>
        <w:t xml:space="preserve">قرأت على أبي محمد السلمي عن أبي محمد بن أحمد أنا مكي بن محمد </w:t>
      </w:r>
      <w:proofErr w:type="spellStart"/>
      <w:r>
        <w:rPr>
          <w:rFonts w:cs="Calibri"/>
          <w:kern w:val="0"/>
          <w:sz w:val="24"/>
          <w:szCs w:val="24"/>
          <w:rtl/>
          <w:lang w:eastAsia="en-GB"/>
        </w:rPr>
        <w:t>أناابو</w:t>
      </w:r>
      <w:proofErr w:type="spellEnd"/>
      <w:r>
        <w:rPr>
          <w:rFonts w:cs="Calibri"/>
          <w:kern w:val="0"/>
          <w:sz w:val="24"/>
          <w:szCs w:val="24"/>
          <w:rtl/>
          <w:lang w:eastAsia="en-GB"/>
        </w:rPr>
        <w:t xml:space="preserve"> سليمان بن أبي محمد قال فيها يعني سنة خمس وثمانين مات واثلة بن الأسقع الليثي مات</w:t>
      </w:r>
    </w:p>
    <w:p w14:paraId="05504F48" w14:textId="77777777" w:rsidR="004818C1" w:rsidRDefault="00000000">
      <w:pPr>
        <w:ind w:left="720"/>
      </w:pPr>
      <w:r>
        <w:rPr>
          <w:rFonts w:cs="Calibri"/>
          <w:kern w:val="0"/>
          <w:sz w:val="24"/>
          <w:szCs w:val="24"/>
          <w:lang w:eastAsia="en-GB"/>
        </w:rPr>
        <w:t xml:space="preserve">I read back to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al-</w:t>
      </w:r>
      <w:proofErr w:type="spellStart"/>
      <w:r>
        <w:rPr>
          <w:rFonts w:cs="Calibri"/>
          <w:kern w:val="0"/>
          <w:sz w:val="24"/>
          <w:szCs w:val="24"/>
          <w:lang w:eastAsia="en-GB"/>
        </w:rPr>
        <w:t>Sulamī</w:t>
      </w:r>
      <w:proofErr w:type="spellEnd"/>
      <w:r>
        <w:rPr>
          <w:rFonts w:cs="Calibri"/>
          <w:kern w:val="0"/>
          <w:sz w:val="24"/>
          <w:szCs w:val="24"/>
          <w:lang w:eastAsia="en-GB"/>
        </w:rPr>
        <w:t xml:space="preserve">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and he said from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Aḥmad</w:t>
      </w:r>
      <w:proofErr w:type="spellEnd"/>
      <w:r>
        <w:rPr>
          <w:rFonts w:cs="Calibri"/>
          <w:kern w:val="0"/>
          <w:sz w:val="24"/>
          <w:szCs w:val="24"/>
          <w:lang w:eastAsia="en-GB"/>
        </w:rPr>
        <w:t xml:space="preserve">, who transmitted from </w:t>
      </w:r>
      <w:proofErr w:type="spellStart"/>
      <w:r>
        <w:rPr>
          <w:rFonts w:cs="Calibri"/>
          <w:kern w:val="0"/>
          <w:sz w:val="24"/>
          <w:szCs w:val="24"/>
          <w:lang w:eastAsia="en-GB"/>
        </w:rPr>
        <w:t>Makkī</w:t>
      </w:r>
      <w:proofErr w:type="spellEnd"/>
      <w:r>
        <w:rPr>
          <w:rFonts w:cs="Calibri"/>
          <w:kern w:val="0"/>
          <w:sz w:val="24"/>
          <w:szCs w:val="24"/>
          <w:lang w:eastAsia="en-GB"/>
        </w:rPr>
        <w:t xml:space="preserve"> b. </w:t>
      </w:r>
      <w:proofErr w:type="spellStart"/>
      <w:r>
        <w:rPr>
          <w:rFonts w:cs="Calibri"/>
          <w:kern w:val="0"/>
          <w:sz w:val="24"/>
          <w:szCs w:val="24"/>
          <w:lang w:eastAsia="en-GB"/>
        </w:rPr>
        <w:t>Muḥammad</w:t>
      </w:r>
      <w:proofErr w:type="spellEnd"/>
      <w:r>
        <w:rPr>
          <w:rFonts w:cs="Calibri"/>
          <w:kern w:val="0"/>
          <w:sz w:val="24"/>
          <w:szCs w:val="24"/>
          <w:lang w:eastAsia="en-GB"/>
        </w:rPr>
        <w:t xml:space="preserve">, who transmitted from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Sulaymān</w:t>
      </w:r>
      <w:proofErr w:type="spellEnd"/>
      <w:r>
        <w:rPr>
          <w:rFonts w:cs="Calibri"/>
          <w:kern w:val="0"/>
          <w:sz w:val="24"/>
          <w:szCs w:val="24"/>
          <w:lang w:eastAsia="en-GB"/>
        </w:rPr>
        <w:t xml:space="preserve"> b. </w:t>
      </w:r>
      <w:proofErr w:type="spellStart"/>
      <w:r>
        <w:rPr>
          <w:rFonts w:cs="Calibri"/>
          <w:kern w:val="0"/>
          <w:sz w:val="24"/>
          <w:szCs w:val="24"/>
          <w:lang w:eastAsia="en-GB"/>
        </w:rPr>
        <w:t>Abī</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who </w:t>
      </w:r>
      <w:r>
        <w:rPr>
          <w:rFonts w:cs="Calibri"/>
          <w:kern w:val="0"/>
          <w:sz w:val="24"/>
          <w:szCs w:val="24"/>
          <w:lang w:val="en-US" w:eastAsia="en-GB"/>
        </w:rPr>
        <w:t>said: …</w:t>
      </w:r>
      <w:r>
        <w:rPr>
          <w:rStyle w:val="FootnoteReference"/>
          <w:rFonts w:cs="Calibri"/>
          <w:kern w:val="0"/>
          <w:sz w:val="24"/>
          <w:szCs w:val="24"/>
          <w:lang w:val="en-US" w:eastAsia="en-GB"/>
        </w:rPr>
        <w:footnoteReference w:id="10"/>
      </w:r>
    </w:p>
    <w:p w14:paraId="74FE3ECA" w14:textId="77777777" w:rsidR="004818C1" w:rsidRDefault="00000000">
      <w:r>
        <w:rPr>
          <w:rFonts w:cs="Calibri"/>
          <w:kern w:val="0"/>
          <w:sz w:val="24"/>
          <w:szCs w:val="24"/>
          <w:lang w:eastAsia="en-GB"/>
        </w:rPr>
        <w:t xml:space="preserve">Six of the people (or pairs of people) for whom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this transmission term most often rank among the top thirty most-cited direct informants. This mode represents a significant portion of his total engagements with them, but it is not the only one.</w:t>
      </w:r>
    </w:p>
    <w:tbl>
      <w:tblPr>
        <w:tblW w:w="9010" w:type="dxa"/>
        <w:tblCellMar>
          <w:left w:w="10" w:type="dxa"/>
          <w:right w:w="10" w:type="dxa"/>
        </w:tblCellMar>
        <w:tblLook w:val="04A0" w:firstRow="1" w:lastRow="0" w:firstColumn="1" w:lastColumn="0" w:noHBand="0" w:noVBand="1"/>
      </w:tblPr>
      <w:tblGrid>
        <w:gridCol w:w="2483"/>
        <w:gridCol w:w="1101"/>
        <w:gridCol w:w="1234"/>
        <w:gridCol w:w="1921"/>
        <w:gridCol w:w="2271"/>
      </w:tblGrid>
      <w:tr w:rsidR="004818C1" w14:paraId="61461CA0" w14:textId="77777777">
        <w:trPr>
          <w:trHeight w:val="315"/>
        </w:trPr>
        <w:tc>
          <w:tcPr>
            <w:tcW w:w="2483"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center"/>
          </w:tcPr>
          <w:p w14:paraId="58BBD014" w14:textId="77777777" w:rsidR="004818C1" w:rsidRDefault="00000000">
            <w:pPr>
              <w:jc w:val="center"/>
            </w:pPr>
            <w:r>
              <w:rPr>
                <w:rFonts w:eastAsia="Times New Roman" w:cs="Calibri"/>
                <w:b/>
                <w:bCs/>
                <w:kern w:val="0"/>
                <w:sz w:val="24"/>
                <w:szCs w:val="24"/>
                <w:lang w:eastAsia="en-GB"/>
              </w:rPr>
              <w:lastRenderedPageBreak/>
              <w:t>Direct informant</w:t>
            </w:r>
          </w:p>
        </w:tc>
        <w:tc>
          <w:tcPr>
            <w:tcW w:w="1101"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tcPr>
          <w:p w14:paraId="382A837B" w14:textId="77777777" w:rsidR="004818C1" w:rsidRDefault="00000000">
            <w:pPr>
              <w:jc w:val="center"/>
              <w:rPr>
                <w:rFonts w:eastAsia="Times New Roman" w:cs="Calibri"/>
                <w:b/>
                <w:bCs/>
                <w:kern w:val="0"/>
                <w:sz w:val="24"/>
                <w:szCs w:val="24"/>
                <w:lang w:eastAsia="en-GB"/>
              </w:rPr>
            </w:pPr>
            <w:r>
              <w:rPr>
                <w:rFonts w:eastAsia="Times New Roman" w:cs="Calibri"/>
                <w:b/>
                <w:bCs/>
                <w:kern w:val="0"/>
                <w:sz w:val="24"/>
                <w:szCs w:val="24"/>
                <w:lang w:eastAsia="en-GB"/>
              </w:rPr>
              <w:t>All citations</w:t>
            </w:r>
          </w:p>
        </w:tc>
        <w:tc>
          <w:tcPr>
            <w:tcW w:w="1234"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tcPr>
          <w:p w14:paraId="5202D4F5" w14:textId="77777777" w:rsidR="004818C1" w:rsidRDefault="00000000">
            <w:pPr>
              <w:jc w:val="center"/>
            </w:pPr>
            <w:r>
              <w:rPr>
                <w:rFonts w:eastAsia="Times New Roman" w:cs="Calibri"/>
                <w:b/>
                <w:bCs/>
                <w:kern w:val="0"/>
                <w:sz w:val="24"/>
                <w:szCs w:val="24"/>
                <w:lang w:eastAsia="en-GB"/>
              </w:rPr>
              <w:t xml:space="preserve"># of </w:t>
            </w:r>
            <w:proofErr w:type="spellStart"/>
            <w:r>
              <w:rPr>
                <w:rFonts w:eastAsia="Times New Roman" w:cs="Calibri"/>
                <w:b/>
                <w:bCs/>
                <w:i/>
                <w:iCs/>
                <w:kern w:val="0"/>
                <w:sz w:val="24"/>
                <w:szCs w:val="24"/>
                <w:lang w:eastAsia="en-GB"/>
              </w:rPr>
              <w:t>qaraʾtu</w:t>
            </w:r>
            <w:proofErr w:type="spellEnd"/>
            <w:r>
              <w:rPr>
                <w:rFonts w:eastAsia="Times New Roman" w:cs="Calibri"/>
                <w:b/>
                <w:bCs/>
                <w:i/>
                <w:iCs/>
                <w:kern w:val="0"/>
                <w:sz w:val="24"/>
                <w:szCs w:val="24"/>
                <w:lang w:eastAsia="en-GB"/>
              </w:rPr>
              <w:t xml:space="preserve"> </w:t>
            </w:r>
            <w:proofErr w:type="spellStart"/>
            <w:r>
              <w:rPr>
                <w:rFonts w:eastAsia="Times New Roman" w:cs="Calibri"/>
                <w:b/>
                <w:bCs/>
                <w:i/>
                <w:iCs/>
                <w:kern w:val="0"/>
                <w:sz w:val="24"/>
                <w:szCs w:val="24"/>
                <w:lang w:eastAsia="en-GB"/>
              </w:rPr>
              <w:t>ʿalā</w:t>
            </w:r>
            <w:proofErr w:type="spellEnd"/>
          </w:p>
        </w:tc>
        <w:tc>
          <w:tcPr>
            <w:tcW w:w="1921"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tcPr>
          <w:p w14:paraId="51B09B96" w14:textId="77777777" w:rsidR="004818C1" w:rsidRDefault="00000000">
            <w:pPr>
              <w:jc w:val="center"/>
            </w:pPr>
            <w:r>
              <w:rPr>
                <w:rFonts w:eastAsia="Times New Roman" w:cs="Calibri"/>
                <w:b/>
                <w:bCs/>
                <w:kern w:val="0"/>
                <w:sz w:val="24"/>
                <w:szCs w:val="24"/>
                <w:lang w:eastAsia="en-GB"/>
              </w:rPr>
              <w:t xml:space="preserve">Percentage of </w:t>
            </w:r>
            <w:proofErr w:type="spellStart"/>
            <w:r>
              <w:rPr>
                <w:rFonts w:eastAsia="Times New Roman" w:cs="Calibri"/>
                <w:b/>
                <w:bCs/>
                <w:i/>
                <w:iCs/>
                <w:kern w:val="0"/>
                <w:sz w:val="24"/>
                <w:szCs w:val="24"/>
                <w:lang w:eastAsia="en-GB"/>
              </w:rPr>
              <w:t>qaraʾtu</w:t>
            </w:r>
            <w:proofErr w:type="spellEnd"/>
            <w:r>
              <w:rPr>
                <w:rFonts w:eastAsia="Times New Roman" w:cs="Calibri"/>
                <w:b/>
                <w:bCs/>
                <w:i/>
                <w:iCs/>
                <w:kern w:val="0"/>
                <w:sz w:val="24"/>
                <w:szCs w:val="24"/>
                <w:lang w:eastAsia="en-GB"/>
              </w:rPr>
              <w:t xml:space="preserve"> </w:t>
            </w:r>
            <w:proofErr w:type="spellStart"/>
            <w:r>
              <w:rPr>
                <w:rFonts w:eastAsia="Times New Roman" w:cs="Calibri"/>
                <w:b/>
                <w:bCs/>
                <w:i/>
                <w:iCs/>
                <w:kern w:val="0"/>
                <w:sz w:val="24"/>
                <w:szCs w:val="24"/>
                <w:lang w:eastAsia="en-GB"/>
              </w:rPr>
              <w:t>ʿalā</w:t>
            </w:r>
            <w:proofErr w:type="spellEnd"/>
          </w:p>
        </w:tc>
        <w:tc>
          <w:tcPr>
            <w:tcW w:w="2271"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tcPr>
          <w:p w14:paraId="7F4DA87F" w14:textId="77777777" w:rsidR="004818C1" w:rsidRDefault="00000000">
            <w:pPr>
              <w:jc w:val="center"/>
              <w:rPr>
                <w:rFonts w:eastAsia="Times New Roman" w:cs="Calibri"/>
                <w:b/>
                <w:bCs/>
                <w:kern w:val="0"/>
                <w:sz w:val="24"/>
                <w:szCs w:val="24"/>
                <w:lang w:eastAsia="en-GB"/>
              </w:rPr>
            </w:pPr>
            <w:r>
              <w:rPr>
                <w:rFonts w:eastAsia="Times New Roman" w:cs="Calibri"/>
                <w:b/>
                <w:bCs/>
                <w:kern w:val="0"/>
                <w:sz w:val="24"/>
                <w:szCs w:val="24"/>
                <w:lang w:eastAsia="en-GB"/>
              </w:rPr>
              <w:t>Ranking among direct informants</w:t>
            </w:r>
          </w:p>
        </w:tc>
      </w:tr>
      <w:tr w:rsidR="004818C1" w14:paraId="7A1C16DE"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9C51624"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Muhammad al-</w:t>
            </w:r>
            <w:proofErr w:type="spellStart"/>
            <w:r>
              <w:rPr>
                <w:rFonts w:eastAsia="Times New Roman" w:cs="Calibri"/>
                <w:kern w:val="0"/>
                <w:sz w:val="24"/>
                <w:szCs w:val="24"/>
                <w:lang w:eastAsia="en-GB"/>
              </w:rPr>
              <w:t>Sulami</w:t>
            </w:r>
            <w:proofErr w:type="spellEnd"/>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78EF521E" w14:textId="77777777" w:rsidR="004818C1" w:rsidRDefault="00000000">
            <w:pPr>
              <w:jc w:val="center"/>
            </w:pPr>
            <w:r>
              <w:rPr>
                <w:rFonts w:cs="Calibri"/>
                <w:sz w:val="24"/>
                <w:szCs w:val="24"/>
              </w:rPr>
              <w:t>3,224</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102E5072" w14:textId="77777777" w:rsidR="004818C1" w:rsidRDefault="00000000">
            <w:pPr>
              <w:jc w:val="center"/>
            </w:pPr>
            <w:r>
              <w:rPr>
                <w:rFonts w:cs="Calibri"/>
                <w:sz w:val="24"/>
                <w:szCs w:val="24"/>
              </w:rPr>
              <w:t>1,913</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5BD0EF84" w14:textId="77777777" w:rsidR="004818C1" w:rsidRDefault="00000000">
            <w:pPr>
              <w:jc w:val="center"/>
            </w:pPr>
            <w:r>
              <w:rPr>
                <w:rFonts w:cs="Calibri"/>
                <w:sz w:val="24"/>
                <w:szCs w:val="24"/>
              </w:rPr>
              <w:t>59%</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9818D71" w14:textId="77777777" w:rsidR="004818C1" w:rsidRDefault="00000000">
            <w:pPr>
              <w:jc w:val="center"/>
            </w:pPr>
            <w:r>
              <w:rPr>
                <w:rFonts w:cs="Calibri"/>
                <w:sz w:val="24"/>
                <w:szCs w:val="24"/>
              </w:rPr>
              <w:t>5</w:t>
            </w:r>
          </w:p>
        </w:tc>
      </w:tr>
      <w:tr w:rsidR="004818C1" w14:paraId="7345BD08"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2A6355E"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Ghalib</w:t>
            </w:r>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5D5A0E38" w14:textId="77777777" w:rsidR="004818C1" w:rsidRDefault="00000000">
            <w:pPr>
              <w:jc w:val="center"/>
            </w:pPr>
            <w:r>
              <w:rPr>
                <w:rFonts w:cs="Calibri"/>
                <w:sz w:val="24"/>
                <w:szCs w:val="24"/>
              </w:rPr>
              <w:t>4,871</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62E06796" w14:textId="77777777" w:rsidR="004818C1" w:rsidRDefault="00000000">
            <w:pPr>
              <w:jc w:val="center"/>
            </w:pPr>
            <w:r>
              <w:rPr>
                <w:rFonts w:cs="Calibri"/>
                <w:sz w:val="24"/>
                <w:szCs w:val="24"/>
              </w:rPr>
              <w:t>1,202</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55F2DF40" w14:textId="77777777" w:rsidR="004818C1" w:rsidRDefault="00000000">
            <w:pPr>
              <w:jc w:val="center"/>
            </w:pPr>
            <w:r>
              <w:rPr>
                <w:rFonts w:cs="Calibri"/>
                <w:sz w:val="24"/>
                <w:szCs w:val="24"/>
              </w:rPr>
              <w:t>25%</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16B7A75" w14:textId="77777777" w:rsidR="004818C1" w:rsidRDefault="00000000">
            <w:pPr>
              <w:jc w:val="center"/>
            </w:pPr>
            <w:r>
              <w:rPr>
                <w:rFonts w:cs="Calibri"/>
                <w:sz w:val="24"/>
                <w:szCs w:val="24"/>
              </w:rPr>
              <w:t>2</w:t>
            </w:r>
          </w:p>
        </w:tc>
      </w:tr>
      <w:tr w:rsidR="004818C1" w14:paraId="3489E57F"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571D6A3" w14:textId="77777777" w:rsidR="004818C1" w:rsidRDefault="00000000">
            <w:pPr>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Fadl</w:t>
            </w:r>
            <w:proofErr w:type="spellEnd"/>
            <w:r>
              <w:rPr>
                <w:rFonts w:eastAsia="Times New Roman" w:cs="Calibri"/>
                <w:kern w:val="0"/>
                <w:sz w:val="24"/>
                <w:szCs w:val="24"/>
                <w:lang w:val="it-IT" w:eastAsia="en-GB"/>
              </w:rPr>
              <w:t xml:space="preserve"> b. Nasir</w:t>
            </w:r>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0B441970" w14:textId="77777777" w:rsidR="004818C1" w:rsidRDefault="00000000">
            <w:pPr>
              <w:jc w:val="center"/>
            </w:pPr>
            <w:r>
              <w:rPr>
                <w:rFonts w:cs="Calibri"/>
                <w:sz w:val="24"/>
                <w:szCs w:val="24"/>
              </w:rPr>
              <w:t>1,011</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E909895" w14:textId="77777777" w:rsidR="004818C1" w:rsidRDefault="00000000">
            <w:pPr>
              <w:jc w:val="center"/>
            </w:pPr>
            <w:r>
              <w:rPr>
                <w:rFonts w:cs="Calibri"/>
                <w:sz w:val="24"/>
                <w:szCs w:val="24"/>
              </w:rPr>
              <w:t>711</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1C3A5D21" w14:textId="77777777" w:rsidR="004818C1" w:rsidRDefault="00000000">
            <w:pPr>
              <w:jc w:val="center"/>
            </w:pPr>
            <w:r>
              <w:rPr>
                <w:rFonts w:cs="Calibri"/>
                <w:sz w:val="24"/>
                <w:szCs w:val="24"/>
              </w:rPr>
              <w:t>70%</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6137C08" w14:textId="77777777" w:rsidR="004818C1" w:rsidRDefault="00000000">
            <w:pPr>
              <w:jc w:val="center"/>
            </w:pPr>
            <w:r>
              <w:rPr>
                <w:rFonts w:cs="Calibri"/>
                <w:sz w:val="24"/>
                <w:szCs w:val="24"/>
              </w:rPr>
              <w:t>19</w:t>
            </w:r>
          </w:p>
        </w:tc>
      </w:tr>
      <w:tr w:rsidR="004818C1" w14:paraId="35343940"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9360185"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'Abd Allah</w:t>
            </w:r>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17E510A1" w14:textId="77777777" w:rsidR="004818C1" w:rsidRDefault="00000000">
            <w:pPr>
              <w:jc w:val="center"/>
            </w:pPr>
            <w:r>
              <w:rPr>
                <w:rFonts w:cs="Calibri"/>
                <w:sz w:val="24"/>
                <w:szCs w:val="24"/>
              </w:rPr>
              <w:t>2,835</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9BBA4A3" w14:textId="77777777" w:rsidR="004818C1" w:rsidRDefault="00000000">
            <w:pPr>
              <w:jc w:val="center"/>
            </w:pPr>
            <w:r>
              <w:rPr>
                <w:rFonts w:cs="Calibri"/>
                <w:sz w:val="24"/>
                <w:szCs w:val="24"/>
              </w:rPr>
              <w:t>484</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3EA7EB3D" w14:textId="77777777" w:rsidR="004818C1" w:rsidRDefault="00000000">
            <w:pPr>
              <w:jc w:val="center"/>
            </w:pPr>
            <w:r>
              <w:rPr>
                <w:rFonts w:cs="Calibri"/>
                <w:sz w:val="24"/>
                <w:szCs w:val="24"/>
              </w:rPr>
              <w:t>17%</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4AF85DD3" w14:textId="77777777" w:rsidR="004818C1" w:rsidRDefault="00000000">
            <w:pPr>
              <w:jc w:val="center"/>
            </w:pPr>
            <w:r>
              <w:rPr>
                <w:rFonts w:cs="Calibri"/>
                <w:sz w:val="24"/>
                <w:szCs w:val="24"/>
              </w:rPr>
              <w:t>6</w:t>
            </w:r>
          </w:p>
        </w:tc>
      </w:tr>
      <w:tr w:rsidR="004818C1" w14:paraId="5EAF3C8F"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851EAC" w14:textId="77777777" w:rsidR="004818C1" w:rsidRDefault="00000000">
            <w:pPr>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Mustamli</w:t>
            </w:r>
            <w:proofErr w:type="spellEnd"/>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0F67ED5" w14:textId="77777777" w:rsidR="004818C1" w:rsidRDefault="00000000">
            <w:pPr>
              <w:jc w:val="center"/>
            </w:pPr>
            <w:r>
              <w:rPr>
                <w:rFonts w:cs="Calibri"/>
                <w:sz w:val="24"/>
                <w:szCs w:val="24"/>
              </w:rPr>
              <w:t>2,687</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B6C7CC2" w14:textId="77777777" w:rsidR="004818C1" w:rsidRDefault="00000000">
            <w:pPr>
              <w:jc w:val="center"/>
            </w:pPr>
            <w:r>
              <w:rPr>
                <w:rFonts w:cs="Calibri"/>
                <w:sz w:val="24"/>
                <w:szCs w:val="24"/>
              </w:rPr>
              <w:t>316</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7BFAEDF9" w14:textId="77777777" w:rsidR="004818C1" w:rsidRDefault="00000000">
            <w:pPr>
              <w:jc w:val="center"/>
            </w:pPr>
            <w:r>
              <w:rPr>
                <w:rFonts w:cs="Calibri"/>
                <w:sz w:val="24"/>
                <w:szCs w:val="24"/>
              </w:rPr>
              <w:t>12%</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4885EF1" w14:textId="77777777" w:rsidR="004818C1" w:rsidRDefault="00000000">
            <w:pPr>
              <w:jc w:val="center"/>
            </w:pPr>
            <w:r>
              <w:rPr>
                <w:rFonts w:cs="Calibri"/>
                <w:sz w:val="24"/>
                <w:szCs w:val="24"/>
              </w:rPr>
              <w:t>7</w:t>
            </w:r>
          </w:p>
        </w:tc>
      </w:tr>
      <w:tr w:rsidR="004818C1" w14:paraId="297A6744"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3B32134" w14:textId="77777777" w:rsidR="004818C1" w:rsidRDefault="00000000">
            <w:pPr>
              <w:jc w:val="center"/>
              <w:rPr>
                <w:rFonts w:eastAsia="Times New Roman" w:cs="Calibri"/>
                <w:kern w:val="0"/>
                <w:sz w:val="24"/>
                <w:szCs w:val="24"/>
                <w:lang w:val="it-IT" w:eastAsia="en-GB"/>
              </w:rPr>
            </w:pPr>
            <w:r>
              <w:rPr>
                <w:rFonts w:eastAsia="Times New Roman" w:cs="Calibri"/>
                <w:kern w:val="0"/>
                <w:sz w:val="24"/>
                <w:szCs w:val="24"/>
                <w:lang w:val="it-IT" w:eastAsia="en-GB"/>
              </w:rPr>
              <w:t>Abu al-Fath Nasr Allah b. Muhammad</w:t>
            </w:r>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0A0D86E9" w14:textId="77777777" w:rsidR="004818C1" w:rsidRDefault="00000000">
            <w:pPr>
              <w:jc w:val="center"/>
            </w:pPr>
            <w:r>
              <w:rPr>
                <w:rFonts w:cs="Calibri"/>
                <w:sz w:val="24"/>
                <w:szCs w:val="24"/>
              </w:rPr>
              <w:t>519</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3FD42E7" w14:textId="77777777" w:rsidR="004818C1" w:rsidRDefault="00000000">
            <w:pPr>
              <w:jc w:val="center"/>
            </w:pPr>
            <w:r>
              <w:rPr>
                <w:rFonts w:cs="Calibri"/>
                <w:sz w:val="24"/>
                <w:szCs w:val="24"/>
              </w:rPr>
              <w:t>165</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65FC82D7" w14:textId="77777777" w:rsidR="004818C1" w:rsidRDefault="00000000">
            <w:pPr>
              <w:jc w:val="center"/>
            </w:pPr>
            <w:r>
              <w:rPr>
                <w:rFonts w:cs="Calibri"/>
                <w:sz w:val="24"/>
                <w:szCs w:val="24"/>
              </w:rPr>
              <w:t>32%</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233453AA" w14:textId="77777777" w:rsidR="004818C1" w:rsidRDefault="00000000">
            <w:pPr>
              <w:jc w:val="center"/>
            </w:pPr>
            <w:r>
              <w:rPr>
                <w:rFonts w:cs="Calibri"/>
                <w:sz w:val="24"/>
                <w:szCs w:val="24"/>
              </w:rPr>
              <w:t>32</w:t>
            </w:r>
          </w:p>
        </w:tc>
      </w:tr>
      <w:tr w:rsidR="004818C1" w14:paraId="4EF8A956"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7D8729E"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al-</w:t>
            </w:r>
            <w:proofErr w:type="spellStart"/>
            <w:r>
              <w:rPr>
                <w:rFonts w:eastAsia="Times New Roman" w:cs="Calibri"/>
                <w:kern w:val="0"/>
                <w:sz w:val="24"/>
                <w:szCs w:val="24"/>
                <w:lang w:eastAsia="en-GB"/>
              </w:rPr>
              <w:t>Wafa</w:t>
            </w:r>
            <w:proofErr w:type="spellEnd"/>
            <w:r>
              <w:rPr>
                <w:rFonts w:eastAsia="Times New Roman" w:cs="Calibri"/>
                <w:kern w:val="0"/>
                <w:sz w:val="24"/>
                <w:szCs w:val="24"/>
                <w:lang w:eastAsia="en-GB"/>
              </w:rPr>
              <w:t xml:space="preserve">' </w:t>
            </w:r>
            <w:proofErr w:type="spellStart"/>
            <w:r>
              <w:rPr>
                <w:rFonts w:eastAsia="Times New Roman" w:cs="Calibri"/>
                <w:kern w:val="0"/>
                <w:sz w:val="24"/>
                <w:szCs w:val="24"/>
                <w:lang w:eastAsia="en-GB"/>
              </w:rPr>
              <w:t>Huffaz</w:t>
            </w:r>
            <w:proofErr w:type="spellEnd"/>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5B20C37" w14:textId="77777777" w:rsidR="004818C1" w:rsidRDefault="00000000">
            <w:pPr>
              <w:jc w:val="center"/>
            </w:pPr>
            <w:r>
              <w:rPr>
                <w:rFonts w:cs="Calibri"/>
                <w:sz w:val="24"/>
                <w:szCs w:val="24"/>
              </w:rPr>
              <w:t>148</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3A8B5446" w14:textId="77777777" w:rsidR="004818C1" w:rsidRDefault="00000000">
            <w:pPr>
              <w:jc w:val="center"/>
            </w:pPr>
            <w:r>
              <w:rPr>
                <w:rFonts w:cs="Calibri"/>
                <w:sz w:val="24"/>
                <w:szCs w:val="24"/>
              </w:rPr>
              <w:t>148</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0E2CE769" w14:textId="77777777" w:rsidR="004818C1" w:rsidRDefault="00000000">
            <w:pPr>
              <w:jc w:val="center"/>
            </w:pPr>
            <w:r>
              <w:rPr>
                <w:rFonts w:cs="Calibri"/>
                <w:sz w:val="24"/>
                <w:szCs w:val="24"/>
              </w:rPr>
              <w:t>100%</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BB662C9" w14:textId="77777777" w:rsidR="004818C1" w:rsidRDefault="00000000">
            <w:pPr>
              <w:jc w:val="center"/>
            </w:pPr>
            <w:r>
              <w:rPr>
                <w:rFonts w:cs="Calibri"/>
                <w:sz w:val="24"/>
                <w:szCs w:val="24"/>
              </w:rPr>
              <w:t>79</w:t>
            </w:r>
          </w:p>
        </w:tc>
      </w:tr>
      <w:tr w:rsidR="004818C1" w14:paraId="68B5FADD"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4852CDF"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Ghalib, Abu 'Abd Allah</w:t>
            </w:r>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74173EAD" w14:textId="77777777" w:rsidR="004818C1" w:rsidRDefault="00000000">
            <w:pPr>
              <w:jc w:val="center"/>
            </w:pPr>
            <w:r>
              <w:rPr>
                <w:rFonts w:cs="Calibri"/>
                <w:sz w:val="24"/>
                <w:szCs w:val="24"/>
              </w:rPr>
              <w:t>1,132</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3ACC609E" w14:textId="77777777" w:rsidR="004818C1" w:rsidRDefault="00000000">
            <w:pPr>
              <w:jc w:val="center"/>
            </w:pPr>
            <w:r>
              <w:rPr>
                <w:rFonts w:cs="Calibri"/>
                <w:sz w:val="24"/>
                <w:szCs w:val="24"/>
              </w:rPr>
              <w:t>116</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DA36B48" w14:textId="77777777" w:rsidR="004818C1" w:rsidRDefault="00000000">
            <w:pPr>
              <w:jc w:val="center"/>
            </w:pPr>
            <w:r>
              <w:rPr>
                <w:rFonts w:cs="Calibri"/>
                <w:sz w:val="24"/>
                <w:szCs w:val="24"/>
              </w:rPr>
              <w:t>10%</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115799DA" w14:textId="77777777" w:rsidR="004818C1" w:rsidRDefault="00000000">
            <w:pPr>
              <w:jc w:val="center"/>
            </w:pPr>
            <w:r>
              <w:rPr>
                <w:rFonts w:cs="Calibri"/>
                <w:sz w:val="24"/>
                <w:szCs w:val="24"/>
              </w:rPr>
              <w:t>16</w:t>
            </w:r>
          </w:p>
        </w:tc>
      </w:tr>
      <w:tr w:rsidR="004818C1" w14:paraId="0BB7A2E0" w14:textId="77777777">
        <w:trPr>
          <w:trHeight w:val="315"/>
        </w:trPr>
        <w:tc>
          <w:tcPr>
            <w:tcW w:w="248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865D2BE"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al-</w:t>
            </w:r>
            <w:proofErr w:type="spellStart"/>
            <w:r>
              <w:rPr>
                <w:rFonts w:eastAsia="Times New Roman" w:cs="Calibri"/>
                <w:kern w:val="0"/>
                <w:sz w:val="24"/>
                <w:szCs w:val="24"/>
                <w:lang w:eastAsia="en-GB"/>
              </w:rPr>
              <w:t>Fadl</w:t>
            </w:r>
            <w:proofErr w:type="spellEnd"/>
          </w:p>
        </w:tc>
        <w:tc>
          <w:tcPr>
            <w:tcW w:w="110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6552906C" w14:textId="77777777" w:rsidR="004818C1" w:rsidRDefault="00000000">
            <w:pPr>
              <w:jc w:val="center"/>
            </w:pPr>
            <w:r>
              <w:rPr>
                <w:rFonts w:cs="Calibri"/>
                <w:sz w:val="24"/>
                <w:szCs w:val="24"/>
              </w:rPr>
              <w:t>124</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B7B716D" w14:textId="77777777" w:rsidR="004818C1" w:rsidRDefault="00000000">
            <w:pPr>
              <w:jc w:val="center"/>
            </w:pPr>
            <w:r>
              <w:rPr>
                <w:rFonts w:cs="Calibri"/>
                <w:sz w:val="24"/>
                <w:szCs w:val="24"/>
              </w:rPr>
              <w:t>87</w:t>
            </w:r>
          </w:p>
        </w:tc>
        <w:tc>
          <w:tcPr>
            <w:tcW w:w="192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39BB358B" w14:textId="77777777" w:rsidR="004818C1" w:rsidRDefault="00000000">
            <w:pPr>
              <w:jc w:val="center"/>
            </w:pPr>
            <w:r>
              <w:rPr>
                <w:rFonts w:cs="Calibri"/>
                <w:sz w:val="24"/>
                <w:szCs w:val="24"/>
              </w:rPr>
              <w:t>70%</w:t>
            </w:r>
          </w:p>
        </w:tc>
        <w:tc>
          <w:tcPr>
            <w:tcW w:w="227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5E01F241" w14:textId="77777777" w:rsidR="004818C1" w:rsidRDefault="00000000">
            <w:pPr>
              <w:jc w:val="center"/>
            </w:pPr>
            <w:r>
              <w:rPr>
                <w:rFonts w:cs="Calibri"/>
                <w:sz w:val="24"/>
                <w:szCs w:val="24"/>
              </w:rPr>
              <w:t>90</w:t>
            </w:r>
          </w:p>
        </w:tc>
      </w:tr>
      <w:tr w:rsidR="004818C1" w14:paraId="65E4853E" w14:textId="77777777">
        <w:trPr>
          <w:trHeight w:val="315"/>
        </w:trPr>
        <w:tc>
          <w:tcPr>
            <w:tcW w:w="2483"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EF01723" w14:textId="77777777" w:rsidR="004818C1" w:rsidRDefault="00000000">
            <w:pPr>
              <w:jc w:val="center"/>
              <w:rPr>
                <w:rFonts w:eastAsia="Times New Roman" w:cs="Calibri"/>
                <w:kern w:val="0"/>
                <w:sz w:val="24"/>
                <w:szCs w:val="24"/>
                <w:lang w:val="it-IT" w:eastAsia="en-GB"/>
              </w:rPr>
            </w:pPr>
            <w:r>
              <w:rPr>
                <w:rFonts w:eastAsia="Times New Roman" w:cs="Calibri"/>
                <w:kern w:val="0"/>
                <w:sz w:val="24"/>
                <w:szCs w:val="24"/>
                <w:lang w:val="it-IT" w:eastAsia="en-GB"/>
              </w:rPr>
              <w:t>Abu al-</w:t>
            </w:r>
            <w:proofErr w:type="spellStart"/>
            <w:r>
              <w:rPr>
                <w:rFonts w:eastAsia="Times New Roman" w:cs="Calibri"/>
                <w:kern w:val="0"/>
                <w:sz w:val="24"/>
                <w:szCs w:val="24"/>
                <w:lang w:val="it-IT" w:eastAsia="en-GB"/>
              </w:rPr>
              <w:t>Qasim</w:t>
            </w:r>
            <w:proofErr w:type="spellEnd"/>
            <w:r>
              <w:rPr>
                <w:rFonts w:eastAsia="Times New Roman" w:cs="Calibri"/>
                <w:kern w:val="0"/>
                <w:sz w:val="24"/>
                <w:szCs w:val="24"/>
                <w:lang w:val="it-IT" w:eastAsia="en-GB"/>
              </w:rPr>
              <w:t xml:space="preserve"> al-</w:t>
            </w:r>
            <w:proofErr w:type="spellStart"/>
            <w:r>
              <w:rPr>
                <w:rFonts w:eastAsia="Times New Roman" w:cs="Calibri"/>
                <w:kern w:val="0"/>
                <w:sz w:val="24"/>
                <w:szCs w:val="24"/>
                <w:lang w:val="it-IT" w:eastAsia="en-GB"/>
              </w:rPr>
              <w:t>Khidr</w:t>
            </w:r>
            <w:proofErr w:type="spellEnd"/>
            <w:r>
              <w:rPr>
                <w:rFonts w:eastAsia="Times New Roman" w:cs="Calibri"/>
                <w:kern w:val="0"/>
                <w:sz w:val="24"/>
                <w:szCs w:val="24"/>
                <w:lang w:val="it-IT" w:eastAsia="en-GB"/>
              </w:rPr>
              <w:t xml:space="preserve"> b. al-Husayn</w:t>
            </w:r>
          </w:p>
        </w:tc>
        <w:tc>
          <w:tcPr>
            <w:tcW w:w="110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tcPr>
          <w:p w14:paraId="7BB4502F" w14:textId="77777777" w:rsidR="004818C1" w:rsidRDefault="00000000">
            <w:pPr>
              <w:jc w:val="center"/>
            </w:pPr>
            <w:r>
              <w:rPr>
                <w:rFonts w:cs="Calibri"/>
                <w:sz w:val="24"/>
                <w:szCs w:val="24"/>
              </w:rPr>
              <w:t>130</w:t>
            </w:r>
          </w:p>
        </w:tc>
        <w:tc>
          <w:tcPr>
            <w:tcW w:w="123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751D4D" w14:textId="77777777" w:rsidR="004818C1" w:rsidRDefault="00000000">
            <w:pPr>
              <w:jc w:val="center"/>
            </w:pPr>
            <w:r>
              <w:rPr>
                <w:rFonts w:cs="Calibri"/>
                <w:sz w:val="24"/>
                <w:szCs w:val="24"/>
              </w:rPr>
              <w:t>76</w:t>
            </w:r>
          </w:p>
        </w:tc>
        <w:tc>
          <w:tcPr>
            <w:tcW w:w="192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tcPr>
          <w:p w14:paraId="5AF1E11F" w14:textId="77777777" w:rsidR="004818C1" w:rsidRDefault="00000000">
            <w:pPr>
              <w:jc w:val="center"/>
            </w:pPr>
            <w:r>
              <w:rPr>
                <w:rFonts w:cs="Calibri"/>
                <w:sz w:val="24"/>
                <w:szCs w:val="24"/>
              </w:rPr>
              <w:t>64%</w:t>
            </w:r>
          </w:p>
        </w:tc>
        <w:tc>
          <w:tcPr>
            <w:tcW w:w="22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C564D6A" w14:textId="77777777" w:rsidR="004818C1" w:rsidRDefault="00000000">
            <w:pPr>
              <w:jc w:val="center"/>
            </w:pPr>
            <w:r>
              <w:rPr>
                <w:rFonts w:cs="Calibri"/>
                <w:sz w:val="24"/>
                <w:szCs w:val="24"/>
              </w:rPr>
              <w:t>85</w:t>
            </w:r>
          </w:p>
        </w:tc>
      </w:tr>
    </w:tbl>
    <w:p w14:paraId="0AD87C09" w14:textId="77777777" w:rsidR="004818C1" w:rsidRDefault="00000000">
      <w:r>
        <w:rPr>
          <w:rFonts w:cs="Calibri"/>
          <w:kern w:val="0"/>
          <w:sz w:val="24"/>
          <w:szCs w:val="24"/>
          <w:lang w:eastAsia="en-GB"/>
        </w:rPr>
        <w:t xml:space="preserve">Table 4.2: The direct informants for whom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the phrase ‘I read/recited to’ most often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t>
      </w:r>
    </w:p>
    <w:p w14:paraId="2E1B16F3" w14:textId="77777777" w:rsidR="004818C1" w:rsidRDefault="00000000">
      <w:bookmarkStart w:id="5" w:name="_Hlk138762347"/>
      <w:r>
        <w:rPr>
          <w:rFonts w:cs="Calibri"/>
          <w:kern w:val="0"/>
          <w:sz w:val="24"/>
          <w:szCs w:val="24"/>
          <w:lang w:eastAsia="en-GB"/>
        </w:rPr>
        <w:t xml:space="preserve">When Ibn </w:t>
      </w:r>
      <w:proofErr w:type="spellStart"/>
      <w:r>
        <w:rPr>
          <w:rFonts w:cs="Calibri"/>
          <w:kern w:val="0"/>
          <w:sz w:val="24"/>
          <w:szCs w:val="24"/>
          <w:lang w:eastAsia="en-GB"/>
        </w:rPr>
        <w:t>ʿAsākir</w:t>
      </w:r>
      <w:proofErr w:type="spellEnd"/>
      <w:r>
        <w:rPr>
          <w:rFonts w:cs="Calibri"/>
          <w:kern w:val="0"/>
          <w:sz w:val="24"/>
          <w:szCs w:val="24"/>
          <w:lang w:eastAsia="en-GB"/>
        </w:rPr>
        <w:t xml:space="preserve"> introduces an </w:t>
      </w:r>
      <w:proofErr w:type="spellStart"/>
      <w:r>
        <w:rPr>
          <w:rFonts w:cs="Calibri"/>
          <w:i/>
          <w:kern w:val="0"/>
          <w:sz w:val="24"/>
          <w:szCs w:val="24"/>
          <w:lang w:eastAsia="en-GB"/>
        </w:rPr>
        <w:t>isnād</w:t>
      </w:r>
      <w:proofErr w:type="spellEnd"/>
      <w:r>
        <w:rPr>
          <w:rFonts w:cs="Calibri"/>
          <w:kern w:val="0"/>
          <w:sz w:val="24"/>
          <w:szCs w:val="24"/>
          <w:lang w:eastAsia="en-GB"/>
        </w:rPr>
        <w:t xml:space="preserve"> with the phrase ‘I read/recited to’, one might expect either the direct informant or one of the persons further down the citation chain to be the author of a work. Conversely, one might also expect to find this or a similar phrase referring to a written text 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an author’s name. </w:t>
      </w:r>
    </w:p>
    <w:p w14:paraId="604C2C29" w14:textId="77777777" w:rsidR="004818C1" w:rsidRDefault="00000000">
      <w:r>
        <w:rPr>
          <w:rFonts w:cs="Calibri"/>
          <w:kern w:val="0"/>
          <w:sz w:val="24"/>
          <w:szCs w:val="24"/>
          <w:lang w:eastAsia="en-GB"/>
        </w:rPr>
        <w:t xml:space="preserve">But within our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the sense of reading conveyed by this term does not pertain specifically to reading text associated with or from someone recognised as an author. Of the 5,949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begin with </w:t>
      </w:r>
      <w:proofErr w:type="spellStart"/>
      <w:r>
        <w:rPr>
          <w:rFonts w:cs="Calibri"/>
          <w:i/>
          <w:iCs/>
          <w:kern w:val="0"/>
          <w:sz w:val="24"/>
          <w:szCs w:val="24"/>
          <w:lang w:eastAsia="en-GB"/>
        </w:rPr>
        <w:t>qaraʾtu</w:t>
      </w:r>
      <w:proofErr w:type="spellEnd"/>
      <w:r>
        <w:rPr>
          <w:rFonts w:cs="Calibri"/>
          <w:i/>
          <w:iCs/>
          <w:kern w:val="0"/>
          <w:sz w:val="24"/>
          <w:szCs w:val="24"/>
          <w:lang w:eastAsia="en-GB"/>
        </w:rPr>
        <w:t xml:space="preserve"> </w:t>
      </w:r>
      <w:proofErr w:type="spellStart"/>
      <w:r>
        <w:rPr>
          <w:rFonts w:cs="Calibri"/>
          <w:i/>
          <w:iCs/>
          <w:kern w:val="0"/>
          <w:sz w:val="24"/>
          <w:szCs w:val="24"/>
          <w:lang w:eastAsia="en-GB"/>
        </w:rPr>
        <w:t>ʿalā</w:t>
      </w:r>
      <w:proofErr w:type="spellEnd"/>
      <w:r>
        <w:rPr>
          <w:rFonts w:cs="Calibri"/>
          <w:kern w:val="0"/>
          <w:sz w:val="24"/>
          <w:szCs w:val="24"/>
          <w:lang w:eastAsia="en-GB"/>
        </w:rPr>
        <w:t xml:space="preserve">, 2,767 contain an author’s name (47%). Of the 31,532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have collected that feature an author’s name, only 9% begin with this phrase. In other words, Ibn </w:t>
      </w:r>
      <w:proofErr w:type="spellStart"/>
      <w:r>
        <w:rPr>
          <w:rFonts w:cs="Calibri"/>
          <w:kern w:val="0"/>
          <w:sz w:val="24"/>
          <w:szCs w:val="24"/>
          <w:lang w:eastAsia="en-GB"/>
        </w:rPr>
        <w:t>ʿAsākir</w:t>
      </w:r>
      <w:proofErr w:type="spellEnd"/>
      <w:r>
        <w:rPr>
          <w:rFonts w:cs="Calibri"/>
          <w:kern w:val="0"/>
          <w:sz w:val="24"/>
          <w:szCs w:val="24"/>
          <w:lang w:eastAsia="en-GB"/>
        </w:rPr>
        <w:t xml:space="preserve"> uses </w:t>
      </w:r>
      <w:proofErr w:type="spellStart"/>
      <w:r>
        <w:rPr>
          <w:rFonts w:cs="Calibri"/>
          <w:i/>
          <w:iCs/>
          <w:kern w:val="0"/>
          <w:sz w:val="24"/>
          <w:szCs w:val="24"/>
          <w:lang w:eastAsia="en-GB"/>
        </w:rPr>
        <w:t>qaraʾtu</w:t>
      </w:r>
      <w:proofErr w:type="spellEnd"/>
      <w:r>
        <w:rPr>
          <w:rFonts w:cs="Calibri"/>
          <w:i/>
          <w:iCs/>
          <w:kern w:val="0"/>
          <w:sz w:val="24"/>
          <w:szCs w:val="24"/>
          <w:lang w:eastAsia="en-GB"/>
        </w:rPr>
        <w:t xml:space="preserve"> </w:t>
      </w:r>
      <w:proofErr w:type="spellStart"/>
      <w:r>
        <w:rPr>
          <w:rFonts w:cs="Calibri"/>
          <w:i/>
          <w:iCs/>
          <w:kern w:val="0"/>
          <w:sz w:val="24"/>
          <w:szCs w:val="24"/>
          <w:lang w:eastAsia="en-GB"/>
        </w:rPr>
        <w:t>ʿalā</w:t>
      </w:r>
      <w:proofErr w:type="spellEnd"/>
      <w:r>
        <w:rPr>
          <w:rFonts w:cs="Calibri"/>
          <w:kern w:val="0"/>
          <w:sz w:val="24"/>
          <w:szCs w:val="24"/>
          <w:lang w:eastAsia="en-GB"/>
        </w:rPr>
        <w:t xml:space="preserve"> only slightly more in author-citing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(9%) than he does in other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(8%, based on 5,949/77,231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rarely when an </w:t>
      </w:r>
      <w:proofErr w:type="spellStart"/>
      <w:r>
        <w:rPr>
          <w:rFonts w:cs="Calibri"/>
          <w:i/>
          <w:iCs/>
          <w:kern w:val="0"/>
          <w:sz w:val="24"/>
          <w:szCs w:val="24"/>
          <w:lang w:eastAsia="en-GB"/>
        </w:rPr>
        <w:t>isnād</w:t>
      </w:r>
      <w:proofErr w:type="spellEnd"/>
      <w:r>
        <w:rPr>
          <w:rFonts w:cs="Calibri"/>
          <w:kern w:val="0"/>
          <w:sz w:val="24"/>
          <w:szCs w:val="24"/>
          <w:lang w:eastAsia="en-GB"/>
        </w:rPr>
        <w:t xml:space="preserve"> features an author’s name. This illustrates a general point the recurs throughout these blog posts: Ibn </w:t>
      </w:r>
      <w:proofErr w:type="spellStart"/>
      <w:r>
        <w:rPr>
          <w:rFonts w:cs="Calibri"/>
          <w:kern w:val="0"/>
          <w:sz w:val="24"/>
          <w:szCs w:val="24"/>
          <w:lang w:eastAsia="en-GB"/>
        </w:rPr>
        <w:t>ʿAsākir</w:t>
      </w:r>
      <w:proofErr w:type="spellEnd"/>
      <w:r>
        <w:rPr>
          <w:rFonts w:cs="Calibri"/>
          <w:kern w:val="0"/>
          <w:sz w:val="24"/>
          <w:szCs w:val="24"/>
          <w:lang w:eastAsia="en-GB"/>
        </w:rPr>
        <w:t xml:space="preserve"> does not seem to employ a consistent and transparent transmission vocabulary for the ways in which his direct informants shared material with him from people we today recognize as authors.</w:t>
      </w:r>
    </w:p>
    <w:bookmarkEnd w:id="5"/>
    <w:p w14:paraId="65471076" w14:textId="77777777" w:rsidR="004818C1" w:rsidRPr="00E361F2" w:rsidRDefault="00000000" w:rsidP="00E361F2">
      <w:pPr>
        <w:pStyle w:val="Heading3"/>
        <w:rPr>
          <w:i/>
          <w:iCs/>
        </w:rPr>
      </w:pPr>
      <w:proofErr w:type="spellStart"/>
      <w:r w:rsidRPr="00E361F2">
        <w:rPr>
          <w:i/>
          <w:iCs/>
        </w:rPr>
        <w:t>Kataba</w:t>
      </w:r>
      <w:proofErr w:type="spellEnd"/>
      <w:r w:rsidRPr="00E361F2">
        <w:rPr>
          <w:i/>
          <w:iCs/>
        </w:rPr>
        <w:t xml:space="preserve"> </w:t>
      </w:r>
      <w:proofErr w:type="spellStart"/>
      <w:r w:rsidRPr="00E361F2">
        <w:rPr>
          <w:i/>
          <w:iCs/>
        </w:rPr>
        <w:t>ilayya</w:t>
      </w:r>
      <w:proofErr w:type="spellEnd"/>
      <w:r w:rsidRPr="00E361F2">
        <w:rPr>
          <w:i/>
          <w:iCs/>
        </w:rPr>
        <w:t xml:space="preserve"> </w:t>
      </w:r>
    </w:p>
    <w:p w14:paraId="724F6A76" w14:textId="77777777" w:rsidR="004818C1" w:rsidRDefault="00000000">
      <w:pPr>
        <w:rPr>
          <w:rFonts w:cs="Calibri"/>
          <w:kern w:val="0"/>
          <w:sz w:val="24"/>
          <w:szCs w:val="24"/>
          <w:lang w:eastAsia="en-GB"/>
        </w:rPr>
      </w:pPr>
      <w:r>
        <w:rPr>
          <w:rFonts w:cs="Calibri"/>
          <w:kern w:val="0"/>
          <w:sz w:val="24"/>
          <w:szCs w:val="24"/>
          <w:lang w:eastAsia="en-GB"/>
        </w:rPr>
        <w:t xml:space="preserve">The second and much less frequent way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reports having received material through written means involves someone writing to him, as in this example: </w:t>
      </w:r>
    </w:p>
    <w:p w14:paraId="6BB42AC6" w14:textId="77777777" w:rsidR="004818C1" w:rsidRDefault="00000000">
      <w:pPr>
        <w:bidi/>
      </w:pPr>
      <w:r>
        <w:rPr>
          <w:rFonts w:cs="Calibri"/>
          <w:kern w:val="0"/>
          <w:sz w:val="24"/>
          <w:szCs w:val="24"/>
          <w:rtl/>
          <w:lang w:eastAsia="en-GB"/>
        </w:rPr>
        <w:lastRenderedPageBreak/>
        <w:t xml:space="preserve">كتب إلي أبو الحسين وابو عبد الله قالا أنا ابن </w:t>
      </w:r>
      <w:proofErr w:type="spellStart"/>
      <w:r>
        <w:rPr>
          <w:rFonts w:cs="Calibri"/>
          <w:kern w:val="0"/>
          <w:sz w:val="24"/>
          <w:szCs w:val="24"/>
          <w:rtl/>
          <w:lang w:eastAsia="en-GB"/>
        </w:rPr>
        <w:t>مندة</w:t>
      </w:r>
      <w:proofErr w:type="spellEnd"/>
      <w:r>
        <w:rPr>
          <w:rFonts w:cs="Calibri"/>
          <w:kern w:val="0"/>
          <w:sz w:val="24"/>
          <w:szCs w:val="24"/>
          <w:rtl/>
          <w:lang w:eastAsia="en-GB"/>
        </w:rPr>
        <w:t xml:space="preserve"> أنا حمد إجازة</w:t>
      </w:r>
    </w:p>
    <w:p w14:paraId="79D9DC25" w14:textId="77777777" w:rsidR="004818C1" w:rsidRDefault="00000000">
      <w:pPr>
        <w:ind w:left="720"/>
      </w:pPr>
      <w:proofErr w:type="spellStart"/>
      <w:r>
        <w:rPr>
          <w:rFonts w:cs="Calibri"/>
          <w:color w:val="000000"/>
          <w:kern w:val="0"/>
          <w:sz w:val="24"/>
          <w:szCs w:val="24"/>
          <w:lang w:eastAsia="en-GB"/>
        </w:rPr>
        <w:t>Abū</w:t>
      </w:r>
      <w:proofErr w:type="spellEnd"/>
      <w:r>
        <w:rPr>
          <w:rFonts w:cs="Calibri"/>
          <w:color w:val="000000"/>
          <w:kern w:val="0"/>
          <w:sz w:val="24"/>
          <w:szCs w:val="24"/>
          <w:lang w:eastAsia="en-GB"/>
        </w:rPr>
        <w:t xml:space="preserve"> al-</w:t>
      </w:r>
      <w:proofErr w:type="spellStart"/>
      <w:r>
        <w:rPr>
          <w:rFonts w:cs="Calibri"/>
          <w:color w:val="000000"/>
          <w:kern w:val="0"/>
          <w:sz w:val="24"/>
          <w:szCs w:val="24"/>
          <w:lang w:eastAsia="en-GB"/>
        </w:rPr>
        <w:t>Ḥusayn</w:t>
      </w:r>
      <w:proofErr w:type="spellEnd"/>
      <w:r>
        <w:rPr>
          <w:rFonts w:cs="Calibri"/>
          <w:color w:val="000000"/>
          <w:kern w:val="0"/>
          <w:sz w:val="24"/>
          <w:szCs w:val="24"/>
          <w:lang w:eastAsia="en-GB"/>
        </w:rPr>
        <w:t xml:space="preserve"> [Abu al-</w:t>
      </w:r>
      <w:proofErr w:type="spellStart"/>
      <w:r>
        <w:rPr>
          <w:rFonts w:cs="Calibri"/>
          <w:color w:val="000000"/>
          <w:kern w:val="0"/>
          <w:sz w:val="24"/>
          <w:szCs w:val="24"/>
          <w:lang w:eastAsia="en-GB"/>
        </w:rPr>
        <w:t>Husayn</w:t>
      </w:r>
      <w:proofErr w:type="spellEnd"/>
      <w:r>
        <w:rPr>
          <w:rFonts w:cs="Calibri"/>
          <w:color w:val="000000"/>
          <w:kern w:val="0"/>
          <w:sz w:val="24"/>
          <w:szCs w:val="24"/>
          <w:lang w:eastAsia="en-GB"/>
        </w:rPr>
        <w:t xml:space="preserve">] and </w:t>
      </w:r>
      <w:proofErr w:type="spellStart"/>
      <w:r>
        <w:rPr>
          <w:rFonts w:cs="Calibri"/>
          <w:color w:val="000000"/>
          <w:kern w:val="0"/>
          <w:sz w:val="24"/>
          <w:szCs w:val="24"/>
          <w:lang w:eastAsia="en-GB"/>
        </w:rPr>
        <w:t>Abū</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ʿAbd</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Allāh</w:t>
      </w:r>
      <w:proofErr w:type="spellEnd"/>
      <w:r>
        <w:rPr>
          <w:rFonts w:cs="Calibri"/>
          <w:color w:val="000000"/>
          <w:kern w:val="0"/>
          <w:sz w:val="24"/>
          <w:szCs w:val="24"/>
          <w:lang w:eastAsia="en-GB"/>
        </w:rPr>
        <w:t xml:space="preserve"> [Abu 'Abd Allah] wrote to me (</w:t>
      </w:r>
      <w:proofErr w:type="spellStart"/>
      <w:r>
        <w:rPr>
          <w:rFonts w:cs="Calibri"/>
          <w:i/>
          <w:color w:val="000000"/>
          <w:kern w:val="0"/>
          <w:sz w:val="24"/>
          <w:szCs w:val="24"/>
          <w:lang w:eastAsia="en-GB"/>
        </w:rPr>
        <w:t>kataba</w:t>
      </w:r>
      <w:proofErr w:type="spellEnd"/>
      <w:r>
        <w:rPr>
          <w:rFonts w:cs="Calibri"/>
          <w:i/>
          <w:color w:val="000000"/>
          <w:kern w:val="0"/>
          <w:sz w:val="24"/>
          <w:szCs w:val="24"/>
          <w:lang w:eastAsia="en-GB"/>
        </w:rPr>
        <w:t xml:space="preserve"> </w:t>
      </w:r>
      <w:proofErr w:type="spellStart"/>
      <w:r>
        <w:rPr>
          <w:rFonts w:cs="Calibri"/>
          <w:i/>
          <w:color w:val="000000"/>
          <w:kern w:val="0"/>
          <w:sz w:val="24"/>
          <w:szCs w:val="24"/>
          <w:lang w:eastAsia="en-GB"/>
        </w:rPr>
        <w:t>ilayya</w:t>
      </w:r>
      <w:proofErr w:type="spellEnd"/>
      <w:r>
        <w:rPr>
          <w:rFonts w:cs="Calibri"/>
          <w:color w:val="000000"/>
          <w:kern w:val="0"/>
          <w:sz w:val="24"/>
          <w:szCs w:val="24"/>
          <w:lang w:eastAsia="en-GB"/>
        </w:rPr>
        <w:t xml:space="preserve">), saying that Ibn Manda told them that he was told by Hamad via an </w:t>
      </w:r>
      <w:proofErr w:type="spellStart"/>
      <w:r>
        <w:rPr>
          <w:rFonts w:cs="Calibri"/>
          <w:i/>
          <w:color w:val="000000"/>
          <w:kern w:val="0"/>
          <w:sz w:val="24"/>
          <w:szCs w:val="24"/>
          <w:lang w:eastAsia="en-GB"/>
        </w:rPr>
        <w:t>ijāza</w:t>
      </w:r>
      <w:proofErr w:type="spellEnd"/>
      <w:r>
        <w:rPr>
          <w:rFonts w:cs="Calibri"/>
          <w:i/>
          <w:color w:val="000000"/>
          <w:kern w:val="0"/>
          <w:sz w:val="24"/>
          <w:szCs w:val="24"/>
          <w:lang w:eastAsia="en-GB"/>
        </w:rPr>
        <w:t xml:space="preserve"> </w:t>
      </w:r>
      <w:r>
        <w:rPr>
          <w:rFonts w:cs="Calibri"/>
          <w:color w:val="000000"/>
          <w:kern w:val="0"/>
          <w:sz w:val="24"/>
          <w:szCs w:val="24"/>
          <w:lang w:eastAsia="en-GB"/>
        </w:rPr>
        <w:t>that …</w:t>
      </w:r>
      <w:r>
        <w:rPr>
          <w:rStyle w:val="FootnoteReference"/>
          <w:rFonts w:cs="Calibri"/>
          <w:color w:val="000000"/>
          <w:kern w:val="0"/>
          <w:sz w:val="24"/>
          <w:szCs w:val="24"/>
          <w:lang w:eastAsia="en-GB"/>
        </w:rPr>
        <w:footnoteReference w:id="11"/>
      </w:r>
    </w:p>
    <w:p w14:paraId="35DF7F23" w14:textId="77777777" w:rsidR="004818C1" w:rsidRDefault="00000000">
      <w:r>
        <w:rPr>
          <w:rFonts w:cs="Calibri"/>
          <w:kern w:val="0"/>
          <w:sz w:val="24"/>
          <w:szCs w:val="24"/>
          <w:lang w:eastAsia="en-GB"/>
        </w:rPr>
        <w:t xml:space="preserve">We have translated the Arabic phrase </w:t>
      </w:r>
      <w:proofErr w:type="spellStart"/>
      <w:r>
        <w:rPr>
          <w:rFonts w:cs="Calibri"/>
          <w:i/>
          <w:iCs/>
          <w:kern w:val="0"/>
          <w:sz w:val="24"/>
          <w:szCs w:val="24"/>
          <w:lang w:eastAsia="en-GB"/>
        </w:rPr>
        <w:t>kataba</w:t>
      </w:r>
      <w:proofErr w:type="spellEnd"/>
      <w:r>
        <w:rPr>
          <w:rFonts w:cs="Calibri"/>
          <w:i/>
          <w:iCs/>
          <w:kern w:val="0"/>
          <w:sz w:val="24"/>
          <w:szCs w:val="24"/>
          <w:lang w:eastAsia="en-GB"/>
        </w:rPr>
        <w:t xml:space="preserve"> </w:t>
      </w:r>
      <w:proofErr w:type="spellStart"/>
      <w:r>
        <w:rPr>
          <w:rFonts w:cs="Calibri"/>
          <w:i/>
          <w:iCs/>
          <w:kern w:val="0"/>
          <w:sz w:val="24"/>
          <w:szCs w:val="24"/>
          <w:lang w:eastAsia="en-GB"/>
        </w:rPr>
        <w:t>ilayya</w:t>
      </w:r>
      <w:proofErr w:type="spellEnd"/>
      <w:r>
        <w:rPr>
          <w:rFonts w:cs="Calibri"/>
          <w:kern w:val="0"/>
          <w:sz w:val="24"/>
          <w:szCs w:val="24"/>
          <w:lang w:eastAsia="en-GB"/>
        </w:rPr>
        <w:t xml:space="preserve"> as ‘he wrote to me’ in Table 4.1. </w:t>
      </w:r>
      <w:bookmarkStart w:id="6" w:name="_Hlk138766239"/>
      <w:r>
        <w:rPr>
          <w:rFonts w:cs="Calibri"/>
          <w:kern w:val="0"/>
          <w:sz w:val="24"/>
          <w:szCs w:val="24"/>
          <w:lang w:eastAsia="en-GB"/>
        </w:rPr>
        <w:t xml:space="preserve">When we searched for this phrase at the start of paragraphs in the </w:t>
      </w:r>
      <w:r>
        <w:rPr>
          <w:rFonts w:cs="Calibri"/>
          <w:i/>
          <w:kern w:val="0"/>
          <w:sz w:val="24"/>
          <w:szCs w:val="24"/>
          <w:lang w:eastAsia="en-GB"/>
        </w:rPr>
        <w:t>TMD</w:t>
      </w:r>
      <w:r>
        <w:rPr>
          <w:rFonts w:cs="Calibri"/>
          <w:kern w:val="0"/>
          <w:sz w:val="24"/>
          <w:szCs w:val="24"/>
          <w:lang w:eastAsia="en-GB"/>
        </w:rPr>
        <w:t>, we found 1,063 results.</w:t>
      </w:r>
      <w:r>
        <w:rPr>
          <w:rFonts w:cs="Calibri"/>
          <w:kern w:val="0"/>
          <w:sz w:val="24"/>
          <w:szCs w:val="24"/>
          <w:vertAlign w:val="superscript"/>
          <w:lang w:val="en-US" w:eastAsia="en-GB"/>
        </w:rPr>
        <w:footnoteReference w:id="12"/>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credits a few people dozen of times with having written to him with information (see Table 4.3), but most direct informants who used this method of transmission did so only once, twice, or at most on three occasions. The people he cites most often in this way are generally not heavily represented in his </w:t>
      </w:r>
      <w:proofErr w:type="spellStart"/>
      <w:r>
        <w:rPr>
          <w:rFonts w:cs="Calibri"/>
          <w:i/>
          <w:iCs/>
          <w:kern w:val="0"/>
          <w:sz w:val="24"/>
          <w:szCs w:val="24"/>
          <w:lang w:eastAsia="en-GB"/>
        </w:rPr>
        <w:t>isnāds</w:t>
      </w:r>
      <w:proofErr w:type="spellEnd"/>
      <w:r>
        <w:rPr>
          <w:rFonts w:cs="Calibri"/>
          <w:kern w:val="0"/>
          <w:sz w:val="24"/>
          <w:szCs w:val="24"/>
          <w:lang w:eastAsia="en-GB"/>
        </w:rPr>
        <w:t xml:space="preserve"> as direct informants. The exception is Abu 'Ali al-Haddad, who used this method and is Ibn </w:t>
      </w:r>
      <w:proofErr w:type="spellStart"/>
      <w:r>
        <w:rPr>
          <w:rFonts w:cs="Calibri"/>
          <w:kern w:val="0"/>
          <w:sz w:val="24"/>
          <w:szCs w:val="24"/>
          <w:lang w:eastAsia="en-GB"/>
        </w:rPr>
        <w:t>ʿAsākir’s</w:t>
      </w:r>
      <w:proofErr w:type="spellEnd"/>
      <w:r>
        <w:rPr>
          <w:rFonts w:cs="Calibri"/>
          <w:kern w:val="0"/>
          <w:sz w:val="24"/>
          <w:szCs w:val="24"/>
          <w:lang w:eastAsia="en-GB"/>
        </w:rPr>
        <w:t xml:space="preserve"> ninth most-cited informant. Given its relative rarity within the </w:t>
      </w:r>
      <w:r>
        <w:rPr>
          <w:rFonts w:cs="Calibri"/>
          <w:i/>
          <w:iCs/>
          <w:kern w:val="0"/>
          <w:sz w:val="24"/>
          <w:szCs w:val="24"/>
          <w:lang w:eastAsia="en-GB"/>
        </w:rPr>
        <w:t>TMD</w:t>
      </w:r>
      <w:r>
        <w:rPr>
          <w:rFonts w:cs="Calibri"/>
          <w:kern w:val="0"/>
          <w:sz w:val="24"/>
          <w:szCs w:val="24"/>
          <w:lang w:eastAsia="en-GB"/>
        </w:rPr>
        <w:t xml:space="preserve">, this transmission mechanism does not seem to have played a major role in the work’s composition. </w:t>
      </w:r>
    </w:p>
    <w:tbl>
      <w:tblPr>
        <w:tblW w:w="9010" w:type="dxa"/>
        <w:tblCellMar>
          <w:left w:w="10" w:type="dxa"/>
          <w:right w:w="10" w:type="dxa"/>
        </w:tblCellMar>
        <w:tblLook w:val="04A0" w:firstRow="1" w:lastRow="0" w:firstColumn="1" w:lastColumn="0" w:noHBand="0" w:noVBand="1"/>
      </w:tblPr>
      <w:tblGrid>
        <w:gridCol w:w="4816"/>
        <w:gridCol w:w="1035"/>
        <w:gridCol w:w="1878"/>
        <w:gridCol w:w="1281"/>
      </w:tblGrid>
      <w:tr w:rsidR="004818C1" w14:paraId="5ED3DEC5" w14:textId="77777777">
        <w:trPr>
          <w:trHeight w:val="315"/>
        </w:trPr>
        <w:tc>
          <w:tcPr>
            <w:tcW w:w="4816"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bottom"/>
          </w:tcPr>
          <w:p w14:paraId="5A1D39C1" w14:textId="77777777" w:rsidR="004818C1" w:rsidRDefault="00000000">
            <w:pPr>
              <w:jc w:val="center"/>
              <w:rPr>
                <w:rFonts w:eastAsia="Times New Roman" w:cs="Calibri"/>
                <w:b/>
                <w:bCs/>
                <w:kern w:val="0"/>
                <w:sz w:val="24"/>
                <w:szCs w:val="24"/>
                <w:lang w:eastAsia="en-GB"/>
              </w:rPr>
            </w:pPr>
            <w:r>
              <w:rPr>
                <w:rFonts w:eastAsia="Times New Roman" w:cs="Calibri"/>
                <w:b/>
                <w:bCs/>
                <w:kern w:val="0"/>
                <w:sz w:val="24"/>
                <w:szCs w:val="24"/>
                <w:lang w:eastAsia="en-GB"/>
              </w:rPr>
              <w:t>Name</w:t>
            </w:r>
          </w:p>
        </w:tc>
        <w:tc>
          <w:tcPr>
            <w:tcW w:w="1035"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tcPr>
          <w:p w14:paraId="2E3D8B5D" w14:textId="77777777" w:rsidR="004818C1" w:rsidRDefault="00000000">
            <w:pPr>
              <w:jc w:val="center"/>
              <w:rPr>
                <w:rFonts w:eastAsia="Times New Roman" w:cs="Calibri"/>
                <w:b/>
                <w:bCs/>
                <w:kern w:val="0"/>
                <w:sz w:val="24"/>
                <w:szCs w:val="24"/>
                <w:lang w:eastAsia="en-GB"/>
              </w:rPr>
            </w:pPr>
            <w:r>
              <w:rPr>
                <w:rFonts w:eastAsia="Times New Roman" w:cs="Calibri"/>
                <w:b/>
                <w:bCs/>
                <w:kern w:val="0"/>
                <w:sz w:val="24"/>
                <w:szCs w:val="24"/>
                <w:lang w:eastAsia="en-GB"/>
              </w:rPr>
              <w:t>Died</w:t>
            </w:r>
          </w:p>
        </w:tc>
        <w:tc>
          <w:tcPr>
            <w:tcW w:w="1878"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tcPr>
          <w:p w14:paraId="0A1837FE" w14:textId="77777777" w:rsidR="004818C1" w:rsidRDefault="00000000">
            <w:pPr>
              <w:jc w:val="center"/>
            </w:pPr>
            <w:r>
              <w:rPr>
                <w:rFonts w:eastAsia="Times New Roman" w:cs="Calibri"/>
                <w:b/>
                <w:bCs/>
                <w:kern w:val="0"/>
                <w:sz w:val="24"/>
                <w:szCs w:val="24"/>
                <w:lang w:eastAsia="en-GB"/>
              </w:rPr>
              <w:t xml:space="preserve"># of </w:t>
            </w:r>
            <w:proofErr w:type="spellStart"/>
            <w:r>
              <w:rPr>
                <w:rFonts w:eastAsia="Times New Roman" w:cs="Calibri"/>
                <w:b/>
                <w:bCs/>
                <w:i/>
                <w:iCs/>
                <w:kern w:val="0"/>
                <w:sz w:val="24"/>
                <w:szCs w:val="24"/>
                <w:lang w:eastAsia="en-GB"/>
              </w:rPr>
              <w:t>kataba</w:t>
            </w:r>
            <w:proofErr w:type="spellEnd"/>
            <w:r>
              <w:rPr>
                <w:rFonts w:eastAsia="Times New Roman" w:cs="Calibri"/>
                <w:b/>
                <w:bCs/>
                <w:i/>
                <w:iCs/>
                <w:kern w:val="0"/>
                <w:sz w:val="24"/>
                <w:szCs w:val="24"/>
                <w:lang w:eastAsia="en-GB"/>
              </w:rPr>
              <w:t xml:space="preserve"> </w:t>
            </w:r>
            <w:proofErr w:type="spellStart"/>
            <w:r>
              <w:rPr>
                <w:rFonts w:eastAsia="Times New Roman" w:cs="Calibri"/>
                <w:b/>
                <w:bCs/>
                <w:i/>
                <w:iCs/>
                <w:kern w:val="0"/>
                <w:sz w:val="24"/>
                <w:szCs w:val="24"/>
                <w:lang w:eastAsia="en-GB"/>
              </w:rPr>
              <w:t>ilayya</w:t>
            </w:r>
            <w:proofErr w:type="spellEnd"/>
          </w:p>
        </w:tc>
        <w:tc>
          <w:tcPr>
            <w:tcW w:w="1281"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tcPr>
          <w:p w14:paraId="5E28D081" w14:textId="77777777" w:rsidR="004818C1" w:rsidRDefault="00000000">
            <w:pPr>
              <w:jc w:val="center"/>
            </w:pPr>
            <w:r>
              <w:rPr>
                <w:rFonts w:eastAsia="Times New Roman" w:cs="Calibri"/>
                <w:b/>
                <w:bCs/>
                <w:kern w:val="0"/>
                <w:sz w:val="24"/>
                <w:szCs w:val="24"/>
                <w:lang w:eastAsia="en-GB"/>
              </w:rPr>
              <w:t>Total</w:t>
            </w:r>
            <w:r>
              <w:rPr>
                <w:rFonts w:eastAsia="Times New Roman" w:cs="Calibri"/>
                <w:b/>
                <w:bCs/>
                <w:i/>
                <w:iCs/>
                <w:kern w:val="0"/>
                <w:sz w:val="24"/>
                <w:szCs w:val="24"/>
                <w:lang w:eastAsia="en-GB"/>
              </w:rPr>
              <w:t xml:space="preserve"> </w:t>
            </w:r>
            <w:proofErr w:type="spellStart"/>
            <w:r>
              <w:rPr>
                <w:rFonts w:eastAsia="Times New Roman" w:cs="Calibri"/>
                <w:b/>
                <w:bCs/>
                <w:i/>
                <w:iCs/>
                <w:kern w:val="0"/>
                <w:sz w:val="24"/>
                <w:szCs w:val="24"/>
                <w:lang w:eastAsia="en-GB"/>
              </w:rPr>
              <w:t>isnād</w:t>
            </w:r>
            <w:r>
              <w:rPr>
                <w:rFonts w:eastAsia="Times New Roman" w:cs="Calibri"/>
                <w:b/>
                <w:bCs/>
                <w:kern w:val="0"/>
                <w:sz w:val="24"/>
                <w:szCs w:val="24"/>
                <w:lang w:eastAsia="en-GB"/>
              </w:rPr>
              <w:t>s</w:t>
            </w:r>
            <w:proofErr w:type="spellEnd"/>
          </w:p>
        </w:tc>
      </w:tr>
      <w:tr w:rsidR="004818C1" w14:paraId="067759D2" w14:textId="77777777">
        <w:trPr>
          <w:trHeight w:val="315"/>
        </w:trPr>
        <w:tc>
          <w:tcPr>
            <w:tcW w:w="4816"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011619B7" w14:textId="77777777" w:rsidR="004818C1" w:rsidRDefault="00000000">
            <w:pPr>
              <w:jc w:val="center"/>
              <w:rPr>
                <w:rFonts w:eastAsia="Times New Roman" w:cs="Calibri"/>
                <w:kern w:val="0"/>
                <w:sz w:val="24"/>
                <w:szCs w:val="24"/>
                <w:lang w:val="it-IT" w:eastAsia="en-GB"/>
              </w:rPr>
            </w:pPr>
            <w:r>
              <w:rPr>
                <w:rFonts w:eastAsia="Times New Roman" w:cs="Calibri"/>
                <w:kern w:val="0"/>
                <w:sz w:val="24"/>
                <w:szCs w:val="24"/>
                <w:lang w:val="it-IT" w:eastAsia="en-GB"/>
              </w:rPr>
              <w:t>Abu Nasr b. al-</w:t>
            </w:r>
            <w:proofErr w:type="spellStart"/>
            <w:r>
              <w:rPr>
                <w:rFonts w:eastAsia="Times New Roman" w:cs="Calibri"/>
                <w:kern w:val="0"/>
                <w:sz w:val="24"/>
                <w:szCs w:val="24"/>
                <w:lang w:val="it-IT" w:eastAsia="en-GB"/>
              </w:rPr>
              <w:t>Qushayri</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E53568"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w:t>
            </w:r>
          </w:p>
        </w:tc>
        <w:tc>
          <w:tcPr>
            <w:tcW w:w="18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3EABE7" w14:textId="77777777" w:rsidR="004818C1" w:rsidRDefault="00000000">
            <w:pPr>
              <w:jc w:val="center"/>
            </w:pPr>
            <w:r>
              <w:rPr>
                <w:rFonts w:cs="Calibri"/>
                <w:sz w:val="24"/>
                <w:szCs w:val="24"/>
              </w:rPr>
              <w:t>119</w:t>
            </w:r>
          </w:p>
        </w:tc>
        <w:tc>
          <w:tcPr>
            <w:tcW w:w="128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255890B" w14:textId="77777777" w:rsidR="004818C1" w:rsidRDefault="00000000">
            <w:pPr>
              <w:jc w:val="center"/>
            </w:pPr>
            <w:r>
              <w:rPr>
                <w:rFonts w:cs="Calibri"/>
                <w:sz w:val="24"/>
                <w:szCs w:val="24"/>
              </w:rPr>
              <w:t>168</w:t>
            </w:r>
          </w:p>
        </w:tc>
      </w:tr>
      <w:tr w:rsidR="004818C1" w14:paraId="3FA104ED" w14:textId="77777777">
        <w:trPr>
          <w:trHeight w:val="315"/>
        </w:trPr>
        <w:tc>
          <w:tcPr>
            <w:tcW w:w="4816"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2BBD7334"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 xml:space="preserve">Abu </w:t>
            </w:r>
            <w:proofErr w:type="spellStart"/>
            <w:r>
              <w:rPr>
                <w:rFonts w:eastAsia="Times New Roman" w:cs="Calibri"/>
                <w:kern w:val="0"/>
                <w:sz w:val="24"/>
                <w:szCs w:val="24"/>
                <w:lang w:eastAsia="en-GB"/>
              </w:rPr>
              <w:t>Zakariyya</w:t>
            </w:r>
            <w:proofErr w:type="spellEnd"/>
            <w:r>
              <w:rPr>
                <w:rFonts w:eastAsia="Times New Roman" w:cs="Calibri"/>
                <w:kern w:val="0"/>
                <w:sz w:val="24"/>
                <w:szCs w:val="24"/>
                <w:lang w:eastAsia="en-GB"/>
              </w:rPr>
              <w:t xml:space="preserve"> Yahya b. 'Abd al-</w:t>
            </w:r>
            <w:proofErr w:type="spellStart"/>
            <w:r>
              <w:rPr>
                <w:rFonts w:eastAsia="Times New Roman" w:cs="Calibri"/>
                <w:kern w:val="0"/>
                <w:sz w:val="24"/>
                <w:szCs w:val="24"/>
                <w:lang w:eastAsia="en-GB"/>
              </w:rPr>
              <w:t>Wahhab</w:t>
            </w:r>
            <w:proofErr w:type="spellEnd"/>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96849"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512/1118</w:t>
            </w:r>
          </w:p>
        </w:tc>
        <w:tc>
          <w:tcPr>
            <w:tcW w:w="18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227C8F" w14:textId="77777777" w:rsidR="004818C1" w:rsidRDefault="00000000">
            <w:pPr>
              <w:jc w:val="center"/>
            </w:pPr>
            <w:r>
              <w:rPr>
                <w:rFonts w:cs="Calibri"/>
                <w:sz w:val="24"/>
                <w:szCs w:val="24"/>
              </w:rPr>
              <w:t>97</w:t>
            </w:r>
          </w:p>
        </w:tc>
        <w:tc>
          <w:tcPr>
            <w:tcW w:w="128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A112ABA" w14:textId="77777777" w:rsidR="004818C1" w:rsidRDefault="00000000">
            <w:pPr>
              <w:jc w:val="center"/>
            </w:pPr>
            <w:r>
              <w:rPr>
                <w:rFonts w:cs="Calibri"/>
                <w:sz w:val="24"/>
                <w:szCs w:val="24"/>
              </w:rPr>
              <w:t>104</w:t>
            </w:r>
          </w:p>
        </w:tc>
      </w:tr>
      <w:tr w:rsidR="004818C1" w14:paraId="7321E233" w14:textId="77777777">
        <w:trPr>
          <w:trHeight w:val="315"/>
        </w:trPr>
        <w:tc>
          <w:tcPr>
            <w:tcW w:w="4816"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F46CC65"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Bakr 'Abd al-Ghaffar b. Muhammad</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BFF6D"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w:t>
            </w:r>
          </w:p>
        </w:tc>
        <w:tc>
          <w:tcPr>
            <w:tcW w:w="18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22F668" w14:textId="77777777" w:rsidR="004818C1" w:rsidRDefault="00000000">
            <w:pPr>
              <w:jc w:val="center"/>
            </w:pPr>
            <w:r>
              <w:rPr>
                <w:rFonts w:cs="Calibri"/>
                <w:sz w:val="24"/>
                <w:szCs w:val="24"/>
              </w:rPr>
              <w:t>49</w:t>
            </w:r>
          </w:p>
        </w:tc>
        <w:tc>
          <w:tcPr>
            <w:tcW w:w="128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B53A65C" w14:textId="77777777" w:rsidR="004818C1" w:rsidRDefault="00000000">
            <w:pPr>
              <w:jc w:val="center"/>
            </w:pPr>
            <w:r>
              <w:rPr>
                <w:rFonts w:cs="Calibri"/>
                <w:sz w:val="24"/>
                <w:szCs w:val="24"/>
              </w:rPr>
              <w:t>73</w:t>
            </w:r>
          </w:p>
        </w:tc>
      </w:tr>
      <w:tr w:rsidR="004818C1" w14:paraId="78C7B5EE" w14:textId="77777777">
        <w:trPr>
          <w:trHeight w:val="315"/>
        </w:trPr>
        <w:tc>
          <w:tcPr>
            <w:tcW w:w="4816"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75EFA301"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'Ali al-Haddad</w:t>
            </w:r>
          </w:p>
        </w:tc>
        <w:tc>
          <w:tcPr>
            <w:tcW w:w="10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4D4D89"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515/1121</w:t>
            </w:r>
          </w:p>
        </w:tc>
        <w:tc>
          <w:tcPr>
            <w:tcW w:w="187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A4311A" w14:textId="77777777" w:rsidR="004818C1" w:rsidRDefault="00000000">
            <w:pPr>
              <w:jc w:val="center"/>
            </w:pPr>
            <w:r>
              <w:rPr>
                <w:rFonts w:cs="Calibri"/>
                <w:sz w:val="24"/>
                <w:szCs w:val="24"/>
              </w:rPr>
              <w:t>44</w:t>
            </w:r>
          </w:p>
        </w:tc>
        <w:tc>
          <w:tcPr>
            <w:tcW w:w="1281"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12FC6BFE" w14:textId="77777777" w:rsidR="004818C1" w:rsidRDefault="00000000">
            <w:pPr>
              <w:jc w:val="center"/>
            </w:pPr>
            <w:r>
              <w:rPr>
                <w:rFonts w:cs="Calibri"/>
                <w:sz w:val="24"/>
                <w:szCs w:val="24"/>
              </w:rPr>
              <w:t>1,950</w:t>
            </w:r>
          </w:p>
        </w:tc>
      </w:tr>
      <w:tr w:rsidR="004818C1" w14:paraId="498CEB0C" w14:textId="77777777">
        <w:trPr>
          <w:trHeight w:val="315"/>
        </w:trPr>
        <w:tc>
          <w:tcPr>
            <w:tcW w:w="4816"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tcPr>
          <w:p w14:paraId="209B5BD1"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Abu 'Abd Allah Muhammad b. Ahmad b. Ibrahim</w:t>
            </w:r>
          </w:p>
        </w:tc>
        <w:tc>
          <w:tcPr>
            <w:tcW w:w="10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31E35D3" w14:textId="77777777" w:rsidR="004818C1" w:rsidRDefault="00000000">
            <w:pPr>
              <w:jc w:val="center"/>
              <w:rPr>
                <w:rFonts w:eastAsia="Times New Roman" w:cs="Calibri"/>
                <w:kern w:val="0"/>
                <w:sz w:val="24"/>
                <w:szCs w:val="24"/>
                <w:lang w:eastAsia="en-GB"/>
              </w:rPr>
            </w:pPr>
            <w:r>
              <w:rPr>
                <w:rFonts w:eastAsia="Times New Roman" w:cs="Calibri"/>
                <w:kern w:val="0"/>
                <w:sz w:val="24"/>
                <w:szCs w:val="24"/>
                <w:lang w:eastAsia="en-GB"/>
              </w:rPr>
              <w:t>?</w:t>
            </w:r>
          </w:p>
        </w:tc>
        <w:tc>
          <w:tcPr>
            <w:tcW w:w="187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39038B69" w14:textId="77777777" w:rsidR="004818C1" w:rsidRDefault="00000000">
            <w:pPr>
              <w:jc w:val="center"/>
            </w:pPr>
            <w:r>
              <w:rPr>
                <w:rFonts w:cs="Calibri"/>
                <w:sz w:val="24"/>
                <w:szCs w:val="24"/>
              </w:rPr>
              <w:t>42</w:t>
            </w:r>
          </w:p>
        </w:tc>
        <w:tc>
          <w:tcPr>
            <w:tcW w:w="128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580817FB" w14:textId="77777777" w:rsidR="004818C1" w:rsidRDefault="00000000">
            <w:pPr>
              <w:jc w:val="center"/>
            </w:pPr>
            <w:r>
              <w:rPr>
                <w:rFonts w:cs="Calibri"/>
                <w:sz w:val="24"/>
                <w:szCs w:val="24"/>
              </w:rPr>
              <w:t>128</w:t>
            </w:r>
          </w:p>
        </w:tc>
      </w:tr>
    </w:tbl>
    <w:p w14:paraId="3E2216A8" w14:textId="77777777" w:rsidR="004818C1" w:rsidRDefault="00000000">
      <w:r>
        <w:rPr>
          <w:rFonts w:cs="Calibri"/>
          <w:kern w:val="0"/>
          <w:sz w:val="24"/>
          <w:szCs w:val="24"/>
          <w:lang w:eastAsia="en-GB"/>
        </w:rPr>
        <w:t xml:space="preserve">Table 4.3: The direct informants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describes most often as writing to him with information (</w:t>
      </w:r>
      <w:proofErr w:type="spellStart"/>
      <w:r>
        <w:rPr>
          <w:rFonts w:cs="Calibri"/>
          <w:i/>
          <w:kern w:val="0"/>
          <w:sz w:val="24"/>
          <w:szCs w:val="24"/>
          <w:lang w:eastAsia="en-GB"/>
        </w:rPr>
        <w:t>kataba</w:t>
      </w:r>
      <w:proofErr w:type="spellEnd"/>
      <w:r>
        <w:rPr>
          <w:rFonts w:cs="Calibri"/>
          <w:i/>
          <w:kern w:val="0"/>
          <w:sz w:val="24"/>
          <w:szCs w:val="24"/>
          <w:lang w:eastAsia="en-GB"/>
        </w:rPr>
        <w:t xml:space="preserve"> </w:t>
      </w:r>
      <w:proofErr w:type="spellStart"/>
      <w:r>
        <w:rPr>
          <w:rFonts w:cs="Calibri"/>
          <w:i/>
          <w:kern w:val="0"/>
          <w:sz w:val="24"/>
          <w:szCs w:val="24"/>
          <w:lang w:eastAsia="en-GB"/>
        </w:rPr>
        <w:t>ilayya</w:t>
      </w:r>
      <w:proofErr w:type="spellEnd"/>
      <w:r>
        <w:rPr>
          <w:rFonts w:cs="Calibri"/>
          <w:kern w:val="0"/>
          <w:sz w:val="24"/>
          <w:szCs w:val="24"/>
          <w:lang w:eastAsia="en-GB"/>
        </w:rPr>
        <w:t xml:space="preserve">). </w:t>
      </w:r>
    </w:p>
    <w:p w14:paraId="3CCC0911" w14:textId="77777777" w:rsidR="004818C1" w:rsidRDefault="00000000">
      <w:r>
        <w:rPr>
          <w:rFonts w:cs="Calibri"/>
          <w:kern w:val="0"/>
          <w:sz w:val="24"/>
          <w:szCs w:val="24"/>
          <w:lang w:eastAsia="en-GB"/>
        </w:rPr>
        <w:t xml:space="preserve">If Ibn </w:t>
      </w:r>
      <w:proofErr w:type="spellStart"/>
      <w:r>
        <w:rPr>
          <w:rFonts w:cs="Calibri"/>
          <w:kern w:val="0"/>
          <w:sz w:val="24"/>
          <w:szCs w:val="24"/>
          <w:lang w:eastAsia="en-GB"/>
        </w:rPr>
        <w:t>ʿAsākir</w:t>
      </w:r>
      <w:proofErr w:type="spellEnd"/>
      <w:r>
        <w:rPr>
          <w:rFonts w:cs="Calibri"/>
          <w:kern w:val="0"/>
          <w:sz w:val="24"/>
          <w:szCs w:val="24"/>
          <w:lang w:eastAsia="en-GB"/>
        </w:rPr>
        <w:t xml:space="preserve"> obtained material from </w:t>
      </w:r>
      <w:r>
        <w:rPr>
          <w:rFonts w:eastAsia="Times New Roman" w:cs="Calibri"/>
          <w:kern w:val="0"/>
          <w:sz w:val="24"/>
          <w:szCs w:val="24"/>
          <w:lang w:eastAsia="en-GB"/>
        </w:rPr>
        <w:t xml:space="preserve">Abu </w:t>
      </w:r>
      <w:proofErr w:type="spellStart"/>
      <w:r>
        <w:rPr>
          <w:rFonts w:eastAsia="Times New Roman" w:cs="Calibri"/>
          <w:kern w:val="0"/>
          <w:sz w:val="24"/>
          <w:szCs w:val="24"/>
          <w:lang w:eastAsia="en-GB"/>
        </w:rPr>
        <w:t>Zakariyya</w:t>
      </w:r>
      <w:proofErr w:type="spellEnd"/>
      <w:r>
        <w:rPr>
          <w:rFonts w:eastAsia="Times New Roman" w:cs="Calibri"/>
          <w:kern w:val="0"/>
          <w:sz w:val="24"/>
          <w:szCs w:val="24"/>
          <w:lang w:eastAsia="en-GB"/>
        </w:rPr>
        <w:t xml:space="preserve"> Yahya b. 'Abd al-</w:t>
      </w:r>
      <w:proofErr w:type="spellStart"/>
      <w:r>
        <w:rPr>
          <w:rFonts w:eastAsia="Times New Roman" w:cs="Calibri"/>
          <w:kern w:val="0"/>
          <w:sz w:val="24"/>
          <w:szCs w:val="24"/>
          <w:lang w:eastAsia="en-GB"/>
        </w:rPr>
        <w:t>Wahhab</w:t>
      </w:r>
      <w:proofErr w:type="spellEnd"/>
      <w:r>
        <w:rPr>
          <w:rFonts w:eastAsia="Times New Roman" w:cs="Calibri"/>
          <w:kern w:val="0"/>
          <w:sz w:val="24"/>
          <w:szCs w:val="24"/>
          <w:lang w:eastAsia="en-GB"/>
        </w:rPr>
        <w:t xml:space="preserve"> and Abu 'Ali al-Haddad during their lifetimes, he would have been quite young at the time, since he was born in 499/1105 and both of these informants were dead by 515/1121</w:t>
      </w:r>
      <w:r>
        <w:rPr>
          <w:rFonts w:cs="Calibri"/>
          <w:kern w:val="0"/>
          <w:sz w:val="24"/>
          <w:szCs w:val="24"/>
          <w:lang w:eastAsia="en-GB"/>
        </w:rPr>
        <w:t>.</w:t>
      </w:r>
    </w:p>
    <w:p w14:paraId="7A84A970" w14:textId="77777777" w:rsidR="004818C1" w:rsidRDefault="00000000">
      <w:r>
        <w:rPr>
          <w:rFonts w:cs="Calibri"/>
          <w:kern w:val="0"/>
          <w:sz w:val="24"/>
          <w:szCs w:val="24"/>
          <w:lang w:eastAsia="en-GB"/>
        </w:rPr>
        <w:t xml:space="preserve">Devin Stewart believes this phrase usually means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received an </w:t>
      </w:r>
      <w:proofErr w:type="spellStart"/>
      <w:r>
        <w:rPr>
          <w:rFonts w:cs="Calibri"/>
          <w:i/>
          <w:iCs/>
          <w:kern w:val="0"/>
          <w:sz w:val="24"/>
          <w:szCs w:val="24"/>
          <w:lang w:eastAsia="en-GB"/>
        </w:rPr>
        <w:t>ijāza</w:t>
      </w:r>
      <w:proofErr w:type="spellEnd"/>
      <w:r>
        <w:rPr>
          <w:rFonts w:cs="Calibri"/>
          <w:kern w:val="0"/>
          <w:sz w:val="24"/>
          <w:szCs w:val="24"/>
          <w:lang w:eastAsia="en-GB"/>
        </w:rPr>
        <w:t xml:space="preserve"> giving him and </w:t>
      </w:r>
      <w:proofErr w:type="spellStart"/>
      <w:r>
        <w:rPr>
          <w:rFonts w:cs="Calibri"/>
          <w:i/>
          <w:iCs/>
          <w:kern w:val="0"/>
          <w:sz w:val="24"/>
          <w:szCs w:val="24"/>
          <w:lang w:eastAsia="en-GB"/>
        </w:rPr>
        <w:t>isnād</w:t>
      </w:r>
      <w:proofErr w:type="spellEnd"/>
      <w:r>
        <w:rPr>
          <w:rFonts w:cs="Calibri"/>
          <w:kern w:val="0"/>
          <w:sz w:val="24"/>
          <w:szCs w:val="24"/>
          <w:lang w:eastAsia="en-GB"/>
        </w:rPr>
        <w:t xml:space="preserve"> back to the work in question in the form of a letter (in other words, an </w:t>
      </w:r>
      <w:proofErr w:type="spellStart"/>
      <w:r>
        <w:rPr>
          <w:rFonts w:cs="Calibri"/>
          <w:i/>
          <w:iCs/>
          <w:kern w:val="0"/>
          <w:sz w:val="24"/>
          <w:szCs w:val="24"/>
          <w:lang w:eastAsia="en-GB"/>
        </w:rPr>
        <w:t>ijāza</w:t>
      </w:r>
      <w:proofErr w:type="spellEnd"/>
      <w:r>
        <w:rPr>
          <w:rFonts w:cs="Calibri"/>
          <w:kern w:val="0"/>
          <w:sz w:val="24"/>
          <w:szCs w:val="24"/>
          <w:lang w:eastAsia="en-GB"/>
        </w:rPr>
        <w:t xml:space="preserve"> by correspondence). Perhaps Ibn </w:t>
      </w:r>
      <w:proofErr w:type="spellStart"/>
      <w:r>
        <w:rPr>
          <w:rFonts w:cs="Calibri"/>
          <w:kern w:val="0"/>
          <w:sz w:val="24"/>
          <w:szCs w:val="24"/>
          <w:lang w:eastAsia="en-GB"/>
        </w:rPr>
        <w:t>ʿAsākir’s</w:t>
      </w:r>
      <w:proofErr w:type="spellEnd"/>
      <w:r>
        <w:rPr>
          <w:rFonts w:cs="Calibri"/>
          <w:kern w:val="0"/>
          <w:sz w:val="24"/>
          <w:szCs w:val="24"/>
          <w:lang w:eastAsia="en-GB"/>
        </w:rPr>
        <w:t xml:space="preserve"> father or teacher got him </w:t>
      </w:r>
      <w:proofErr w:type="spellStart"/>
      <w:r>
        <w:rPr>
          <w:rFonts w:cs="Calibri"/>
          <w:i/>
          <w:iCs/>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xml:space="preserve"> by correspondence when he was young.</w:t>
      </w:r>
      <w:r>
        <w:rPr>
          <w:rFonts w:cs="Calibri"/>
          <w:kern w:val="0"/>
          <w:sz w:val="24"/>
          <w:szCs w:val="24"/>
          <w:vertAlign w:val="superscript"/>
          <w:lang w:eastAsia="en-GB"/>
        </w:rPr>
        <w:footnoteReference w:id="13"/>
      </w:r>
      <w:r>
        <w:rPr>
          <w:rFonts w:cs="Calibri"/>
          <w:kern w:val="0"/>
          <w:sz w:val="24"/>
          <w:szCs w:val="24"/>
          <w:lang w:eastAsia="en-GB"/>
        </w:rPr>
        <w:t xml:space="preserve"> This interpretation seems plausible.</w:t>
      </w:r>
    </w:p>
    <w:bookmarkEnd w:id="6"/>
    <w:p w14:paraId="4E652CD7" w14:textId="77777777" w:rsidR="004818C1" w:rsidRDefault="00000000" w:rsidP="00E361F2">
      <w:pPr>
        <w:pStyle w:val="Heading2"/>
      </w:pPr>
      <w:r>
        <w:lastRenderedPageBreak/>
        <w:t>Supplementary terms</w:t>
      </w:r>
    </w:p>
    <w:p w14:paraId="1A761763" w14:textId="77777777" w:rsidR="004818C1" w:rsidRDefault="00000000">
      <w:bookmarkStart w:id="7" w:name="_Hlk138768602"/>
      <w:r>
        <w:rPr>
          <w:sz w:val="24"/>
          <w:szCs w:val="24"/>
        </w:rPr>
        <w:t xml:space="preserve">In a few instances, representing 4.9% of his citations, Ibn </w:t>
      </w:r>
      <w:proofErr w:type="spellStart"/>
      <w:r>
        <w:rPr>
          <w:sz w:val="24"/>
          <w:szCs w:val="24"/>
        </w:rPr>
        <w:t>ʿAsākir</w:t>
      </w:r>
      <w:proofErr w:type="spellEnd"/>
      <w:r>
        <w:rPr>
          <w:sz w:val="24"/>
          <w:szCs w:val="24"/>
        </w:rPr>
        <w:t xml:space="preserve"> describes more specifically how he acquired the quoted information from his informants. In 19% of these cases (in 710 </w:t>
      </w:r>
      <w:proofErr w:type="spellStart"/>
      <w:r>
        <w:rPr>
          <w:i/>
          <w:iCs/>
          <w:sz w:val="24"/>
          <w:szCs w:val="24"/>
        </w:rPr>
        <w:t>isnād</w:t>
      </w:r>
      <w:r>
        <w:rPr>
          <w:sz w:val="24"/>
          <w:szCs w:val="24"/>
        </w:rPr>
        <w:t>s</w:t>
      </w:r>
      <w:proofErr w:type="spellEnd"/>
      <w:r>
        <w:rPr>
          <w:sz w:val="24"/>
          <w:szCs w:val="24"/>
        </w:rPr>
        <w:t>), he uses more than one of the terms listed in Table 4.4.</w:t>
      </w:r>
    </w:p>
    <w:tbl>
      <w:tblPr>
        <w:tblW w:w="9010" w:type="dxa"/>
        <w:tblCellMar>
          <w:left w:w="10" w:type="dxa"/>
          <w:right w:w="10" w:type="dxa"/>
        </w:tblCellMar>
        <w:tblLook w:val="04A0" w:firstRow="1" w:lastRow="0" w:firstColumn="1" w:lastColumn="0" w:noHBand="0" w:noVBand="1"/>
      </w:tblPr>
      <w:tblGrid>
        <w:gridCol w:w="2645"/>
        <w:gridCol w:w="3481"/>
        <w:gridCol w:w="2884"/>
      </w:tblGrid>
      <w:tr w:rsidR="004818C1" w14:paraId="64BC0FC2" w14:textId="77777777">
        <w:trPr>
          <w:trHeight w:val="315"/>
        </w:trPr>
        <w:tc>
          <w:tcPr>
            <w:tcW w:w="2645"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center"/>
          </w:tcPr>
          <w:p w14:paraId="3F6BFE4B" w14:textId="77777777" w:rsidR="004818C1" w:rsidRDefault="00000000">
            <w:pPr>
              <w:jc w:val="center"/>
              <w:rPr>
                <w:rFonts w:eastAsia="Times New Roman" w:cs="Calibri"/>
                <w:b/>
                <w:bCs/>
                <w:kern w:val="0"/>
                <w:sz w:val="24"/>
                <w:szCs w:val="24"/>
                <w:lang w:eastAsia="en-GB"/>
              </w:rPr>
            </w:pPr>
            <w:r>
              <w:rPr>
                <w:rFonts w:eastAsia="Times New Roman" w:cs="Calibri"/>
                <w:b/>
                <w:bCs/>
                <w:kern w:val="0"/>
                <w:sz w:val="24"/>
                <w:szCs w:val="24"/>
                <w:lang w:eastAsia="en-GB"/>
              </w:rPr>
              <w:t>Term - most common Form</w:t>
            </w:r>
          </w:p>
        </w:tc>
        <w:tc>
          <w:tcPr>
            <w:tcW w:w="3481"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tcPr>
          <w:p w14:paraId="2D07481B" w14:textId="77777777" w:rsidR="004818C1" w:rsidRDefault="00000000">
            <w:pPr>
              <w:jc w:val="center"/>
              <w:rPr>
                <w:rFonts w:eastAsia="Times New Roman" w:cs="Calibri"/>
                <w:b/>
                <w:bCs/>
                <w:kern w:val="0"/>
                <w:sz w:val="24"/>
                <w:szCs w:val="24"/>
                <w:lang w:eastAsia="en-GB"/>
              </w:rPr>
            </w:pPr>
            <w:r>
              <w:rPr>
                <w:rFonts w:eastAsia="Times New Roman" w:cs="Calibri"/>
                <w:b/>
                <w:bCs/>
                <w:kern w:val="0"/>
                <w:sz w:val="24"/>
                <w:szCs w:val="24"/>
                <w:lang w:eastAsia="en-GB"/>
              </w:rPr>
              <w:t>Translation</w:t>
            </w:r>
          </w:p>
        </w:tc>
        <w:tc>
          <w:tcPr>
            <w:tcW w:w="2884"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tcPr>
          <w:p w14:paraId="0B660AE1" w14:textId="77777777" w:rsidR="004818C1" w:rsidRDefault="00000000">
            <w:pPr>
              <w:jc w:val="center"/>
              <w:rPr>
                <w:rFonts w:eastAsia="Times New Roman" w:cs="Calibri"/>
                <w:b/>
                <w:bCs/>
                <w:kern w:val="0"/>
                <w:sz w:val="24"/>
                <w:szCs w:val="24"/>
                <w:lang w:eastAsia="en-GB"/>
              </w:rPr>
            </w:pPr>
            <w:r>
              <w:rPr>
                <w:rFonts w:eastAsia="Times New Roman" w:cs="Calibri"/>
                <w:b/>
                <w:bCs/>
                <w:kern w:val="0"/>
                <w:sz w:val="24"/>
                <w:szCs w:val="24"/>
                <w:lang w:eastAsia="en-GB"/>
              </w:rPr>
              <w:t>Count - with a direct informant</w:t>
            </w:r>
          </w:p>
        </w:tc>
      </w:tr>
      <w:tr w:rsidR="004818C1" w14:paraId="52E8D425" w14:textId="77777777">
        <w:trPr>
          <w:trHeight w:val="315"/>
        </w:trPr>
        <w:tc>
          <w:tcPr>
            <w:tcW w:w="2645"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DB58442" w14:textId="77777777" w:rsidR="004818C1" w:rsidRDefault="00000000">
            <w:pPr>
              <w:jc w:val="center"/>
              <w:rPr>
                <w:rFonts w:eastAsia="Times New Roman" w:cs="Calibri"/>
                <w:i/>
                <w:iCs/>
                <w:color w:val="1F3863"/>
                <w:kern w:val="0"/>
                <w:sz w:val="24"/>
                <w:szCs w:val="24"/>
                <w:lang w:eastAsia="en-GB"/>
              </w:rPr>
            </w:pPr>
            <w:proofErr w:type="spellStart"/>
            <w:r>
              <w:rPr>
                <w:rFonts w:eastAsia="Times New Roman" w:cs="Calibri"/>
                <w:i/>
                <w:iCs/>
                <w:color w:val="1F3863"/>
                <w:kern w:val="0"/>
                <w:sz w:val="24"/>
                <w:szCs w:val="24"/>
                <w:lang w:eastAsia="en-GB"/>
              </w:rPr>
              <w:t>idhnan</w:t>
            </w:r>
            <w:proofErr w:type="spellEnd"/>
          </w:p>
        </w:tc>
        <w:tc>
          <w:tcPr>
            <w:tcW w:w="348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9F9857" w14:textId="77777777" w:rsidR="004818C1" w:rsidRDefault="00000000">
            <w:pPr>
              <w:jc w:val="center"/>
            </w:pPr>
            <w:r>
              <w:rPr>
                <w:rFonts w:cs="Calibri"/>
                <w:sz w:val="24"/>
                <w:szCs w:val="24"/>
              </w:rPr>
              <w:t>with permission [to transmit onwards]</w:t>
            </w:r>
          </w:p>
        </w:tc>
        <w:tc>
          <w:tcPr>
            <w:tcW w:w="288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20A41C92" w14:textId="77777777" w:rsidR="004818C1" w:rsidRDefault="00000000">
            <w:pPr>
              <w:jc w:val="center"/>
            </w:pPr>
            <w:r>
              <w:rPr>
                <w:rFonts w:cs="Calibri"/>
                <w:sz w:val="24"/>
                <w:szCs w:val="24"/>
              </w:rPr>
              <w:t>859</w:t>
            </w:r>
          </w:p>
        </w:tc>
      </w:tr>
      <w:tr w:rsidR="004818C1" w14:paraId="70EB0123" w14:textId="77777777">
        <w:trPr>
          <w:trHeight w:val="315"/>
        </w:trPr>
        <w:tc>
          <w:tcPr>
            <w:tcW w:w="2645"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91F77BE" w14:textId="77777777" w:rsidR="004818C1" w:rsidRDefault="00000000">
            <w:pPr>
              <w:jc w:val="center"/>
              <w:rPr>
                <w:rFonts w:eastAsia="Times New Roman" w:cs="Calibri"/>
                <w:i/>
                <w:iCs/>
                <w:color w:val="1F3863"/>
                <w:kern w:val="0"/>
                <w:sz w:val="24"/>
                <w:szCs w:val="24"/>
                <w:lang w:eastAsia="en-GB"/>
              </w:rPr>
            </w:pPr>
            <w:proofErr w:type="spellStart"/>
            <w:r>
              <w:rPr>
                <w:rFonts w:eastAsia="Times New Roman" w:cs="Calibri"/>
                <w:i/>
                <w:iCs/>
                <w:color w:val="1F3863"/>
                <w:kern w:val="0"/>
                <w:sz w:val="24"/>
                <w:szCs w:val="24"/>
                <w:lang w:eastAsia="en-GB"/>
              </w:rPr>
              <w:t>munāwalatan</w:t>
            </w:r>
            <w:proofErr w:type="spellEnd"/>
          </w:p>
        </w:tc>
        <w:tc>
          <w:tcPr>
            <w:tcW w:w="348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4187DE" w14:textId="77777777" w:rsidR="004818C1" w:rsidRDefault="00000000">
            <w:pPr>
              <w:jc w:val="center"/>
            </w:pPr>
            <w:r>
              <w:rPr>
                <w:rFonts w:cs="Calibri"/>
                <w:sz w:val="24"/>
                <w:szCs w:val="24"/>
              </w:rPr>
              <w:t>by passing along [a text]</w:t>
            </w:r>
          </w:p>
        </w:tc>
        <w:tc>
          <w:tcPr>
            <w:tcW w:w="288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806334F" w14:textId="77777777" w:rsidR="004818C1" w:rsidRDefault="00000000">
            <w:pPr>
              <w:jc w:val="center"/>
            </w:pPr>
            <w:r>
              <w:rPr>
                <w:rFonts w:cs="Calibri"/>
                <w:sz w:val="24"/>
                <w:szCs w:val="24"/>
              </w:rPr>
              <w:t>264</w:t>
            </w:r>
          </w:p>
        </w:tc>
      </w:tr>
      <w:tr w:rsidR="004818C1" w14:paraId="4DD27D77" w14:textId="77777777">
        <w:trPr>
          <w:trHeight w:val="315"/>
        </w:trPr>
        <w:tc>
          <w:tcPr>
            <w:tcW w:w="2645"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29798B3" w14:textId="77777777" w:rsidR="004818C1" w:rsidRDefault="00000000">
            <w:pPr>
              <w:jc w:val="center"/>
              <w:rPr>
                <w:rFonts w:eastAsia="Times New Roman" w:cs="Calibri"/>
                <w:i/>
                <w:iCs/>
                <w:color w:val="1F3863"/>
                <w:kern w:val="0"/>
                <w:sz w:val="24"/>
                <w:szCs w:val="24"/>
                <w:lang w:eastAsia="en-GB"/>
              </w:rPr>
            </w:pPr>
            <w:proofErr w:type="spellStart"/>
            <w:r>
              <w:rPr>
                <w:rFonts w:eastAsia="Times New Roman" w:cs="Calibri"/>
                <w:i/>
                <w:iCs/>
                <w:color w:val="1F3863"/>
                <w:kern w:val="0"/>
                <w:sz w:val="24"/>
                <w:szCs w:val="24"/>
                <w:lang w:eastAsia="en-GB"/>
              </w:rPr>
              <w:t>lafẓan</w:t>
            </w:r>
            <w:proofErr w:type="spellEnd"/>
          </w:p>
        </w:tc>
        <w:tc>
          <w:tcPr>
            <w:tcW w:w="348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C9BD9B" w14:textId="77777777" w:rsidR="004818C1" w:rsidRDefault="00000000">
            <w:pPr>
              <w:jc w:val="center"/>
            </w:pPr>
            <w:r>
              <w:rPr>
                <w:rFonts w:cs="Calibri"/>
                <w:sz w:val="24"/>
                <w:szCs w:val="24"/>
              </w:rPr>
              <w:t>via [the informant’s own] speech</w:t>
            </w:r>
          </w:p>
        </w:tc>
        <w:tc>
          <w:tcPr>
            <w:tcW w:w="288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327BAE17" w14:textId="77777777" w:rsidR="004818C1" w:rsidRDefault="00000000">
            <w:pPr>
              <w:jc w:val="center"/>
            </w:pPr>
            <w:r>
              <w:rPr>
                <w:rFonts w:cs="Calibri"/>
                <w:sz w:val="24"/>
                <w:szCs w:val="24"/>
              </w:rPr>
              <w:t>216</w:t>
            </w:r>
          </w:p>
        </w:tc>
      </w:tr>
      <w:tr w:rsidR="004818C1" w14:paraId="01AFF16F" w14:textId="77777777">
        <w:trPr>
          <w:trHeight w:val="315"/>
        </w:trPr>
        <w:tc>
          <w:tcPr>
            <w:tcW w:w="2645"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tcPr>
          <w:p w14:paraId="1F241603" w14:textId="77777777" w:rsidR="004818C1" w:rsidRDefault="00000000">
            <w:pPr>
              <w:jc w:val="center"/>
              <w:rPr>
                <w:rFonts w:eastAsia="Times New Roman" w:cs="Calibri"/>
                <w:i/>
                <w:iCs/>
                <w:kern w:val="0"/>
                <w:sz w:val="24"/>
                <w:szCs w:val="24"/>
                <w:lang w:eastAsia="en-GB"/>
              </w:rPr>
            </w:pPr>
            <w:proofErr w:type="spellStart"/>
            <w:r>
              <w:rPr>
                <w:rFonts w:eastAsia="Times New Roman" w:cs="Calibri"/>
                <w:i/>
                <w:iCs/>
                <w:kern w:val="0"/>
                <w:sz w:val="24"/>
                <w:szCs w:val="24"/>
                <w:lang w:eastAsia="en-GB"/>
              </w:rPr>
              <w:t>ʿāliyan</w:t>
            </w:r>
            <w:proofErr w:type="spellEnd"/>
          </w:p>
        </w:tc>
        <w:tc>
          <w:tcPr>
            <w:tcW w:w="348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D2FBB" w14:textId="77777777" w:rsidR="004818C1" w:rsidRDefault="00000000">
            <w:pPr>
              <w:jc w:val="center"/>
            </w:pPr>
            <w:r>
              <w:rPr>
                <w:rFonts w:cs="Calibri"/>
                <w:sz w:val="24"/>
                <w:szCs w:val="24"/>
              </w:rPr>
              <w:t>with elevation</w:t>
            </w:r>
          </w:p>
        </w:tc>
        <w:tc>
          <w:tcPr>
            <w:tcW w:w="288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65CCED13" w14:textId="77777777" w:rsidR="004818C1" w:rsidRDefault="00000000">
            <w:pPr>
              <w:jc w:val="center"/>
            </w:pPr>
            <w:r>
              <w:rPr>
                <w:rFonts w:cs="Calibri"/>
                <w:sz w:val="24"/>
                <w:szCs w:val="24"/>
              </w:rPr>
              <w:t>802</w:t>
            </w:r>
          </w:p>
        </w:tc>
      </w:tr>
      <w:tr w:rsidR="004818C1" w14:paraId="6C0CB9B7" w14:textId="77777777">
        <w:trPr>
          <w:trHeight w:val="315"/>
        </w:trPr>
        <w:tc>
          <w:tcPr>
            <w:tcW w:w="2645"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5CDE8A5" w14:textId="77777777" w:rsidR="004818C1" w:rsidRDefault="00000000">
            <w:pPr>
              <w:jc w:val="center"/>
              <w:rPr>
                <w:rFonts w:eastAsia="Times New Roman" w:cs="Calibri"/>
                <w:i/>
                <w:iCs/>
                <w:kern w:val="0"/>
                <w:sz w:val="24"/>
                <w:szCs w:val="24"/>
                <w:lang w:eastAsia="en-GB"/>
              </w:rPr>
            </w:pPr>
            <w:proofErr w:type="spellStart"/>
            <w:r>
              <w:rPr>
                <w:rFonts w:eastAsia="Times New Roman" w:cs="Calibri"/>
                <w:i/>
                <w:iCs/>
                <w:kern w:val="0"/>
                <w:sz w:val="24"/>
                <w:szCs w:val="24"/>
                <w:lang w:eastAsia="en-GB"/>
              </w:rPr>
              <w:t>shifāhan</w:t>
            </w:r>
            <w:proofErr w:type="spellEnd"/>
          </w:p>
        </w:tc>
        <w:tc>
          <w:tcPr>
            <w:tcW w:w="348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62DA0F" w14:textId="77777777" w:rsidR="004818C1" w:rsidRDefault="00000000">
            <w:pPr>
              <w:jc w:val="center"/>
            </w:pPr>
            <w:r>
              <w:rPr>
                <w:rFonts w:cs="Calibri"/>
                <w:sz w:val="24"/>
                <w:szCs w:val="24"/>
              </w:rPr>
              <w:t>orally</w:t>
            </w:r>
          </w:p>
        </w:tc>
        <w:tc>
          <w:tcPr>
            <w:tcW w:w="288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0654534F" w14:textId="77777777" w:rsidR="004818C1" w:rsidRDefault="00000000">
            <w:pPr>
              <w:jc w:val="center"/>
            </w:pPr>
            <w:r>
              <w:rPr>
                <w:rFonts w:cs="Calibri"/>
                <w:sz w:val="24"/>
                <w:szCs w:val="24"/>
              </w:rPr>
              <w:t>605</w:t>
            </w:r>
          </w:p>
        </w:tc>
      </w:tr>
      <w:tr w:rsidR="004818C1" w14:paraId="59B9F780" w14:textId="77777777">
        <w:trPr>
          <w:trHeight w:val="315"/>
        </w:trPr>
        <w:tc>
          <w:tcPr>
            <w:tcW w:w="2645"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F3D8E47" w14:textId="77777777" w:rsidR="004818C1" w:rsidRDefault="00000000">
            <w:pPr>
              <w:jc w:val="center"/>
              <w:rPr>
                <w:rFonts w:eastAsia="Times New Roman" w:cs="Calibri"/>
                <w:i/>
                <w:iCs/>
                <w:kern w:val="0"/>
                <w:sz w:val="24"/>
                <w:szCs w:val="24"/>
                <w:lang w:eastAsia="en-GB"/>
              </w:rPr>
            </w:pPr>
            <w:proofErr w:type="spellStart"/>
            <w:r>
              <w:rPr>
                <w:rFonts w:eastAsia="Times New Roman" w:cs="Calibri"/>
                <w:i/>
                <w:iCs/>
                <w:kern w:val="0"/>
                <w:sz w:val="24"/>
                <w:szCs w:val="24"/>
                <w:lang w:eastAsia="en-GB"/>
              </w:rPr>
              <w:t>qirāʾatan</w:t>
            </w:r>
            <w:proofErr w:type="spellEnd"/>
          </w:p>
        </w:tc>
        <w:tc>
          <w:tcPr>
            <w:tcW w:w="348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8809BE" w14:textId="77777777" w:rsidR="004818C1" w:rsidRDefault="00000000">
            <w:pPr>
              <w:jc w:val="center"/>
            </w:pPr>
            <w:r>
              <w:rPr>
                <w:rFonts w:cs="Calibri"/>
                <w:sz w:val="24"/>
                <w:szCs w:val="24"/>
              </w:rPr>
              <w:t>via reading back</w:t>
            </w:r>
          </w:p>
        </w:tc>
        <w:tc>
          <w:tcPr>
            <w:tcW w:w="288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78EA9097" w14:textId="77777777" w:rsidR="004818C1" w:rsidRDefault="00000000">
            <w:pPr>
              <w:jc w:val="center"/>
            </w:pPr>
            <w:r>
              <w:rPr>
                <w:rFonts w:cs="Calibri"/>
                <w:sz w:val="24"/>
                <w:szCs w:val="24"/>
              </w:rPr>
              <w:t>561</w:t>
            </w:r>
          </w:p>
        </w:tc>
      </w:tr>
      <w:tr w:rsidR="004818C1" w14:paraId="7FD3CEE0" w14:textId="77777777">
        <w:trPr>
          <w:trHeight w:val="315"/>
        </w:trPr>
        <w:tc>
          <w:tcPr>
            <w:tcW w:w="2645"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E58D313" w14:textId="77777777" w:rsidR="004818C1" w:rsidRDefault="00000000">
            <w:pPr>
              <w:jc w:val="center"/>
              <w:rPr>
                <w:rFonts w:eastAsia="Times New Roman" w:cs="Calibri"/>
                <w:i/>
                <w:iCs/>
                <w:color w:val="1F3863"/>
                <w:kern w:val="0"/>
                <w:sz w:val="24"/>
                <w:szCs w:val="24"/>
                <w:lang w:eastAsia="en-GB"/>
              </w:rPr>
            </w:pPr>
            <w:proofErr w:type="spellStart"/>
            <w:r>
              <w:rPr>
                <w:rFonts w:eastAsia="Times New Roman" w:cs="Calibri"/>
                <w:i/>
                <w:iCs/>
                <w:color w:val="1F3863"/>
                <w:kern w:val="0"/>
                <w:sz w:val="24"/>
                <w:szCs w:val="24"/>
                <w:lang w:eastAsia="en-GB"/>
              </w:rPr>
              <w:t>ijāzatan</w:t>
            </w:r>
            <w:proofErr w:type="spellEnd"/>
          </w:p>
        </w:tc>
        <w:tc>
          <w:tcPr>
            <w:tcW w:w="348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0A6571F" w14:textId="77777777" w:rsidR="004818C1" w:rsidRDefault="00000000">
            <w:pPr>
              <w:jc w:val="center"/>
            </w:pPr>
            <w:r>
              <w:rPr>
                <w:rFonts w:cs="Calibri"/>
                <w:sz w:val="24"/>
                <w:szCs w:val="24"/>
              </w:rPr>
              <w:t xml:space="preserve">via an </w:t>
            </w:r>
            <w:proofErr w:type="spellStart"/>
            <w:r>
              <w:rPr>
                <w:rFonts w:cs="Calibri"/>
                <w:sz w:val="24"/>
                <w:szCs w:val="24"/>
              </w:rPr>
              <w:t>ijāza</w:t>
            </w:r>
            <w:proofErr w:type="spellEnd"/>
          </w:p>
        </w:tc>
        <w:tc>
          <w:tcPr>
            <w:tcW w:w="2884"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tcPr>
          <w:p w14:paraId="48690439" w14:textId="77777777" w:rsidR="004818C1" w:rsidRDefault="00000000">
            <w:pPr>
              <w:jc w:val="center"/>
            </w:pPr>
            <w:r>
              <w:rPr>
                <w:rFonts w:cs="Calibri"/>
                <w:sz w:val="24"/>
                <w:szCs w:val="24"/>
              </w:rPr>
              <w:t>200</w:t>
            </w:r>
          </w:p>
        </w:tc>
      </w:tr>
      <w:tr w:rsidR="004818C1" w14:paraId="47253028" w14:textId="77777777">
        <w:trPr>
          <w:trHeight w:val="315"/>
        </w:trPr>
        <w:tc>
          <w:tcPr>
            <w:tcW w:w="2645"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BB47536" w14:textId="77777777" w:rsidR="004818C1" w:rsidRDefault="00000000">
            <w:pPr>
              <w:jc w:val="center"/>
              <w:rPr>
                <w:rFonts w:eastAsia="Times New Roman" w:cs="Calibri"/>
                <w:i/>
                <w:iCs/>
                <w:color w:val="1F3863"/>
                <w:kern w:val="0"/>
                <w:sz w:val="24"/>
                <w:szCs w:val="24"/>
                <w:lang w:eastAsia="en-GB"/>
              </w:rPr>
            </w:pPr>
            <w:proofErr w:type="spellStart"/>
            <w:r>
              <w:rPr>
                <w:rFonts w:eastAsia="Times New Roman" w:cs="Calibri"/>
                <w:i/>
                <w:iCs/>
                <w:color w:val="1F3863"/>
                <w:kern w:val="0"/>
                <w:sz w:val="24"/>
                <w:szCs w:val="24"/>
                <w:lang w:eastAsia="en-GB"/>
              </w:rPr>
              <w:t>fī</w:t>
            </w:r>
            <w:proofErr w:type="spellEnd"/>
            <w:r>
              <w:rPr>
                <w:rFonts w:eastAsia="Times New Roman" w:cs="Calibri"/>
                <w:i/>
                <w:iCs/>
                <w:color w:val="1F3863"/>
                <w:kern w:val="0"/>
                <w:sz w:val="24"/>
                <w:szCs w:val="24"/>
                <w:lang w:eastAsia="en-GB"/>
              </w:rPr>
              <w:t xml:space="preserve"> </w:t>
            </w:r>
            <w:proofErr w:type="spellStart"/>
            <w:r>
              <w:rPr>
                <w:rFonts w:eastAsia="Times New Roman" w:cs="Calibri"/>
                <w:i/>
                <w:iCs/>
                <w:color w:val="1F3863"/>
                <w:kern w:val="0"/>
                <w:sz w:val="24"/>
                <w:szCs w:val="24"/>
                <w:lang w:eastAsia="en-GB"/>
              </w:rPr>
              <w:t>kitābihi</w:t>
            </w:r>
            <w:proofErr w:type="spellEnd"/>
          </w:p>
        </w:tc>
        <w:tc>
          <w:tcPr>
            <w:tcW w:w="348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550192F9" w14:textId="77777777" w:rsidR="004818C1" w:rsidRDefault="00000000">
            <w:pPr>
              <w:jc w:val="center"/>
            </w:pPr>
            <w:r>
              <w:rPr>
                <w:rFonts w:cs="Calibri"/>
                <w:sz w:val="24"/>
                <w:szCs w:val="24"/>
              </w:rPr>
              <w:t>in his [piece of] writing/book</w:t>
            </w:r>
          </w:p>
        </w:tc>
        <w:tc>
          <w:tcPr>
            <w:tcW w:w="288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8704C20" w14:textId="77777777" w:rsidR="004818C1" w:rsidRDefault="00000000">
            <w:pPr>
              <w:jc w:val="center"/>
            </w:pPr>
            <w:r>
              <w:rPr>
                <w:rFonts w:cs="Calibri"/>
                <w:sz w:val="24"/>
                <w:szCs w:val="24"/>
              </w:rPr>
              <w:t>976</w:t>
            </w:r>
          </w:p>
        </w:tc>
      </w:tr>
    </w:tbl>
    <w:p w14:paraId="78B541C6" w14:textId="77777777" w:rsidR="004818C1" w:rsidRDefault="00000000">
      <w:pPr>
        <w:rPr>
          <w:rFonts w:cs="Calibri"/>
          <w:color w:val="000000"/>
          <w:kern w:val="0"/>
          <w:sz w:val="24"/>
          <w:szCs w:val="24"/>
          <w:lang w:eastAsia="en-GB"/>
        </w:rPr>
      </w:pPr>
      <w:r>
        <w:rPr>
          <w:rFonts w:cs="Calibri"/>
          <w:color w:val="000000"/>
          <w:kern w:val="0"/>
          <w:sz w:val="24"/>
          <w:szCs w:val="24"/>
          <w:lang w:eastAsia="en-GB"/>
        </w:rPr>
        <w:t xml:space="preserve">Table 4.4: Supplementary terms used by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in conjunction with the primary terms in Table 4.1 to specify how information was transmitted to him.</w:t>
      </w:r>
    </w:p>
    <w:p w14:paraId="5CA94190" w14:textId="77777777" w:rsidR="004818C1" w:rsidRDefault="00000000">
      <w:pPr>
        <w:rPr>
          <w:rFonts w:cs="Calibri"/>
          <w:kern w:val="0"/>
          <w:sz w:val="24"/>
          <w:szCs w:val="24"/>
          <w:lang w:eastAsia="en-GB"/>
        </w:rPr>
      </w:pPr>
      <w:r>
        <w:rPr>
          <w:rFonts w:cs="Calibri"/>
          <w:kern w:val="0"/>
          <w:sz w:val="24"/>
          <w:szCs w:val="24"/>
          <w:lang w:eastAsia="en-GB"/>
        </w:rPr>
        <w:t>We have translated these terms on the basis of a variety of sources, including Ibn al-</w:t>
      </w:r>
      <w:proofErr w:type="spellStart"/>
      <w:r>
        <w:rPr>
          <w:rFonts w:cs="Calibri"/>
          <w:kern w:val="0"/>
          <w:sz w:val="24"/>
          <w:szCs w:val="24"/>
          <w:lang w:eastAsia="en-GB"/>
        </w:rPr>
        <w:t>Ṣalāḥ</w:t>
      </w:r>
      <w:proofErr w:type="spellEnd"/>
      <w:r>
        <w:rPr>
          <w:rFonts w:cs="Calibri"/>
          <w:kern w:val="0"/>
          <w:sz w:val="24"/>
          <w:szCs w:val="24"/>
          <w:lang w:eastAsia="en-GB"/>
        </w:rPr>
        <w:t>. We read the terms in context and sought to understand what they might signify in conjunction with the primary transmission terms.</w:t>
      </w:r>
    </w:p>
    <w:p w14:paraId="64451C3C" w14:textId="77777777" w:rsidR="004818C1" w:rsidRDefault="00000000">
      <w:r>
        <w:rPr>
          <w:rFonts w:cs="Calibri"/>
          <w:kern w:val="0"/>
          <w:sz w:val="24"/>
          <w:szCs w:val="24"/>
          <w:lang w:eastAsia="en-GB"/>
        </w:rPr>
        <w:t>There is no exclusive pairing of any primary term with a particular supplementary term. Collectively, these terms most often accompany ‘he informed us’ (</w:t>
      </w:r>
      <w:proofErr w:type="spellStart"/>
      <w:r>
        <w:rPr>
          <w:rFonts w:cs="Calibri"/>
          <w:i/>
          <w:iCs/>
          <w:kern w:val="0"/>
          <w:sz w:val="24"/>
          <w:szCs w:val="24"/>
          <w:lang w:eastAsia="en-GB"/>
        </w:rPr>
        <w:t>akhbaranā</w:t>
      </w:r>
      <w:proofErr w:type="spellEnd"/>
      <w:r>
        <w:rPr>
          <w:rFonts w:cs="Calibri"/>
          <w:kern w:val="0"/>
          <w:sz w:val="24"/>
          <w:szCs w:val="24"/>
          <w:lang w:eastAsia="en-GB"/>
        </w:rPr>
        <w:t xml:space="preserve">): about 94% of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contain supplementary terms start with this phrase or its variants.</w:t>
      </w:r>
      <w:r>
        <w:rPr>
          <w:rFonts w:cs="Calibri"/>
          <w:kern w:val="0"/>
          <w:sz w:val="24"/>
          <w:szCs w:val="24"/>
          <w:vertAlign w:val="superscript"/>
          <w:lang w:eastAsia="en-GB"/>
        </w:rPr>
        <w:footnoteReference w:id="14"/>
      </w:r>
      <w:r>
        <w:rPr>
          <w:rFonts w:cs="Calibri"/>
          <w:kern w:val="0"/>
          <w:sz w:val="24"/>
          <w:szCs w:val="24"/>
          <w:lang w:eastAsia="en-GB"/>
        </w:rPr>
        <w:t xml:space="preserve"> Within the overall data set, 70% of all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begin with ‘he informed us’. The following example illustrates Ibn </w:t>
      </w:r>
      <w:proofErr w:type="spellStart"/>
      <w:r>
        <w:rPr>
          <w:rFonts w:cs="Calibri"/>
          <w:kern w:val="0"/>
          <w:sz w:val="24"/>
          <w:szCs w:val="24"/>
          <w:lang w:eastAsia="en-GB"/>
        </w:rPr>
        <w:t>ʿAsākir’s</w:t>
      </w:r>
      <w:proofErr w:type="spellEnd"/>
      <w:r>
        <w:rPr>
          <w:rFonts w:cs="Calibri"/>
          <w:kern w:val="0"/>
          <w:sz w:val="24"/>
          <w:szCs w:val="24"/>
          <w:lang w:eastAsia="en-GB"/>
        </w:rPr>
        <w:t xml:space="preserve"> use of these terms:</w:t>
      </w:r>
    </w:p>
    <w:p w14:paraId="4A590B5A" w14:textId="77777777" w:rsidR="004818C1" w:rsidRDefault="00000000">
      <w:pPr>
        <w:bidi/>
      </w:pPr>
      <w:r>
        <w:rPr>
          <w:rFonts w:cs="Calibri"/>
          <w:kern w:val="0"/>
          <w:sz w:val="24"/>
          <w:szCs w:val="24"/>
          <w:rtl/>
          <w:lang w:eastAsia="en-GB"/>
        </w:rPr>
        <w:t xml:space="preserve">أخبرنا أبو العز أحمد بن عبد الله إذنا ومناولة وقرأ علي إسناده أنا محمد بن الحسين أنا المعافى بن زكريا القاضي </w:t>
      </w:r>
      <w:proofErr w:type="spellStart"/>
      <w:r>
        <w:rPr>
          <w:rFonts w:cs="Calibri"/>
          <w:kern w:val="0"/>
          <w:sz w:val="24"/>
          <w:szCs w:val="24"/>
          <w:rtl/>
          <w:lang w:eastAsia="en-GB"/>
        </w:rPr>
        <w:t>نا</w:t>
      </w:r>
      <w:proofErr w:type="spellEnd"/>
      <w:r>
        <w:rPr>
          <w:rFonts w:cs="Calibri"/>
          <w:kern w:val="0"/>
          <w:sz w:val="24"/>
          <w:szCs w:val="24"/>
          <w:rtl/>
          <w:lang w:eastAsia="en-GB"/>
        </w:rPr>
        <w:t xml:space="preserve"> محمد بن الحسن بن دريد أخبرني عمي الحسين بن</w:t>
      </w:r>
    </w:p>
    <w:p w14:paraId="55156891" w14:textId="77777777" w:rsidR="004818C1" w:rsidRDefault="00000000">
      <w:pPr>
        <w:ind w:left="720"/>
      </w:pP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ʿIzz</w:t>
      </w:r>
      <w:proofErr w:type="spellEnd"/>
      <w:r>
        <w:rPr>
          <w:rFonts w:cs="Calibri"/>
          <w:kern w:val="0"/>
          <w:sz w:val="24"/>
          <w:szCs w:val="24"/>
          <w:lang w:eastAsia="en-GB"/>
        </w:rPr>
        <w:t xml:space="preserve"> </w:t>
      </w:r>
      <w:proofErr w:type="spellStart"/>
      <w:r>
        <w:rPr>
          <w:rFonts w:cs="Calibri"/>
          <w:kern w:val="0"/>
          <w:sz w:val="24"/>
          <w:szCs w:val="24"/>
          <w:lang w:eastAsia="en-GB"/>
        </w:rPr>
        <w:t>Aḥmad</w:t>
      </w:r>
      <w:proofErr w:type="spellEnd"/>
      <w:r>
        <w:rPr>
          <w:rFonts w:cs="Calibri"/>
          <w:kern w:val="0"/>
          <w:sz w:val="24"/>
          <w:szCs w:val="24"/>
          <w:lang w:eastAsia="en-GB"/>
        </w:rPr>
        <w:t xml:space="preserve"> b.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Allāḥ</w:t>
      </w:r>
      <w:proofErr w:type="spellEnd"/>
      <w:r>
        <w:rPr>
          <w:rFonts w:cs="Calibri"/>
          <w:kern w:val="0"/>
          <w:sz w:val="24"/>
          <w:szCs w:val="24"/>
          <w:lang w:eastAsia="en-GB"/>
        </w:rPr>
        <w:t xml:space="preserve"> [Abu al-'</w:t>
      </w:r>
      <w:proofErr w:type="spellStart"/>
      <w:r>
        <w:rPr>
          <w:rFonts w:cs="Calibri"/>
          <w:kern w:val="0"/>
          <w:sz w:val="24"/>
          <w:szCs w:val="24"/>
          <w:lang w:eastAsia="en-GB"/>
        </w:rPr>
        <w:t>Izz</w:t>
      </w:r>
      <w:proofErr w:type="spellEnd"/>
      <w:r>
        <w:rPr>
          <w:rFonts w:cs="Calibri"/>
          <w:kern w:val="0"/>
          <w:sz w:val="24"/>
          <w:szCs w:val="24"/>
          <w:lang w:eastAsia="en-GB"/>
        </w:rPr>
        <w:t xml:space="preserve"> Ahmad b. 'Abd Allah] informed us, with permission and by handing it over and reading its </w:t>
      </w:r>
      <w:proofErr w:type="spellStart"/>
      <w:r>
        <w:rPr>
          <w:rFonts w:cs="Calibri"/>
          <w:i/>
          <w:iCs/>
          <w:kern w:val="0"/>
          <w:sz w:val="24"/>
          <w:szCs w:val="24"/>
          <w:lang w:eastAsia="en-GB"/>
        </w:rPr>
        <w:t>isnād</w:t>
      </w:r>
      <w:proofErr w:type="spellEnd"/>
      <w:r>
        <w:rPr>
          <w:rFonts w:cs="Calibri"/>
          <w:kern w:val="0"/>
          <w:sz w:val="24"/>
          <w:szCs w:val="24"/>
          <w:lang w:eastAsia="en-GB"/>
        </w:rPr>
        <w:t xml:space="preserve"> back to me, that </w:t>
      </w:r>
      <w:proofErr w:type="spellStart"/>
      <w:r>
        <w:rPr>
          <w:rFonts w:cs="Calibri"/>
          <w:kern w:val="0"/>
          <w:sz w:val="24"/>
          <w:szCs w:val="24"/>
          <w:lang w:eastAsia="en-GB"/>
        </w:rPr>
        <w:t>Muḥammad</w:t>
      </w:r>
      <w:proofErr w:type="spellEnd"/>
      <w:r>
        <w:rPr>
          <w:rFonts w:cs="Calibri"/>
          <w:kern w:val="0"/>
          <w:sz w:val="24"/>
          <w:szCs w:val="24"/>
          <w:lang w:eastAsia="en-GB"/>
        </w:rPr>
        <w:t xml:space="preserve"> b. al-</w:t>
      </w:r>
      <w:proofErr w:type="spellStart"/>
      <w:r>
        <w:rPr>
          <w:rFonts w:cs="Calibri"/>
          <w:kern w:val="0"/>
          <w:sz w:val="24"/>
          <w:szCs w:val="24"/>
          <w:lang w:eastAsia="en-GB"/>
        </w:rPr>
        <w:t>Ḥusayn</w:t>
      </w:r>
      <w:proofErr w:type="spellEnd"/>
      <w:r>
        <w:rPr>
          <w:rFonts w:cs="Calibri"/>
          <w:kern w:val="0"/>
          <w:sz w:val="24"/>
          <w:szCs w:val="24"/>
          <w:lang w:eastAsia="en-GB"/>
        </w:rPr>
        <w:t xml:space="preserve"> transmitted that the judge al-</w:t>
      </w:r>
      <w:proofErr w:type="spellStart"/>
      <w:r>
        <w:rPr>
          <w:rFonts w:cs="Calibri"/>
          <w:kern w:val="0"/>
          <w:sz w:val="24"/>
          <w:szCs w:val="24"/>
          <w:lang w:eastAsia="en-GB"/>
        </w:rPr>
        <w:t>Maʿāfī</w:t>
      </w:r>
      <w:proofErr w:type="spellEnd"/>
      <w:r>
        <w:rPr>
          <w:rFonts w:cs="Calibri"/>
          <w:kern w:val="0"/>
          <w:sz w:val="24"/>
          <w:szCs w:val="24"/>
          <w:lang w:eastAsia="en-GB"/>
        </w:rPr>
        <w:t xml:space="preserve"> b. </w:t>
      </w:r>
      <w:proofErr w:type="spellStart"/>
      <w:r>
        <w:rPr>
          <w:rFonts w:cs="Calibri"/>
          <w:kern w:val="0"/>
          <w:sz w:val="24"/>
          <w:szCs w:val="24"/>
          <w:lang w:eastAsia="en-GB"/>
        </w:rPr>
        <w:t>Zakariyyā</w:t>
      </w:r>
      <w:proofErr w:type="spellEnd"/>
      <w:r>
        <w:rPr>
          <w:rFonts w:cs="Calibri"/>
          <w:kern w:val="0"/>
          <w:sz w:val="24"/>
          <w:szCs w:val="24"/>
          <w:lang w:eastAsia="en-GB"/>
        </w:rPr>
        <w:t xml:space="preserve"> transmitted that </w:t>
      </w:r>
      <w:proofErr w:type="spellStart"/>
      <w:r>
        <w:rPr>
          <w:rFonts w:cs="Calibri"/>
          <w:kern w:val="0"/>
          <w:sz w:val="24"/>
          <w:szCs w:val="24"/>
          <w:lang w:eastAsia="en-GB"/>
        </w:rPr>
        <w:t>Muḥammad</w:t>
      </w:r>
      <w:proofErr w:type="spellEnd"/>
      <w:r>
        <w:rPr>
          <w:rFonts w:cs="Calibri"/>
          <w:kern w:val="0"/>
          <w:sz w:val="24"/>
          <w:szCs w:val="24"/>
          <w:lang w:eastAsia="en-GB"/>
        </w:rPr>
        <w:t xml:space="preserve"> b. al-</w:t>
      </w:r>
      <w:proofErr w:type="spellStart"/>
      <w:r>
        <w:rPr>
          <w:rFonts w:cs="Calibri"/>
          <w:kern w:val="0"/>
          <w:sz w:val="24"/>
          <w:szCs w:val="24"/>
          <w:lang w:eastAsia="en-GB"/>
        </w:rPr>
        <w:t>Ḥusayn</w:t>
      </w:r>
      <w:proofErr w:type="spellEnd"/>
      <w:r>
        <w:rPr>
          <w:rFonts w:cs="Calibri"/>
          <w:kern w:val="0"/>
          <w:sz w:val="24"/>
          <w:szCs w:val="24"/>
          <w:lang w:eastAsia="en-GB"/>
        </w:rPr>
        <w:t> …</w:t>
      </w:r>
    </w:p>
    <w:p w14:paraId="31595998" w14:textId="77777777" w:rsidR="004818C1" w:rsidRDefault="00000000">
      <w:r>
        <w:rPr>
          <w:rFonts w:cs="Calibri"/>
          <w:kern w:val="0"/>
          <w:sz w:val="24"/>
          <w:szCs w:val="24"/>
          <w:lang w:eastAsia="en-GB"/>
        </w:rPr>
        <w:t xml:space="preserve">On 802 occasions, Ibn </w:t>
      </w:r>
      <w:proofErr w:type="spellStart"/>
      <w:r>
        <w:rPr>
          <w:rFonts w:cs="Calibri"/>
          <w:kern w:val="0"/>
          <w:sz w:val="24"/>
          <w:szCs w:val="24"/>
          <w:lang w:eastAsia="en-GB"/>
        </w:rPr>
        <w:t>ʿAsākir</w:t>
      </w:r>
      <w:proofErr w:type="spellEnd"/>
      <w:r>
        <w:rPr>
          <w:rFonts w:cs="Calibri"/>
          <w:kern w:val="0"/>
          <w:sz w:val="24"/>
          <w:szCs w:val="24"/>
          <w:lang w:eastAsia="en-GB"/>
        </w:rPr>
        <w:t xml:space="preserve"> highlights the brevity of the transmission chains that connect his direct informants to the originators of the quoted information by using the phrase </w:t>
      </w:r>
      <w:proofErr w:type="spellStart"/>
      <w:r>
        <w:rPr>
          <w:rFonts w:cs="Calibri"/>
          <w:i/>
          <w:iCs/>
          <w:kern w:val="0"/>
          <w:sz w:val="24"/>
          <w:szCs w:val="24"/>
          <w:lang w:eastAsia="en-GB"/>
        </w:rPr>
        <w:t>ʿāliyan</w:t>
      </w:r>
      <w:proofErr w:type="spellEnd"/>
      <w:r>
        <w:rPr>
          <w:rFonts w:cs="Calibri"/>
          <w:kern w:val="0"/>
          <w:sz w:val="24"/>
          <w:szCs w:val="24"/>
          <w:lang w:eastAsia="en-GB"/>
        </w:rPr>
        <w:t xml:space="preserve">, translated literally as ‘with elevation’. The phrase appears relatively seldom, in view of the total number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 the </w:t>
      </w:r>
      <w:r>
        <w:rPr>
          <w:rFonts w:cs="Calibri"/>
          <w:i/>
          <w:iCs/>
          <w:kern w:val="0"/>
          <w:sz w:val="24"/>
          <w:szCs w:val="24"/>
          <w:lang w:eastAsia="en-GB"/>
        </w:rPr>
        <w:t>TMD</w:t>
      </w:r>
      <w:r>
        <w:rPr>
          <w:rFonts w:cs="Calibri"/>
          <w:kern w:val="0"/>
          <w:sz w:val="24"/>
          <w:szCs w:val="24"/>
          <w:lang w:eastAsia="en-GB"/>
        </w:rPr>
        <w:t xml:space="preserve"> and the general importance of elevation (that is, </w:t>
      </w:r>
      <w:r>
        <w:rPr>
          <w:rFonts w:cs="Calibri"/>
          <w:kern w:val="0"/>
          <w:sz w:val="24"/>
          <w:szCs w:val="24"/>
          <w:lang w:eastAsia="en-GB"/>
        </w:rPr>
        <w:lastRenderedPageBreak/>
        <w:t xml:space="preserve">short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within Hadith transmission. Still, it is noteworthy that he refers to the length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at all. The informants for whom he uses this term most often are all people he cites frequently in the </w:t>
      </w:r>
      <w:r>
        <w:rPr>
          <w:rFonts w:cs="Calibri"/>
          <w:i/>
          <w:iCs/>
          <w:kern w:val="0"/>
          <w:sz w:val="24"/>
          <w:szCs w:val="24"/>
          <w:lang w:eastAsia="en-GB"/>
        </w:rPr>
        <w:t>TMD</w:t>
      </w:r>
      <w:r>
        <w:rPr>
          <w:rFonts w:cs="Calibri"/>
          <w:kern w:val="0"/>
          <w:sz w:val="24"/>
          <w:szCs w:val="24"/>
          <w:lang w:eastAsia="en-GB"/>
        </w:rPr>
        <w:t xml:space="preserve">. This suggests that these informants were generally good sources of short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val="en-US" w:eastAsia="en-GB"/>
        </w:rPr>
        <w:footnoteReference w:id="15"/>
      </w:r>
    </w:p>
    <w:bookmarkEnd w:id="7"/>
    <w:p w14:paraId="4BCEEAAB" w14:textId="77777777" w:rsidR="004818C1" w:rsidRDefault="00000000">
      <w:r>
        <w:rPr>
          <w:rFonts w:cs="Calibri"/>
          <w:kern w:val="0"/>
          <w:sz w:val="24"/>
          <w:szCs w:val="24"/>
          <w:lang w:val="en-US" w:eastAsia="en-GB"/>
        </w:rPr>
        <w:t>The following sections discuss four supplementary terms in greater detail.</w:t>
      </w:r>
    </w:p>
    <w:p w14:paraId="5C0D82C7" w14:textId="77777777" w:rsidR="004818C1" w:rsidRPr="00E361F2" w:rsidRDefault="00000000" w:rsidP="00E361F2">
      <w:pPr>
        <w:pStyle w:val="Heading3"/>
        <w:rPr>
          <w:i/>
          <w:iCs/>
        </w:rPr>
      </w:pPr>
      <w:proofErr w:type="spellStart"/>
      <w:r w:rsidRPr="00E361F2">
        <w:rPr>
          <w:i/>
          <w:iCs/>
        </w:rPr>
        <w:t>Shifāhan</w:t>
      </w:r>
      <w:proofErr w:type="spellEnd"/>
      <w:r w:rsidRPr="00E361F2">
        <w:rPr>
          <w:i/>
          <w:iCs/>
        </w:rPr>
        <w:t xml:space="preserve"> </w:t>
      </w:r>
    </w:p>
    <w:p w14:paraId="0D5EF246" w14:textId="77777777" w:rsidR="004818C1" w:rsidRDefault="00000000">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uses the term </w:t>
      </w:r>
      <w:proofErr w:type="spellStart"/>
      <w:r>
        <w:rPr>
          <w:rFonts w:cs="Calibri"/>
          <w:i/>
          <w:iCs/>
          <w:kern w:val="0"/>
          <w:sz w:val="24"/>
          <w:szCs w:val="24"/>
          <w:lang w:eastAsia="en-GB"/>
        </w:rPr>
        <w:t>shifāhan</w:t>
      </w:r>
      <w:proofErr w:type="spellEnd"/>
      <w:r>
        <w:rPr>
          <w:rFonts w:cs="Calibri"/>
          <w:kern w:val="0"/>
          <w:sz w:val="24"/>
          <w:szCs w:val="24"/>
          <w:lang w:eastAsia="en-GB"/>
        </w:rPr>
        <w:t xml:space="preserve"> and its cognate </w:t>
      </w:r>
      <w:proofErr w:type="spellStart"/>
      <w:r>
        <w:rPr>
          <w:rFonts w:cs="Calibri"/>
          <w:i/>
          <w:iCs/>
          <w:kern w:val="0"/>
          <w:sz w:val="24"/>
          <w:szCs w:val="24"/>
          <w:lang w:eastAsia="en-GB"/>
        </w:rPr>
        <w:t>mushāhifatan</w:t>
      </w:r>
      <w:proofErr w:type="spellEnd"/>
      <w:r>
        <w:rPr>
          <w:rFonts w:cs="Calibri"/>
          <w:kern w:val="0"/>
          <w:sz w:val="24"/>
          <w:szCs w:val="24"/>
          <w:lang w:eastAsia="en-GB"/>
        </w:rPr>
        <w:t xml:space="preserve"> 605 times in our data set’s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He uses them more than a hundred times to describe how he acquired information from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(his fourth most frequently cited direct informant). A typical example is the following:</w:t>
      </w:r>
    </w:p>
    <w:p w14:paraId="0E812313" w14:textId="77777777" w:rsidR="004818C1" w:rsidRDefault="00000000">
      <w:pPr>
        <w:bidi/>
      </w:pPr>
      <w:r>
        <w:rPr>
          <w:rFonts w:cs="Calibri"/>
          <w:kern w:val="0"/>
          <w:sz w:val="24"/>
          <w:szCs w:val="24"/>
          <w:rtl/>
          <w:lang w:eastAsia="en-GB"/>
        </w:rPr>
        <w:t xml:space="preserve">أخبرنا أبو محمد بن </w:t>
      </w:r>
      <w:proofErr w:type="spellStart"/>
      <w:r>
        <w:rPr>
          <w:rFonts w:cs="Calibri"/>
          <w:kern w:val="0"/>
          <w:sz w:val="24"/>
          <w:szCs w:val="24"/>
          <w:rtl/>
          <w:lang w:eastAsia="en-GB"/>
        </w:rPr>
        <w:t>الاكفاني</w:t>
      </w:r>
      <w:proofErr w:type="spellEnd"/>
      <w:r>
        <w:rPr>
          <w:rFonts w:cs="Calibri"/>
          <w:kern w:val="0"/>
          <w:sz w:val="24"/>
          <w:szCs w:val="24"/>
          <w:rtl/>
          <w:lang w:eastAsia="en-GB"/>
        </w:rPr>
        <w:t xml:space="preserve"> شفاها </w:t>
      </w:r>
      <w:proofErr w:type="spellStart"/>
      <w:r>
        <w:rPr>
          <w:rFonts w:cs="Calibri"/>
          <w:kern w:val="0"/>
          <w:sz w:val="24"/>
          <w:szCs w:val="24"/>
          <w:rtl/>
          <w:lang w:eastAsia="en-GB"/>
        </w:rPr>
        <w:t>ناً</w:t>
      </w:r>
      <w:proofErr w:type="spellEnd"/>
      <w:r>
        <w:rPr>
          <w:rFonts w:cs="Calibri"/>
          <w:kern w:val="0"/>
          <w:sz w:val="24"/>
          <w:szCs w:val="24"/>
          <w:rtl/>
          <w:lang w:eastAsia="en-GB"/>
        </w:rPr>
        <w:t xml:space="preserve"> عبد العزيز بن أحمد لفظاً أنا عبد الوهاب بن جعفر أنا عبد الجبار بن عبد الصمد أنا القاسم بن عيسى العصار </w:t>
      </w:r>
      <w:proofErr w:type="spellStart"/>
      <w:r>
        <w:rPr>
          <w:rFonts w:cs="Calibri"/>
          <w:kern w:val="0"/>
          <w:sz w:val="24"/>
          <w:szCs w:val="24"/>
          <w:rtl/>
          <w:lang w:eastAsia="en-GB"/>
        </w:rPr>
        <w:t>نا</w:t>
      </w:r>
      <w:proofErr w:type="spellEnd"/>
      <w:r>
        <w:rPr>
          <w:rFonts w:cs="Calibri"/>
          <w:kern w:val="0"/>
          <w:sz w:val="24"/>
          <w:szCs w:val="24"/>
          <w:rtl/>
          <w:lang w:eastAsia="en-GB"/>
        </w:rPr>
        <w:t xml:space="preserve"> إبراهيم بن</w:t>
      </w:r>
    </w:p>
    <w:p w14:paraId="0B2B59DC" w14:textId="77777777" w:rsidR="004818C1" w:rsidRDefault="00000000">
      <w:pPr>
        <w:ind w:left="720"/>
      </w:pP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b. al-</w:t>
      </w:r>
      <w:proofErr w:type="spellStart"/>
      <w:r>
        <w:rPr>
          <w:rFonts w:cs="Calibri"/>
          <w:kern w:val="0"/>
          <w:sz w:val="24"/>
          <w:szCs w:val="24"/>
          <w:lang w:eastAsia="en-GB"/>
        </w:rPr>
        <w:t>Akfānī</w:t>
      </w:r>
      <w:proofErr w:type="spellEnd"/>
      <w:r>
        <w:rPr>
          <w:rFonts w:cs="Calibri"/>
          <w:kern w:val="0"/>
          <w:sz w:val="24"/>
          <w:szCs w:val="24"/>
          <w:lang w:eastAsia="en-GB"/>
        </w:rPr>
        <w:t xml:space="preserve"> [Abu Muhammad al-</w:t>
      </w:r>
      <w:proofErr w:type="spellStart"/>
      <w:r>
        <w:rPr>
          <w:rFonts w:cs="Calibri"/>
          <w:kern w:val="0"/>
          <w:sz w:val="24"/>
          <w:szCs w:val="24"/>
          <w:lang w:eastAsia="en-GB"/>
        </w:rPr>
        <w:t>Akfani</w:t>
      </w:r>
      <w:proofErr w:type="spellEnd"/>
      <w:r>
        <w:rPr>
          <w:rFonts w:cs="Calibri"/>
          <w:kern w:val="0"/>
          <w:sz w:val="24"/>
          <w:szCs w:val="24"/>
          <w:lang w:eastAsia="en-GB"/>
        </w:rPr>
        <w:t>] informed us orally (</w:t>
      </w:r>
      <w:proofErr w:type="spellStart"/>
      <w:r>
        <w:rPr>
          <w:rFonts w:cs="Calibri"/>
          <w:i/>
          <w:iCs/>
          <w:kern w:val="0"/>
          <w:sz w:val="24"/>
          <w:szCs w:val="24"/>
          <w:lang w:eastAsia="en-GB"/>
        </w:rPr>
        <w:t>shifāhan</w:t>
      </w:r>
      <w:proofErr w:type="spellEnd"/>
      <w:r>
        <w:rPr>
          <w:rFonts w:cs="Calibri"/>
          <w:kern w:val="0"/>
          <w:sz w:val="24"/>
          <w:szCs w:val="24"/>
          <w:lang w:eastAsia="en-GB"/>
        </w:rPr>
        <w:t xml:space="preserve">) that </w:t>
      </w:r>
      <w:proofErr w:type="spellStart"/>
      <w:r>
        <w:rPr>
          <w:rFonts w:cs="Calibri"/>
          <w:kern w:val="0"/>
          <w:sz w:val="24"/>
          <w:szCs w:val="24"/>
          <w:lang w:eastAsia="en-GB"/>
        </w:rPr>
        <w:t>ʿAbd</w:t>
      </w:r>
      <w:proofErr w:type="spellEnd"/>
      <w:r>
        <w:rPr>
          <w:rFonts w:cs="Calibri"/>
          <w:kern w:val="0"/>
          <w:sz w:val="24"/>
          <w:szCs w:val="24"/>
          <w:lang w:eastAsia="en-GB"/>
        </w:rPr>
        <w:t xml:space="preserve"> al-</w:t>
      </w:r>
      <w:proofErr w:type="spellStart"/>
      <w:r>
        <w:rPr>
          <w:rFonts w:cs="Calibri"/>
          <w:kern w:val="0"/>
          <w:sz w:val="24"/>
          <w:szCs w:val="24"/>
          <w:lang w:eastAsia="en-GB"/>
        </w:rPr>
        <w:t>ʿAzīz</w:t>
      </w:r>
      <w:proofErr w:type="spellEnd"/>
      <w:r>
        <w:rPr>
          <w:rFonts w:cs="Calibri"/>
          <w:kern w:val="0"/>
          <w:sz w:val="24"/>
          <w:szCs w:val="24"/>
          <w:lang w:eastAsia="en-GB"/>
        </w:rPr>
        <w:t xml:space="preserve"> b. </w:t>
      </w:r>
      <w:proofErr w:type="spellStart"/>
      <w:r>
        <w:rPr>
          <w:rFonts w:cs="Calibri"/>
          <w:kern w:val="0"/>
          <w:sz w:val="24"/>
          <w:szCs w:val="24"/>
          <w:lang w:eastAsia="en-GB"/>
        </w:rPr>
        <w:t>Aḥmad</w:t>
      </w:r>
      <w:proofErr w:type="spellEnd"/>
      <w:r>
        <w:rPr>
          <w:rFonts w:cs="Calibri"/>
          <w:kern w:val="0"/>
          <w:sz w:val="24"/>
          <w:szCs w:val="24"/>
          <w:lang w:eastAsia="en-GB"/>
        </w:rPr>
        <w:t xml:space="preserve"> transmitted to him verbally (</w:t>
      </w:r>
      <w:proofErr w:type="spellStart"/>
      <w:r>
        <w:rPr>
          <w:rFonts w:cs="Calibri"/>
          <w:i/>
          <w:iCs/>
          <w:kern w:val="0"/>
          <w:sz w:val="24"/>
          <w:szCs w:val="24"/>
          <w:lang w:eastAsia="en-GB"/>
        </w:rPr>
        <w:t>lafẓan</w:t>
      </w:r>
      <w:proofErr w:type="spellEnd"/>
      <w:r>
        <w:rPr>
          <w:rFonts w:cs="Calibri"/>
          <w:kern w:val="0"/>
          <w:sz w:val="24"/>
          <w:szCs w:val="24"/>
          <w:lang w:eastAsia="en-GB"/>
        </w:rPr>
        <w:t>) that …</w:t>
      </w:r>
    </w:p>
    <w:p w14:paraId="19230B1D" w14:textId="77777777" w:rsidR="004818C1" w:rsidRDefault="00000000">
      <w:r>
        <w:rPr>
          <w:rFonts w:cs="Calibri"/>
          <w:kern w:val="0"/>
          <w:sz w:val="24"/>
          <w:szCs w:val="24"/>
          <w:lang w:eastAsia="en-GB"/>
        </w:rPr>
        <w:t xml:space="preserve">What is the difference between </w:t>
      </w:r>
      <w:proofErr w:type="spellStart"/>
      <w:r>
        <w:rPr>
          <w:rFonts w:cs="Calibri"/>
          <w:i/>
          <w:iCs/>
          <w:kern w:val="0"/>
          <w:sz w:val="24"/>
          <w:szCs w:val="24"/>
          <w:lang w:eastAsia="en-GB"/>
        </w:rPr>
        <w:t>shifāhan</w:t>
      </w:r>
      <w:proofErr w:type="spellEnd"/>
      <w:r>
        <w:rPr>
          <w:rFonts w:cs="Calibri"/>
          <w:kern w:val="0"/>
          <w:sz w:val="24"/>
          <w:szCs w:val="24"/>
          <w:lang w:eastAsia="en-GB"/>
        </w:rPr>
        <w:t xml:space="preserve"> and </w:t>
      </w:r>
      <w:proofErr w:type="spellStart"/>
      <w:r>
        <w:rPr>
          <w:rFonts w:cs="Calibri"/>
          <w:i/>
          <w:iCs/>
          <w:kern w:val="0"/>
          <w:sz w:val="24"/>
          <w:szCs w:val="24"/>
          <w:lang w:eastAsia="en-GB"/>
        </w:rPr>
        <w:t>lafẓan</w:t>
      </w:r>
      <w:proofErr w:type="spellEnd"/>
      <w:r>
        <w:rPr>
          <w:rFonts w:cs="Calibri"/>
          <w:kern w:val="0"/>
          <w:sz w:val="24"/>
          <w:szCs w:val="24"/>
          <w:lang w:eastAsia="en-GB"/>
        </w:rPr>
        <w:t xml:space="preserve">? Both could point to an </w:t>
      </w:r>
      <w:proofErr w:type="spellStart"/>
      <w:r>
        <w:rPr>
          <w:rFonts w:cs="Calibri"/>
          <w:i/>
          <w:iCs/>
          <w:kern w:val="0"/>
          <w:sz w:val="24"/>
          <w:szCs w:val="24"/>
          <w:lang w:eastAsia="en-GB"/>
        </w:rPr>
        <w:t>ijāza</w:t>
      </w:r>
      <w:proofErr w:type="spellEnd"/>
      <w:r>
        <w:rPr>
          <w:rFonts w:cs="Calibri"/>
          <w:kern w:val="0"/>
          <w:sz w:val="24"/>
          <w:szCs w:val="24"/>
          <w:lang w:eastAsia="en-GB"/>
        </w:rPr>
        <w:t xml:space="preserve"> being granted orally. Ibn al-</w:t>
      </w:r>
      <w:proofErr w:type="spellStart"/>
      <w:r>
        <w:rPr>
          <w:rFonts w:cs="Calibri"/>
          <w:kern w:val="0"/>
          <w:sz w:val="24"/>
          <w:szCs w:val="24"/>
          <w:lang w:eastAsia="en-GB"/>
        </w:rPr>
        <w:t>Ṣalāḥ</w:t>
      </w:r>
      <w:proofErr w:type="spellEnd"/>
      <w:r>
        <w:rPr>
          <w:rFonts w:cs="Calibri"/>
          <w:kern w:val="0"/>
          <w:sz w:val="24"/>
          <w:szCs w:val="24"/>
          <w:lang w:eastAsia="en-GB"/>
        </w:rPr>
        <w:t xml:space="preserve"> explains that by his time the phrase ‘he informed us orally’ (</w:t>
      </w:r>
      <w:proofErr w:type="spellStart"/>
      <w:r>
        <w:rPr>
          <w:rFonts w:cs="Calibri"/>
          <w:i/>
          <w:iCs/>
          <w:kern w:val="0"/>
          <w:sz w:val="24"/>
          <w:szCs w:val="24"/>
          <w:lang w:eastAsia="en-GB"/>
        </w:rPr>
        <w:t>akhbaranā</w:t>
      </w:r>
      <w:proofErr w:type="spellEnd"/>
      <w:r>
        <w:rPr>
          <w:rFonts w:cs="Calibri"/>
          <w:i/>
          <w:iCs/>
          <w:kern w:val="0"/>
          <w:sz w:val="24"/>
          <w:szCs w:val="24"/>
          <w:lang w:eastAsia="en-GB"/>
        </w:rPr>
        <w:t xml:space="preserve"> </w:t>
      </w:r>
      <w:proofErr w:type="spellStart"/>
      <w:r>
        <w:rPr>
          <w:rFonts w:cs="Calibri"/>
          <w:i/>
          <w:iCs/>
          <w:kern w:val="0"/>
          <w:sz w:val="24"/>
          <w:szCs w:val="24"/>
          <w:lang w:eastAsia="en-GB"/>
        </w:rPr>
        <w:t>mushāfahatan</w:t>
      </w:r>
      <w:proofErr w:type="spellEnd"/>
      <w:r>
        <w:rPr>
          <w:rFonts w:cs="Calibri"/>
          <w:kern w:val="0"/>
          <w:sz w:val="24"/>
          <w:szCs w:val="24"/>
          <w:lang w:eastAsia="en-GB"/>
        </w:rPr>
        <w:t xml:space="preserve">) was used when someone had verbally granted an </w:t>
      </w:r>
      <w:proofErr w:type="spellStart"/>
      <w:r>
        <w:rPr>
          <w:rFonts w:cs="Calibri"/>
          <w:i/>
          <w:iCs/>
          <w:kern w:val="0"/>
          <w:sz w:val="24"/>
          <w:szCs w:val="24"/>
          <w:lang w:eastAsia="en-GB"/>
        </w:rPr>
        <w:t>ijāza</w:t>
      </w:r>
      <w:proofErr w:type="spellEnd"/>
      <w:r>
        <w:rPr>
          <w:rFonts w:cs="Calibri"/>
          <w:kern w:val="0"/>
          <w:sz w:val="24"/>
          <w:szCs w:val="24"/>
          <w:lang w:eastAsia="en-GB"/>
        </w:rPr>
        <w:t xml:space="preserve"> (</w:t>
      </w:r>
      <w:proofErr w:type="spellStart"/>
      <w:r>
        <w:rPr>
          <w:rFonts w:cs="Calibri"/>
          <w:i/>
          <w:iCs/>
          <w:kern w:val="0"/>
          <w:sz w:val="24"/>
          <w:szCs w:val="24"/>
          <w:lang w:eastAsia="en-GB"/>
        </w:rPr>
        <w:t>kāna</w:t>
      </w:r>
      <w:proofErr w:type="spellEnd"/>
      <w:r>
        <w:rPr>
          <w:rFonts w:cs="Calibri"/>
          <w:i/>
          <w:iCs/>
          <w:kern w:val="0"/>
          <w:sz w:val="24"/>
          <w:szCs w:val="24"/>
          <w:lang w:eastAsia="en-GB"/>
        </w:rPr>
        <w:t xml:space="preserve"> </w:t>
      </w:r>
      <w:proofErr w:type="spellStart"/>
      <w:r>
        <w:rPr>
          <w:rFonts w:cs="Calibri"/>
          <w:i/>
          <w:iCs/>
          <w:kern w:val="0"/>
          <w:sz w:val="24"/>
          <w:szCs w:val="24"/>
          <w:lang w:eastAsia="en-GB"/>
        </w:rPr>
        <w:t>qad</w:t>
      </w:r>
      <w:proofErr w:type="spellEnd"/>
      <w:r>
        <w:rPr>
          <w:rFonts w:cs="Calibri"/>
          <w:i/>
          <w:iCs/>
          <w:kern w:val="0"/>
          <w:sz w:val="24"/>
          <w:szCs w:val="24"/>
          <w:lang w:eastAsia="en-GB"/>
        </w:rPr>
        <w:t xml:space="preserve"> </w:t>
      </w:r>
      <w:proofErr w:type="spellStart"/>
      <w:r>
        <w:rPr>
          <w:rFonts w:cs="Calibri"/>
          <w:i/>
          <w:iCs/>
          <w:kern w:val="0"/>
          <w:sz w:val="24"/>
          <w:szCs w:val="24"/>
          <w:lang w:eastAsia="en-GB"/>
        </w:rPr>
        <w:t>shāfahahu</w:t>
      </w:r>
      <w:proofErr w:type="spellEnd"/>
      <w:r>
        <w:rPr>
          <w:rFonts w:cs="Calibri"/>
          <w:i/>
          <w:iCs/>
          <w:kern w:val="0"/>
          <w:sz w:val="24"/>
          <w:szCs w:val="24"/>
          <w:lang w:eastAsia="en-GB"/>
        </w:rPr>
        <w:t xml:space="preserve"> bi-l-</w:t>
      </w:r>
      <w:proofErr w:type="spellStart"/>
      <w:r>
        <w:rPr>
          <w:rFonts w:cs="Calibri"/>
          <w:i/>
          <w:iCs/>
          <w:kern w:val="0"/>
          <w:sz w:val="24"/>
          <w:szCs w:val="24"/>
          <w:lang w:eastAsia="en-GB"/>
        </w:rPr>
        <w:t>ijāza</w:t>
      </w:r>
      <w:proofErr w:type="spellEnd"/>
      <w:r>
        <w:rPr>
          <w:rFonts w:cs="Calibri"/>
          <w:i/>
          <w:iCs/>
          <w:kern w:val="0"/>
          <w:sz w:val="24"/>
          <w:szCs w:val="24"/>
          <w:lang w:eastAsia="en-GB"/>
        </w:rPr>
        <w:t xml:space="preserve"> </w:t>
      </w:r>
      <w:proofErr w:type="spellStart"/>
      <w:r>
        <w:rPr>
          <w:rFonts w:cs="Calibri"/>
          <w:i/>
          <w:iCs/>
          <w:kern w:val="0"/>
          <w:sz w:val="24"/>
          <w:szCs w:val="24"/>
          <w:lang w:eastAsia="en-GB"/>
        </w:rPr>
        <w:t>lafẓan</w:t>
      </w:r>
      <w:proofErr w:type="spellEnd"/>
      <w:r>
        <w:rPr>
          <w:rFonts w:cs="Calibri"/>
          <w:kern w:val="0"/>
          <w:sz w:val="24"/>
          <w:szCs w:val="24"/>
          <w:lang w:eastAsia="en-GB"/>
        </w:rPr>
        <w:t>).</w:t>
      </w:r>
      <w:r>
        <w:rPr>
          <w:rFonts w:cs="Calibri"/>
          <w:kern w:val="0"/>
          <w:sz w:val="24"/>
          <w:szCs w:val="24"/>
          <w:vertAlign w:val="superscript"/>
          <w:lang w:val="en-US" w:eastAsia="en-GB"/>
        </w:rPr>
        <w:footnoteReference w:id="16"/>
      </w:r>
      <w:r>
        <w:rPr>
          <w:rFonts w:cs="Calibri"/>
          <w:kern w:val="0"/>
          <w:sz w:val="24"/>
          <w:szCs w:val="24"/>
          <w:lang w:eastAsia="en-GB"/>
        </w:rPr>
        <w:t xml:space="preserve"> </w:t>
      </w:r>
    </w:p>
    <w:p w14:paraId="706E283B" w14:textId="77777777" w:rsidR="004818C1" w:rsidRDefault="00000000">
      <w:pPr>
        <w:rPr>
          <w:rFonts w:cs="Calibri"/>
          <w:kern w:val="0"/>
          <w:sz w:val="24"/>
          <w:szCs w:val="24"/>
          <w:lang w:eastAsia="en-GB"/>
        </w:rPr>
      </w:pPr>
      <w:r>
        <w:rPr>
          <w:rFonts w:cs="Calibri"/>
          <w:kern w:val="0"/>
          <w:sz w:val="24"/>
          <w:szCs w:val="24"/>
          <w:lang w:eastAsia="en-GB"/>
        </w:rPr>
        <w:t xml:space="preserve">But on another occasion Ibn </w:t>
      </w:r>
      <w:proofErr w:type="spellStart"/>
      <w:r>
        <w:rPr>
          <w:rFonts w:cs="Calibri"/>
          <w:kern w:val="0"/>
          <w:sz w:val="24"/>
          <w:szCs w:val="24"/>
          <w:lang w:eastAsia="en-GB"/>
        </w:rPr>
        <w:t>ʿAsākir</w:t>
      </w:r>
      <w:proofErr w:type="spellEnd"/>
      <w:r>
        <w:rPr>
          <w:rFonts w:cs="Calibri"/>
          <w:kern w:val="0"/>
          <w:sz w:val="24"/>
          <w:szCs w:val="24"/>
          <w:lang w:eastAsia="en-GB"/>
        </w:rPr>
        <w:t xml:space="preserve"> cites two direct informants using a different term for each, suggesting an effort to draw a finer distinction:</w:t>
      </w:r>
    </w:p>
    <w:p w14:paraId="4D0A5153" w14:textId="77777777" w:rsidR="004818C1" w:rsidRDefault="00000000">
      <w:pPr>
        <w:bidi/>
      </w:pPr>
      <w:r>
        <w:rPr>
          <w:rFonts w:cs="Calibri"/>
          <w:kern w:val="0"/>
          <w:sz w:val="24"/>
          <w:szCs w:val="24"/>
          <w:rtl/>
          <w:lang w:eastAsia="en-GB"/>
        </w:rPr>
        <w:t xml:space="preserve">أخبرنا أبو الحسين </w:t>
      </w:r>
      <w:proofErr w:type="spellStart"/>
      <w:r>
        <w:rPr>
          <w:rFonts w:cs="Calibri"/>
          <w:kern w:val="0"/>
          <w:sz w:val="24"/>
          <w:szCs w:val="24"/>
          <w:rtl/>
          <w:lang w:eastAsia="en-GB"/>
        </w:rPr>
        <w:t>الأبرقوهي</w:t>
      </w:r>
      <w:proofErr w:type="spellEnd"/>
      <w:r>
        <w:rPr>
          <w:rFonts w:cs="Calibri"/>
          <w:kern w:val="0"/>
          <w:sz w:val="24"/>
          <w:szCs w:val="24"/>
          <w:rtl/>
          <w:lang w:eastAsia="en-GB"/>
        </w:rPr>
        <w:t xml:space="preserve"> إذنا وأبو عبد الله الخلال مشافهة قالا أنا أبو القاسم العبدي أنا أحمد إجازة</w:t>
      </w:r>
    </w:p>
    <w:p w14:paraId="1FDEBA97" w14:textId="77777777" w:rsidR="004818C1" w:rsidRDefault="00000000">
      <w:pPr>
        <w:ind w:left="720"/>
      </w:pP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Husayn</w:t>
      </w:r>
      <w:proofErr w:type="spellEnd"/>
      <w:r>
        <w:rPr>
          <w:rFonts w:cs="Calibri"/>
          <w:kern w:val="0"/>
          <w:sz w:val="24"/>
          <w:szCs w:val="24"/>
          <w:lang w:eastAsia="en-GB"/>
        </w:rPr>
        <w:t xml:space="preserve"> al-</w:t>
      </w:r>
      <w:proofErr w:type="spellStart"/>
      <w:r>
        <w:rPr>
          <w:rFonts w:cs="Calibri"/>
          <w:kern w:val="0"/>
          <w:sz w:val="24"/>
          <w:szCs w:val="24"/>
          <w:lang w:eastAsia="en-GB"/>
        </w:rPr>
        <w:t>Abraqūhī</w:t>
      </w:r>
      <w:proofErr w:type="spellEnd"/>
      <w:r>
        <w:rPr>
          <w:rFonts w:cs="Calibri"/>
          <w:kern w:val="0"/>
          <w:sz w:val="24"/>
          <w:szCs w:val="24"/>
          <w:lang w:eastAsia="en-GB"/>
        </w:rPr>
        <w:t xml:space="preserve"> [</w:t>
      </w:r>
      <w:r>
        <w:rPr>
          <w:rFonts w:cs="Calibri"/>
          <w:color w:val="1F1F1F"/>
          <w:kern w:val="0"/>
          <w:sz w:val="24"/>
          <w:szCs w:val="24"/>
          <w:shd w:val="clear" w:color="auto" w:fill="FFFFFF"/>
          <w:lang w:eastAsia="en-GB"/>
        </w:rPr>
        <w:t>Abu al-</w:t>
      </w:r>
      <w:proofErr w:type="spellStart"/>
      <w:r>
        <w:rPr>
          <w:rFonts w:cs="Calibri"/>
          <w:color w:val="1F1F1F"/>
          <w:kern w:val="0"/>
          <w:sz w:val="24"/>
          <w:szCs w:val="24"/>
          <w:shd w:val="clear" w:color="auto" w:fill="FFFFFF"/>
          <w:lang w:eastAsia="en-GB"/>
        </w:rPr>
        <w:t>Husayn</w:t>
      </w:r>
      <w:proofErr w:type="spellEnd"/>
      <w:r>
        <w:rPr>
          <w:rFonts w:cs="Calibri"/>
          <w:color w:val="1F1F1F"/>
          <w:kern w:val="0"/>
          <w:sz w:val="24"/>
          <w:szCs w:val="24"/>
          <w:shd w:val="clear" w:color="auto" w:fill="FFFFFF"/>
          <w:lang w:eastAsia="en-GB"/>
        </w:rPr>
        <w:t xml:space="preserve"> al-</w:t>
      </w:r>
      <w:proofErr w:type="spellStart"/>
      <w:r>
        <w:rPr>
          <w:rFonts w:cs="Calibri"/>
          <w:color w:val="1F1F1F"/>
          <w:kern w:val="0"/>
          <w:sz w:val="24"/>
          <w:szCs w:val="24"/>
          <w:shd w:val="clear" w:color="auto" w:fill="FFFFFF"/>
          <w:lang w:eastAsia="en-GB"/>
        </w:rPr>
        <w:t>Abraquhi</w:t>
      </w:r>
      <w:proofErr w:type="spellEnd"/>
      <w:r>
        <w:rPr>
          <w:rFonts w:cs="Calibri"/>
          <w:color w:val="1F1F1F"/>
          <w:kern w:val="0"/>
          <w:sz w:val="24"/>
          <w:szCs w:val="24"/>
          <w:shd w:val="clear" w:color="auto" w:fill="FFFFFF"/>
          <w:lang w:eastAsia="en-GB"/>
        </w:rPr>
        <w:t>]</w:t>
      </w:r>
      <w:r>
        <w:rPr>
          <w:rFonts w:cs="Calibri"/>
          <w:kern w:val="0"/>
          <w:sz w:val="24"/>
          <w:szCs w:val="24"/>
          <w:lang w:eastAsia="en-GB"/>
        </w:rPr>
        <w:t xml:space="preserve"> informed us (</w:t>
      </w:r>
      <w:proofErr w:type="spellStart"/>
      <w:r>
        <w:rPr>
          <w:rFonts w:cs="Calibri"/>
          <w:i/>
          <w:iCs/>
          <w:kern w:val="0"/>
          <w:sz w:val="24"/>
          <w:szCs w:val="24"/>
          <w:lang w:eastAsia="en-GB"/>
        </w:rPr>
        <w:t>akhbaranā</w:t>
      </w:r>
      <w:proofErr w:type="spellEnd"/>
      <w:r>
        <w:rPr>
          <w:rFonts w:cs="Calibri"/>
          <w:kern w:val="0"/>
          <w:sz w:val="24"/>
          <w:szCs w:val="24"/>
          <w:lang w:eastAsia="en-GB"/>
        </w:rPr>
        <w:t>) with permission to transmit onwards (</w:t>
      </w:r>
      <w:proofErr w:type="spellStart"/>
      <w:r>
        <w:rPr>
          <w:rFonts w:cs="Calibri"/>
          <w:i/>
          <w:iCs/>
          <w:kern w:val="0"/>
          <w:sz w:val="24"/>
          <w:szCs w:val="24"/>
          <w:lang w:eastAsia="en-GB"/>
        </w:rPr>
        <w:t>idhnan</w:t>
      </w:r>
      <w:proofErr w:type="spellEnd"/>
      <w:r>
        <w:rPr>
          <w:rFonts w:cs="Calibri"/>
          <w:kern w:val="0"/>
          <w:sz w:val="24"/>
          <w:szCs w:val="24"/>
          <w:lang w:eastAsia="en-GB"/>
        </w:rPr>
        <w:t xml:space="preserve">), and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al-</w:t>
      </w:r>
      <w:proofErr w:type="spellStart"/>
      <w:r>
        <w:rPr>
          <w:rFonts w:cs="Calibri"/>
          <w:kern w:val="0"/>
          <w:sz w:val="24"/>
          <w:szCs w:val="24"/>
          <w:lang w:eastAsia="en-GB"/>
        </w:rPr>
        <w:t>Khallāl</w:t>
      </w:r>
      <w:proofErr w:type="spellEnd"/>
      <w:r>
        <w:rPr>
          <w:rFonts w:cs="Calibri"/>
          <w:kern w:val="0"/>
          <w:sz w:val="24"/>
          <w:szCs w:val="24"/>
          <w:lang w:eastAsia="en-GB"/>
        </w:rPr>
        <w:t xml:space="preserve"> [Abu 'Abd Allah al-</w:t>
      </w:r>
      <w:proofErr w:type="spellStart"/>
      <w:r>
        <w:rPr>
          <w:rFonts w:cs="Calibri"/>
          <w:kern w:val="0"/>
          <w:sz w:val="24"/>
          <w:szCs w:val="24"/>
          <w:lang w:eastAsia="en-GB"/>
        </w:rPr>
        <w:t>Khallal</w:t>
      </w:r>
      <w:proofErr w:type="spellEnd"/>
      <w:r>
        <w:rPr>
          <w:rFonts w:cs="Calibri"/>
          <w:kern w:val="0"/>
          <w:sz w:val="24"/>
          <w:szCs w:val="24"/>
          <w:lang w:eastAsia="en-GB"/>
        </w:rPr>
        <w:t>] informed us orally (</w:t>
      </w:r>
      <w:proofErr w:type="spellStart"/>
      <w:r>
        <w:rPr>
          <w:rFonts w:cs="Calibri"/>
          <w:i/>
          <w:kern w:val="0"/>
          <w:sz w:val="24"/>
          <w:szCs w:val="24"/>
          <w:lang w:eastAsia="en-GB"/>
        </w:rPr>
        <w:t>mushāfahatan</w:t>
      </w:r>
      <w:proofErr w:type="spellEnd"/>
      <w:r>
        <w:rPr>
          <w:rFonts w:cs="Calibri"/>
          <w:kern w:val="0"/>
          <w:sz w:val="24"/>
          <w:szCs w:val="24"/>
          <w:lang w:eastAsia="en-GB"/>
        </w:rPr>
        <w:t xml:space="preserve">), that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Qāsim</w:t>
      </w:r>
      <w:proofErr w:type="spellEnd"/>
      <w:r>
        <w:rPr>
          <w:rFonts w:cs="Calibri"/>
          <w:kern w:val="0"/>
          <w:sz w:val="24"/>
          <w:szCs w:val="24"/>
          <w:lang w:eastAsia="en-GB"/>
        </w:rPr>
        <w:t xml:space="preserve"> al-</w:t>
      </w:r>
      <w:proofErr w:type="spellStart"/>
      <w:r>
        <w:rPr>
          <w:rFonts w:cs="Calibri"/>
          <w:kern w:val="0"/>
          <w:sz w:val="24"/>
          <w:szCs w:val="24"/>
          <w:lang w:eastAsia="en-GB"/>
        </w:rPr>
        <w:t>ʿAbdī</w:t>
      </w:r>
      <w:proofErr w:type="spellEnd"/>
      <w:r>
        <w:rPr>
          <w:rFonts w:cs="Calibri"/>
          <w:kern w:val="0"/>
          <w:sz w:val="24"/>
          <w:szCs w:val="24"/>
          <w:lang w:eastAsia="en-GB"/>
        </w:rPr>
        <w:t xml:space="preserve"> transmitted to them that </w:t>
      </w:r>
      <w:proofErr w:type="spellStart"/>
      <w:r>
        <w:rPr>
          <w:rFonts w:cs="Calibri"/>
          <w:kern w:val="0"/>
          <w:sz w:val="24"/>
          <w:szCs w:val="24"/>
          <w:lang w:eastAsia="en-GB"/>
        </w:rPr>
        <w:t>Aḥmad</w:t>
      </w:r>
      <w:proofErr w:type="spellEnd"/>
      <w:r>
        <w:rPr>
          <w:rFonts w:cs="Calibri"/>
          <w:kern w:val="0"/>
          <w:sz w:val="24"/>
          <w:szCs w:val="24"/>
          <w:lang w:eastAsia="en-GB"/>
        </w:rPr>
        <w:t xml:space="preserve"> told them via an </w:t>
      </w:r>
      <w:proofErr w:type="spellStart"/>
      <w:r>
        <w:rPr>
          <w:rFonts w:cs="Calibri"/>
          <w:i/>
          <w:kern w:val="0"/>
          <w:sz w:val="24"/>
          <w:szCs w:val="24"/>
          <w:lang w:eastAsia="en-GB"/>
        </w:rPr>
        <w:t>ijāza</w:t>
      </w:r>
      <w:proofErr w:type="spellEnd"/>
      <w:r>
        <w:rPr>
          <w:rFonts w:cs="Calibri"/>
          <w:kern w:val="0"/>
          <w:sz w:val="24"/>
          <w:szCs w:val="24"/>
          <w:lang w:eastAsia="en-GB"/>
        </w:rPr>
        <w:t xml:space="preserve"> that … </w:t>
      </w:r>
    </w:p>
    <w:p w14:paraId="3EA8F9BD" w14:textId="77777777" w:rsidR="004818C1" w:rsidRDefault="00000000">
      <w:pPr>
        <w:rPr>
          <w:rFonts w:cs="Calibri"/>
          <w:kern w:val="0"/>
          <w:sz w:val="24"/>
          <w:szCs w:val="24"/>
          <w:lang w:eastAsia="en-GB"/>
        </w:rPr>
      </w:pPr>
      <w:r>
        <w:rPr>
          <w:rFonts w:cs="Calibri"/>
          <w:kern w:val="0"/>
          <w:sz w:val="24"/>
          <w:szCs w:val="24"/>
          <w:lang w:eastAsia="en-GB"/>
        </w:rPr>
        <w:t xml:space="preserve">This language is detailed and seemingly specific. But why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them in the ways he does (with different terms for different people) is not clear to us at this point.</w:t>
      </w:r>
    </w:p>
    <w:p w14:paraId="73819B0D" w14:textId="77777777" w:rsidR="004818C1" w:rsidRPr="00E361F2" w:rsidRDefault="00000000" w:rsidP="00E361F2">
      <w:pPr>
        <w:pStyle w:val="Heading3"/>
        <w:rPr>
          <w:i/>
          <w:iCs/>
        </w:rPr>
      </w:pPr>
      <w:proofErr w:type="spellStart"/>
      <w:r w:rsidRPr="00E361F2">
        <w:rPr>
          <w:i/>
          <w:iCs/>
        </w:rPr>
        <w:t>Qirāʾatan</w:t>
      </w:r>
      <w:proofErr w:type="spellEnd"/>
      <w:r w:rsidRPr="00E361F2">
        <w:rPr>
          <w:i/>
          <w:iCs/>
        </w:rPr>
        <w:t xml:space="preserve"> </w:t>
      </w:r>
    </w:p>
    <w:p w14:paraId="4E26484B" w14:textId="77777777" w:rsidR="004818C1" w:rsidRDefault="00000000">
      <w:bookmarkStart w:id="8" w:name="_1ksv4uv"/>
      <w:bookmarkEnd w:id="8"/>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uses the expression </w:t>
      </w:r>
      <w:proofErr w:type="spellStart"/>
      <w:r>
        <w:rPr>
          <w:rFonts w:cs="Calibri"/>
          <w:i/>
          <w:iCs/>
          <w:kern w:val="0"/>
          <w:sz w:val="24"/>
          <w:szCs w:val="24"/>
          <w:lang w:eastAsia="en-GB"/>
        </w:rPr>
        <w:t>qirāʾatan</w:t>
      </w:r>
      <w:proofErr w:type="spellEnd"/>
      <w:r>
        <w:rPr>
          <w:rFonts w:cs="Calibri"/>
          <w:kern w:val="0"/>
          <w:sz w:val="24"/>
          <w:szCs w:val="24"/>
          <w:lang w:eastAsia="en-GB"/>
        </w:rPr>
        <w:t xml:space="preserve"> (‘via reading back’) 561 times within the </w:t>
      </w:r>
      <w:proofErr w:type="spellStart"/>
      <w:r>
        <w:rPr>
          <w:rFonts w:cs="Calibri"/>
          <w:i/>
          <w:iCs/>
          <w:kern w:val="0"/>
          <w:sz w:val="24"/>
          <w:szCs w:val="24"/>
          <w:lang w:eastAsia="en-GB"/>
        </w:rPr>
        <w:t>isnād</w:t>
      </w:r>
      <w:proofErr w:type="spellEnd"/>
      <w:r>
        <w:rPr>
          <w:rFonts w:cs="Calibri"/>
          <w:i/>
          <w:iCs/>
          <w:kern w:val="0"/>
          <w:sz w:val="24"/>
          <w:szCs w:val="24"/>
          <w:lang w:eastAsia="en-GB"/>
        </w:rPr>
        <w:t xml:space="preserve"> </w:t>
      </w:r>
      <w:r>
        <w:rPr>
          <w:rFonts w:cs="Calibri"/>
          <w:kern w:val="0"/>
          <w:sz w:val="24"/>
          <w:szCs w:val="24"/>
          <w:lang w:eastAsia="en-GB"/>
        </w:rPr>
        <w:t>data set when explaining how a direct informant transmitted information to him.</w:t>
      </w:r>
    </w:p>
    <w:p w14:paraId="2DB047C7" w14:textId="77777777" w:rsidR="004818C1" w:rsidRDefault="00000000">
      <w:r>
        <w:rPr>
          <w:rFonts w:cs="Calibri"/>
          <w:kern w:val="0"/>
          <w:sz w:val="24"/>
          <w:szCs w:val="24"/>
          <w:lang w:eastAsia="en-GB"/>
        </w:rPr>
        <w:t xml:space="preserve">The term appears to denote Ibn </w:t>
      </w:r>
      <w:proofErr w:type="spellStart"/>
      <w:r>
        <w:rPr>
          <w:rFonts w:cs="Calibri"/>
          <w:kern w:val="0"/>
          <w:sz w:val="24"/>
          <w:szCs w:val="24"/>
          <w:lang w:eastAsia="en-GB"/>
        </w:rPr>
        <w:t>ʿAsākir’s</w:t>
      </w:r>
      <w:proofErr w:type="spellEnd"/>
      <w:r>
        <w:rPr>
          <w:rFonts w:cs="Calibri"/>
          <w:kern w:val="0"/>
          <w:sz w:val="24"/>
          <w:szCs w:val="24"/>
          <w:lang w:eastAsia="en-GB"/>
        </w:rPr>
        <w:t xml:space="preserve"> reading text back to a direct informant – or his being in the presence of another person doing so. Its cognate </w:t>
      </w:r>
      <w:r>
        <w:rPr>
          <w:rFonts w:cs="Calibri"/>
          <w:i/>
          <w:iCs/>
          <w:kern w:val="0"/>
          <w:sz w:val="24"/>
          <w:szCs w:val="24"/>
          <w:lang w:eastAsia="en-GB"/>
        </w:rPr>
        <w:t>bi-</w:t>
      </w:r>
      <w:proofErr w:type="spellStart"/>
      <w:r>
        <w:rPr>
          <w:rFonts w:cs="Calibri"/>
          <w:i/>
          <w:iCs/>
          <w:kern w:val="0"/>
          <w:sz w:val="24"/>
          <w:szCs w:val="24"/>
          <w:lang w:eastAsia="en-GB"/>
        </w:rPr>
        <w:t>qirāʾatī</w:t>
      </w:r>
      <w:proofErr w:type="spellEnd"/>
      <w:r>
        <w:rPr>
          <w:rFonts w:cs="Calibri"/>
          <w:i/>
          <w:iCs/>
          <w:kern w:val="0"/>
          <w:sz w:val="24"/>
          <w:szCs w:val="24"/>
          <w:lang w:eastAsia="en-GB"/>
        </w:rPr>
        <w:t xml:space="preserve"> </w:t>
      </w:r>
      <w:proofErr w:type="spellStart"/>
      <w:r>
        <w:rPr>
          <w:rFonts w:cs="Calibri"/>
          <w:i/>
          <w:iCs/>
          <w:kern w:val="0"/>
          <w:sz w:val="24"/>
          <w:szCs w:val="24"/>
          <w:lang w:eastAsia="en-GB"/>
        </w:rPr>
        <w:t>ʿalayhi</w:t>
      </w:r>
      <w:proofErr w:type="spellEnd"/>
      <w:r>
        <w:rPr>
          <w:rFonts w:cs="Calibri"/>
          <w:kern w:val="0"/>
          <w:sz w:val="24"/>
          <w:szCs w:val="24"/>
          <w:lang w:eastAsia="en-GB"/>
        </w:rPr>
        <w:t xml:space="preserve"> (‘via my reading back to him’) is the most common transmission term used in the sample Hadiths he provides in </w:t>
      </w:r>
      <w:proofErr w:type="spellStart"/>
      <w:r>
        <w:rPr>
          <w:rFonts w:cs="Calibri"/>
          <w:i/>
          <w:iCs/>
          <w:kern w:val="0"/>
          <w:sz w:val="24"/>
          <w:szCs w:val="24"/>
          <w:lang w:eastAsia="en-GB"/>
        </w:rPr>
        <w:t>Muʿjam</w:t>
      </w:r>
      <w:proofErr w:type="spellEnd"/>
      <w:r>
        <w:rPr>
          <w:rFonts w:cs="Calibri"/>
          <w:i/>
          <w:iCs/>
          <w:kern w:val="0"/>
          <w:sz w:val="24"/>
          <w:szCs w:val="24"/>
          <w:lang w:eastAsia="en-GB"/>
        </w:rPr>
        <w:t xml:space="preserve"> al-</w:t>
      </w:r>
      <w:proofErr w:type="spellStart"/>
      <w:r>
        <w:rPr>
          <w:rFonts w:cs="Calibri"/>
          <w:i/>
          <w:iCs/>
          <w:kern w:val="0"/>
          <w:sz w:val="24"/>
          <w:szCs w:val="24"/>
          <w:lang w:eastAsia="en-GB"/>
        </w:rPr>
        <w:t>shuyūkh</w:t>
      </w:r>
      <w:proofErr w:type="spellEnd"/>
      <w:r>
        <w:rPr>
          <w:rFonts w:cs="Calibri"/>
          <w:kern w:val="0"/>
          <w:sz w:val="24"/>
          <w:szCs w:val="24"/>
          <w:lang w:eastAsia="en-GB"/>
        </w:rPr>
        <w:t xml:space="preserve">. Here is an example from the </w:t>
      </w:r>
      <w:r>
        <w:rPr>
          <w:rFonts w:cs="Calibri"/>
          <w:i/>
          <w:iCs/>
          <w:kern w:val="0"/>
          <w:sz w:val="24"/>
          <w:szCs w:val="24"/>
          <w:lang w:eastAsia="en-GB"/>
        </w:rPr>
        <w:t>TMD</w:t>
      </w:r>
      <w:r>
        <w:rPr>
          <w:rFonts w:cs="Calibri"/>
          <w:kern w:val="0"/>
          <w:sz w:val="24"/>
          <w:szCs w:val="24"/>
          <w:lang w:eastAsia="en-GB"/>
        </w:rPr>
        <w:t>:</w:t>
      </w:r>
    </w:p>
    <w:p w14:paraId="5EBE71A9" w14:textId="77777777" w:rsidR="004818C1" w:rsidRDefault="00000000">
      <w:pPr>
        <w:bidi/>
      </w:pPr>
      <w:r>
        <w:rPr>
          <w:rFonts w:cs="Calibri"/>
          <w:kern w:val="0"/>
          <w:sz w:val="24"/>
          <w:szCs w:val="24"/>
          <w:rtl/>
          <w:lang w:eastAsia="en-GB"/>
        </w:rPr>
        <w:lastRenderedPageBreak/>
        <w:t xml:space="preserve">أخبرنا أبو الحسن </w:t>
      </w:r>
      <w:proofErr w:type="spellStart"/>
      <w:r>
        <w:rPr>
          <w:rFonts w:cs="Calibri"/>
          <w:kern w:val="0"/>
          <w:sz w:val="24"/>
          <w:szCs w:val="24"/>
          <w:rtl/>
          <w:lang w:eastAsia="en-GB"/>
        </w:rPr>
        <w:t>الموازيني</w:t>
      </w:r>
      <w:proofErr w:type="spellEnd"/>
      <w:r>
        <w:rPr>
          <w:rFonts w:cs="Calibri"/>
          <w:kern w:val="0"/>
          <w:sz w:val="24"/>
          <w:szCs w:val="24"/>
          <w:rtl/>
          <w:lang w:eastAsia="en-GB"/>
        </w:rPr>
        <w:t xml:space="preserve"> قراءة أنا أبو الحسين بن أبي نصر سنة ثلاث وأربعين وأربعمائة أنا محمد بن يوسف بن يعقوب الرقي </w:t>
      </w:r>
      <w:proofErr w:type="spellStart"/>
      <w:r>
        <w:rPr>
          <w:rFonts w:cs="Calibri"/>
          <w:kern w:val="0"/>
          <w:sz w:val="24"/>
          <w:szCs w:val="24"/>
          <w:rtl/>
          <w:lang w:eastAsia="en-GB"/>
        </w:rPr>
        <w:t>نا</w:t>
      </w:r>
      <w:proofErr w:type="spellEnd"/>
      <w:r>
        <w:rPr>
          <w:rFonts w:cs="Calibri"/>
          <w:kern w:val="0"/>
          <w:sz w:val="24"/>
          <w:szCs w:val="24"/>
          <w:rtl/>
          <w:lang w:eastAsia="en-GB"/>
        </w:rPr>
        <w:t xml:space="preserve"> أبو محمد عبدالله بن شوذب الواسطي </w:t>
      </w:r>
      <w:proofErr w:type="spellStart"/>
      <w:r>
        <w:rPr>
          <w:rFonts w:cs="Calibri"/>
          <w:kern w:val="0"/>
          <w:sz w:val="24"/>
          <w:szCs w:val="24"/>
          <w:rtl/>
          <w:lang w:eastAsia="en-GB"/>
        </w:rPr>
        <w:t>نا</w:t>
      </w:r>
      <w:proofErr w:type="spellEnd"/>
      <w:r>
        <w:rPr>
          <w:rFonts w:cs="Calibri"/>
          <w:kern w:val="0"/>
          <w:sz w:val="24"/>
          <w:szCs w:val="24"/>
          <w:rtl/>
          <w:lang w:eastAsia="en-GB"/>
        </w:rPr>
        <w:t xml:space="preserve"> شعيب</w:t>
      </w:r>
    </w:p>
    <w:p w14:paraId="4B1B4E77" w14:textId="77777777" w:rsidR="004818C1" w:rsidRDefault="00000000">
      <w:pPr>
        <w:ind w:left="720"/>
      </w:pP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Ḥasan</w:t>
      </w:r>
      <w:proofErr w:type="spellEnd"/>
      <w:r>
        <w:rPr>
          <w:rFonts w:cs="Calibri"/>
          <w:kern w:val="0"/>
          <w:sz w:val="24"/>
          <w:szCs w:val="24"/>
          <w:lang w:eastAsia="en-GB"/>
        </w:rPr>
        <w:t xml:space="preserve"> al-</w:t>
      </w:r>
      <w:proofErr w:type="spellStart"/>
      <w:r>
        <w:rPr>
          <w:rFonts w:cs="Calibri"/>
          <w:kern w:val="0"/>
          <w:sz w:val="24"/>
          <w:szCs w:val="24"/>
          <w:lang w:eastAsia="en-GB"/>
        </w:rPr>
        <w:t>Mawāzīnī</w:t>
      </w:r>
      <w:proofErr w:type="spellEnd"/>
      <w:r>
        <w:rPr>
          <w:rFonts w:cs="Calibri"/>
          <w:kern w:val="0"/>
          <w:sz w:val="24"/>
          <w:szCs w:val="24"/>
          <w:lang w:eastAsia="en-GB"/>
        </w:rPr>
        <w:t xml:space="preserve"> [</w:t>
      </w:r>
      <w:bookmarkStart w:id="9" w:name="_Hlk131693829"/>
      <w:r>
        <w:rPr>
          <w:rFonts w:cs="Calibri"/>
          <w:kern w:val="0"/>
          <w:sz w:val="24"/>
          <w:szCs w:val="24"/>
          <w:lang w:eastAsia="en-GB"/>
        </w:rPr>
        <w:t>Abu al-Hasan 'Ali b. al-Hasan</w:t>
      </w:r>
      <w:bookmarkEnd w:id="9"/>
      <w:r>
        <w:rPr>
          <w:rFonts w:cs="Calibri"/>
          <w:kern w:val="0"/>
          <w:sz w:val="24"/>
          <w:szCs w:val="24"/>
          <w:lang w:eastAsia="en-GB"/>
        </w:rPr>
        <w:t xml:space="preserve">] informed us via reading back to him that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Ḥusayn</w:t>
      </w:r>
      <w:proofErr w:type="spellEnd"/>
      <w:r>
        <w:rPr>
          <w:rFonts w:cs="Calibri"/>
          <w:kern w:val="0"/>
          <w:sz w:val="24"/>
          <w:szCs w:val="24"/>
          <w:lang w:eastAsia="en-GB"/>
        </w:rPr>
        <w:t xml:space="preserve"> b. </w:t>
      </w:r>
      <w:proofErr w:type="spellStart"/>
      <w:r>
        <w:rPr>
          <w:rFonts w:cs="Calibri"/>
          <w:kern w:val="0"/>
          <w:sz w:val="24"/>
          <w:szCs w:val="24"/>
          <w:lang w:eastAsia="en-GB"/>
        </w:rPr>
        <w:t>Abī</w:t>
      </w:r>
      <w:proofErr w:type="spellEnd"/>
      <w:r>
        <w:rPr>
          <w:rFonts w:cs="Calibri"/>
          <w:kern w:val="0"/>
          <w:sz w:val="24"/>
          <w:szCs w:val="24"/>
          <w:lang w:eastAsia="en-GB"/>
        </w:rPr>
        <w:t xml:space="preserve"> </w:t>
      </w:r>
      <w:proofErr w:type="spellStart"/>
      <w:r>
        <w:rPr>
          <w:rFonts w:cs="Calibri"/>
          <w:kern w:val="0"/>
          <w:sz w:val="24"/>
          <w:szCs w:val="24"/>
          <w:lang w:eastAsia="en-GB"/>
        </w:rPr>
        <w:t>Naṣr</w:t>
      </w:r>
      <w:proofErr w:type="spellEnd"/>
      <w:r>
        <w:rPr>
          <w:rFonts w:cs="Calibri"/>
          <w:kern w:val="0"/>
          <w:sz w:val="24"/>
          <w:szCs w:val="24"/>
          <w:lang w:eastAsia="en-GB"/>
        </w:rPr>
        <w:t xml:space="preserve"> transmitted to us in the year 443 that </w:t>
      </w:r>
      <w:proofErr w:type="spellStart"/>
      <w:r>
        <w:rPr>
          <w:rFonts w:cs="Calibri"/>
          <w:kern w:val="0"/>
          <w:sz w:val="24"/>
          <w:szCs w:val="24"/>
          <w:lang w:eastAsia="en-GB"/>
        </w:rPr>
        <w:t>Muḥammad</w:t>
      </w:r>
      <w:proofErr w:type="spellEnd"/>
      <w:r>
        <w:rPr>
          <w:rFonts w:cs="Calibri"/>
          <w:kern w:val="0"/>
          <w:sz w:val="24"/>
          <w:szCs w:val="24"/>
          <w:lang w:eastAsia="en-GB"/>
        </w:rPr>
        <w:t xml:space="preserve"> b. </w:t>
      </w:r>
      <w:proofErr w:type="spellStart"/>
      <w:r>
        <w:rPr>
          <w:rFonts w:cs="Calibri"/>
          <w:kern w:val="0"/>
          <w:sz w:val="24"/>
          <w:szCs w:val="24"/>
          <w:lang w:eastAsia="en-GB"/>
        </w:rPr>
        <w:t>Yaʿqūb</w:t>
      </w:r>
      <w:proofErr w:type="spellEnd"/>
      <w:r>
        <w:rPr>
          <w:rFonts w:cs="Calibri"/>
          <w:kern w:val="0"/>
          <w:sz w:val="24"/>
          <w:szCs w:val="24"/>
          <w:lang w:eastAsia="en-GB"/>
        </w:rPr>
        <w:t xml:space="preserve"> al-</w:t>
      </w:r>
      <w:proofErr w:type="spellStart"/>
      <w:r>
        <w:rPr>
          <w:rFonts w:cs="Calibri"/>
          <w:kern w:val="0"/>
          <w:sz w:val="24"/>
          <w:szCs w:val="24"/>
          <w:lang w:eastAsia="en-GB"/>
        </w:rPr>
        <w:t>Raqqī</w:t>
      </w:r>
      <w:proofErr w:type="spellEnd"/>
      <w:r>
        <w:rPr>
          <w:rFonts w:cs="Calibri"/>
          <w:kern w:val="0"/>
          <w:sz w:val="24"/>
          <w:szCs w:val="24"/>
          <w:lang w:eastAsia="en-GB"/>
        </w:rPr>
        <w:t xml:space="preserve"> transmitted from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Muḥammad</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Allāḥ</w:t>
      </w:r>
      <w:proofErr w:type="spellEnd"/>
      <w:r>
        <w:rPr>
          <w:rFonts w:cs="Calibri"/>
          <w:kern w:val="0"/>
          <w:sz w:val="24"/>
          <w:szCs w:val="24"/>
          <w:lang w:eastAsia="en-GB"/>
        </w:rPr>
        <w:t xml:space="preserve"> b. </w:t>
      </w:r>
      <w:proofErr w:type="spellStart"/>
      <w:r>
        <w:rPr>
          <w:rFonts w:cs="Calibri"/>
          <w:kern w:val="0"/>
          <w:sz w:val="24"/>
          <w:szCs w:val="24"/>
          <w:lang w:eastAsia="en-GB"/>
        </w:rPr>
        <w:t>Shawdhab</w:t>
      </w:r>
      <w:proofErr w:type="spellEnd"/>
      <w:r>
        <w:rPr>
          <w:rFonts w:cs="Calibri"/>
          <w:kern w:val="0"/>
          <w:sz w:val="24"/>
          <w:szCs w:val="24"/>
          <w:lang w:eastAsia="en-GB"/>
        </w:rPr>
        <w:t xml:space="preserve"> al-</w:t>
      </w:r>
      <w:proofErr w:type="spellStart"/>
      <w:r>
        <w:rPr>
          <w:rFonts w:cs="Calibri"/>
          <w:kern w:val="0"/>
          <w:sz w:val="24"/>
          <w:szCs w:val="24"/>
          <w:lang w:eastAsia="en-GB"/>
        </w:rPr>
        <w:t>Wāsiṭī</w:t>
      </w:r>
      <w:proofErr w:type="spellEnd"/>
      <w:r>
        <w:rPr>
          <w:rFonts w:cs="Calibri"/>
          <w:kern w:val="0"/>
          <w:sz w:val="24"/>
          <w:szCs w:val="24"/>
          <w:lang w:eastAsia="en-GB"/>
        </w:rPr>
        <w:t xml:space="preserve">, who transmitted from </w:t>
      </w:r>
      <w:proofErr w:type="spellStart"/>
      <w:r>
        <w:rPr>
          <w:rFonts w:cs="Calibri"/>
          <w:kern w:val="0"/>
          <w:sz w:val="24"/>
          <w:szCs w:val="24"/>
          <w:lang w:eastAsia="en-GB"/>
        </w:rPr>
        <w:t>Shuʿayb</w:t>
      </w:r>
      <w:proofErr w:type="spellEnd"/>
      <w:r>
        <w:rPr>
          <w:rFonts w:cs="Calibri"/>
          <w:kern w:val="0"/>
          <w:sz w:val="24"/>
          <w:szCs w:val="24"/>
          <w:lang w:eastAsia="en-GB"/>
        </w:rPr>
        <w:t> …</w:t>
      </w:r>
    </w:p>
    <w:p w14:paraId="719DFE8C" w14:textId="77777777" w:rsidR="004818C1" w:rsidRDefault="00000000">
      <w:r>
        <w:rPr>
          <w:rFonts w:cs="Calibri"/>
          <w:kern w:val="0"/>
          <w:sz w:val="24"/>
          <w:szCs w:val="24"/>
          <w:lang w:eastAsia="en-GB"/>
        </w:rPr>
        <w:t>Ibn al-</w:t>
      </w:r>
      <w:proofErr w:type="spellStart"/>
      <w:r>
        <w:rPr>
          <w:rFonts w:cs="Calibri"/>
          <w:kern w:val="0"/>
          <w:sz w:val="24"/>
          <w:szCs w:val="24"/>
          <w:lang w:eastAsia="en-GB"/>
        </w:rPr>
        <w:t>Ṣalāḥ</w:t>
      </w:r>
      <w:proofErr w:type="spellEnd"/>
      <w:r>
        <w:rPr>
          <w:rFonts w:cs="Calibri"/>
          <w:kern w:val="0"/>
          <w:sz w:val="24"/>
          <w:szCs w:val="24"/>
          <w:lang w:eastAsia="en-GB"/>
        </w:rPr>
        <w:t xml:space="preserve"> describes recitation to the teacher (</w:t>
      </w:r>
      <w:r>
        <w:rPr>
          <w:rFonts w:cs="Calibri"/>
          <w:i/>
          <w:iCs/>
          <w:kern w:val="0"/>
          <w:sz w:val="24"/>
          <w:szCs w:val="24"/>
          <w:lang w:eastAsia="en-GB"/>
        </w:rPr>
        <w:t>al-</w:t>
      </w:r>
      <w:proofErr w:type="spellStart"/>
      <w:r>
        <w:rPr>
          <w:rFonts w:cs="Calibri"/>
          <w:i/>
          <w:iCs/>
          <w:kern w:val="0"/>
          <w:sz w:val="24"/>
          <w:szCs w:val="24"/>
          <w:lang w:eastAsia="en-GB"/>
        </w:rPr>
        <w:t>qirāʾa</w:t>
      </w:r>
      <w:proofErr w:type="spellEnd"/>
      <w:r>
        <w:rPr>
          <w:rFonts w:cs="Calibri"/>
          <w:i/>
          <w:iCs/>
          <w:kern w:val="0"/>
          <w:sz w:val="24"/>
          <w:szCs w:val="24"/>
          <w:lang w:eastAsia="en-GB"/>
        </w:rPr>
        <w:t xml:space="preserve"> </w:t>
      </w:r>
      <w:proofErr w:type="spellStart"/>
      <w:r>
        <w:rPr>
          <w:rFonts w:cs="Calibri"/>
          <w:i/>
          <w:iCs/>
          <w:kern w:val="0"/>
          <w:sz w:val="24"/>
          <w:szCs w:val="24"/>
          <w:lang w:eastAsia="en-GB"/>
        </w:rPr>
        <w:t>ʿalā</w:t>
      </w:r>
      <w:proofErr w:type="spellEnd"/>
      <w:r>
        <w:rPr>
          <w:rFonts w:cs="Calibri"/>
          <w:i/>
          <w:iCs/>
          <w:kern w:val="0"/>
          <w:sz w:val="24"/>
          <w:szCs w:val="24"/>
          <w:lang w:eastAsia="en-GB"/>
        </w:rPr>
        <w:t xml:space="preserve"> al-shaykh</w:t>
      </w:r>
      <w:r>
        <w:rPr>
          <w:rFonts w:cs="Calibri"/>
          <w:kern w:val="0"/>
          <w:sz w:val="24"/>
          <w:szCs w:val="24"/>
          <w:lang w:eastAsia="en-GB"/>
        </w:rPr>
        <w:t>) as the second method of Hadith transmission. A reciter reads or recites the transmitted Hadith aloud to the teacher, who confirms its accuracy. There is some latitude in how the recitation might occur:</w:t>
      </w:r>
    </w:p>
    <w:p w14:paraId="553B4076" w14:textId="77777777" w:rsidR="004818C1" w:rsidRDefault="00000000">
      <w:pPr>
        <w:ind w:left="720"/>
      </w:pPr>
      <w:r>
        <w:rPr>
          <w:rFonts w:cs="Calibri"/>
          <w:kern w:val="0"/>
          <w:sz w:val="24"/>
          <w:szCs w:val="24"/>
          <w:lang w:eastAsia="en-GB"/>
        </w:rPr>
        <w:t>It makes no difference whether you are the reciter or someone else recites while you listen. You may recite from a book or from your memory. The teacher may have memorised the material recited to him or not. In the latter case he or some other reliable individual should hold his text.</w:t>
      </w:r>
      <w:r>
        <w:rPr>
          <w:rFonts w:cs="Calibri"/>
          <w:kern w:val="0"/>
          <w:sz w:val="24"/>
          <w:szCs w:val="24"/>
          <w:vertAlign w:val="superscript"/>
          <w:lang w:val="en-US" w:eastAsia="en-GB"/>
        </w:rPr>
        <w:footnoteReference w:id="17"/>
      </w:r>
      <w:r>
        <w:rPr>
          <w:rFonts w:cs="Calibri"/>
          <w:kern w:val="0"/>
          <w:sz w:val="24"/>
          <w:szCs w:val="24"/>
          <w:lang w:eastAsia="en-GB"/>
        </w:rPr>
        <w:t xml:space="preserve"> </w:t>
      </w:r>
    </w:p>
    <w:p w14:paraId="5D24D598" w14:textId="77777777" w:rsidR="004818C1" w:rsidRDefault="00000000">
      <w:r>
        <w:rPr>
          <w:rFonts w:cs="Calibri"/>
          <w:kern w:val="0"/>
          <w:sz w:val="24"/>
          <w:szCs w:val="24"/>
          <w:lang w:eastAsia="en-GB"/>
        </w:rPr>
        <w:t xml:space="preserve">If Ibn </w:t>
      </w:r>
      <w:proofErr w:type="spellStart"/>
      <w:r>
        <w:rPr>
          <w:rFonts w:cs="Calibri"/>
          <w:kern w:val="0"/>
          <w:sz w:val="24"/>
          <w:szCs w:val="24"/>
          <w:lang w:eastAsia="en-GB"/>
        </w:rPr>
        <w:t>ʿAsākir’s</w:t>
      </w:r>
      <w:proofErr w:type="spellEnd"/>
      <w:r>
        <w:rPr>
          <w:rFonts w:cs="Calibri"/>
          <w:kern w:val="0"/>
          <w:sz w:val="24"/>
          <w:szCs w:val="24"/>
          <w:lang w:eastAsia="en-GB"/>
        </w:rPr>
        <w:t xml:space="preserve"> understanding of the term matches Ibn al-</w:t>
      </w:r>
      <w:proofErr w:type="spellStart"/>
      <w:r>
        <w:rPr>
          <w:rFonts w:cs="Calibri"/>
          <w:kern w:val="0"/>
          <w:sz w:val="24"/>
          <w:szCs w:val="24"/>
          <w:lang w:eastAsia="en-GB"/>
        </w:rPr>
        <w:t>Ṣalāḥ’s</w:t>
      </w:r>
      <w:proofErr w:type="spellEnd"/>
      <w:r>
        <w:rPr>
          <w:rFonts w:cs="Calibri"/>
          <w:kern w:val="0"/>
          <w:sz w:val="24"/>
          <w:szCs w:val="24"/>
          <w:lang w:eastAsia="en-GB"/>
        </w:rPr>
        <w:t xml:space="preserve">, when he writes </w:t>
      </w:r>
      <w:proofErr w:type="spellStart"/>
      <w:r>
        <w:rPr>
          <w:rFonts w:cs="Calibri"/>
          <w:i/>
          <w:iCs/>
          <w:kern w:val="0"/>
          <w:sz w:val="24"/>
          <w:szCs w:val="24"/>
          <w:lang w:eastAsia="en-GB"/>
        </w:rPr>
        <w:t>qirāʾatan</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may simply have been present in a lesson when another person read something back to Abu al-Hasan 'Ali b. al-Hasan.</w:t>
      </w:r>
      <w:r>
        <w:rPr>
          <w:rFonts w:cs="Calibri"/>
          <w:kern w:val="0"/>
          <w:sz w:val="24"/>
          <w:szCs w:val="24"/>
          <w:vertAlign w:val="superscript"/>
          <w:lang w:eastAsia="en-GB"/>
        </w:rPr>
        <w:footnoteReference w:id="18"/>
      </w:r>
    </w:p>
    <w:p w14:paraId="6923032E" w14:textId="77777777" w:rsidR="004818C1" w:rsidRDefault="00000000">
      <w:r>
        <w:rPr>
          <w:rFonts w:cs="Calibri"/>
          <w:kern w:val="0"/>
          <w:sz w:val="24"/>
          <w:szCs w:val="24"/>
          <w:lang w:eastAsia="en-GB"/>
        </w:rPr>
        <w:t xml:space="preserve">Since the term </w:t>
      </w:r>
      <w:proofErr w:type="spellStart"/>
      <w:r>
        <w:rPr>
          <w:rFonts w:cs="Calibri"/>
          <w:i/>
          <w:iCs/>
          <w:kern w:val="0"/>
          <w:sz w:val="24"/>
          <w:szCs w:val="24"/>
          <w:lang w:eastAsia="en-GB"/>
        </w:rPr>
        <w:t>qirāʾatan</w:t>
      </w:r>
      <w:proofErr w:type="spellEnd"/>
      <w:r>
        <w:rPr>
          <w:rFonts w:cs="Calibri"/>
          <w:kern w:val="0"/>
          <w:sz w:val="24"/>
          <w:szCs w:val="24"/>
          <w:lang w:eastAsia="en-GB"/>
        </w:rPr>
        <w:t xml:space="preserve"> suggests the transmission of written material, we sought to ascertain whether its use in the </w:t>
      </w:r>
      <w:r>
        <w:rPr>
          <w:rFonts w:cs="Calibri"/>
          <w:i/>
          <w:iCs/>
          <w:kern w:val="0"/>
          <w:sz w:val="24"/>
          <w:szCs w:val="24"/>
          <w:lang w:eastAsia="en-GB"/>
        </w:rPr>
        <w:t>TMD</w:t>
      </w:r>
      <w:r>
        <w:rPr>
          <w:rFonts w:cs="Calibri"/>
          <w:kern w:val="0"/>
          <w:sz w:val="24"/>
          <w:szCs w:val="24"/>
          <w:lang w:eastAsia="en-GB"/>
        </w:rPr>
        <w:t xml:space="preserve"> was correlated with citations of people identified by modern scholars as authors. However, a search for author names in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containing the term </w:t>
      </w:r>
      <w:proofErr w:type="spellStart"/>
      <w:r>
        <w:rPr>
          <w:rFonts w:cs="Calibri"/>
          <w:i/>
          <w:iCs/>
          <w:kern w:val="0"/>
          <w:sz w:val="24"/>
          <w:szCs w:val="24"/>
          <w:lang w:eastAsia="en-GB"/>
        </w:rPr>
        <w:t>qirāʾatan</w:t>
      </w:r>
      <w:proofErr w:type="spellEnd"/>
      <w:r>
        <w:rPr>
          <w:rFonts w:cs="Calibri"/>
          <w:i/>
          <w:iCs/>
          <w:kern w:val="0"/>
          <w:sz w:val="24"/>
          <w:szCs w:val="24"/>
          <w:lang w:eastAsia="en-GB"/>
        </w:rPr>
        <w:t xml:space="preserve"> </w:t>
      </w:r>
      <w:r>
        <w:rPr>
          <w:rFonts w:cs="Calibri"/>
          <w:kern w:val="0"/>
          <w:sz w:val="24"/>
          <w:szCs w:val="24"/>
          <w:lang w:eastAsia="en-GB"/>
        </w:rPr>
        <w:t xml:space="preserve">revealed no clear-cut correlation. Many such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do indeed include author names, but others do not.</w:t>
      </w:r>
    </w:p>
    <w:p w14:paraId="7F3DE92D" w14:textId="77777777" w:rsidR="004818C1" w:rsidRPr="00E361F2" w:rsidRDefault="00000000" w:rsidP="00E361F2">
      <w:pPr>
        <w:pStyle w:val="Heading3"/>
        <w:rPr>
          <w:i/>
          <w:iCs/>
        </w:rPr>
      </w:pPr>
      <w:proofErr w:type="spellStart"/>
      <w:r w:rsidRPr="00E361F2">
        <w:rPr>
          <w:i/>
          <w:iCs/>
        </w:rPr>
        <w:t>Ijāzatan</w:t>
      </w:r>
      <w:proofErr w:type="spellEnd"/>
    </w:p>
    <w:p w14:paraId="05277204" w14:textId="77777777" w:rsidR="004818C1" w:rsidRDefault="00000000">
      <w:pPr>
        <w:jc w:val="both"/>
      </w:pPr>
      <w:bookmarkStart w:id="10" w:name="_Hlk138768709"/>
      <w:r>
        <w:rPr>
          <w:rFonts w:cs="Calibri"/>
          <w:kern w:val="0"/>
          <w:sz w:val="24"/>
          <w:szCs w:val="24"/>
          <w:lang w:eastAsia="en-GB"/>
        </w:rPr>
        <w:t xml:space="preserve">The term </w:t>
      </w:r>
      <w:proofErr w:type="spellStart"/>
      <w:r>
        <w:rPr>
          <w:rFonts w:cs="Calibri"/>
          <w:i/>
          <w:kern w:val="0"/>
          <w:sz w:val="24"/>
          <w:szCs w:val="24"/>
          <w:lang w:eastAsia="en-GB"/>
        </w:rPr>
        <w:t>ijāzatan</w:t>
      </w:r>
      <w:proofErr w:type="spellEnd"/>
      <w:r>
        <w:rPr>
          <w:rFonts w:cs="Calibri"/>
          <w:kern w:val="0"/>
          <w:sz w:val="24"/>
          <w:szCs w:val="24"/>
          <w:lang w:eastAsia="en-GB"/>
        </w:rPr>
        <w:t xml:space="preserve"> is used frequently in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The following is a typical example:</w:t>
      </w:r>
    </w:p>
    <w:p w14:paraId="554DB0EF" w14:textId="77777777" w:rsidR="004818C1" w:rsidRDefault="00000000">
      <w:pPr>
        <w:bidi/>
      </w:pPr>
      <w:r>
        <w:rPr>
          <w:rFonts w:cs="Calibri"/>
          <w:sz w:val="24"/>
          <w:szCs w:val="24"/>
          <w:rtl/>
        </w:rPr>
        <w:t xml:space="preserve">أخبرنا أبو غالب أحمد بن الحسن أنا أبو الحسين بن </w:t>
      </w:r>
      <w:proofErr w:type="spellStart"/>
      <w:r>
        <w:rPr>
          <w:rFonts w:cs="Calibri"/>
          <w:sz w:val="24"/>
          <w:szCs w:val="24"/>
          <w:rtl/>
        </w:rPr>
        <w:t>الابنوسي</w:t>
      </w:r>
      <w:proofErr w:type="spellEnd"/>
      <w:r>
        <w:rPr>
          <w:rFonts w:cs="Calibri"/>
          <w:sz w:val="24"/>
          <w:szCs w:val="24"/>
          <w:rtl/>
        </w:rPr>
        <w:t xml:space="preserve"> أنا عبد الله بن عتاب أنا أحمد بن عمير إجازة</w:t>
      </w:r>
    </w:p>
    <w:p w14:paraId="2089A47B" w14:textId="77777777" w:rsidR="004818C1" w:rsidRDefault="00000000">
      <w:pPr>
        <w:ind w:left="720"/>
      </w:pP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Ghālib</w:t>
      </w:r>
      <w:proofErr w:type="spellEnd"/>
      <w:r>
        <w:rPr>
          <w:rFonts w:cs="Calibri"/>
          <w:kern w:val="0"/>
          <w:sz w:val="24"/>
          <w:szCs w:val="24"/>
          <w:lang w:eastAsia="en-GB"/>
        </w:rPr>
        <w:t xml:space="preserve"> [Abu Ghalib] informed us that </w:t>
      </w: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Ḥusayn</w:t>
      </w:r>
      <w:proofErr w:type="spellEnd"/>
      <w:r>
        <w:rPr>
          <w:rFonts w:cs="Calibri"/>
          <w:kern w:val="0"/>
          <w:sz w:val="24"/>
          <w:szCs w:val="24"/>
          <w:lang w:eastAsia="en-GB"/>
        </w:rPr>
        <w:t xml:space="preserve"> b. al-</w:t>
      </w:r>
      <w:proofErr w:type="spellStart"/>
      <w:r>
        <w:rPr>
          <w:rFonts w:cs="Calibri"/>
          <w:kern w:val="0"/>
          <w:sz w:val="24"/>
          <w:szCs w:val="24"/>
          <w:lang w:eastAsia="en-GB"/>
        </w:rPr>
        <w:t>Abnūsī</w:t>
      </w:r>
      <w:proofErr w:type="spellEnd"/>
      <w:r>
        <w:rPr>
          <w:rFonts w:cs="Calibri"/>
          <w:kern w:val="0"/>
          <w:sz w:val="24"/>
          <w:szCs w:val="24"/>
          <w:lang w:eastAsia="en-GB"/>
        </w:rPr>
        <w:t xml:space="preserve"> [Abu al-</w:t>
      </w:r>
      <w:proofErr w:type="spellStart"/>
      <w:r>
        <w:rPr>
          <w:rFonts w:cs="Calibri"/>
          <w:kern w:val="0"/>
          <w:sz w:val="24"/>
          <w:szCs w:val="24"/>
          <w:lang w:eastAsia="en-GB"/>
        </w:rPr>
        <w:t>Husayn</w:t>
      </w:r>
      <w:proofErr w:type="spellEnd"/>
      <w:r>
        <w:rPr>
          <w:rFonts w:cs="Calibri"/>
          <w:kern w:val="0"/>
          <w:sz w:val="24"/>
          <w:szCs w:val="24"/>
          <w:lang w:eastAsia="en-GB"/>
        </w:rPr>
        <w:t xml:space="preserve"> b. al-</w:t>
      </w:r>
      <w:proofErr w:type="spellStart"/>
      <w:r>
        <w:rPr>
          <w:rFonts w:cs="Calibri"/>
          <w:kern w:val="0"/>
          <w:sz w:val="24"/>
          <w:szCs w:val="24"/>
          <w:lang w:eastAsia="en-GB"/>
        </w:rPr>
        <w:t>Abnusi</w:t>
      </w:r>
      <w:proofErr w:type="spellEnd"/>
      <w:r>
        <w:rPr>
          <w:rFonts w:cs="Calibri"/>
          <w:kern w:val="0"/>
          <w:sz w:val="24"/>
          <w:szCs w:val="24"/>
          <w:lang w:eastAsia="en-GB"/>
        </w:rPr>
        <w:t xml:space="preserve">] informed them that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b. </w:t>
      </w:r>
      <w:proofErr w:type="spellStart"/>
      <w:r>
        <w:rPr>
          <w:rFonts w:cs="Calibri"/>
          <w:kern w:val="0"/>
          <w:sz w:val="24"/>
          <w:szCs w:val="24"/>
          <w:lang w:eastAsia="en-GB"/>
        </w:rPr>
        <w:t>ʿItāb</w:t>
      </w:r>
      <w:proofErr w:type="spellEnd"/>
      <w:r>
        <w:rPr>
          <w:rFonts w:cs="Calibri"/>
          <w:kern w:val="0"/>
          <w:sz w:val="24"/>
          <w:szCs w:val="24"/>
          <w:lang w:eastAsia="en-GB"/>
        </w:rPr>
        <w:t xml:space="preserve"> ['Abd Allah b. '</w:t>
      </w:r>
      <w:proofErr w:type="spellStart"/>
      <w:r>
        <w:rPr>
          <w:rFonts w:cs="Calibri"/>
          <w:kern w:val="0"/>
          <w:sz w:val="24"/>
          <w:szCs w:val="24"/>
          <w:lang w:eastAsia="en-GB"/>
        </w:rPr>
        <w:t>Itab</w:t>
      </w:r>
      <w:proofErr w:type="spellEnd"/>
      <w:r>
        <w:rPr>
          <w:rFonts w:cs="Calibri"/>
          <w:kern w:val="0"/>
          <w:sz w:val="24"/>
          <w:szCs w:val="24"/>
          <w:lang w:eastAsia="en-GB"/>
        </w:rPr>
        <w:t xml:space="preserve">] informed them that </w:t>
      </w:r>
      <w:proofErr w:type="spellStart"/>
      <w:r>
        <w:rPr>
          <w:rFonts w:cs="Calibri"/>
          <w:kern w:val="0"/>
          <w:sz w:val="24"/>
          <w:szCs w:val="24"/>
          <w:lang w:eastAsia="en-GB"/>
        </w:rPr>
        <w:t>Aḥmad</w:t>
      </w:r>
      <w:proofErr w:type="spellEnd"/>
      <w:r>
        <w:rPr>
          <w:rFonts w:cs="Calibri"/>
          <w:kern w:val="0"/>
          <w:sz w:val="24"/>
          <w:szCs w:val="24"/>
          <w:lang w:eastAsia="en-GB"/>
        </w:rPr>
        <w:t xml:space="preserve"> b. </w:t>
      </w:r>
      <w:proofErr w:type="spellStart"/>
      <w:r>
        <w:rPr>
          <w:rFonts w:cs="Calibri"/>
          <w:kern w:val="0"/>
          <w:sz w:val="24"/>
          <w:szCs w:val="24"/>
          <w:lang w:eastAsia="en-GB"/>
        </w:rPr>
        <w:t>ʿUmayr</w:t>
      </w:r>
      <w:proofErr w:type="spellEnd"/>
      <w:r>
        <w:rPr>
          <w:rFonts w:cs="Calibri"/>
          <w:kern w:val="0"/>
          <w:sz w:val="24"/>
          <w:szCs w:val="24"/>
          <w:lang w:eastAsia="en-GB"/>
        </w:rPr>
        <w:t xml:space="preserve"> [Ahmad b. '</w:t>
      </w:r>
      <w:proofErr w:type="spellStart"/>
      <w:r>
        <w:rPr>
          <w:rFonts w:cs="Calibri"/>
          <w:kern w:val="0"/>
          <w:sz w:val="24"/>
          <w:szCs w:val="24"/>
          <w:lang w:eastAsia="en-GB"/>
        </w:rPr>
        <w:t>Umayr</w:t>
      </w:r>
      <w:proofErr w:type="spellEnd"/>
      <w:r>
        <w:rPr>
          <w:rFonts w:cs="Calibri"/>
          <w:kern w:val="0"/>
          <w:sz w:val="24"/>
          <w:szCs w:val="24"/>
          <w:lang w:eastAsia="en-GB"/>
        </w:rPr>
        <w:t xml:space="preserve">] informed them via an </w:t>
      </w:r>
      <w:proofErr w:type="spellStart"/>
      <w:r>
        <w:rPr>
          <w:rFonts w:cs="Calibri"/>
          <w:i/>
          <w:kern w:val="0"/>
          <w:sz w:val="24"/>
          <w:szCs w:val="24"/>
          <w:lang w:eastAsia="en-GB"/>
        </w:rPr>
        <w:t>ijāza</w:t>
      </w:r>
      <w:proofErr w:type="spellEnd"/>
      <w:r>
        <w:rPr>
          <w:rFonts w:cs="Calibri"/>
          <w:i/>
          <w:kern w:val="0"/>
          <w:sz w:val="24"/>
          <w:szCs w:val="24"/>
          <w:lang w:eastAsia="en-GB"/>
        </w:rPr>
        <w:t xml:space="preserve"> </w:t>
      </w:r>
      <w:r>
        <w:rPr>
          <w:rFonts w:cs="Calibri"/>
          <w:kern w:val="0"/>
          <w:sz w:val="24"/>
          <w:szCs w:val="24"/>
          <w:lang w:eastAsia="en-GB"/>
        </w:rPr>
        <w:t>that …</w:t>
      </w:r>
    </w:p>
    <w:p w14:paraId="5B77CC7D" w14:textId="77777777" w:rsidR="004818C1" w:rsidRDefault="00000000">
      <w:r>
        <w:rPr>
          <w:rFonts w:cs="Calibri"/>
          <w:kern w:val="0"/>
          <w:sz w:val="24"/>
          <w:szCs w:val="24"/>
          <w:lang w:eastAsia="en-GB"/>
        </w:rPr>
        <w:t xml:space="preserve">In another instance, Ibn </w:t>
      </w:r>
      <w:proofErr w:type="spellStart"/>
      <w:r>
        <w:rPr>
          <w:rFonts w:cs="Calibri"/>
          <w:kern w:val="0"/>
          <w:sz w:val="24"/>
          <w:szCs w:val="24"/>
          <w:lang w:eastAsia="en-GB"/>
        </w:rPr>
        <w:t>ʿAsākir</w:t>
      </w:r>
      <w:proofErr w:type="spellEnd"/>
      <w:r>
        <w:rPr>
          <w:rFonts w:cs="Calibri"/>
          <w:kern w:val="0"/>
          <w:sz w:val="24"/>
          <w:szCs w:val="24"/>
          <w:lang w:eastAsia="en-GB"/>
        </w:rPr>
        <w:t xml:space="preserve"> provides an </w:t>
      </w:r>
      <w:proofErr w:type="spellStart"/>
      <w:r>
        <w:rPr>
          <w:rFonts w:cs="Calibri"/>
          <w:i/>
          <w:kern w:val="0"/>
          <w:sz w:val="24"/>
          <w:szCs w:val="24"/>
          <w:lang w:eastAsia="en-GB"/>
        </w:rPr>
        <w:t>isnād</w:t>
      </w:r>
      <w:proofErr w:type="spellEnd"/>
      <w:r>
        <w:rPr>
          <w:rFonts w:cs="Calibri"/>
          <w:i/>
          <w:kern w:val="0"/>
          <w:sz w:val="24"/>
          <w:szCs w:val="24"/>
          <w:lang w:eastAsia="en-GB"/>
        </w:rPr>
        <w:t xml:space="preserve"> </w:t>
      </w:r>
      <w:r>
        <w:rPr>
          <w:rFonts w:cs="Calibri"/>
          <w:kern w:val="0"/>
          <w:sz w:val="24"/>
          <w:szCs w:val="24"/>
          <w:lang w:eastAsia="en-GB"/>
        </w:rPr>
        <w:t>that passes through Ibn Manda (d. 470/1077):</w:t>
      </w:r>
    </w:p>
    <w:p w14:paraId="1DECAE08" w14:textId="77777777" w:rsidR="004818C1" w:rsidRDefault="00000000">
      <w:pPr>
        <w:bidi/>
      </w:pPr>
      <w:r>
        <w:rPr>
          <w:rFonts w:cs="Calibri"/>
          <w:kern w:val="0"/>
          <w:sz w:val="24"/>
          <w:szCs w:val="24"/>
          <w:rtl/>
          <w:lang w:eastAsia="en-GB"/>
        </w:rPr>
        <w:t xml:space="preserve">أخبرنا أبو الحسين وأبو عبد الله إذناً قالا أنا ابن </w:t>
      </w:r>
      <w:proofErr w:type="spellStart"/>
      <w:r>
        <w:rPr>
          <w:rFonts w:cs="Calibri"/>
          <w:kern w:val="0"/>
          <w:sz w:val="24"/>
          <w:szCs w:val="24"/>
          <w:rtl/>
          <w:lang w:eastAsia="en-GB"/>
        </w:rPr>
        <w:t>مندة</w:t>
      </w:r>
      <w:proofErr w:type="spellEnd"/>
      <w:r>
        <w:rPr>
          <w:rFonts w:cs="Calibri"/>
          <w:kern w:val="0"/>
          <w:sz w:val="24"/>
          <w:szCs w:val="24"/>
          <w:rtl/>
          <w:lang w:eastAsia="en-GB"/>
        </w:rPr>
        <w:t xml:space="preserve"> أنا أبو علي إجازة </w:t>
      </w:r>
    </w:p>
    <w:p w14:paraId="1BDD1B7C" w14:textId="77777777" w:rsidR="004818C1" w:rsidRDefault="00000000">
      <w:pPr>
        <w:ind w:left="720"/>
      </w:pPr>
      <w:proofErr w:type="spellStart"/>
      <w:r>
        <w:rPr>
          <w:rFonts w:cs="Calibri"/>
          <w:kern w:val="0"/>
          <w:sz w:val="24"/>
          <w:szCs w:val="24"/>
          <w:lang w:eastAsia="en-GB"/>
        </w:rPr>
        <w:t>Abū</w:t>
      </w:r>
      <w:proofErr w:type="spellEnd"/>
      <w:r>
        <w:rPr>
          <w:rFonts w:cs="Calibri"/>
          <w:kern w:val="0"/>
          <w:sz w:val="24"/>
          <w:szCs w:val="24"/>
          <w:lang w:eastAsia="en-GB"/>
        </w:rPr>
        <w:t xml:space="preserve"> al-</w:t>
      </w:r>
      <w:proofErr w:type="spellStart"/>
      <w:r>
        <w:rPr>
          <w:rFonts w:cs="Calibri"/>
          <w:kern w:val="0"/>
          <w:sz w:val="24"/>
          <w:szCs w:val="24"/>
          <w:lang w:eastAsia="en-GB"/>
        </w:rPr>
        <w:t>Ḥusayn</w:t>
      </w:r>
      <w:proofErr w:type="spellEnd"/>
      <w:r>
        <w:rPr>
          <w:rFonts w:cs="Calibri"/>
          <w:kern w:val="0"/>
          <w:sz w:val="24"/>
          <w:szCs w:val="24"/>
          <w:lang w:eastAsia="en-GB"/>
        </w:rPr>
        <w:t xml:space="preserve"> [Abu al-</w:t>
      </w:r>
      <w:proofErr w:type="spellStart"/>
      <w:r>
        <w:rPr>
          <w:rFonts w:cs="Calibri"/>
          <w:kern w:val="0"/>
          <w:sz w:val="24"/>
          <w:szCs w:val="24"/>
          <w:lang w:eastAsia="en-GB"/>
        </w:rPr>
        <w:t>Husayn</w:t>
      </w:r>
      <w:proofErr w:type="spellEnd"/>
      <w:r>
        <w:rPr>
          <w:rFonts w:cs="Calibri"/>
          <w:kern w:val="0"/>
          <w:sz w:val="24"/>
          <w:szCs w:val="24"/>
          <w:lang w:eastAsia="en-GB"/>
        </w:rPr>
        <w:t xml:space="preserve">] and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[Abu 'Abd Allah] informed us with permission, saying that Ibn Manda [Ibn Manda] told them that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ʿAlī</w:t>
      </w:r>
      <w:proofErr w:type="spellEnd"/>
      <w:r>
        <w:rPr>
          <w:rFonts w:cs="Calibri"/>
          <w:kern w:val="0"/>
          <w:sz w:val="24"/>
          <w:szCs w:val="24"/>
          <w:lang w:eastAsia="en-GB"/>
        </w:rPr>
        <w:t xml:space="preserve"> [Abu 'Ali] told them via an </w:t>
      </w:r>
      <w:proofErr w:type="spellStart"/>
      <w:r>
        <w:rPr>
          <w:rFonts w:cs="Calibri"/>
          <w:i/>
          <w:kern w:val="0"/>
          <w:sz w:val="24"/>
          <w:szCs w:val="24"/>
          <w:lang w:eastAsia="en-GB"/>
        </w:rPr>
        <w:t>ijāza</w:t>
      </w:r>
      <w:proofErr w:type="spellEnd"/>
      <w:r>
        <w:rPr>
          <w:rFonts w:cs="Calibri"/>
          <w:i/>
          <w:kern w:val="0"/>
          <w:sz w:val="24"/>
          <w:szCs w:val="24"/>
          <w:lang w:eastAsia="en-GB"/>
        </w:rPr>
        <w:t xml:space="preserve"> </w:t>
      </w:r>
      <w:r>
        <w:rPr>
          <w:rFonts w:cs="Calibri"/>
          <w:kern w:val="0"/>
          <w:sz w:val="24"/>
          <w:szCs w:val="24"/>
          <w:lang w:eastAsia="en-GB"/>
        </w:rPr>
        <w:t>that …</w:t>
      </w:r>
      <w:r>
        <w:rPr>
          <w:rStyle w:val="FootnoteReference"/>
          <w:rFonts w:cs="Calibri"/>
          <w:kern w:val="0"/>
          <w:sz w:val="24"/>
          <w:szCs w:val="24"/>
          <w:lang w:eastAsia="en-GB"/>
        </w:rPr>
        <w:footnoteReference w:id="19"/>
      </w:r>
      <w:r>
        <w:rPr>
          <w:rFonts w:cs="Calibri"/>
          <w:kern w:val="0"/>
          <w:sz w:val="24"/>
          <w:szCs w:val="24"/>
          <w:lang w:eastAsia="en-GB"/>
        </w:rPr>
        <w:t xml:space="preserve"> </w:t>
      </w:r>
    </w:p>
    <w:p w14:paraId="0C742ED4" w14:textId="77777777" w:rsidR="004818C1" w:rsidRDefault="00000000">
      <w:r>
        <w:rPr>
          <w:rFonts w:cs="Calibri"/>
          <w:kern w:val="0"/>
          <w:sz w:val="24"/>
          <w:szCs w:val="24"/>
          <w:lang w:eastAsia="en-GB"/>
        </w:rPr>
        <w:t xml:space="preserve">In both of these cases, Ibn </w:t>
      </w:r>
      <w:proofErr w:type="spellStart"/>
      <w:r>
        <w:rPr>
          <w:rFonts w:cs="Calibri"/>
          <w:kern w:val="0"/>
          <w:sz w:val="24"/>
          <w:szCs w:val="24"/>
          <w:lang w:eastAsia="en-GB"/>
        </w:rPr>
        <w:t>ʿAsākir</w:t>
      </w:r>
      <w:proofErr w:type="spellEnd"/>
      <w:r>
        <w:rPr>
          <w:rFonts w:cs="Calibri"/>
          <w:kern w:val="0"/>
          <w:sz w:val="24"/>
          <w:szCs w:val="24"/>
          <w:lang w:eastAsia="en-GB"/>
        </w:rPr>
        <w:t xml:space="preserve"> mentions </w:t>
      </w:r>
      <w:proofErr w:type="spellStart"/>
      <w:r>
        <w:rPr>
          <w:rFonts w:cs="Calibri"/>
          <w:i/>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xml:space="preserve">. But in neither case does he say that he himself received one for the information in question. This is typical: on only 200 occasions </w:t>
      </w:r>
      <w:r>
        <w:rPr>
          <w:rFonts w:cs="Calibri"/>
          <w:kern w:val="0"/>
          <w:sz w:val="24"/>
          <w:szCs w:val="24"/>
          <w:lang w:eastAsia="en-GB"/>
        </w:rPr>
        <w:lastRenderedPageBreak/>
        <w:t xml:space="preserve">does he mention gaining information himself via an </w:t>
      </w:r>
      <w:proofErr w:type="spellStart"/>
      <w:r>
        <w:rPr>
          <w:rFonts w:cs="Calibri"/>
          <w:i/>
          <w:kern w:val="0"/>
          <w:sz w:val="24"/>
          <w:szCs w:val="24"/>
          <w:lang w:eastAsia="en-GB"/>
        </w:rPr>
        <w:t>ijāza</w:t>
      </w:r>
      <w:proofErr w:type="spellEnd"/>
      <w:r>
        <w:rPr>
          <w:rFonts w:cs="Calibri"/>
          <w:kern w:val="0"/>
          <w:sz w:val="24"/>
          <w:szCs w:val="24"/>
          <w:lang w:eastAsia="en-GB"/>
        </w:rPr>
        <w:t xml:space="preserve">. The rest of the time, the term occurs deeper in the </w:t>
      </w:r>
      <w:proofErr w:type="spellStart"/>
      <w:r>
        <w:rPr>
          <w:rFonts w:cs="Calibri"/>
          <w:i/>
          <w:kern w:val="0"/>
          <w:sz w:val="24"/>
          <w:szCs w:val="24"/>
          <w:lang w:eastAsia="en-GB"/>
        </w:rPr>
        <w:t>isnād</w:t>
      </w:r>
      <w:proofErr w:type="spellEnd"/>
      <w:r>
        <w:rPr>
          <w:rFonts w:cs="Calibri"/>
          <w:kern w:val="0"/>
          <w:sz w:val="24"/>
          <w:szCs w:val="24"/>
          <w:lang w:eastAsia="en-GB"/>
        </w:rPr>
        <w:t>.</w:t>
      </w:r>
      <w:r>
        <w:rPr>
          <w:rFonts w:cs="Calibri"/>
          <w:kern w:val="0"/>
          <w:sz w:val="24"/>
          <w:szCs w:val="24"/>
          <w:vertAlign w:val="superscript"/>
          <w:lang w:eastAsia="en-GB"/>
        </w:rPr>
        <w:footnoteReference w:id="20"/>
      </w:r>
    </w:p>
    <w:p w14:paraId="60353921" w14:textId="77777777" w:rsidR="004818C1" w:rsidRDefault="00000000">
      <w:r>
        <w:rPr>
          <w:rFonts w:cs="Calibri"/>
          <w:kern w:val="0"/>
          <w:sz w:val="24"/>
          <w:szCs w:val="24"/>
          <w:lang w:eastAsia="en-GB"/>
        </w:rPr>
        <w:t>Ibn al-</w:t>
      </w:r>
      <w:proofErr w:type="spellStart"/>
      <w:r>
        <w:rPr>
          <w:rFonts w:cs="Calibri"/>
          <w:kern w:val="0"/>
          <w:sz w:val="24"/>
          <w:szCs w:val="24"/>
          <w:lang w:eastAsia="en-GB"/>
        </w:rPr>
        <w:t>Ṣalāḥ</w:t>
      </w:r>
      <w:proofErr w:type="spellEnd"/>
      <w:r>
        <w:rPr>
          <w:rFonts w:cs="Calibri"/>
          <w:kern w:val="0"/>
          <w:sz w:val="24"/>
          <w:szCs w:val="24"/>
          <w:lang w:eastAsia="en-GB"/>
        </w:rPr>
        <w:t xml:space="preserve"> is helpful here, as he has much to say about </w:t>
      </w:r>
      <w:proofErr w:type="spellStart"/>
      <w:r>
        <w:rPr>
          <w:rFonts w:cs="Calibri"/>
          <w:i/>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eastAsia="en-GB"/>
        </w:rPr>
        <w:footnoteReference w:id="21"/>
      </w:r>
      <w:r>
        <w:rPr>
          <w:rFonts w:cs="Calibri"/>
          <w:kern w:val="0"/>
          <w:sz w:val="24"/>
          <w:szCs w:val="24"/>
          <w:lang w:eastAsia="en-GB"/>
        </w:rPr>
        <w:t xml:space="preserve"> He discusses several types of </w:t>
      </w:r>
      <w:proofErr w:type="spellStart"/>
      <w:r>
        <w:rPr>
          <w:rFonts w:cs="Calibri"/>
          <w:i/>
          <w:iCs/>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including a licence granted to a specific person for the transmission a specific text. In such a case, ‘the teacher says, “I hereby license book X” – or “the contents of this book list of mine (</w:t>
      </w:r>
      <w:proofErr w:type="spellStart"/>
      <w:r>
        <w:rPr>
          <w:rFonts w:cs="Calibri"/>
          <w:i/>
          <w:kern w:val="0"/>
          <w:sz w:val="24"/>
          <w:szCs w:val="24"/>
          <w:lang w:eastAsia="en-GB"/>
        </w:rPr>
        <w:t>fihristī</w:t>
      </w:r>
      <w:proofErr w:type="spellEnd"/>
      <w:r>
        <w:rPr>
          <w:rFonts w:cs="Calibri"/>
          <w:kern w:val="0"/>
          <w:sz w:val="24"/>
          <w:szCs w:val="24"/>
          <w:lang w:eastAsia="en-GB"/>
        </w:rPr>
        <w:t>)” – “to you”.’</w:t>
      </w:r>
      <w:r>
        <w:rPr>
          <w:rFonts w:cs="Calibri"/>
          <w:kern w:val="0"/>
          <w:sz w:val="24"/>
          <w:szCs w:val="24"/>
          <w:vertAlign w:val="superscript"/>
          <w:lang w:eastAsia="en-GB"/>
        </w:rPr>
        <w:footnoteReference w:id="22"/>
      </w:r>
      <w:r>
        <w:rPr>
          <w:rFonts w:cs="Calibri"/>
          <w:kern w:val="0"/>
          <w:sz w:val="24"/>
          <w:szCs w:val="24"/>
          <w:lang w:eastAsia="en-GB"/>
        </w:rPr>
        <w:t xml:space="preserve"> Other scenarios involve licences for unspecified texts for specific people (e.g. a teacher’s granting a student permission to transmit everything he has heard) or a licence for ‘unspecified person under a general designation’, as when a teacher grants an </w:t>
      </w:r>
      <w:proofErr w:type="spellStart"/>
      <w:r>
        <w:rPr>
          <w:rFonts w:cs="Calibri"/>
          <w:i/>
          <w:iCs/>
          <w:kern w:val="0"/>
          <w:sz w:val="24"/>
          <w:szCs w:val="24"/>
          <w:lang w:eastAsia="en-GB"/>
        </w:rPr>
        <w:t>ijāza</w:t>
      </w:r>
      <w:proofErr w:type="spellEnd"/>
      <w:r>
        <w:rPr>
          <w:rFonts w:cs="Calibri"/>
          <w:kern w:val="0"/>
          <w:sz w:val="24"/>
          <w:szCs w:val="24"/>
          <w:lang w:eastAsia="en-GB"/>
        </w:rPr>
        <w:t xml:space="preserve"> to all Muslims in general or to all of his contemporaries. Ibn al-</w:t>
      </w:r>
      <w:proofErr w:type="spellStart"/>
      <w:r>
        <w:rPr>
          <w:rFonts w:cs="Calibri"/>
          <w:kern w:val="0"/>
          <w:sz w:val="24"/>
          <w:szCs w:val="24"/>
          <w:lang w:eastAsia="en-GB"/>
        </w:rPr>
        <w:t>Ṣalāḥ</w:t>
      </w:r>
      <w:proofErr w:type="spellEnd"/>
      <w:r>
        <w:rPr>
          <w:rFonts w:cs="Calibri"/>
          <w:kern w:val="0"/>
          <w:sz w:val="24"/>
          <w:szCs w:val="24"/>
          <w:lang w:eastAsia="en-GB"/>
        </w:rPr>
        <w:t xml:space="preserve"> notes that the last type is controversial. He says that although it has been used,</w:t>
      </w:r>
    </w:p>
    <w:p w14:paraId="74DD9714" w14:textId="77777777" w:rsidR="004818C1" w:rsidRDefault="00000000">
      <w:pPr>
        <w:ind w:left="720"/>
      </w:pPr>
      <w:r>
        <w:rPr>
          <w:rFonts w:cs="Calibri"/>
          <w:kern w:val="0"/>
          <w:sz w:val="24"/>
          <w:szCs w:val="24"/>
          <w:lang w:eastAsia="en-GB"/>
        </w:rPr>
        <w:t>we have not seen nor heard of anyone who is worthy of emulation actually using this form of licensing and relating by it, not even the small group of late-comers who viewed it as valid. Licensing in principle is a weakness. By this extension and relaxation, it becomes a much greater weakness which should not be tolerated. God knows best.</w:t>
      </w:r>
      <w:r>
        <w:rPr>
          <w:rStyle w:val="FootnoteReference"/>
          <w:rFonts w:cs="Calibri"/>
          <w:kern w:val="0"/>
          <w:sz w:val="24"/>
          <w:szCs w:val="24"/>
          <w:lang w:eastAsia="en-GB"/>
        </w:rPr>
        <w:footnoteReference w:id="23"/>
      </w:r>
      <w:r>
        <w:rPr>
          <w:rFonts w:cs="Calibri"/>
          <w:kern w:val="0"/>
          <w:sz w:val="24"/>
          <w:szCs w:val="24"/>
          <w:lang w:eastAsia="en-GB"/>
        </w:rPr>
        <w:t xml:space="preserve"> </w:t>
      </w:r>
    </w:p>
    <w:p w14:paraId="73F9D046" w14:textId="77777777" w:rsidR="004818C1" w:rsidRDefault="00000000">
      <w:r>
        <w:rPr>
          <w:rFonts w:cs="Calibri"/>
          <w:kern w:val="0"/>
          <w:sz w:val="24"/>
          <w:szCs w:val="24"/>
          <w:lang w:eastAsia="en-GB"/>
        </w:rPr>
        <w:t>Ibn al-</w:t>
      </w:r>
      <w:proofErr w:type="spellStart"/>
      <w:r>
        <w:rPr>
          <w:rFonts w:cs="Calibri"/>
          <w:kern w:val="0"/>
          <w:sz w:val="24"/>
          <w:szCs w:val="24"/>
          <w:lang w:eastAsia="en-GB"/>
        </w:rPr>
        <w:t>Ṣalāḥ</w:t>
      </w:r>
      <w:proofErr w:type="spellEnd"/>
      <w:r>
        <w:rPr>
          <w:rFonts w:cs="Calibri"/>
          <w:kern w:val="0"/>
          <w:sz w:val="24"/>
          <w:szCs w:val="24"/>
          <w:lang w:eastAsia="en-GB"/>
        </w:rPr>
        <w:t xml:space="preserve"> thus extends his disapproval of this type of </w:t>
      </w:r>
      <w:proofErr w:type="spellStart"/>
      <w:r>
        <w:rPr>
          <w:rFonts w:cs="Calibri"/>
          <w:i/>
          <w:kern w:val="0"/>
          <w:sz w:val="24"/>
          <w:szCs w:val="24"/>
          <w:lang w:eastAsia="en-GB"/>
        </w:rPr>
        <w:t>ijāza</w:t>
      </w:r>
      <w:proofErr w:type="spellEnd"/>
      <w:r>
        <w:rPr>
          <w:rFonts w:cs="Calibri"/>
          <w:kern w:val="0"/>
          <w:sz w:val="24"/>
          <w:szCs w:val="24"/>
          <w:lang w:eastAsia="en-GB"/>
        </w:rPr>
        <w:t xml:space="preserve"> to a general disparagement of transmission via an </w:t>
      </w:r>
      <w:proofErr w:type="spellStart"/>
      <w:r>
        <w:rPr>
          <w:rFonts w:cs="Calibri"/>
          <w:i/>
          <w:kern w:val="0"/>
          <w:sz w:val="24"/>
          <w:szCs w:val="24"/>
          <w:lang w:eastAsia="en-GB"/>
        </w:rPr>
        <w:t>ijāza</w:t>
      </w:r>
      <w:proofErr w:type="spellEnd"/>
      <w:r>
        <w:rPr>
          <w:rFonts w:cs="Calibri"/>
          <w:kern w:val="0"/>
          <w:sz w:val="24"/>
          <w:szCs w:val="24"/>
          <w:lang w:eastAsia="en-GB"/>
        </w:rPr>
        <w:t xml:space="preserve">. </w:t>
      </w:r>
    </w:p>
    <w:p w14:paraId="51B810EE" w14:textId="77777777" w:rsidR="004818C1" w:rsidRDefault="00000000">
      <w:r>
        <w:rPr>
          <w:rFonts w:cs="Calibri"/>
          <w:kern w:val="0"/>
          <w:sz w:val="24"/>
          <w:szCs w:val="24"/>
          <w:lang w:eastAsia="en-GB"/>
        </w:rPr>
        <w:t xml:space="preserve">Ibn </w:t>
      </w:r>
      <w:proofErr w:type="spellStart"/>
      <w:r>
        <w:rPr>
          <w:rFonts w:cs="Calibri"/>
          <w:kern w:val="0"/>
          <w:sz w:val="24"/>
          <w:szCs w:val="24"/>
          <w:lang w:eastAsia="en-GB"/>
        </w:rPr>
        <w:t>ʿAsākir’s</w:t>
      </w:r>
      <w:proofErr w:type="spellEnd"/>
      <w:r>
        <w:rPr>
          <w:rFonts w:cs="Calibri"/>
          <w:kern w:val="0"/>
          <w:sz w:val="24"/>
          <w:szCs w:val="24"/>
          <w:lang w:eastAsia="en-GB"/>
        </w:rPr>
        <w:t xml:space="preserve"> use of the term </w:t>
      </w:r>
      <w:proofErr w:type="spellStart"/>
      <w:r>
        <w:rPr>
          <w:rFonts w:cs="Calibri"/>
          <w:i/>
          <w:iCs/>
          <w:kern w:val="0"/>
          <w:sz w:val="24"/>
          <w:szCs w:val="24"/>
          <w:lang w:eastAsia="en-GB"/>
        </w:rPr>
        <w:t>ijāza</w:t>
      </w:r>
      <w:proofErr w:type="spellEnd"/>
      <w:r>
        <w:rPr>
          <w:rFonts w:cs="Calibri"/>
          <w:kern w:val="0"/>
          <w:sz w:val="24"/>
          <w:szCs w:val="24"/>
          <w:lang w:eastAsia="en-GB"/>
        </w:rPr>
        <w:t xml:space="preserve"> indicates that he accepted it as a valid form of authoritative transmission. However, in describing his own knowledge acquisition he chooses to stress his personal interactions with informants and his non-reliance on </w:t>
      </w:r>
      <w:proofErr w:type="spellStart"/>
      <w:r>
        <w:rPr>
          <w:rFonts w:cs="Calibri"/>
          <w:i/>
          <w:iCs/>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As seen earlier, Abu Ghalib, Abu al-</w:t>
      </w:r>
      <w:proofErr w:type="spellStart"/>
      <w:r>
        <w:rPr>
          <w:rFonts w:cs="Calibri"/>
          <w:kern w:val="0"/>
          <w:sz w:val="24"/>
          <w:szCs w:val="24"/>
          <w:lang w:eastAsia="en-GB"/>
        </w:rPr>
        <w:t>Husayn</w:t>
      </w:r>
      <w:proofErr w:type="spellEnd"/>
      <w:r>
        <w:rPr>
          <w:rFonts w:cs="Calibri"/>
          <w:kern w:val="0"/>
          <w:sz w:val="24"/>
          <w:szCs w:val="24"/>
          <w:lang w:eastAsia="en-GB"/>
        </w:rPr>
        <w:t xml:space="preserve"> and Abu 'Abd Allah all transmitted material to him that relied on the authority of an </w:t>
      </w:r>
      <w:proofErr w:type="spellStart"/>
      <w:r>
        <w:rPr>
          <w:rFonts w:cs="Calibri"/>
          <w:i/>
          <w:kern w:val="0"/>
          <w:sz w:val="24"/>
          <w:szCs w:val="24"/>
          <w:lang w:eastAsia="en-GB"/>
        </w:rPr>
        <w:t>ijāza</w:t>
      </w:r>
      <w:proofErr w:type="spellEnd"/>
      <w:r>
        <w:rPr>
          <w:rFonts w:cs="Calibri"/>
          <w:kern w:val="0"/>
          <w:sz w:val="24"/>
          <w:szCs w:val="24"/>
          <w:lang w:eastAsia="en-GB"/>
        </w:rPr>
        <w:t xml:space="preserve">. It seems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valued antique </w:t>
      </w:r>
      <w:proofErr w:type="spellStart"/>
      <w:r>
        <w:rPr>
          <w:rFonts w:cs="Calibri"/>
          <w:i/>
          <w:kern w:val="0"/>
          <w:sz w:val="24"/>
          <w:szCs w:val="24"/>
          <w:lang w:eastAsia="en-GB"/>
        </w:rPr>
        <w:t>ijāza</w:t>
      </w:r>
      <w:r>
        <w:rPr>
          <w:rFonts w:cs="Calibri"/>
          <w:iCs/>
          <w:kern w:val="0"/>
          <w:sz w:val="24"/>
          <w:szCs w:val="24"/>
          <w:lang w:eastAsia="en-GB"/>
        </w:rPr>
        <w:t>s</w:t>
      </w:r>
      <w:proofErr w:type="spellEnd"/>
      <w:r>
        <w:rPr>
          <w:rFonts w:cs="Calibri"/>
          <w:kern w:val="0"/>
          <w:sz w:val="24"/>
          <w:szCs w:val="24"/>
          <w:lang w:eastAsia="en-GB"/>
        </w:rPr>
        <w:t xml:space="preserve"> such as theirs. He sought out these vestiges of writing and verified them through a process that was based on oral/aural transmission. These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with </w:t>
      </w:r>
      <w:proofErr w:type="spellStart"/>
      <w:r>
        <w:rPr>
          <w:rFonts w:cs="Calibri"/>
          <w:i/>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xml:space="preserve"> deserve closer scrutiny, but they very likely have special features. As a </w:t>
      </w:r>
      <w:proofErr w:type="spellStart"/>
      <w:r>
        <w:rPr>
          <w:rFonts w:cs="Calibri"/>
          <w:i/>
          <w:kern w:val="0"/>
          <w:sz w:val="24"/>
          <w:szCs w:val="24"/>
          <w:lang w:eastAsia="en-GB"/>
        </w:rPr>
        <w:t>musnid</w:t>
      </w:r>
      <w:proofErr w:type="spellEnd"/>
      <w:r>
        <w:rPr>
          <w:rFonts w:cs="Calibri"/>
          <w:kern w:val="0"/>
          <w:sz w:val="24"/>
          <w:szCs w:val="24"/>
          <w:lang w:eastAsia="en-GB"/>
        </w:rPr>
        <w:t xml:space="preserve">, Abu Ghalib, for example, may have developed a reputation for particularly interesting or short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involved </w:t>
      </w:r>
      <w:proofErr w:type="spellStart"/>
      <w:r>
        <w:rPr>
          <w:rFonts w:cs="Calibri"/>
          <w:i/>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w:t>
      </w:r>
    </w:p>
    <w:p w14:paraId="1D6E4BE9" w14:textId="77777777" w:rsidR="004818C1" w:rsidRDefault="00000000">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and his predecessors may also have been just plain pragmatic. As noted in an earlier post, Davidson has written about the function of the </w:t>
      </w:r>
      <w:proofErr w:type="spellStart"/>
      <w:r>
        <w:rPr>
          <w:rFonts w:cs="Calibri"/>
          <w:i/>
          <w:kern w:val="0"/>
          <w:sz w:val="24"/>
          <w:szCs w:val="24"/>
          <w:lang w:eastAsia="en-GB"/>
        </w:rPr>
        <w:t>isnād</w:t>
      </w:r>
      <w:proofErr w:type="spellEnd"/>
      <w:r>
        <w:rPr>
          <w:rFonts w:cs="Calibri"/>
          <w:kern w:val="0"/>
          <w:sz w:val="24"/>
          <w:szCs w:val="24"/>
          <w:lang w:eastAsia="en-GB"/>
        </w:rPr>
        <w:t xml:space="preserve"> in the post-canonical period as providing a mechanism for the maintenance of the community of scholars. The term </w:t>
      </w:r>
      <w:proofErr w:type="spellStart"/>
      <w:r>
        <w:rPr>
          <w:rFonts w:cs="Calibri"/>
          <w:i/>
          <w:kern w:val="0"/>
          <w:sz w:val="24"/>
          <w:szCs w:val="24"/>
          <w:lang w:eastAsia="en-GB"/>
        </w:rPr>
        <w:t>ijāza</w:t>
      </w:r>
      <w:proofErr w:type="spellEnd"/>
      <w:r>
        <w:rPr>
          <w:rFonts w:cs="Calibri"/>
          <w:kern w:val="0"/>
          <w:sz w:val="24"/>
          <w:szCs w:val="24"/>
          <w:lang w:eastAsia="en-GB"/>
        </w:rPr>
        <w:t>, in particular, came to refer to a non-oral form of Hadith transmission:</w:t>
      </w:r>
      <w:r>
        <w:rPr>
          <w:rStyle w:val="FootnoteReference"/>
          <w:rFonts w:cs="Calibri"/>
          <w:kern w:val="0"/>
          <w:sz w:val="24"/>
          <w:szCs w:val="24"/>
          <w:lang w:eastAsia="en-GB"/>
        </w:rPr>
        <w:footnoteReference w:id="24"/>
      </w:r>
      <w:r>
        <w:rPr>
          <w:rFonts w:cs="Calibri"/>
          <w:kern w:val="0"/>
          <w:sz w:val="24"/>
          <w:szCs w:val="24"/>
          <w:lang w:eastAsia="en-GB"/>
        </w:rPr>
        <w:t xml:space="preserve"> </w:t>
      </w:r>
    </w:p>
    <w:p w14:paraId="2B62EE21" w14:textId="77777777" w:rsidR="004818C1" w:rsidRDefault="00000000">
      <w:pPr>
        <w:ind w:left="720"/>
      </w:pPr>
      <w:r>
        <w:rPr>
          <w:rFonts w:cs="Calibri"/>
          <w:kern w:val="0"/>
          <w:sz w:val="24"/>
          <w:szCs w:val="24"/>
          <w:lang w:eastAsia="en-GB"/>
        </w:rPr>
        <w:t xml:space="preserve">Considered an </w:t>
      </w:r>
      <w:proofErr w:type="spellStart"/>
      <w:r>
        <w:rPr>
          <w:rFonts w:cs="Calibri"/>
          <w:kern w:val="0"/>
          <w:sz w:val="24"/>
          <w:szCs w:val="24"/>
          <w:lang w:eastAsia="en-GB"/>
        </w:rPr>
        <w:t>analog</w:t>
      </w:r>
      <w:proofErr w:type="spellEnd"/>
      <w:r>
        <w:rPr>
          <w:rFonts w:cs="Calibri"/>
          <w:kern w:val="0"/>
          <w:sz w:val="24"/>
          <w:szCs w:val="24"/>
          <w:lang w:eastAsia="en-GB"/>
        </w:rPr>
        <w:t xml:space="preserve"> to oral/aural transmission, in essence the </w:t>
      </w:r>
      <w:proofErr w:type="spellStart"/>
      <w:r>
        <w:rPr>
          <w:rFonts w:cs="Calibri"/>
          <w:i/>
          <w:kern w:val="0"/>
          <w:sz w:val="24"/>
          <w:szCs w:val="24"/>
          <w:lang w:eastAsia="en-GB"/>
        </w:rPr>
        <w:t>ijāza</w:t>
      </w:r>
      <w:proofErr w:type="spellEnd"/>
      <w:r>
        <w:rPr>
          <w:rFonts w:cs="Calibri"/>
          <w:kern w:val="0"/>
          <w:sz w:val="24"/>
          <w:szCs w:val="24"/>
          <w:lang w:eastAsia="en-GB"/>
        </w:rPr>
        <w:t xml:space="preserve"> is a permission granted by a transmitter allowing the recipient to cite and further transmit a text or groups of texts through the granting transmitter’s personal chain of transmission. The </w:t>
      </w:r>
      <w:proofErr w:type="spellStart"/>
      <w:r>
        <w:rPr>
          <w:rFonts w:cs="Calibri"/>
          <w:i/>
          <w:kern w:val="0"/>
          <w:sz w:val="24"/>
          <w:szCs w:val="24"/>
          <w:lang w:eastAsia="en-GB"/>
        </w:rPr>
        <w:t>ijāza</w:t>
      </w:r>
      <w:proofErr w:type="spellEnd"/>
      <w:r>
        <w:rPr>
          <w:rFonts w:cs="Calibri"/>
          <w:i/>
          <w:kern w:val="0"/>
          <w:sz w:val="24"/>
          <w:szCs w:val="24"/>
          <w:lang w:eastAsia="en-GB"/>
        </w:rPr>
        <w:t xml:space="preserve"> </w:t>
      </w:r>
      <w:r>
        <w:rPr>
          <w:rFonts w:cs="Calibri"/>
          <w:kern w:val="0"/>
          <w:sz w:val="24"/>
          <w:szCs w:val="24"/>
          <w:lang w:eastAsia="en-GB"/>
        </w:rPr>
        <w:t xml:space="preserve">thus allowed scholars to establish a personal chain of transmission for a text when time, distance or other factors made oral/aural transmission of the text </w:t>
      </w:r>
      <w:r>
        <w:rPr>
          <w:rFonts w:cs="Calibri"/>
          <w:kern w:val="0"/>
          <w:sz w:val="24"/>
          <w:szCs w:val="24"/>
          <w:lang w:eastAsia="en-GB"/>
        </w:rPr>
        <w:lastRenderedPageBreak/>
        <w:t xml:space="preserve">unfeasible. In a scholarly culture that expected that a chain of transmission would be cited, the </w:t>
      </w:r>
      <w:proofErr w:type="spellStart"/>
      <w:r>
        <w:rPr>
          <w:rFonts w:cs="Calibri"/>
          <w:i/>
          <w:kern w:val="0"/>
          <w:sz w:val="24"/>
          <w:szCs w:val="24"/>
          <w:lang w:eastAsia="en-GB"/>
        </w:rPr>
        <w:t>ijāza</w:t>
      </w:r>
      <w:proofErr w:type="spellEnd"/>
      <w:r>
        <w:rPr>
          <w:rFonts w:cs="Calibri"/>
          <w:kern w:val="0"/>
          <w:sz w:val="24"/>
          <w:szCs w:val="24"/>
          <w:lang w:eastAsia="en-GB"/>
        </w:rPr>
        <w:t xml:space="preserve"> was a means of meeting this expectation without investing the time in actual, oral/aural transmission.</w:t>
      </w:r>
      <w:r>
        <w:rPr>
          <w:rStyle w:val="FootnoteReference"/>
          <w:rFonts w:cs="Calibri"/>
          <w:kern w:val="0"/>
          <w:sz w:val="24"/>
          <w:szCs w:val="24"/>
          <w:lang w:eastAsia="en-GB"/>
        </w:rPr>
        <w:footnoteReference w:id="25"/>
      </w:r>
    </w:p>
    <w:p w14:paraId="0D564294" w14:textId="77777777" w:rsidR="004818C1" w:rsidRDefault="00000000">
      <w:r>
        <w:rPr>
          <w:rFonts w:cs="Calibri"/>
          <w:kern w:val="0"/>
          <w:sz w:val="24"/>
          <w:szCs w:val="24"/>
          <w:lang w:eastAsia="en-GB"/>
        </w:rPr>
        <w:t xml:space="preserve">The need for </w:t>
      </w:r>
      <w:proofErr w:type="spellStart"/>
      <w:r>
        <w:rPr>
          <w:rFonts w:cs="Calibri"/>
          <w:i/>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xml:space="preserve"> arose because the demands of oral/aural transmission became too unwieldy; the ‘culture of hadith transmission idealized oral transmission’, but the reality was that the acceleration of transmission and the growing number of works made realising this ideal impossible. The </w:t>
      </w:r>
      <w:proofErr w:type="spellStart"/>
      <w:r>
        <w:rPr>
          <w:rFonts w:cs="Calibri"/>
          <w:i/>
          <w:kern w:val="0"/>
          <w:sz w:val="24"/>
          <w:szCs w:val="24"/>
          <w:lang w:eastAsia="en-GB"/>
        </w:rPr>
        <w:t>ijāza</w:t>
      </w:r>
      <w:proofErr w:type="spellEnd"/>
      <w:r>
        <w:rPr>
          <w:rFonts w:cs="Calibri"/>
          <w:i/>
          <w:kern w:val="0"/>
          <w:sz w:val="24"/>
          <w:szCs w:val="24"/>
          <w:lang w:eastAsia="en-GB"/>
        </w:rPr>
        <w:t xml:space="preserve"> </w:t>
      </w:r>
      <w:r>
        <w:rPr>
          <w:rFonts w:cs="Calibri"/>
          <w:kern w:val="0"/>
          <w:sz w:val="24"/>
          <w:szCs w:val="24"/>
          <w:lang w:eastAsia="en-GB"/>
        </w:rPr>
        <w:t>made it possible for that ideal to be maintained, not only for reports but also for whole books:</w:t>
      </w:r>
      <w:r>
        <w:rPr>
          <w:rStyle w:val="FootnoteReference"/>
          <w:rFonts w:cs="Calibri"/>
          <w:kern w:val="0"/>
          <w:sz w:val="24"/>
          <w:szCs w:val="24"/>
          <w:lang w:eastAsia="en-GB"/>
        </w:rPr>
        <w:footnoteReference w:id="26"/>
      </w:r>
      <w:r>
        <w:rPr>
          <w:rFonts w:cs="Calibri"/>
          <w:kern w:val="0"/>
          <w:sz w:val="24"/>
          <w:szCs w:val="24"/>
          <w:lang w:eastAsia="en-GB"/>
        </w:rPr>
        <w:t xml:space="preserve"> </w:t>
      </w:r>
    </w:p>
    <w:p w14:paraId="4144F265" w14:textId="77777777" w:rsidR="004818C1" w:rsidRDefault="00000000">
      <w:pPr>
        <w:ind w:left="720"/>
      </w:pPr>
      <w:r>
        <w:rPr>
          <w:rFonts w:cs="Calibri"/>
          <w:kern w:val="0"/>
          <w:sz w:val="24"/>
          <w:szCs w:val="24"/>
          <w:lang w:eastAsia="en-GB"/>
        </w:rPr>
        <w:t>The ability to cite material without having to invest the time in auditing it was an extremely useful tool in a scholarly culture that was increasingly becoming dependent on widely-circulated and often lengthy authored texts but still expected that these sources would be cited with a chain of transmission in the oral idiom.</w:t>
      </w:r>
      <w:r>
        <w:rPr>
          <w:rStyle w:val="FootnoteReference"/>
          <w:rFonts w:cs="Calibri"/>
          <w:kern w:val="0"/>
          <w:sz w:val="24"/>
          <w:szCs w:val="24"/>
          <w:lang w:eastAsia="en-GB"/>
        </w:rPr>
        <w:footnoteReference w:id="27"/>
      </w:r>
    </w:p>
    <w:p w14:paraId="0D13E33D" w14:textId="77777777" w:rsidR="004818C1" w:rsidRDefault="00000000">
      <w:r>
        <w:rPr>
          <w:rFonts w:cs="Calibri"/>
          <w:kern w:val="0"/>
          <w:sz w:val="24"/>
          <w:szCs w:val="24"/>
          <w:lang w:eastAsia="en-GB"/>
        </w:rPr>
        <w:t xml:space="preserve">Al-Khatib played a major role in the growing acceptance of the </w:t>
      </w:r>
      <w:proofErr w:type="spellStart"/>
      <w:r>
        <w:rPr>
          <w:rFonts w:cs="Calibri"/>
          <w:i/>
          <w:kern w:val="0"/>
          <w:sz w:val="24"/>
          <w:szCs w:val="24"/>
          <w:lang w:eastAsia="en-GB"/>
        </w:rPr>
        <w:t>ijāza</w:t>
      </w:r>
      <w:proofErr w:type="spellEnd"/>
      <w:r>
        <w:rPr>
          <w:rFonts w:cs="Calibri"/>
          <w:kern w:val="0"/>
          <w:sz w:val="24"/>
          <w:szCs w:val="24"/>
          <w:lang w:eastAsia="en-GB"/>
        </w:rPr>
        <w:t xml:space="preserve">, and he spoke forcefully against the view (in the minority by his day) that an </w:t>
      </w:r>
      <w:proofErr w:type="spellStart"/>
      <w:r>
        <w:rPr>
          <w:rFonts w:cs="Calibri"/>
          <w:i/>
          <w:kern w:val="0"/>
          <w:sz w:val="24"/>
          <w:szCs w:val="24"/>
          <w:lang w:eastAsia="en-GB"/>
        </w:rPr>
        <w:t>ijāza</w:t>
      </w:r>
      <w:proofErr w:type="spellEnd"/>
      <w:r>
        <w:rPr>
          <w:rFonts w:cs="Calibri"/>
          <w:kern w:val="0"/>
          <w:sz w:val="24"/>
          <w:szCs w:val="24"/>
          <w:lang w:eastAsia="en-GB"/>
        </w:rPr>
        <w:t xml:space="preserve"> cited within a chain of transmission broke the chain.</w:t>
      </w:r>
      <w:r>
        <w:rPr>
          <w:rStyle w:val="FootnoteReference"/>
          <w:rFonts w:cs="Calibri"/>
          <w:kern w:val="0"/>
          <w:sz w:val="24"/>
          <w:szCs w:val="24"/>
          <w:lang w:eastAsia="en-GB"/>
        </w:rPr>
        <w:footnoteReference w:id="28"/>
      </w:r>
    </w:p>
    <w:p w14:paraId="4F0146C5" w14:textId="77777777" w:rsidR="004818C1" w:rsidRDefault="00000000">
      <w:r>
        <w:rPr>
          <w:rFonts w:cs="Calibri"/>
          <w:kern w:val="0"/>
          <w:sz w:val="24"/>
          <w:szCs w:val="24"/>
          <w:lang w:eastAsia="en-GB"/>
        </w:rPr>
        <w:t xml:space="preserve">However, although </w:t>
      </w:r>
      <w:proofErr w:type="spellStart"/>
      <w:r>
        <w:rPr>
          <w:rFonts w:cs="Calibri"/>
          <w:i/>
          <w:iCs/>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xml:space="preserve"> may have been widely accepted in Ibn </w:t>
      </w:r>
      <w:proofErr w:type="spellStart"/>
      <w:r>
        <w:rPr>
          <w:rFonts w:cs="Calibri"/>
          <w:kern w:val="0"/>
          <w:sz w:val="24"/>
          <w:szCs w:val="24"/>
          <w:lang w:eastAsia="en-GB"/>
        </w:rPr>
        <w:t>ʿAsākir’s</w:t>
      </w:r>
      <w:proofErr w:type="spellEnd"/>
      <w:r>
        <w:rPr>
          <w:rFonts w:cs="Calibri"/>
          <w:kern w:val="0"/>
          <w:sz w:val="24"/>
          <w:szCs w:val="24"/>
          <w:lang w:eastAsia="en-GB"/>
        </w:rPr>
        <w:t xml:space="preserve"> time, the fact that he refrains from citing </w:t>
      </w:r>
      <w:proofErr w:type="spellStart"/>
      <w:r>
        <w:rPr>
          <w:rFonts w:cs="Calibri"/>
          <w:i/>
          <w:iCs/>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xml:space="preserve"> for his own receipt of materials suggests that he did not want to be seen as availing himself of their conveniences.</w:t>
      </w:r>
    </w:p>
    <w:p w14:paraId="7F04C276" w14:textId="77777777" w:rsidR="004818C1" w:rsidRDefault="00000000">
      <w:r>
        <w:rPr>
          <w:rFonts w:cs="Calibri"/>
          <w:kern w:val="0"/>
          <w:sz w:val="24"/>
          <w:szCs w:val="24"/>
          <w:lang w:eastAsia="en-GB"/>
        </w:rPr>
        <w:t xml:space="preserve">Some of the chains in the </w:t>
      </w:r>
      <w:r>
        <w:rPr>
          <w:rFonts w:cs="Calibri"/>
          <w:i/>
          <w:iCs/>
          <w:kern w:val="0"/>
          <w:sz w:val="24"/>
          <w:szCs w:val="24"/>
          <w:lang w:eastAsia="en-GB"/>
        </w:rPr>
        <w:t>TMD</w:t>
      </w:r>
      <w:r>
        <w:rPr>
          <w:rFonts w:cs="Calibri"/>
          <w:kern w:val="0"/>
          <w:sz w:val="24"/>
          <w:szCs w:val="24"/>
          <w:lang w:eastAsia="en-GB"/>
        </w:rPr>
        <w:t xml:space="preserve"> that contain the term </w:t>
      </w:r>
      <w:proofErr w:type="spellStart"/>
      <w:r>
        <w:rPr>
          <w:rFonts w:cs="Calibri"/>
          <w:i/>
          <w:kern w:val="0"/>
          <w:sz w:val="24"/>
          <w:szCs w:val="24"/>
          <w:lang w:eastAsia="en-GB"/>
        </w:rPr>
        <w:t>ijāza</w:t>
      </w:r>
      <w:proofErr w:type="spellEnd"/>
      <w:r>
        <w:rPr>
          <w:rFonts w:cs="Calibri"/>
          <w:kern w:val="0"/>
          <w:sz w:val="24"/>
          <w:szCs w:val="24"/>
          <w:lang w:eastAsia="en-GB"/>
        </w:rPr>
        <w:t xml:space="preserve"> also feature other terms identifying methods of transmission, as in the example above, which combines </w:t>
      </w:r>
      <w:proofErr w:type="spellStart"/>
      <w:r>
        <w:rPr>
          <w:rFonts w:cs="Calibri"/>
          <w:i/>
          <w:iCs/>
          <w:kern w:val="0"/>
          <w:sz w:val="24"/>
          <w:szCs w:val="24"/>
          <w:lang w:eastAsia="en-GB"/>
        </w:rPr>
        <w:t>ijāzatan</w:t>
      </w:r>
      <w:proofErr w:type="spellEnd"/>
      <w:r>
        <w:rPr>
          <w:rFonts w:cs="Calibri"/>
          <w:kern w:val="0"/>
          <w:sz w:val="24"/>
          <w:szCs w:val="24"/>
          <w:lang w:eastAsia="en-GB"/>
        </w:rPr>
        <w:t xml:space="preserve"> with </w:t>
      </w:r>
      <w:proofErr w:type="spellStart"/>
      <w:r>
        <w:rPr>
          <w:rFonts w:cs="Calibri"/>
          <w:i/>
          <w:kern w:val="0"/>
          <w:sz w:val="24"/>
          <w:szCs w:val="24"/>
          <w:lang w:eastAsia="en-GB"/>
        </w:rPr>
        <w:t>idhnan</w:t>
      </w:r>
      <w:proofErr w:type="spellEnd"/>
      <w:r>
        <w:rPr>
          <w:rFonts w:cs="Calibri"/>
          <w:kern w:val="0"/>
          <w:sz w:val="24"/>
          <w:szCs w:val="24"/>
          <w:lang w:eastAsia="en-GB"/>
        </w:rPr>
        <w:t xml:space="preserve">. In another case, Ibn </w:t>
      </w:r>
      <w:proofErr w:type="spellStart"/>
      <w:r>
        <w:rPr>
          <w:rFonts w:cs="Calibri"/>
          <w:kern w:val="0"/>
          <w:sz w:val="24"/>
          <w:szCs w:val="24"/>
          <w:lang w:eastAsia="en-GB"/>
        </w:rPr>
        <w:t>ʿAsākir</w:t>
      </w:r>
      <w:proofErr w:type="spellEnd"/>
      <w:r>
        <w:rPr>
          <w:rFonts w:cs="Calibri"/>
          <w:kern w:val="0"/>
          <w:sz w:val="24"/>
          <w:szCs w:val="24"/>
          <w:lang w:eastAsia="en-GB"/>
        </w:rPr>
        <w:t xml:space="preserve"> credits Abu Bakr </w:t>
      </w:r>
      <w:proofErr w:type="spellStart"/>
      <w:r>
        <w:rPr>
          <w:rFonts w:cs="Calibri"/>
          <w:kern w:val="0"/>
          <w:sz w:val="24"/>
          <w:szCs w:val="24"/>
          <w:lang w:eastAsia="en-GB"/>
        </w:rPr>
        <w:t>Wajih</w:t>
      </w:r>
      <w:proofErr w:type="spellEnd"/>
      <w:r>
        <w:rPr>
          <w:rFonts w:cs="Calibri"/>
          <w:kern w:val="0"/>
          <w:sz w:val="24"/>
          <w:szCs w:val="24"/>
          <w:lang w:eastAsia="en-GB"/>
        </w:rPr>
        <w:t xml:space="preserve"> with a transmission </w:t>
      </w:r>
      <w:proofErr w:type="spellStart"/>
      <w:r>
        <w:rPr>
          <w:rFonts w:cs="Calibri"/>
          <w:i/>
          <w:iCs/>
          <w:kern w:val="0"/>
          <w:sz w:val="24"/>
          <w:szCs w:val="24"/>
          <w:lang w:eastAsia="en-GB"/>
        </w:rPr>
        <w:t>ijāzatan</w:t>
      </w:r>
      <w:proofErr w:type="spellEnd"/>
      <w:r>
        <w:rPr>
          <w:rFonts w:cs="Calibri"/>
          <w:kern w:val="0"/>
          <w:sz w:val="24"/>
          <w:szCs w:val="24"/>
          <w:lang w:eastAsia="en-GB"/>
        </w:rPr>
        <w:t xml:space="preserve"> and then clarifies that the transmission did not take place via audition (</w:t>
      </w:r>
      <w:r>
        <w:rPr>
          <w:rFonts w:cs="Calibri"/>
          <w:i/>
          <w:iCs/>
          <w:kern w:val="0"/>
          <w:sz w:val="24"/>
          <w:szCs w:val="24"/>
          <w:lang w:eastAsia="en-GB"/>
        </w:rPr>
        <w:t xml:space="preserve">in lam </w:t>
      </w:r>
      <w:proofErr w:type="spellStart"/>
      <w:r>
        <w:rPr>
          <w:rFonts w:cs="Calibri"/>
          <w:i/>
          <w:iCs/>
          <w:kern w:val="0"/>
          <w:sz w:val="24"/>
          <w:szCs w:val="24"/>
          <w:lang w:eastAsia="en-GB"/>
        </w:rPr>
        <w:t>yakun</w:t>
      </w:r>
      <w:proofErr w:type="spellEnd"/>
      <w:r>
        <w:rPr>
          <w:rFonts w:cs="Calibri"/>
          <w:i/>
          <w:iCs/>
          <w:kern w:val="0"/>
          <w:sz w:val="24"/>
          <w:szCs w:val="24"/>
          <w:lang w:eastAsia="en-GB"/>
        </w:rPr>
        <w:t xml:space="preserve"> </w:t>
      </w:r>
      <w:proofErr w:type="spellStart"/>
      <w:r>
        <w:rPr>
          <w:rFonts w:cs="Calibri"/>
          <w:i/>
          <w:iCs/>
          <w:kern w:val="0"/>
          <w:sz w:val="24"/>
          <w:szCs w:val="24"/>
          <w:lang w:eastAsia="en-GB"/>
        </w:rPr>
        <w:t>samāʿan</w:t>
      </w:r>
      <w:proofErr w:type="spellEnd"/>
      <w:r>
        <w:rPr>
          <w:rFonts w:cs="Calibri"/>
          <w:kern w:val="0"/>
          <w:sz w:val="24"/>
          <w:szCs w:val="24"/>
          <w:lang w:eastAsia="en-GB"/>
        </w:rPr>
        <w:t>).</w:t>
      </w:r>
      <w:r>
        <w:rPr>
          <w:rFonts w:cs="Calibri"/>
          <w:kern w:val="0"/>
          <w:sz w:val="24"/>
          <w:szCs w:val="24"/>
          <w:vertAlign w:val="superscript"/>
          <w:lang w:val="en-US" w:eastAsia="en-GB"/>
        </w:rPr>
        <w:footnoteReference w:id="29"/>
      </w:r>
    </w:p>
    <w:p w14:paraId="74A53355" w14:textId="77777777" w:rsidR="004818C1" w:rsidRPr="00E361F2" w:rsidRDefault="00000000" w:rsidP="00E361F2">
      <w:pPr>
        <w:pStyle w:val="Heading3"/>
        <w:rPr>
          <w:i/>
          <w:iCs/>
        </w:rPr>
      </w:pPr>
      <w:bookmarkStart w:id="11" w:name="_44sinio"/>
      <w:bookmarkEnd w:id="10"/>
      <w:bookmarkEnd w:id="11"/>
      <w:proofErr w:type="spellStart"/>
      <w:r w:rsidRPr="00E361F2">
        <w:rPr>
          <w:i/>
          <w:iCs/>
        </w:rPr>
        <w:t>Fī</w:t>
      </w:r>
      <w:proofErr w:type="spellEnd"/>
      <w:r w:rsidRPr="00E361F2">
        <w:rPr>
          <w:i/>
          <w:iCs/>
        </w:rPr>
        <w:t xml:space="preserve"> </w:t>
      </w:r>
      <w:proofErr w:type="spellStart"/>
      <w:r w:rsidRPr="00E361F2">
        <w:rPr>
          <w:i/>
          <w:iCs/>
        </w:rPr>
        <w:t>kitābihi</w:t>
      </w:r>
      <w:proofErr w:type="spellEnd"/>
    </w:p>
    <w:p w14:paraId="00AF377F" w14:textId="77777777" w:rsidR="004818C1" w:rsidRDefault="00000000">
      <w:bookmarkStart w:id="12" w:name="_Hlk138768306"/>
      <w:r>
        <w:rPr>
          <w:rFonts w:cs="Calibri"/>
          <w:kern w:val="0"/>
          <w:sz w:val="24"/>
          <w:szCs w:val="24"/>
          <w:lang w:eastAsia="en-GB"/>
        </w:rPr>
        <w:t xml:space="preserve">The phrase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kitābihi</w:t>
      </w:r>
      <w:proofErr w:type="spellEnd"/>
      <w:r>
        <w:rPr>
          <w:rFonts w:cs="Calibri"/>
          <w:kern w:val="0"/>
          <w:sz w:val="24"/>
          <w:szCs w:val="24"/>
          <w:lang w:eastAsia="en-GB"/>
        </w:rPr>
        <w:t xml:space="preserve"> (‘in his writing’) in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points to something written by the cited person. But is it used specifically in reference to the writings of authors? The answer is no, as the following example shows:</w:t>
      </w:r>
    </w:p>
    <w:p w14:paraId="5CF0C11A" w14:textId="77777777" w:rsidR="004818C1" w:rsidRDefault="00000000">
      <w:pPr>
        <w:bidi/>
      </w:pPr>
      <w:r>
        <w:rPr>
          <w:rFonts w:cs="Calibri"/>
          <w:kern w:val="0"/>
          <w:sz w:val="24"/>
          <w:szCs w:val="24"/>
          <w:rtl/>
          <w:lang w:eastAsia="en-GB"/>
        </w:rPr>
        <w:t xml:space="preserve">أخبرنا أبو عبدالله محمد بن الفضل في كتابه عن أبي بكر البيهقي أنا أبو عبدالله الحافظ قال سمعت أبا علي الحسين بن علي الحافظ يقول سمعت إبراهيم بن يوسف </w:t>
      </w:r>
      <w:proofErr w:type="spellStart"/>
      <w:r>
        <w:rPr>
          <w:rFonts w:cs="Calibri"/>
          <w:kern w:val="0"/>
          <w:sz w:val="24"/>
          <w:szCs w:val="24"/>
          <w:rtl/>
          <w:lang w:eastAsia="en-GB"/>
        </w:rPr>
        <w:t>الهسنجاني</w:t>
      </w:r>
      <w:proofErr w:type="spellEnd"/>
      <w:r>
        <w:rPr>
          <w:rFonts w:cs="Calibri"/>
          <w:kern w:val="0"/>
          <w:sz w:val="24"/>
          <w:szCs w:val="24"/>
          <w:rtl/>
          <w:lang w:eastAsia="en-GB"/>
        </w:rPr>
        <w:t xml:space="preserve"> يقول</w:t>
      </w:r>
    </w:p>
    <w:p w14:paraId="1B2CE49B" w14:textId="77777777" w:rsidR="004818C1" w:rsidRDefault="00000000">
      <w:pPr>
        <w:ind w:left="720"/>
      </w:pPr>
      <w:bookmarkStart w:id="13" w:name="_2jxsxqh"/>
      <w:bookmarkEnd w:id="13"/>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Allah </w:t>
      </w:r>
      <w:proofErr w:type="spellStart"/>
      <w:r>
        <w:rPr>
          <w:rFonts w:cs="Calibri"/>
          <w:kern w:val="0"/>
          <w:sz w:val="24"/>
          <w:szCs w:val="24"/>
          <w:lang w:eastAsia="en-GB"/>
        </w:rPr>
        <w:t>Muḥammad</w:t>
      </w:r>
      <w:proofErr w:type="spellEnd"/>
      <w:r>
        <w:rPr>
          <w:rFonts w:cs="Calibri"/>
          <w:kern w:val="0"/>
          <w:sz w:val="24"/>
          <w:szCs w:val="24"/>
          <w:lang w:eastAsia="en-GB"/>
        </w:rPr>
        <w:t xml:space="preserve"> b. al-</w:t>
      </w:r>
      <w:proofErr w:type="spellStart"/>
      <w:r>
        <w:rPr>
          <w:rFonts w:cs="Calibri"/>
          <w:kern w:val="0"/>
          <w:sz w:val="24"/>
          <w:szCs w:val="24"/>
          <w:lang w:eastAsia="en-GB"/>
        </w:rPr>
        <w:t>Faḍl</w:t>
      </w:r>
      <w:proofErr w:type="spellEnd"/>
      <w:r>
        <w:rPr>
          <w:rFonts w:cs="Calibri"/>
          <w:kern w:val="0"/>
          <w:sz w:val="24"/>
          <w:szCs w:val="24"/>
          <w:lang w:eastAsia="en-GB"/>
        </w:rPr>
        <w:t xml:space="preserve"> [Abu 'Abd Allah al-</w:t>
      </w:r>
      <w:proofErr w:type="spellStart"/>
      <w:r>
        <w:rPr>
          <w:rFonts w:cs="Calibri"/>
          <w:kern w:val="0"/>
          <w:sz w:val="24"/>
          <w:szCs w:val="24"/>
          <w:lang w:eastAsia="en-GB"/>
        </w:rPr>
        <w:t>Furawi</w:t>
      </w:r>
      <w:proofErr w:type="spellEnd"/>
      <w:r>
        <w:rPr>
          <w:rFonts w:cs="Calibri"/>
          <w:kern w:val="0"/>
          <w:sz w:val="24"/>
          <w:szCs w:val="24"/>
          <w:lang w:eastAsia="en-GB"/>
        </w:rPr>
        <w:t>] told us in his writing (</w:t>
      </w:r>
      <w:proofErr w:type="spellStart"/>
      <w:r>
        <w:rPr>
          <w:rFonts w:cs="Calibri"/>
          <w:i/>
          <w:kern w:val="0"/>
          <w:sz w:val="24"/>
          <w:szCs w:val="24"/>
          <w:lang w:eastAsia="en-GB"/>
        </w:rPr>
        <w:t>fī</w:t>
      </w:r>
      <w:proofErr w:type="spellEnd"/>
      <w:r>
        <w:rPr>
          <w:rFonts w:cs="Calibri"/>
          <w:i/>
          <w:kern w:val="0"/>
          <w:sz w:val="24"/>
          <w:szCs w:val="24"/>
          <w:lang w:eastAsia="en-GB"/>
        </w:rPr>
        <w:t xml:space="preserve"> </w:t>
      </w:r>
      <w:proofErr w:type="spellStart"/>
      <w:r>
        <w:rPr>
          <w:rFonts w:cs="Calibri"/>
          <w:i/>
          <w:kern w:val="0"/>
          <w:sz w:val="24"/>
          <w:szCs w:val="24"/>
          <w:lang w:eastAsia="en-GB"/>
        </w:rPr>
        <w:t>kitābihi</w:t>
      </w:r>
      <w:proofErr w:type="spellEnd"/>
      <w:r>
        <w:rPr>
          <w:rFonts w:cs="Calibri"/>
          <w:iCs/>
          <w:kern w:val="0"/>
          <w:sz w:val="24"/>
          <w:szCs w:val="24"/>
          <w:lang w:eastAsia="en-GB"/>
        </w:rPr>
        <w:t xml:space="preserve">) </w:t>
      </w:r>
      <w:r>
        <w:rPr>
          <w:rFonts w:cs="Calibri"/>
          <w:kern w:val="0"/>
          <w:sz w:val="24"/>
          <w:szCs w:val="24"/>
          <w:lang w:eastAsia="en-GB"/>
        </w:rPr>
        <w:t xml:space="preserve">from </w:t>
      </w:r>
      <w:proofErr w:type="spellStart"/>
      <w:r>
        <w:rPr>
          <w:rFonts w:cs="Calibri"/>
          <w:kern w:val="0"/>
          <w:sz w:val="24"/>
          <w:szCs w:val="24"/>
          <w:lang w:eastAsia="en-GB"/>
        </w:rPr>
        <w:t>Abū</w:t>
      </w:r>
      <w:proofErr w:type="spellEnd"/>
      <w:r>
        <w:rPr>
          <w:rFonts w:cs="Calibri"/>
          <w:kern w:val="0"/>
          <w:sz w:val="24"/>
          <w:szCs w:val="24"/>
          <w:lang w:eastAsia="en-GB"/>
        </w:rPr>
        <w:t xml:space="preserve"> Bakr al-</w:t>
      </w:r>
      <w:proofErr w:type="spellStart"/>
      <w:r>
        <w:rPr>
          <w:rFonts w:cs="Calibri"/>
          <w:kern w:val="0"/>
          <w:sz w:val="24"/>
          <w:szCs w:val="24"/>
          <w:lang w:eastAsia="en-GB"/>
        </w:rPr>
        <w:t>Bayhaqī</w:t>
      </w:r>
      <w:proofErr w:type="spellEnd"/>
      <w:r>
        <w:rPr>
          <w:rFonts w:cs="Calibri"/>
          <w:kern w:val="0"/>
          <w:sz w:val="24"/>
          <w:szCs w:val="24"/>
          <w:lang w:eastAsia="en-GB"/>
        </w:rPr>
        <w:t xml:space="preserve"> [al-</w:t>
      </w:r>
      <w:proofErr w:type="spellStart"/>
      <w:r>
        <w:rPr>
          <w:rFonts w:cs="Calibri"/>
          <w:kern w:val="0"/>
          <w:sz w:val="24"/>
          <w:szCs w:val="24"/>
          <w:lang w:eastAsia="en-GB"/>
        </w:rPr>
        <w:t>Bayhaqi</w:t>
      </w:r>
      <w:proofErr w:type="spellEnd"/>
      <w:r>
        <w:rPr>
          <w:rFonts w:cs="Calibri"/>
          <w:kern w:val="0"/>
          <w:sz w:val="24"/>
          <w:szCs w:val="24"/>
          <w:lang w:eastAsia="en-GB"/>
        </w:rPr>
        <w:t xml:space="preserve">], who said that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ʿAbd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al-</w:t>
      </w:r>
      <w:proofErr w:type="spellStart"/>
      <w:r>
        <w:rPr>
          <w:rFonts w:cs="Calibri"/>
          <w:kern w:val="0"/>
          <w:sz w:val="24"/>
          <w:szCs w:val="24"/>
          <w:lang w:eastAsia="en-GB"/>
        </w:rPr>
        <w:t>Ḥāfiẓ</w:t>
      </w:r>
      <w:proofErr w:type="spellEnd"/>
      <w:r>
        <w:rPr>
          <w:rFonts w:cs="Calibri"/>
          <w:kern w:val="0"/>
          <w:sz w:val="24"/>
          <w:szCs w:val="24"/>
          <w:lang w:eastAsia="en-GB"/>
        </w:rPr>
        <w:t xml:space="preserve"> [</w:t>
      </w:r>
      <w:r>
        <w:rPr>
          <w:rFonts w:cs="Calibri"/>
          <w:kern w:val="0"/>
          <w:sz w:val="24"/>
          <w:szCs w:val="24"/>
          <w:lang w:val="en-US" w:eastAsia="en-GB"/>
        </w:rPr>
        <w:t>Abu 'Abd Allah al-Hakim</w:t>
      </w:r>
      <w:r>
        <w:rPr>
          <w:rFonts w:cs="Calibri"/>
          <w:kern w:val="0"/>
          <w:sz w:val="24"/>
          <w:szCs w:val="24"/>
          <w:lang w:eastAsia="en-GB"/>
        </w:rPr>
        <w:t xml:space="preserve">] said: I heard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ʿAlī</w:t>
      </w:r>
      <w:proofErr w:type="spellEnd"/>
      <w:r>
        <w:rPr>
          <w:rFonts w:cs="Calibri"/>
          <w:kern w:val="0"/>
          <w:sz w:val="24"/>
          <w:szCs w:val="24"/>
          <w:lang w:eastAsia="en-GB"/>
        </w:rPr>
        <w:t xml:space="preserve"> al-</w:t>
      </w:r>
      <w:proofErr w:type="spellStart"/>
      <w:r>
        <w:rPr>
          <w:rFonts w:cs="Calibri"/>
          <w:kern w:val="0"/>
          <w:sz w:val="24"/>
          <w:szCs w:val="24"/>
          <w:lang w:eastAsia="en-GB"/>
        </w:rPr>
        <w:t>Ḥusan</w:t>
      </w:r>
      <w:proofErr w:type="spellEnd"/>
      <w:r>
        <w:rPr>
          <w:rFonts w:cs="Calibri"/>
          <w:kern w:val="0"/>
          <w:sz w:val="24"/>
          <w:szCs w:val="24"/>
          <w:lang w:eastAsia="en-GB"/>
        </w:rPr>
        <w:t xml:space="preserve"> b. </w:t>
      </w:r>
      <w:proofErr w:type="spellStart"/>
      <w:r>
        <w:rPr>
          <w:rFonts w:cs="Calibri"/>
          <w:kern w:val="0"/>
          <w:sz w:val="24"/>
          <w:szCs w:val="24"/>
          <w:lang w:eastAsia="en-GB"/>
        </w:rPr>
        <w:t>ʿAlī</w:t>
      </w:r>
      <w:proofErr w:type="spellEnd"/>
      <w:r>
        <w:rPr>
          <w:rFonts w:cs="Calibri"/>
          <w:kern w:val="0"/>
          <w:sz w:val="24"/>
          <w:szCs w:val="24"/>
          <w:lang w:eastAsia="en-GB"/>
        </w:rPr>
        <w:t xml:space="preserve"> al-</w:t>
      </w:r>
      <w:proofErr w:type="spellStart"/>
      <w:r>
        <w:rPr>
          <w:rFonts w:cs="Calibri"/>
          <w:kern w:val="0"/>
          <w:sz w:val="24"/>
          <w:szCs w:val="24"/>
          <w:lang w:eastAsia="en-GB"/>
        </w:rPr>
        <w:t>Ḥāfiẓ</w:t>
      </w:r>
      <w:proofErr w:type="spellEnd"/>
      <w:r>
        <w:rPr>
          <w:rFonts w:cs="Calibri"/>
          <w:kern w:val="0"/>
          <w:sz w:val="24"/>
          <w:szCs w:val="24"/>
          <w:lang w:eastAsia="en-GB"/>
        </w:rPr>
        <w:t xml:space="preserve"> saying that I heard </w:t>
      </w:r>
      <w:proofErr w:type="spellStart"/>
      <w:r>
        <w:rPr>
          <w:rFonts w:cs="Calibri"/>
          <w:kern w:val="0"/>
          <w:sz w:val="24"/>
          <w:szCs w:val="24"/>
          <w:lang w:eastAsia="en-GB"/>
        </w:rPr>
        <w:t>Ibrāhīm</w:t>
      </w:r>
      <w:proofErr w:type="spellEnd"/>
      <w:r>
        <w:rPr>
          <w:rFonts w:cs="Calibri"/>
          <w:kern w:val="0"/>
          <w:sz w:val="24"/>
          <w:szCs w:val="24"/>
          <w:lang w:eastAsia="en-GB"/>
        </w:rPr>
        <w:t xml:space="preserve"> b. </w:t>
      </w:r>
      <w:proofErr w:type="spellStart"/>
      <w:r>
        <w:rPr>
          <w:rFonts w:cs="Calibri"/>
          <w:kern w:val="0"/>
          <w:sz w:val="24"/>
          <w:szCs w:val="24"/>
          <w:lang w:eastAsia="en-GB"/>
        </w:rPr>
        <w:t>Yūsuf</w:t>
      </w:r>
      <w:proofErr w:type="spellEnd"/>
      <w:r>
        <w:rPr>
          <w:rFonts w:cs="Calibri"/>
          <w:kern w:val="0"/>
          <w:sz w:val="24"/>
          <w:szCs w:val="24"/>
          <w:lang w:eastAsia="en-GB"/>
        </w:rPr>
        <w:t xml:space="preserve"> al-</w:t>
      </w:r>
      <w:proofErr w:type="spellStart"/>
      <w:r>
        <w:rPr>
          <w:rFonts w:cs="Calibri"/>
          <w:kern w:val="0"/>
          <w:sz w:val="24"/>
          <w:szCs w:val="24"/>
          <w:lang w:eastAsia="en-GB"/>
        </w:rPr>
        <w:t>Hasanjānī</w:t>
      </w:r>
      <w:proofErr w:type="spellEnd"/>
      <w:r>
        <w:rPr>
          <w:rFonts w:cs="Calibri"/>
          <w:kern w:val="0"/>
          <w:sz w:val="24"/>
          <w:szCs w:val="24"/>
          <w:lang w:eastAsia="en-GB"/>
        </w:rPr>
        <w:t xml:space="preserve"> saying …</w:t>
      </w:r>
    </w:p>
    <w:p w14:paraId="244ACB4D" w14:textId="77777777" w:rsidR="004818C1" w:rsidRDefault="00000000">
      <w:r>
        <w:rPr>
          <w:rFonts w:cs="Calibri"/>
          <w:kern w:val="0"/>
          <w:sz w:val="24"/>
          <w:szCs w:val="24"/>
          <w:lang w:eastAsia="en-GB"/>
        </w:rPr>
        <w:t xml:space="preserve">The term </w:t>
      </w:r>
      <w:proofErr w:type="spellStart"/>
      <w:r>
        <w:rPr>
          <w:rFonts w:cs="Calibri"/>
          <w:i/>
          <w:kern w:val="0"/>
          <w:sz w:val="24"/>
          <w:szCs w:val="24"/>
          <w:lang w:eastAsia="en-GB"/>
        </w:rPr>
        <w:t>kitāb</w:t>
      </w:r>
      <w:proofErr w:type="spellEnd"/>
      <w:r>
        <w:rPr>
          <w:rFonts w:cs="Calibri"/>
          <w:kern w:val="0"/>
          <w:sz w:val="24"/>
          <w:szCs w:val="24"/>
          <w:lang w:eastAsia="en-GB"/>
        </w:rPr>
        <w:t xml:space="preserve"> denotes a piece of writing of some sort or another (perhaps a letter containing an </w:t>
      </w:r>
      <w:proofErr w:type="spellStart"/>
      <w:r>
        <w:rPr>
          <w:rFonts w:cs="Calibri"/>
          <w:i/>
          <w:iCs/>
          <w:kern w:val="0"/>
          <w:sz w:val="24"/>
          <w:szCs w:val="24"/>
          <w:lang w:eastAsia="en-GB"/>
        </w:rPr>
        <w:t>ijāza</w:t>
      </w:r>
      <w:proofErr w:type="spellEnd"/>
      <w:r>
        <w:rPr>
          <w:rFonts w:cs="Calibri"/>
          <w:kern w:val="0"/>
          <w:sz w:val="24"/>
          <w:szCs w:val="24"/>
          <w:lang w:eastAsia="en-GB"/>
        </w:rPr>
        <w:t xml:space="preserve">), and in this </w:t>
      </w:r>
      <w:proofErr w:type="spellStart"/>
      <w:r>
        <w:rPr>
          <w:rFonts w:cs="Calibri"/>
          <w:i/>
          <w:iCs/>
          <w:kern w:val="0"/>
          <w:sz w:val="24"/>
          <w:szCs w:val="24"/>
          <w:lang w:eastAsia="en-GB"/>
        </w:rPr>
        <w:t>isnād</w:t>
      </w:r>
      <w:proofErr w:type="spellEnd"/>
      <w:r>
        <w:rPr>
          <w:rFonts w:cs="Calibri"/>
          <w:kern w:val="0"/>
          <w:sz w:val="24"/>
          <w:szCs w:val="24"/>
          <w:lang w:eastAsia="en-GB"/>
        </w:rPr>
        <w:t xml:space="preserve"> it is attributed to Abu 'Abd Allah al-</w:t>
      </w:r>
      <w:proofErr w:type="spellStart"/>
      <w:r>
        <w:rPr>
          <w:rFonts w:cs="Calibri"/>
          <w:kern w:val="0"/>
          <w:sz w:val="24"/>
          <w:szCs w:val="24"/>
          <w:lang w:eastAsia="en-GB"/>
        </w:rPr>
        <w:t>Furawi</w:t>
      </w:r>
      <w:proofErr w:type="spellEnd"/>
      <w:r>
        <w:rPr>
          <w:rFonts w:cs="Calibri"/>
          <w:kern w:val="0"/>
          <w:sz w:val="24"/>
          <w:szCs w:val="24"/>
          <w:lang w:eastAsia="en-GB"/>
        </w:rPr>
        <w:t>,</w:t>
      </w:r>
      <w:r>
        <w:rPr>
          <w:rFonts w:cs="Calibri"/>
          <w:kern w:val="0"/>
          <w:sz w:val="24"/>
          <w:szCs w:val="24"/>
          <w:vertAlign w:val="superscript"/>
          <w:lang w:val="en-US" w:eastAsia="en-GB"/>
        </w:rPr>
        <w:footnoteReference w:id="30"/>
      </w:r>
      <w:r>
        <w:rPr>
          <w:rFonts w:cs="Calibri"/>
          <w:kern w:val="0"/>
          <w:sz w:val="24"/>
          <w:szCs w:val="24"/>
          <w:lang w:eastAsia="en-GB"/>
        </w:rPr>
        <w:t xml:space="preserve"> a direct </w:t>
      </w:r>
      <w:r>
        <w:rPr>
          <w:rFonts w:cs="Calibri"/>
          <w:kern w:val="0"/>
          <w:sz w:val="24"/>
          <w:szCs w:val="24"/>
          <w:lang w:eastAsia="en-GB"/>
        </w:rPr>
        <w:lastRenderedPageBreak/>
        <w:t xml:space="preserve">informant who does not appear in our author list but who plays a large role in the </w:t>
      </w:r>
      <w:r>
        <w:rPr>
          <w:rFonts w:cs="Calibri"/>
          <w:i/>
          <w:iCs/>
          <w:kern w:val="0"/>
          <w:sz w:val="24"/>
          <w:szCs w:val="24"/>
          <w:lang w:eastAsia="en-GB"/>
        </w:rPr>
        <w:t>TMD</w:t>
      </w:r>
      <w:r>
        <w:rPr>
          <w:rFonts w:cs="Calibri"/>
          <w:kern w:val="0"/>
          <w:sz w:val="24"/>
          <w:szCs w:val="24"/>
          <w:lang w:eastAsia="en-GB"/>
        </w:rPr>
        <w:t xml:space="preserve"> in transmitting the works of others. Al-</w:t>
      </w:r>
      <w:proofErr w:type="spellStart"/>
      <w:r>
        <w:rPr>
          <w:rFonts w:cs="Calibri"/>
          <w:kern w:val="0"/>
          <w:sz w:val="24"/>
          <w:szCs w:val="24"/>
          <w:lang w:eastAsia="en-GB"/>
        </w:rPr>
        <w:t>Bayhaqi</w:t>
      </w:r>
      <w:proofErr w:type="spellEnd"/>
      <w:r>
        <w:rPr>
          <w:rFonts w:cs="Calibri"/>
          <w:kern w:val="0"/>
          <w:sz w:val="24"/>
          <w:szCs w:val="24"/>
          <w:lang w:eastAsia="en-GB"/>
        </w:rPr>
        <w:t xml:space="preserve"> is an author, but it is not his </w:t>
      </w:r>
      <w:proofErr w:type="spellStart"/>
      <w:r>
        <w:rPr>
          <w:rFonts w:cs="Calibri"/>
          <w:i/>
          <w:iCs/>
          <w:kern w:val="0"/>
          <w:sz w:val="24"/>
          <w:szCs w:val="24"/>
          <w:lang w:eastAsia="en-GB"/>
        </w:rPr>
        <w:t>kitāb</w:t>
      </w:r>
      <w:proofErr w:type="spellEnd"/>
      <w:r>
        <w:rPr>
          <w:rFonts w:cs="Calibri"/>
          <w:kern w:val="0"/>
          <w:sz w:val="24"/>
          <w:szCs w:val="24"/>
          <w:lang w:eastAsia="en-GB"/>
        </w:rPr>
        <w:t xml:space="preserve"> to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is referring directly.</w:t>
      </w:r>
    </w:p>
    <w:p w14:paraId="64661D44" w14:textId="77777777" w:rsidR="004818C1" w:rsidRDefault="00000000">
      <w:r>
        <w:rPr>
          <w:rFonts w:cs="Calibri"/>
          <w:kern w:val="0"/>
          <w:sz w:val="24"/>
          <w:szCs w:val="24"/>
          <w:lang w:eastAsia="en-GB"/>
        </w:rPr>
        <w:t xml:space="preserve">Our </w:t>
      </w:r>
      <w:proofErr w:type="spellStart"/>
      <w:r>
        <w:rPr>
          <w:rFonts w:cs="Calibri"/>
          <w:i/>
          <w:iCs/>
          <w:kern w:val="0"/>
          <w:sz w:val="24"/>
          <w:szCs w:val="24"/>
          <w:lang w:eastAsia="en-GB"/>
        </w:rPr>
        <w:t>isnād</w:t>
      </w:r>
      <w:proofErr w:type="spellEnd"/>
      <w:r>
        <w:rPr>
          <w:rFonts w:cs="Calibri"/>
          <w:kern w:val="0"/>
          <w:sz w:val="24"/>
          <w:szCs w:val="24"/>
          <w:lang w:eastAsia="en-GB"/>
        </w:rPr>
        <w:t xml:space="preserve"> data set contains 976 instances in which the expression</w:t>
      </w:r>
      <w:r>
        <w:rPr>
          <w:rFonts w:cs="Calibri"/>
          <w:i/>
          <w:iCs/>
          <w:kern w:val="0"/>
          <w:sz w:val="24"/>
          <w:szCs w:val="24"/>
          <w:lang w:eastAsia="en-GB"/>
        </w:rPr>
        <w:t xml:space="preserve">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kitābihi</w:t>
      </w:r>
      <w:proofErr w:type="spellEnd"/>
      <w:r>
        <w:rPr>
          <w:rFonts w:cs="Calibri"/>
          <w:kern w:val="0"/>
          <w:sz w:val="24"/>
          <w:szCs w:val="24"/>
          <w:lang w:eastAsia="en-GB"/>
        </w:rPr>
        <w:t xml:space="preserve"> is used within an </w:t>
      </w:r>
      <w:proofErr w:type="spellStart"/>
      <w:r>
        <w:rPr>
          <w:rFonts w:cs="Calibri"/>
          <w:i/>
          <w:iCs/>
          <w:kern w:val="0"/>
          <w:sz w:val="24"/>
          <w:szCs w:val="24"/>
          <w:lang w:eastAsia="en-GB"/>
        </w:rPr>
        <w:t>isnād</w:t>
      </w:r>
      <w:proofErr w:type="spellEnd"/>
      <w:r>
        <w:rPr>
          <w:rFonts w:cs="Calibri"/>
          <w:kern w:val="0"/>
          <w:sz w:val="24"/>
          <w:szCs w:val="24"/>
          <w:lang w:eastAsia="en-GB"/>
        </w:rPr>
        <w:t xml:space="preserve">. In the vast majority of instances, it refers to the writing of a direct informant in conjunction with a term such as </w:t>
      </w:r>
      <w:proofErr w:type="spellStart"/>
      <w:r>
        <w:rPr>
          <w:rFonts w:cs="Calibri"/>
          <w:i/>
          <w:iCs/>
          <w:kern w:val="0"/>
          <w:sz w:val="24"/>
          <w:szCs w:val="24"/>
          <w:lang w:eastAsia="en-GB"/>
        </w:rPr>
        <w:t>akhbaranā</w:t>
      </w:r>
      <w:proofErr w:type="spellEnd"/>
      <w:r>
        <w:rPr>
          <w:rFonts w:cs="Calibri"/>
          <w:kern w:val="0"/>
          <w:sz w:val="24"/>
          <w:szCs w:val="24"/>
          <w:lang w:eastAsia="en-GB"/>
        </w:rPr>
        <w:t xml:space="preserve">. In other words, Ibn </w:t>
      </w:r>
      <w:proofErr w:type="spellStart"/>
      <w:r>
        <w:rPr>
          <w:rFonts w:cs="Calibri"/>
          <w:kern w:val="0"/>
          <w:sz w:val="24"/>
          <w:szCs w:val="24"/>
          <w:lang w:eastAsia="en-GB"/>
        </w:rPr>
        <w:t>ʿAsākir</w:t>
      </w:r>
      <w:proofErr w:type="spellEnd"/>
      <w:r>
        <w:rPr>
          <w:rFonts w:cs="Calibri"/>
          <w:kern w:val="0"/>
          <w:sz w:val="24"/>
          <w:szCs w:val="24"/>
          <w:lang w:eastAsia="en-GB"/>
        </w:rPr>
        <w:t xml:space="preserve"> uses it to say that he (or the group to which he belonged) received information via a direct informant’s writing. The direct informant cited most often in this context is </w:t>
      </w:r>
      <w:bookmarkStart w:id="14" w:name="_Hlk141431191"/>
      <w:r>
        <w:rPr>
          <w:rFonts w:cs="Calibri"/>
          <w:kern w:val="0"/>
          <w:sz w:val="24"/>
          <w:szCs w:val="24"/>
          <w:lang w:eastAsia="en-GB"/>
        </w:rPr>
        <w:t xml:space="preserve">Abu 'Ali al-Haddad </w:t>
      </w:r>
      <w:bookmarkEnd w:id="14"/>
      <w:r>
        <w:rPr>
          <w:rFonts w:cs="Calibri"/>
          <w:kern w:val="0"/>
          <w:sz w:val="24"/>
          <w:szCs w:val="24"/>
          <w:lang w:eastAsia="en-GB"/>
        </w:rPr>
        <w:t>(266 times).</w:t>
      </w:r>
    </w:p>
    <w:p w14:paraId="3C7DA0CE" w14:textId="77777777" w:rsidR="004818C1" w:rsidRDefault="00000000">
      <w:r>
        <w:rPr>
          <w:rFonts w:cs="Calibri"/>
          <w:kern w:val="0"/>
          <w:sz w:val="24"/>
          <w:szCs w:val="24"/>
          <w:lang w:eastAsia="en-GB"/>
        </w:rPr>
        <w:t xml:space="preserve">To determine whether Ibn </w:t>
      </w:r>
      <w:proofErr w:type="spellStart"/>
      <w:r>
        <w:rPr>
          <w:rFonts w:cs="Calibri"/>
          <w:kern w:val="0"/>
          <w:sz w:val="24"/>
          <w:szCs w:val="24"/>
          <w:lang w:eastAsia="en-GB"/>
        </w:rPr>
        <w:t>ʿAsākir’s</w:t>
      </w:r>
      <w:proofErr w:type="spellEnd"/>
      <w:r>
        <w:rPr>
          <w:rFonts w:cs="Calibri"/>
          <w:kern w:val="0"/>
          <w:sz w:val="24"/>
          <w:szCs w:val="24"/>
          <w:lang w:eastAsia="en-GB"/>
        </w:rPr>
        <w:t xml:space="preserve"> use of this phrase was connected to his citation of known authors, we searched the subset of our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feature the names of individuals whom </w:t>
      </w:r>
      <w:proofErr w:type="spellStart"/>
      <w:r>
        <w:rPr>
          <w:rFonts w:cs="Calibri"/>
          <w:kern w:val="0"/>
          <w:sz w:val="24"/>
          <w:szCs w:val="24"/>
          <w:lang w:eastAsia="en-GB"/>
        </w:rPr>
        <w:t>Scheiner</w:t>
      </w:r>
      <w:proofErr w:type="spellEnd"/>
      <w:r>
        <w:rPr>
          <w:rFonts w:cs="Calibri"/>
          <w:kern w:val="0"/>
          <w:sz w:val="24"/>
          <w:szCs w:val="24"/>
          <w:lang w:eastAsia="en-GB"/>
        </w:rPr>
        <w:t>, Mourad and al-</w:t>
      </w:r>
      <w:proofErr w:type="spellStart"/>
      <w:r>
        <w:rPr>
          <w:rFonts w:cs="Calibri"/>
          <w:kern w:val="0"/>
          <w:sz w:val="24"/>
          <w:szCs w:val="24"/>
          <w:lang w:eastAsia="en-GB"/>
        </w:rPr>
        <w:t>Daʿjānī</w:t>
      </w:r>
      <w:proofErr w:type="spellEnd"/>
      <w:r>
        <w:rPr>
          <w:rFonts w:cs="Calibri"/>
          <w:kern w:val="0"/>
          <w:sz w:val="24"/>
          <w:szCs w:val="24"/>
          <w:lang w:eastAsia="en-GB"/>
        </w:rPr>
        <w:t xml:space="preserve"> have identified as authors of works (see our discussion of author names in Post 2). </w:t>
      </w:r>
      <w:r>
        <w:rPr>
          <w:rFonts w:cs="Calibri"/>
          <w:iCs/>
          <w:kern w:val="0"/>
          <w:sz w:val="24"/>
          <w:szCs w:val="24"/>
          <w:lang w:eastAsia="en-GB"/>
        </w:rPr>
        <w:t>We found 376</w:t>
      </w:r>
      <w:r>
        <w:rPr>
          <w:rFonts w:cs="Calibri"/>
          <w:kern w:val="0"/>
          <w:sz w:val="24"/>
          <w:szCs w:val="24"/>
          <w:lang w:eastAsia="en-GB"/>
        </w:rPr>
        <w:t xml:space="preserve"> to contain an author’s name as well as the phrase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kitābihi</w:t>
      </w:r>
      <w:proofErr w:type="spellEnd"/>
      <w:r>
        <w:rPr>
          <w:rFonts w:cs="Calibri"/>
          <w:kern w:val="0"/>
          <w:sz w:val="24"/>
          <w:szCs w:val="24"/>
          <w:lang w:eastAsia="en-GB"/>
        </w:rPr>
        <w:t xml:space="preserve">, but only very rarely was it used with respect to an author himself; most of the time, as noted above, it refers to the writing of a direct informant. </w:t>
      </w:r>
    </w:p>
    <w:p w14:paraId="3A8ED647" w14:textId="77777777" w:rsidR="004818C1" w:rsidRDefault="00000000">
      <w:r>
        <w:rPr>
          <w:sz w:val="24"/>
          <w:szCs w:val="24"/>
        </w:rPr>
        <w:t xml:space="preserve">The phrase </w:t>
      </w:r>
      <w:proofErr w:type="spellStart"/>
      <w:r>
        <w:rPr>
          <w:i/>
          <w:iCs/>
          <w:sz w:val="24"/>
          <w:szCs w:val="24"/>
        </w:rPr>
        <w:t>fī</w:t>
      </w:r>
      <w:proofErr w:type="spellEnd"/>
      <w:r>
        <w:rPr>
          <w:i/>
          <w:iCs/>
          <w:sz w:val="24"/>
          <w:szCs w:val="24"/>
        </w:rPr>
        <w:t xml:space="preserve"> </w:t>
      </w:r>
      <w:proofErr w:type="spellStart"/>
      <w:r>
        <w:rPr>
          <w:i/>
          <w:iCs/>
          <w:sz w:val="24"/>
          <w:szCs w:val="24"/>
        </w:rPr>
        <w:t>kitābihi</w:t>
      </w:r>
      <w:proofErr w:type="spellEnd"/>
      <w:r>
        <w:rPr>
          <w:sz w:val="24"/>
          <w:szCs w:val="24"/>
        </w:rPr>
        <w:t xml:space="preserve"> could point to the granting of an </w:t>
      </w:r>
      <w:proofErr w:type="spellStart"/>
      <w:r>
        <w:rPr>
          <w:i/>
          <w:iCs/>
          <w:sz w:val="24"/>
          <w:szCs w:val="24"/>
        </w:rPr>
        <w:t>ijāza</w:t>
      </w:r>
      <w:proofErr w:type="spellEnd"/>
      <w:r>
        <w:rPr>
          <w:sz w:val="24"/>
          <w:szCs w:val="24"/>
        </w:rPr>
        <w:t xml:space="preserve"> by a direct informant for books he had gained the authority to transmit onwards, as argued by Jeremy Farrell recently for an earlier context</w:t>
      </w:r>
      <w:bookmarkStart w:id="15" w:name="_Hlk141431771"/>
      <w:r>
        <w:rPr>
          <w:rFonts w:cs="Calibri"/>
          <w:kern w:val="0"/>
          <w:sz w:val="24"/>
          <w:szCs w:val="24"/>
          <w:lang w:eastAsia="en-GB"/>
        </w:rPr>
        <w:t>.</w:t>
      </w:r>
      <w:r>
        <w:rPr>
          <w:rStyle w:val="FootnoteReference"/>
          <w:rFonts w:cs="Calibri"/>
          <w:kern w:val="0"/>
          <w:sz w:val="24"/>
          <w:szCs w:val="24"/>
          <w:lang w:eastAsia="en-GB"/>
        </w:rPr>
        <w:footnoteReference w:id="31"/>
      </w:r>
      <w:r>
        <w:rPr>
          <w:rFonts w:cs="Calibri"/>
          <w:kern w:val="0"/>
          <w:sz w:val="24"/>
          <w:szCs w:val="24"/>
          <w:lang w:eastAsia="en-GB"/>
        </w:rPr>
        <w:t xml:space="preserve">  </w:t>
      </w:r>
      <w:bookmarkEnd w:id="15"/>
      <w:r>
        <w:rPr>
          <w:rFonts w:cs="Calibri"/>
          <w:kern w:val="0"/>
          <w:sz w:val="24"/>
          <w:szCs w:val="24"/>
          <w:lang w:eastAsia="en-GB"/>
        </w:rPr>
        <w:t>But were these writings necessarily ‘books’ as we think of them today?</w:t>
      </w:r>
      <w:r>
        <w:rPr>
          <w:rStyle w:val="FootnoteReference"/>
          <w:rFonts w:cs="Calibri"/>
          <w:kern w:val="0"/>
          <w:sz w:val="24"/>
          <w:szCs w:val="24"/>
          <w:lang w:eastAsia="en-GB"/>
        </w:rPr>
        <w:footnoteReference w:id="32"/>
      </w:r>
      <w:r>
        <w:rPr>
          <w:rFonts w:cs="Calibri"/>
          <w:kern w:val="0"/>
          <w:sz w:val="24"/>
          <w:szCs w:val="24"/>
          <w:lang w:eastAsia="en-GB"/>
        </w:rPr>
        <w:t xml:space="preserve"> We believe this is possible (particularly for</w:t>
      </w:r>
      <w:r>
        <w:rPr>
          <w:rFonts w:cs="Calibri"/>
          <w:color w:val="1F1F1F"/>
          <w:kern w:val="0"/>
          <w:sz w:val="24"/>
          <w:szCs w:val="24"/>
          <w:shd w:val="clear" w:color="auto" w:fill="FFFFFF"/>
          <w:lang w:eastAsia="en-GB"/>
        </w:rPr>
        <w:t xml:space="preserve"> </w:t>
      </w:r>
      <w:r>
        <w:rPr>
          <w:rFonts w:cs="Calibri"/>
          <w:kern w:val="0"/>
          <w:sz w:val="24"/>
          <w:szCs w:val="24"/>
          <w:lang w:eastAsia="en-GB"/>
        </w:rPr>
        <w:t>Abu 'Ali al-Haddad), but also that we must consider a wider sense of written works, extending to excerpts, notes, lists, pamphlets and the like.</w:t>
      </w:r>
    </w:p>
    <w:bookmarkEnd w:id="12"/>
    <w:p w14:paraId="14BF3AA9" w14:textId="77777777" w:rsidR="004818C1" w:rsidRDefault="00000000" w:rsidP="00E361F2">
      <w:pPr>
        <w:pStyle w:val="Heading2"/>
      </w:pPr>
      <w:r>
        <w:t>A last word on ambiguity from Ibn al-</w:t>
      </w:r>
      <w:proofErr w:type="spellStart"/>
      <w:r>
        <w:t>Ṣalāḥ</w:t>
      </w:r>
      <w:proofErr w:type="spellEnd"/>
    </w:p>
    <w:p w14:paraId="073A2935" w14:textId="77777777" w:rsidR="004818C1" w:rsidRDefault="00000000">
      <w:r>
        <w:rPr>
          <w:rFonts w:cs="Calibri"/>
          <w:kern w:val="0"/>
          <w:sz w:val="24"/>
          <w:szCs w:val="24"/>
          <w:lang w:eastAsia="en-GB"/>
        </w:rPr>
        <w:t xml:space="preserve">As noted above, in 5% of his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uses vocabulary – supplementary transmission terms – that gives a fairly precise sense of how he obtained his information. He was constrained by the limitations of a notational system that is fundamentally linear; it is easy to imagine, as Aslisho Qurboniev has noted, that traditionists would have preferred to write in more dimensions, using arrows and the like to elucidate the different roles played by two persons cited together, for example.</w:t>
      </w:r>
      <w:r>
        <w:rPr>
          <w:rFonts w:cs="Calibri"/>
          <w:kern w:val="0"/>
          <w:sz w:val="24"/>
          <w:szCs w:val="24"/>
          <w:vertAlign w:val="superscript"/>
          <w:lang w:val="en-US" w:eastAsia="en-GB"/>
        </w:rPr>
        <w:footnoteReference w:id="33"/>
      </w:r>
    </w:p>
    <w:p w14:paraId="5D4B987D" w14:textId="77777777" w:rsidR="004818C1" w:rsidRDefault="00000000">
      <w:r>
        <w:rPr>
          <w:rFonts w:cs="Calibri"/>
          <w:kern w:val="0"/>
          <w:sz w:val="24"/>
          <w:szCs w:val="24"/>
          <w:lang w:eastAsia="en-GB"/>
        </w:rPr>
        <w:t xml:space="preserve">Ibn </w:t>
      </w:r>
      <w:proofErr w:type="spellStart"/>
      <w:r>
        <w:rPr>
          <w:rFonts w:cs="Calibri"/>
          <w:kern w:val="0"/>
          <w:sz w:val="24"/>
          <w:szCs w:val="24"/>
          <w:lang w:eastAsia="en-GB"/>
        </w:rPr>
        <w:t>ʿAsākir’s</w:t>
      </w:r>
      <w:proofErr w:type="spellEnd"/>
      <w:r>
        <w:rPr>
          <w:rFonts w:cs="Calibri"/>
          <w:kern w:val="0"/>
          <w:sz w:val="24"/>
          <w:szCs w:val="24"/>
          <w:lang w:eastAsia="en-GB"/>
        </w:rPr>
        <w:t xml:space="preserve"> methods of citation probably would not always have passed muster with Ibn al-</w:t>
      </w:r>
      <w:proofErr w:type="spellStart"/>
      <w:r>
        <w:rPr>
          <w:rFonts w:cs="Calibri"/>
          <w:kern w:val="0"/>
          <w:sz w:val="24"/>
          <w:szCs w:val="24"/>
          <w:lang w:eastAsia="en-GB"/>
        </w:rPr>
        <w:t>Ṣalāḥ</w:t>
      </w:r>
      <w:proofErr w:type="spellEnd"/>
      <w:r>
        <w:rPr>
          <w:rFonts w:cs="Calibri"/>
          <w:kern w:val="0"/>
          <w:sz w:val="24"/>
          <w:szCs w:val="24"/>
          <w:lang w:eastAsia="en-GB"/>
        </w:rPr>
        <w:t>. When writing about transmission by handing something over (</w:t>
      </w:r>
      <w:proofErr w:type="spellStart"/>
      <w:r>
        <w:rPr>
          <w:rFonts w:cs="Calibri"/>
          <w:i/>
          <w:kern w:val="0"/>
          <w:sz w:val="24"/>
          <w:szCs w:val="24"/>
          <w:lang w:eastAsia="en-GB"/>
        </w:rPr>
        <w:t>munāwalatan</w:t>
      </w:r>
      <w:proofErr w:type="spellEnd"/>
      <w:r>
        <w:rPr>
          <w:rFonts w:cs="Calibri"/>
          <w:kern w:val="0"/>
          <w:sz w:val="24"/>
          <w:szCs w:val="24"/>
          <w:lang w:eastAsia="en-GB"/>
        </w:rPr>
        <w:t>), Ibn al-</w:t>
      </w:r>
      <w:proofErr w:type="spellStart"/>
      <w:r>
        <w:rPr>
          <w:rFonts w:cs="Calibri"/>
          <w:kern w:val="0"/>
          <w:sz w:val="24"/>
          <w:szCs w:val="24"/>
          <w:lang w:eastAsia="en-GB"/>
        </w:rPr>
        <w:t>Ṣalāḥ</w:t>
      </w:r>
      <w:proofErr w:type="spellEnd"/>
      <w:r>
        <w:rPr>
          <w:rFonts w:cs="Calibri"/>
          <w:kern w:val="0"/>
          <w:sz w:val="24"/>
          <w:szCs w:val="24"/>
          <w:lang w:eastAsia="en-GB"/>
        </w:rPr>
        <w:t xml:space="preserve"> mentions with disapproval scholars who used the terms </w:t>
      </w:r>
      <w:proofErr w:type="spellStart"/>
      <w:r>
        <w:rPr>
          <w:rFonts w:cs="Calibri"/>
          <w:i/>
          <w:kern w:val="0"/>
          <w:sz w:val="24"/>
          <w:szCs w:val="24"/>
          <w:lang w:eastAsia="en-GB"/>
        </w:rPr>
        <w:t>ḥaddathanā</w:t>
      </w:r>
      <w:proofErr w:type="spellEnd"/>
      <w:r>
        <w:rPr>
          <w:rFonts w:cs="Calibri"/>
          <w:i/>
          <w:kern w:val="0"/>
          <w:sz w:val="24"/>
          <w:szCs w:val="24"/>
          <w:lang w:eastAsia="en-GB"/>
        </w:rPr>
        <w:t xml:space="preserve"> </w:t>
      </w:r>
      <w:r>
        <w:rPr>
          <w:rFonts w:cs="Calibri"/>
          <w:kern w:val="0"/>
          <w:sz w:val="24"/>
          <w:szCs w:val="24"/>
          <w:lang w:eastAsia="en-GB"/>
        </w:rPr>
        <w:t xml:space="preserve">and </w:t>
      </w:r>
      <w:proofErr w:type="spellStart"/>
      <w:r>
        <w:rPr>
          <w:rFonts w:cs="Calibri"/>
          <w:i/>
          <w:kern w:val="0"/>
          <w:sz w:val="24"/>
          <w:szCs w:val="24"/>
          <w:lang w:eastAsia="en-GB"/>
        </w:rPr>
        <w:t>akhbaranā</w:t>
      </w:r>
      <w:proofErr w:type="spellEnd"/>
      <w:r>
        <w:rPr>
          <w:rFonts w:cs="Calibri"/>
          <w:kern w:val="0"/>
          <w:sz w:val="24"/>
          <w:szCs w:val="24"/>
          <w:lang w:eastAsia="en-GB"/>
        </w:rPr>
        <w:t xml:space="preserve"> for </w:t>
      </w:r>
      <w:proofErr w:type="spellStart"/>
      <w:r>
        <w:rPr>
          <w:rFonts w:cs="Calibri"/>
          <w:i/>
          <w:kern w:val="0"/>
          <w:sz w:val="24"/>
          <w:szCs w:val="24"/>
          <w:lang w:eastAsia="en-GB"/>
        </w:rPr>
        <w:t>munāwalatan</w:t>
      </w:r>
      <w:proofErr w:type="spellEnd"/>
      <w:r>
        <w:rPr>
          <w:rFonts w:cs="Calibri"/>
          <w:kern w:val="0"/>
          <w:sz w:val="24"/>
          <w:szCs w:val="24"/>
          <w:lang w:eastAsia="en-GB"/>
        </w:rPr>
        <w:t xml:space="preserve"> without making it clear that this is the method they mean. He notes similar ambiguity in some scholars’ use of </w:t>
      </w:r>
      <w:proofErr w:type="spellStart"/>
      <w:r>
        <w:rPr>
          <w:rFonts w:cs="Calibri"/>
          <w:i/>
          <w:iCs/>
          <w:kern w:val="0"/>
          <w:sz w:val="24"/>
          <w:szCs w:val="24"/>
          <w:lang w:eastAsia="en-GB"/>
        </w:rPr>
        <w:t>ijāza</w:t>
      </w:r>
      <w:r>
        <w:rPr>
          <w:rFonts w:cs="Calibri"/>
          <w:kern w:val="0"/>
          <w:sz w:val="24"/>
          <w:szCs w:val="24"/>
          <w:lang w:eastAsia="en-GB"/>
        </w:rPr>
        <w:t>s</w:t>
      </w:r>
      <w:proofErr w:type="spellEnd"/>
      <w:r>
        <w:rPr>
          <w:rFonts w:cs="Calibri"/>
          <w:kern w:val="0"/>
          <w:sz w:val="24"/>
          <w:szCs w:val="24"/>
          <w:lang w:eastAsia="en-GB"/>
        </w:rPr>
        <w:t xml:space="preserve">, singling out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Nuʿaym</w:t>
      </w:r>
      <w:proofErr w:type="spellEnd"/>
      <w:r>
        <w:rPr>
          <w:rFonts w:cs="Calibri"/>
          <w:kern w:val="0"/>
          <w:sz w:val="24"/>
          <w:szCs w:val="24"/>
          <w:lang w:eastAsia="en-GB"/>
        </w:rPr>
        <w:t xml:space="preserve"> al-</w:t>
      </w:r>
      <w:proofErr w:type="spellStart"/>
      <w:r>
        <w:rPr>
          <w:rFonts w:cs="Calibri"/>
          <w:kern w:val="0"/>
          <w:sz w:val="24"/>
          <w:szCs w:val="24"/>
          <w:lang w:eastAsia="en-GB"/>
        </w:rPr>
        <w:t>Iṣfahānī</w:t>
      </w:r>
      <w:proofErr w:type="spellEnd"/>
      <w:r>
        <w:rPr>
          <w:rFonts w:cs="Calibri"/>
          <w:kern w:val="0"/>
          <w:sz w:val="24"/>
          <w:szCs w:val="24"/>
          <w:lang w:eastAsia="en-GB"/>
        </w:rPr>
        <w:t xml:space="preserve"> [Abu </w:t>
      </w:r>
      <w:proofErr w:type="spellStart"/>
      <w:r>
        <w:rPr>
          <w:rFonts w:cs="Calibri"/>
          <w:kern w:val="0"/>
          <w:sz w:val="24"/>
          <w:szCs w:val="24"/>
          <w:lang w:eastAsia="en-GB"/>
        </w:rPr>
        <w:t>Nu'aym</w:t>
      </w:r>
      <w:proofErr w:type="spellEnd"/>
      <w:r>
        <w:rPr>
          <w:rFonts w:cs="Calibri"/>
          <w:kern w:val="0"/>
          <w:sz w:val="24"/>
          <w:szCs w:val="24"/>
          <w:lang w:eastAsia="en-GB"/>
        </w:rPr>
        <w:t xml:space="preserve">] (d. 430/1038) and </w:t>
      </w:r>
      <w:proofErr w:type="spellStart"/>
      <w:r>
        <w:rPr>
          <w:rFonts w:cs="Calibri"/>
          <w:kern w:val="0"/>
          <w:sz w:val="24"/>
          <w:szCs w:val="24"/>
          <w:lang w:eastAsia="en-GB"/>
        </w:rPr>
        <w:t>Abū</w:t>
      </w:r>
      <w:proofErr w:type="spellEnd"/>
      <w:r>
        <w:rPr>
          <w:rFonts w:cs="Calibri"/>
          <w:kern w:val="0"/>
          <w:sz w:val="24"/>
          <w:szCs w:val="24"/>
          <w:lang w:eastAsia="en-GB"/>
        </w:rPr>
        <w:t xml:space="preserve"> </w:t>
      </w:r>
      <w:proofErr w:type="spellStart"/>
      <w:r>
        <w:rPr>
          <w:rFonts w:cs="Calibri"/>
          <w:kern w:val="0"/>
          <w:sz w:val="24"/>
          <w:szCs w:val="24"/>
          <w:lang w:eastAsia="en-GB"/>
        </w:rPr>
        <w:t>ʿUbayd</w:t>
      </w:r>
      <w:proofErr w:type="spellEnd"/>
      <w:r>
        <w:rPr>
          <w:rFonts w:cs="Calibri"/>
          <w:kern w:val="0"/>
          <w:sz w:val="24"/>
          <w:szCs w:val="24"/>
          <w:lang w:eastAsia="en-GB"/>
        </w:rPr>
        <w:t xml:space="preserve"> </w:t>
      </w:r>
      <w:proofErr w:type="spellStart"/>
      <w:r>
        <w:rPr>
          <w:rFonts w:cs="Calibri"/>
          <w:kern w:val="0"/>
          <w:sz w:val="24"/>
          <w:szCs w:val="24"/>
          <w:lang w:eastAsia="en-GB"/>
        </w:rPr>
        <w:t>Allāh</w:t>
      </w:r>
      <w:proofErr w:type="spellEnd"/>
      <w:r>
        <w:rPr>
          <w:rFonts w:cs="Calibri"/>
          <w:kern w:val="0"/>
          <w:sz w:val="24"/>
          <w:szCs w:val="24"/>
          <w:lang w:eastAsia="en-GB"/>
        </w:rPr>
        <w:t xml:space="preserve"> al-</w:t>
      </w:r>
      <w:proofErr w:type="spellStart"/>
      <w:r>
        <w:rPr>
          <w:rFonts w:cs="Calibri"/>
          <w:kern w:val="0"/>
          <w:sz w:val="24"/>
          <w:szCs w:val="24"/>
          <w:lang w:eastAsia="en-GB"/>
        </w:rPr>
        <w:t>Marzubānī</w:t>
      </w:r>
      <w:proofErr w:type="spellEnd"/>
      <w:r>
        <w:rPr>
          <w:rFonts w:cs="Calibri"/>
          <w:kern w:val="0"/>
          <w:sz w:val="24"/>
          <w:szCs w:val="24"/>
          <w:lang w:eastAsia="en-GB"/>
        </w:rPr>
        <w:t xml:space="preserve"> [al-</w:t>
      </w:r>
      <w:proofErr w:type="spellStart"/>
      <w:r>
        <w:rPr>
          <w:rFonts w:cs="Calibri"/>
          <w:kern w:val="0"/>
          <w:sz w:val="24"/>
          <w:szCs w:val="24"/>
          <w:lang w:eastAsia="en-GB"/>
        </w:rPr>
        <w:t>Marzubani</w:t>
      </w:r>
      <w:proofErr w:type="spellEnd"/>
      <w:r>
        <w:rPr>
          <w:rFonts w:cs="Calibri"/>
          <w:kern w:val="0"/>
          <w:sz w:val="24"/>
          <w:szCs w:val="24"/>
          <w:lang w:eastAsia="en-GB"/>
        </w:rPr>
        <w:t>] (d. 370/980) as guilty of this practice. He goes on to state:</w:t>
      </w:r>
    </w:p>
    <w:p w14:paraId="3825E321" w14:textId="77777777" w:rsidR="004818C1" w:rsidRDefault="00000000">
      <w:pPr>
        <w:ind w:left="720"/>
      </w:pPr>
      <w:r>
        <w:rPr>
          <w:rFonts w:cs="Calibri"/>
          <w:kern w:val="0"/>
          <w:sz w:val="24"/>
          <w:szCs w:val="24"/>
          <w:lang w:eastAsia="en-GB"/>
        </w:rPr>
        <w:lastRenderedPageBreak/>
        <w:t>The sound and preferred view which the majority follow in practice and which the earnest and scrupulous have adopted is to forbid the unqualified application of ‘He transmitted to us’ (</w:t>
      </w:r>
      <w:proofErr w:type="spellStart"/>
      <w:r>
        <w:rPr>
          <w:rFonts w:cs="Calibri"/>
          <w:i/>
          <w:kern w:val="0"/>
          <w:sz w:val="24"/>
          <w:szCs w:val="24"/>
          <w:lang w:eastAsia="en-GB"/>
        </w:rPr>
        <w:t>ḥaddathanā</w:t>
      </w:r>
      <w:proofErr w:type="spellEnd"/>
      <w:r>
        <w:rPr>
          <w:rFonts w:cs="Calibri"/>
          <w:kern w:val="0"/>
          <w:sz w:val="24"/>
          <w:szCs w:val="24"/>
          <w:lang w:eastAsia="en-GB"/>
        </w:rPr>
        <w:t>), ‘He informed us’ (</w:t>
      </w:r>
      <w:proofErr w:type="spellStart"/>
      <w:r>
        <w:rPr>
          <w:rFonts w:cs="Calibri"/>
          <w:i/>
          <w:kern w:val="0"/>
          <w:sz w:val="24"/>
          <w:szCs w:val="24"/>
          <w:lang w:eastAsia="en-GB"/>
        </w:rPr>
        <w:t>akhbaranā</w:t>
      </w:r>
      <w:proofErr w:type="spellEnd"/>
      <w:r>
        <w:rPr>
          <w:rFonts w:cs="Calibri"/>
          <w:kern w:val="0"/>
          <w:sz w:val="24"/>
          <w:szCs w:val="24"/>
          <w:lang w:eastAsia="en-GB"/>
        </w:rPr>
        <w:t>) and similar expressions to material received by handing over</w:t>
      </w:r>
      <w:r>
        <w:rPr>
          <w:rFonts w:cs="Calibri"/>
          <w:kern w:val="0"/>
          <w:sz w:val="24"/>
          <w:szCs w:val="24"/>
          <w:vertAlign w:val="superscript"/>
          <w:lang w:val="en-US" w:eastAsia="en-GB"/>
        </w:rPr>
        <w:footnoteReference w:id="34"/>
      </w:r>
      <w:r>
        <w:rPr>
          <w:rFonts w:cs="Calibri"/>
          <w:kern w:val="0"/>
          <w:sz w:val="24"/>
          <w:szCs w:val="24"/>
          <w:lang w:eastAsia="en-GB"/>
        </w:rPr>
        <w:t xml:space="preserve"> or licensing and to designate that material with qualified versions of these expressions which indicate the true situation. The transmitter should say, ‘X informed us’ – or ‘transmitted to us’ – ‘by handing over and by licence’ (</w:t>
      </w:r>
      <w:proofErr w:type="spellStart"/>
      <w:r>
        <w:rPr>
          <w:rFonts w:cs="Calibri"/>
          <w:i/>
          <w:kern w:val="0"/>
          <w:sz w:val="24"/>
          <w:szCs w:val="24"/>
          <w:lang w:eastAsia="en-GB"/>
        </w:rPr>
        <w:t>munāwalatan</w:t>
      </w:r>
      <w:proofErr w:type="spellEnd"/>
      <w:r>
        <w:rPr>
          <w:rFonts w:cs="Calibri"/>
          <w:i/>
          <w:kern w:val="0"/>
          <w:sz w:val="24"/>
          <w:szCs w:val="24"/>
          <w:lang w:eastAsia="en-GB"/>
        </w:rPr>
        <w:t xml:space="preserve"> </w:t>
      </w:r>
      <w:proofErr w:type="spellStart"/>
      <w:r>
        <w:rPr>
          <w:rFonts w:cs="Calibri"/>
          <w:i/>
          <w:kern w:val="0"/>
          <w:sz w:val="24"/>
          <w:szCs w:val="24"/>
          <w:lang w:eastAsia="en-GB"/>
        </w:rPr>
        <w:t>wa-ijāzatan</w:t>
      </w:r>
      <w:proofErr w:type="spellEnd"/>
      <w:r>
        <w:rPr>
          <w:rFonts w:cs="Calibri"/>
          <w:kern w:val="0"/>
          <w:sz w:val="24"/>
          <w:szCs w:val="24"/>
          <w:lang w:eastAsia="en-GB"/>
        </w:rPr>
        <w:t>), ‘He informed us by licence’, ‘He informed us by transference’, ‘He informed us by granting permission’ (</w:t>
      </w:r>
      <w:proofErr w:type="spellStart"/>
      <w:r>
        <w:rPr>
          <w:rFonts w:cs="Calibri"/>
          <w:i/>
          <w:kern w:val="0"/>
          <w:sz w:val="24"/>
          <w:szCs w:val="24"/>
          <w:lang w:eastAsia="en-GB"/>
        </w:rPr>
        <w:t>idhnan</w:t>
      </w:r>
      <w:proofErr w:type="spellEnd"/>
      <w:r>
        <w:rPr>
          <w:rFonts w:cs="Calibri"/>
          <w:kern w:val="0"/>
          <w:sz w:val="24"/>
          <w:szCs w:val="24"/>
          <w:lang w:eastAsia="en-GB"/>
        </w:rPr>
        <w:t>), ‘Under his grant of permission is’ (</w:t>
      </w:r>
      <w:proofErr w:type="spellStart"/>
      <w:r>
        <w:rPr>
          <w:rFonts w:cs="Calibri"/>
          <w:i/>
          <w:kern w:val="0"/>
          <w:sz w:val="24"/>
          <w:szCs w:val="24"/>
          <w:lang w:eastAsia="en-GB"/>
        </w:rPr>
        <w:t>fī</w:t>
      </w:r>
      <w:proofErr w:type="spellEnd"/>
      <w:r>
        <w:rPr>
          <w:rFonts w:cs="Calibri"/>
          <w:i/>
          <w:kern w:val="0"/>
          <w:sz w:val="24"/>
          <w:szCs w:val="24"/>
          <w:lang w:eastAsia="en-GB"/>
        </w:rPr>
        <w:t xml:space="preserve"> </w:t>
      </w:r>
      <w:proofErr w:type="spellStart"/>
      <w:r>
        <w:rPr>
          <w:rFonts w:cs="Calibri"/>
          <w:i/>
          <w:kern w:val="0"/>
          <w:sz w:val="24"/>
          <w:szCs w:val="24"/>
          <w:lang w:eastAsia="en-GB"/>
        </w:rPr>
        <w:t>idhnihi</w:t>
      </w:r>
      <w:proofErr w:type="spellEnd"/>
      <w:r>
        <w:rPr>
          <w:rFonts w:cs="Calibri"/>
          <w:kern w:val="0"/>
          <w:sz w:val="24"/>
          <w:szCs w:val="24"/>
          <w:lang w:eastAsia="en-GB"/>
        </w:rPr>
        <w:t>), ‘One of the things he granted me permission for is’ (</w:t>
      </w:r>
      <w:proofErr w:type="spellStart"/>
      <w:r>
        <w:rPr>
          <w:rFonts w:cs="Calibri"/>
          <w:i/>
          <w:kern w:val="0"/>
          <w:sz w:val="24"/>
          <w:szCs w:val="24"/>
          <w:lang w:eastAsia="en-GB"/>
        </w:rPr>
        <w:t>fīmā</w:t>
      </w:r>
      <w:proofErr w:type="spellEnd"/>
      <w:r>
        <w:rPr>
          <w:rFonts w:cs="Calibri"/>
          <w:i/>
          <w:kern w:val="0"/>
          <w:sz w:val="24"/>
          <w:szCs w:val="24"/>
          <w:lang w:eastAsia="en-GB"/>
        </w:rPr>
        <w:t xml:space="preserve"> </w:t>
      </w:r>
      <w:proofErr w:type="spellStart"/>
      <w:r>
        <w:rPr>
          <w:rFonts w:cs="Calibri"/>
          <w:i/>
          <w:kern w:val="0"/>
          <w:sz w:val="24"/>
          <w:szCs w:val="24"/>
          <w:lang w:eastAsia="en-GB"/>
        </w:rPr>
        <w:t>adhina</w:t>
      </w:r>
      <w:proofErr w:type="spellEnd"/>
      <w:r>
        <w:rPr>
          <w:rFonts w:cs="Calibri"/>
          <w:i/>
          <w:kern w:val="0"/>
          <w:sz w:val="24"/>
          <w:szCs w:val="24"/>
          <w:lang w:eastAsia="en-GB"/>
        </w:rPr>
        <w:t xml:space="preserve"> </w:t>
      </w:r>
      <w:proofErr w:type="spellStart"/>
      <w:r>
        <w:rPr>
          <w:rFonts w:cs="Calibri"/>
          <w:i/>
          <w:kern w:val="0"/>
          <w:sz w:val="24"/>
          <w:szCs w:val="24"/>
          <w:lang w:eastAsia="en-GB"/>
        </w:rPr>
        <w:t>lī</w:t>
      </w:r>
      <w:proofErr w:type="spellEnd"/>
      <w:r>
        <w:rPr>
          <w:rFonts w:cs="Calibri"/>
          <w:i/>
          <w:kern w:val="0"/>
          <w:sz w:val="24"/>
          <w:szCs w:val="24"/>
          <w:lang w:eastAsia="en-GB"/>
        </w:rPr>
        <w:t xml:space="preserve"> </w:t>
      </w:r>
      <w:proofErr w:type="spellStart"/>
      <w:r>
        <w:rPr>
          <w:rFonts w:cs="Calibri"/>
          <w:i/>
          <w:kern w:val="0"/>
          <w:sz w:val="24"/>
          <w:szCs w:val="24"/>
          <w:lang w:eastAsia="en-GB"/>
        </w:rPr>
        <w:t>fīhi</w:t>
      </w:r>
      <w:proofErr w:type="spellEnd"/>
      <w:r>
        <w:rPr>
          <w:rFonts w:cs="Calibri"/>
          <w:kern w:val="0"/>
          <w:sz w:val="24"/>
          <w:szCs w:val="24"/>
          <w:lang w:eastAsia="en-GB"/>
        </w:rPr>
        <w:t>) or ‘One of the things which he gave me leave to transmit from him is’ (</w:t>
      </w:r>
      <w:proofErr w:type="spellStart"/>
      <w:r>
        <w:rPr>
          <w:rFonts w:cs="Calibri"/>
          <w:i/>
          <w:kern w:val="0"/>
          <w:sz w:val="24"/>
          <w:szCs w:val="24"/>
          <w:lang w:eastAsia="en-GB"/>
        </w:rPr>
        <w:t>fīmā</w:t>
      </w:r>
      <w:proofErr w:type="spellEnd"/>
      <w:r>
        <w:rPr>
          <w:rFonts w:cs="Calibri"/>
          <w:i/>
          <w:kern w:val="0"/>
          <w:sz w:val="24"/>
          <w:szCs w:val="24"/>
          <w:lang w:eastAsia="en-GB"/>
        </w:rPr>
        <w:t xml:space="preserve"> </w:t>
      </w:r>
      <w:proofErr w:type="spellStart"/>
      <w:r>
        <w:rPr>
          <w:rFonts w:cs="Calibri"/>
          <w:i/>
          <w:kern w:val="0"/>
          <w:sz w:val="24"/>
          <w:szCs w:val="24"/>
          <w:lang w:eastAsia="en-GB"/>
        </w:rPr>
        <w:t>aṭlaqa</w:t>
      </w:r>
      <w:proofErr w:type="spellEnd"/>
      <w:r>
        <w:rPr>
          <w:rFonts w:cs="Calibri"/>
          <w:i/>
          <w:kern w:val="0"/>
          <w:sz w:val="24"/>
          <w:szCs w:val="24"/>
          <w:lang w:eastAsia="en-GB"/>
        </w:rPr>
        <w:t xml:space="preserve"> </w:t>
      </w:r>
      <w:proofErr w:type="spellStart"/>
      <w:r>
        <w:rPr>
          <w:rFonts w:cs="Calibri"/>
          <w:i/>
          <w:kern w:val="0"/>
          <w:sz w:val="24"/>
          <w:szCs w:val="24"/>
          <w:lang w:eastAsia="en-GB"/>
        </w:rPr>
        <w:t>lī</w:t>
      </w:r>
      <w:proofErr w:type="spellEnd"/>
      <w:r>
        <w:rPr>
          <w:rFonts w:cs="Calibri"/>
          <w:i/>
          <w:kern w:val="0"/>
          <w:sz w:val="24"/>
          <w:szCs w:val="24"/>
          <w:lang w:eastAsia="en-GB"/>
        </w:rPr>
        <w:t xml:space="preserve"> </w:t>
      </w:r>
      <w:proofErr w:type="spellStart"/>
      <w:r>
        <w:rPr>
          <w:rFonts w:cs="Calibri"/>
          <w:i/>
          <w:kern w:val="0"/>
          <w:sz w:val="24"/>
          <w:szCs w:val="24"/>
          <w:lang w:eastAsia="en-GB"/>
        </w:rPr>
        <w:t>riwāyatahū</w:t>
      </w:r>
      <w:proofErr w:type="spellEnd"/>
      <w:r>
        <w:rPr>
          <w:rFonts w:cs="Calibri"/>
          <w:i/>
          <w:kern w:val="0"/>
          <w:sz w:val="24"/>
          <w:szCs w:val="24"/>
          <w:lang w:eastAsia="en-GB"/>
        </w:rPr>
        <w:t xml:space="preserve"> </w:t>
      </w:r>
      <w:proofErr w:type="spellStart"/>
      <w:r>
        <w:rPr>
          <w:rFonts w:cs="Calibri"/>
          <w:i/>
          <w:kern w:val="0"/>
          <w:sz w:val="24"/>
          <w:szCs w:val="24"/>
          <w:lang w:eastAsia="en-GB"/>
        </w:rPr>
        <w:t>ʿanhu</w:t>
      </w:r>
      <w:proofErr w:type="spellEnd"/>
      <w:r>
        <w:rPr>
          <w:rFonts w:cs="Calibri"/>
          <w:kern w:val="0"/>
          <w:sz w:val="24"/>
          <w:szCs w:val="24"/>
          <w:lang w:eastAsia="en-GB"/>
        </w:rPr>
        <w:t>). Or he should say, ‘so-and-so licensed to me’ (</w:t>
      </w:r>
      <w:proofErr w:type="spellStart"/>
      <w:r>
        <w:rPr>
          <w:rFonts w:cs="Calibri"/>
          <w:i/>
          <w:kern w:val="0"/>
          <w:sz w:val="24"/>
          <w:szCs w:val="24"/>
          <w:lang w:eastAsia="en-GB"/>
        </w:rPr>
        <w:t>ajāza</w:t>
      </w:r>
      <w:proofErr w:type="spellEnd"/>
      <w:r>
        <w:rPr>
          <w:rFonts w:cs="Calibri"/>
          <w:i/>
          <w:kern w:val="0"/>
          <w:sz w:val="24"/>
          <w:szCs w:val="24"/>
          <w:lang w:eastAsia="en-GB"/>
        </w:rPr>
        <w:t xml:space="preserve"> </w:t>
      </w:r>
      <w:proofErr w:type="spellStart"/>
      <w:r>
        <w:rPr>
          <w:rFonts w:cs="Calibri"/>
          <w:i/>
          <w:kern w:val="0"/>
          <w:sz w:val="24"/>
          <w:szCs w:val="24"/>
          <w:lang w:eastAsia="en-GB"/>
        </w:rPr>
        <w:t>lī</w:t>
      </w:r>
      <w:proofErr w:type="spellEnd"/>
      <w:r>
        <w:rPr>
          <w:rFonts w:cs="Calibri"/>
          <w:i/>
          <w:kern w:val="0"/>
          <w:sz w:val="24"/>
          <w:szCs w:val="24"/>
          <w:lang w:eastAsia="en-GB"/>
        </w:rPr>
        <w:t xml:space="preserve"> </w:t>
      </w:r>
      <w:proofErr w:type="spellStart"/>
      <w:r>
        <w:rPr>
          <w:rFonts w:cs="Calibri"/>
          <w:i/>
          <w:kern w:val="0"/>
          <w:sz w:val="24"/>
          <w:szCs w:val="24"/>
          <w:lang w:eastAsia="en-GB"/>
        </w:rPr>
        <w:t>fulān</w:t>
      </w:r>
      <w:proofErr w:type="spellEnd"/>
      <w:r>
        <w:rPr>
          <w:rFonts w:cs="Calibri"/>
          <w:kern w:val="0"/>
          <w:sz w:val="24"/>
          <w:szCs w:val="24"/>
          <w:lang w:eastAsia="en-GB"/>
        </w:rPr>
        <w:t>), ‘so-and-so licensed to me such and such’ (</w:t>
      </w:r>
      <w:proofErr w:type="spellStart"/>
      <w:r>
        <w:rPr>
          <w:rFonts w:cs="Calibri"/>
          <w:i/>
          <w:kern w:val="0"/>
          <w:sz w:val="24"/>
          <w:szCs w:val="24"/>
          <w:lang w:eastAsia="en-GB"/>
        </w:rPr>
        <w:t>ajāzanī</w:t>
      </w:r>
      <w:proofErr w:type="spellEnd"/>
      <w:r>
        <w:rPr>
          <w:rFonts w:cs="Calibri"/>
          <w:i/>
          <w:kern w:val="0"/>
          <w:sz w:val="24"/>
          <w:szCs w:val="24"/>
          <w:lang w:eastAsia="en-GB"/>
        </w:rPr>
        <w:t xml:space="preserve"> </w:t>
      </w:r>
      <w:proofErr w:type="spellStart"/>
      <w:r>
        <w:rPr>
          <w:rFonts w:cs="Calibri"/>
          <w:i/>
          <w:kern w:val="0"/>
          <w:sz w:val="24"/>
          <w:szCs w:val="24"/>
          <w:lang w:eastAsia="en-GB"/>
        </w:rPr>
        <w:t>fulān</w:t>
      </w:r>
      <w:proofErr w:type="spellEnd"/>
      <w:r>
        <w:rPr>
          <w:rFonts w:cs="Calibri"/>
          <w:i/>
          <w:kern w:val="0"/>
          <w:sz w:val="24"/>
          <w:szCs w:val="24"/>
          <w:lang w:eastAsia="en-GB"/>
        </w:rPr>
        <w:t xml:space="preserve"> </w:t>
      </w:r>
      <w:proofErr w:type="spellStart"/>
      <w:r>
        <w:rPr>
          <w:rFonts w:cs="Calibri"/>
          <w:i/>
          <w:kern w:val="0"/>
          <w:sz w:val="24"/>
          <w:szCs w:val="24"/>
          <w:lang w:eastAsia="en-GB"/>
        </w:rPr>
        <w:t>kadhā</w:t>
      </w:r>
      <w:proofErr w:type="spellEnd"/>
      <w:r>
        <w:rPr>
          <w:rFonts w:cs="Calibri"/>
          <w:i/>
          <w:kern w:val="0"/>
          <w:sz w:val="24"/>
          <w:szCs w:val="24"/>
          <w:lang w:eastAsia="en-GB"/>
        </w:rPr>
        <w:t xml:space="preserve"> </w:t>
      </w:r>
      <w:proofErr w:type="spellStart"/>
      <w:r>
        <w:rPr>
          <w:rFonts w:cs="Calibri"/>
          <w:i/>
          <w:kern w:val="0"/>
          <w:sz w:val="24"/>
          <w:szCs w:val="24"/>
          <w:lang w:eastAsia="en-GB"/>
        </w:rPr>
        <w:t>wa-kadhā</w:t>
      </w:r>
      <w:proofErr w:type="spellEnd"/>
      <w:r>
        <w:rPr>
          <w:rFonts w:cs="Calibri"/>
          <w:kern w:val="0"/>
          <w:sz w:val="24"/>
          <w:szCs w:val="24"/>
          <w:lang w:eastAsia="en-GB"/>
        </w:rPr>
        <w:t>), ‘so-and-so handed over to me’ (</w:t>
      </w:r>
      <w:proofErr w:type="spellStart"/>
      <w:r>
        <w:rPr>
          <w:rFonts w:cs="Calibri"/>
          <w:i/>
          <w:kern w:val="0"/>
          <w:sz w:val="24"/>
          <w:szCs w:val="24"/>
          <w:lang w:eastAsia="en-GB"/>
        </w:rPr>
        <w:t>nāwalanī</w:t>
      </w:r>
      <w:proofErr w:type="spellEnd"/>
      <w:r>
        <w:rPr>
          <w:rFonts w:cs="Calibri"/>
          <w:i/>
          <w:kern w:val="0"/>
          <w:sz w:val="24"/>
          <w:szCs w:val="24"/>
          <w:lang w:eastAsia="en-GB"/>
        </w:rPr>
        <w:t xml:space="preserve"> </w:t>
      </w:r>
      <w:proofErr w:type="spellStart"/>
      <w:r>
        <w:rPr>
          <w:rFonts w:cs="Calibri"/>
          <w:i/>
          <w:kern w:val="0"/>
          <w:sz w:val="24"/>
          <w:szCs w:val="24"/>
          <w:lang w:eastAsia="en-GB"/>
        </w:rPr>
        <w:t>fulān</w:t>
      </w:r>
      <w:proofErr w:type="spellEnd"/>
      <w:r>
        <w:rPr>
          <w:rFonts w:cs="Calibri"/>
          <w:kern w:val="0"/>
          <w:sz w:val="24"/>
          <w:szCs w:val="24"/>
          <w:lang w:eastAsia="en-GB"/>
        </w:rPr>
        <w:t>) and similar expressions.</w:t>
      </w:r>
      <w:r>
        <w:rPr>
          <w:rStyle w:val="FootnoteReference"/>
          <w:rFonts w:cs="Calibri"/>
          <w:kern w:val="0"/>
          <w:sz w:val="24"/>
          <w:szCs w:val="24"/>
          <w:lang w:eastAsia="en-GB"/>
        </w:rPr>
        <w:footnoteReference w:id="35"/>
      </w:r>
    </w:p>
    <w:p w14:paraId="20873C29" w14:textId="77777777" w:rsidR="004818C1" w:rsidRDefault="00000000">
      <w:r>
        <w:rPr>
          <w:rFonts w:cs="Calibri"/>
          <w:kern w:val="0"/>
          <w:sz w:val="24"/>
          <w:szCs w:val="24"/>
          <w:lang w:eastAsia="en-GB"/>
        </w:rPr>
        <w:t>Ibn al-</w:t>
      </w:r>
      <w:proofErr w:type="spellStart"/>
      <w:r>
        <w:rPr>
          <w:rFonts w:cs="Calibri"/>
          <w:kern w:val="0"/>
          <w:sz w:val="24"/>
          <w:szCs w:val="24"/>
          <w:lang w:eastAsia="en-GB"/>
        </w:rPr>
        <w:t>Ṣalāḥ</w:t>
      </w:r>
      <w:proofErr w:type="spellEnd"/>
      <w:r>
        <w:rPr>
          <w:rFonts w:cs="Calibri"/>
          <w:kern w:val="0"/>
          <w:sz w:val="24"/>
          <w:szCs w:val="24"/>
          <w:lang w:eastAsia="en-GB"/>
        </w:rPr>
        <w:t xml:space="preserve"> does not mention Ibn </w:t>
      </w:r>
      <w:proofErr w:type="spellStart"/>
      <w:r>
        <w:rPr>
          <w:rFonts w:cs="Calibri"/>
          <w:kern w:val="0"/>
          <w:sz w:val="24"/>
          <w:szCs w:val="24"/>
          <w:lang w:eastAsia="en-GB"/>
        </w:rPr>
        <w:t>ʿAsākir</w:t>
      </w:r>
      <w:proofErr w:type="spellEnd"/>
      <w:r>
        <w:rPr>
          <w:rFonts w:cs="Calibri"/>
          <w:kern w:val="0"/>
          <w:sz w:val="24"/>
          <w:szCs w:val="24"/>
          <w:lang w:eastAsia="en-GB"/>
        </w:rPr>
        <w:t xml:space="preserve">, although he and his works are cited widely across the </w:t>
      </w:r>
      <w:proofErr w:type="spellStart"/>
      <w:r>
        <w:rPr>
          <w:rFonts w:cs="Calibri"/>
          <w:kern w:val="0"/>
          <w:sz w:val="24"/>
          <w:szCs w:val="24"/>
          <w:lang w:eastAsia="en-GB"/>
        </w:rPr>
        <w:t>OpenITI</w:t>
      </w:r>
      <w:proofErr w:type="spellEnd"/>
      <w:r>
        <w:rPr>
          <w:rFonts w:cs="Calibri"/>
          <w:kern w:val="0"/>
          <w:sz w:val="24"/>
          <w:szCs w:val="24"/>
          <w:lang w:eastAsia="en-GB"/>
        </w:rPr>
        <w:t xml:space="preserve"> corpus. When Ibn al-</w:t>
      </w:r>
      <w:proofErr w:type="spellStart"/>
      <w:r>
        <w:rPr>
          <w:rFonts w:cs="Calibri"/>
          <w:kern w:val="0"/>
          <w:sz w:val="24"/>
          <w:szCs w:val="24"/>
          <w:lang w:eastAsia="en-GB"/>
        </w:rPr>
        <w:t>Ṣalāḥ</w:t>
      </w:r>
      <w:proofErr w:type="spellEnd"/>
      <w:r>
        <w:rPr>
          <w:rFonts w:cs="Calibri"/>
          <w:kern w:val="0"/>
          <w:sz w:val="24"/>
          <w:szCs w:val="24"/>
          <w:lang w:eastAsia="en-GB"/>
        </w:rPr>
        <w:t xml:space="preserve"> quotes al-Khatib, the quotations are of al-Khatib’s Hadith works (especially his </w:t>
      </w:r>
      <w:r>
        <w:rPr>
          <w:rFonts w:cs="Calibri"/>
          <w:i/>
          <w:iCs/>
          <w:kern w:val="0"/>
          <w:sz w:val="24"/>
          <w:szCs w:val="24"/>
          <w:lang w:eastAsia="en-GB"/>
        </w:rPr>
        <w:t>al-</w:t>
      </w:r>
      <w:proofErr w:type="spellStart"/>
      <w:r>
        <w:rPr>
          <w:rFonts w:cs="Calibri"/>
          <w:i/>
          <w:iCs/>
          <w:kern w:val="0"/>
          <w:sz w:val="24"/>
          <w:szCs w:val="24"/>
          <w:lang w:eastAsia="en-GB"/>
        </w:rPr>
        <w:t>Kifāya</w:t>
      </w:r>
      <w:proofErr w:type="spellEnd"/>
      <w:r>
        <w:rPr>
          <w:rFonts w:cs="Calibri"/>
          <w:i/>
          <w:iCs/>
          <w:kern w:val="0"/>
          <w:sz w:val="24"/>
          <w:szCs w:val="24"/>
          <w:lang w:eastAsia="en-GB"/>
        </w:rPr>
        <w:t xml:space="preserve">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w:t>
      </w:r>
      <w:proofErr w:type="spellStart"/>
      <w:r>
        <w:rPr>
          <w:rFonts w:cs="Calibri"/>
          <w:i/>
          <w:iCs/>
          <w:kern w:val="0"/>
          <w:sz w:val="24"/>
          <w:szCs w:val="24"/>
          <w:lang w:eastAsia="en-GB"/>
        </w:rPr>
        <w:t>ʿilm</w:t>
      </w:r>
      <w:proofErr w:type="spellEnd"/>
      <w:r>
        <w:rPr>
          <w:rFonts w:cs="Calibri"/>
          <w:i/>
          <w:iCs/>
          <w:kern w:val="0"/>
          <w:sz w:val="24"/>
          <w:szCs w:val="24"/>
          <w:lang w:eastAsia="en-GB"/>
        </w:rPr>
        <w:t xml:space="preserve"> al-</w:t>
      </w:r>
      <w:proofErr w:type="spellStart"/>
      <w:r>
        <w:rPr>
          <w:rFonts w:cs="Calibri"/>
          <w:i/>
          <w:iCs/>
          <w:kern w:val="0"/>
          <w:sz w:val="24"/>
          <w:szCs w:val="24"/>
          <w:lang w:eastAsia="en-GB"/>
        </w:rPr>
        <w:t>riwāya</w:t>
      </w:r>
      <w:proofErr w:type="spellEnd"/>
      <w:r>
        <w:rPr>
          <w:rFonts w:cs="Calibri"/>
          <w:kern w:val="0"/>
          <w:sz w:val="24"/>
          <w:szCs w:val="24"/>
          <w:lang w:eastAsia="en-GB"/>
        </w:rPr>
        <w:t xml:space="preserve">), not his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Baghdād</w:t>
      </w:r>
      <w:proofErr w:type="spellEnd"/>
      <w:r>
        <w:rPr>
          <w:rFonts w:cs="Calibri"/>
          <w:kern w:val="0"/>
          <w:sz w:val="24"/>
          <w:szCs w:val="24"/>
          <w:lang w:eastAsia="en-GB"/>
        </w:rPr>
        <w:t>. Ibn al-</w:t>
      </w:r>
      <w:proofErr w:type="spellStart"/>
      <w:r>
        <w:rPr>
          <w:rFonts w:cs="Calibri"/>
          <w:kern w:val="0"/>
          <w:sz w:val="24"/>
          <w:szCs w:val="24"/>
          <w:lang w:eastAsia="en-GB"/>
        </w:rPr>
        <w:t>Ṣalāḥ’s</w:t>
      </w:r>
      <w:proofErr w:type="spellEnd"/>
      <w:r>
        <w:rPr>
          <w:rFonts w:cs="Calibri"/>
          <w:kern w:val="0"/>
          <w:sz w:val="24"/>
          <w:szCs w:val="24"/>
          <w:lang w:eastAsia="en-GB"/>
        </w:rPr>
        <w:t xml:space="preserve"> primary concern is with ideal citation, not with its real-world application, and his project thus differs from Ibn </w:t>
      </w:r>
      <w:proofErr w:type="spellStart"/>
      <w:r>
        <w:rPr>
          <w:rFonts w:cs="Calibri"/>
          <w:kern w:val="0"/>
          <w:sz w:val="24"/>
          <w:szCs w:val="24"/>
          <w:lang w:eastAsia="en-GB"/>
        </w:rPr>
        <w:t>ʿAsākir’s</w:t>
      </w:r>
      <w:proofErr w:type="spellEnd"/>
      <w:r>
        <w:rPr>
          <w:rFonts w:cs="Calibri"/>
          <w:kern w:val="0"/>
          <w:sz w:val="24"/>
          <w:szCs w:val="24"/>
          <w:lang w:eastAsia="en-GB"/>
        </w:rPr>
        <w:t xml:space="preserve"> in the </w:t>
      </w:r>
      <w:r>
        <w:rPr>
          <w:rFonts w:cs="Calibri"/>
          <w:i/>
          <w:iCs/>
          <w:kern w:val="0"/>
          <w:sz w:val="24"/>
          <w:szCs w:val="24"/>
          <w:lang w:eastAsia="en-GB"/>
        </w:rPr>
        <w:t>TMD</w:t>
      </w:r>
      <w:r>
        <w:rPr>
          <w:rFonts w:cs="Calibri"/>
          <w:kern w:val="0"/>
          <w:sz w:val="24"/>
          <w:szCs w:val="24"/>
          <w:lang w:eastAsia="en-GB"/>
        </w:rPr>
        <w:t>. Still, it is unlikely that Ibn al-</w:t>
      </w:r>
      <w:proofErr w:type="spellStart"/>
      <w:r>
        <w:rPr>
          <w:rFonts w:cs="Calibri"/>
          <w:kern w:val="0"/>
          <w:sz w:val="24"/>
          <w:szCs w:val="24"/>
          <w:lang w:eastAsia="en-GB"/>
        </w:rPr>
        <w:t>Ṣalāḥ</w:t>
      </w:r>
      <w:proofErr w:type="spellEnd"/>
      <w:r>
        <w:rPr>
          <w:rFonts w:cs="Calibri"/>
          <w:kern w:val="0"/>
          <w:sz w:val="24"/>
          <w:szCs w:val="24"/>
          <w:lang w:eastAsia="en-GB"/>
        </w:rPr>
        <w:t xml:space="preserve"> would have wholeheartedly endorsed Ibn </w:t>
      </w:r>
      <w:proofErr w:type="spellStart"/>
      <w:r>
        <w:rPr>
          <w:rFonts w:cs="Calibri"/>
          <w:kern w:val="0"/>
          <w:sz w:val="24"/>
          <w:szCs w:val="24"/>
          <w:lang w:eastAsia="en-GB"/>
        </w:rPr>
        <w:t>ʿAsākir’s</w:t>
      </w:r>
      <w:proofErr w:type="spellEnd"/>
      <w:r>
        <w:rPr>
          <w:rFonts w:cs="Calibri"/>
          <w:kern w:val="0"/>
          <w:sz w:val="24"/>
          <w:szCs w:val="24"/>
          <w:lang w:eastAsia="en-GB"/>
        </w:rPr>
        <w:t xml:space="preserve"> way of citing.</w:t>
      </w:r>
    </w:p>
    <w:sectPr w:rsidR="004818C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83CD" w14:textId="77777777" w:rsidR="00AB1058" w:rsidRDefault="00AB1058">
      <w:pPr>
        <w:spacing w:after="0"/>
      </w:pPr>
      <w:r>
        <w:separator/>
      </w:r>
    </w:p>
  </w:endnote>
  <w:endnote w:type="continuationSeparator" w:id="0">
    <w:p w14:paraId="57A4D3FA" w14:textId="77777777" w:rsidR="00AB1058" w:rsidRDefault="00AB1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5C87E" w14:textId="77777777" w:rsidR="00AB1058" w:rsidRDefault="00AB1058">
      <w:pPr>
        <w:spacing w:after="0"/>
      </w:pPr>
      <w:r>
        <w:rPr>
          <w:color w:val="000000"/>
        </w:rPr>
        <w:separator/>
      </w:r>
    </w:p>
  </w:footnote>
  <w:footnote w:type="continuationSeparator" w:id="0">
    <w:p w14:paraId="2BCF454E" w14:textId="77777777" w:rsidR="00AB1058" w:rsidRDefault="00AB1058">
      <w:pPr>
        <w:spacing w:after="0"/>
      </w:pPr>
      <w:r>
        <w:continuationSeparator/>
      </w:r>
    </w:p>
  </w:footnote>
  <w:footnote w:id="1">
    <w:p w14:paraId="3833D59D" w14:textId="77777777" w:rsidR="004818C1" w:rsidRDefault="00000000">
      <w:pPr>
        <w:pStyle w:val="FootnoteText"/>
      </w:pPr>
      <w:r>
        <w:rPr>
          <w:rStyle w:val="FootnoteReference"/>
        </w:rPr>
        <w:footnoteRef/>
      </w:r>
      <w:r>
        <w:t xml:space="preserve"> </w:t>
      </w:r>
      <w:r>
        <w:rPr>
          <w:color w:val="000000"/>
        </w:rPr>
        <w:t xml:space="preserve">Ibn </w:t>
      </w:r>
      <w:proofErr w:type="spellStart"/>
      <w:r>
        <w:rPr>
          <w:color w:val="000000"/>
        </w:rPr>
        <w:t>ʿAsākir</w:t>
      </w:r>
      <w:proofErr w:type="spellEnd"/>
      <w:r>
        <w:rPr>
          <w:color w:val="000000"/>
        </w:rPr>
        <w:t xml:space="preserve"> employs the </w:t>
      </w:r>
      <w:bookmarkStart w:id="2" w:name="_Hlk141275827"/>
      <w:r>
        <w:rPr>
          <w:i/>
          <w:iCs/>
          <w:color w:val="000000"/>
        </w:rPr>
        <w:t>ḥ</w:t>
      </w:r>
      <w:r>
        <w:rPr>
          <w:color w:val="000000"/>
        </w:rPr>
        <w:t xml:space="preserve"> with </w:t>
      </w:r>
      <w:proofErr w:type="spellStart"/>
      <w:r>
        <w:rPr>
          <w:i/>
          <w:iCs/>
          <w:color w:val="000000"/>
        </w:rPr>
        <w:t>akhbaranā</w:t>
      </w:r>
      <w:proofErr w:type="spellEnd"/>
      <w:r>
        <w:rPr>
          <w:color w:val="000000"/>
        </w:rPr>
        <w:t xml:space="preserve"> </w:t>
      </w:r>
      <w:bookmarkEnd w:id="2"/>
      <w:r>
        <w:rPr>
          <w:color w:val="000000"/>
        </w:rPr>
        <w:t xml:space="preserve">or, less frequently, </w:t>
      </w:r>
      <w:proofErr w:type="spellStart"/>
      <w:r>
        <w:rPr>
          <w:i/>
          <w:iCs/>
          <w:color w:val="000000"/>
        </w:rPr>
        <w:t>ḥaddathanā</w:t>
      </w:r>
      <w:proofErr w:type="spellEnd"/>
      <w:r>
        <w:rPr>
          <w:color w:val="000000"/>
        </w:rPr>
        <w:t xml:space="preserve"> or </w:t>
      </w:r>
      <w:proofErr w:type="spellStart"/>
      <w:r>
        <w:rPr>
          <w:i/>
          <w:iCs/>
          <w:color w:val="000000"/>
        </w:rPr>
        <w:t>qaraʾtu</w:t>
      </w:r>
      <w:proofErr w:type="spellEnd"/>
      <w:r>
        <w:rPr>
          <w:color w:val="000000"/>
        </w:rPr>
        <w:t xml:space="preserve"> (or their singular forms) when, after citing an </w:t>
      </w:r>
      <w:proofErr w:type="spellStart"/>
      <w:r>
        <w:rPr>
          <w:i/>
          <w:iCs/>
          <w:color w:val="000000"/>
        </w:rPr>
        <w:t>isnād</w:t>
      </w:r>
      <w:proofErr w:type="spellEnd"/>
      <w:r>
        <w:rPr>
          <w:color w:val="000000"/>
        </w:rPr>
        <w:t xml:space="preserve">, he introduces another </w:t>
      </w:r>
      <w:proofErr w:type="spellStart"/>
      <w:r>
        <w:rPr>
          <w:i/>
          <w:iCs/>
          <w:color w:val="000000"/>
        </w:rPr>
        <w:t>isnād</w:t>
      </w:r>
      <w:proofErr w:type="spellEnd"/>
      <w:r>
        <w:rPr>
          <w:color w:val="000000"/>
        </w:rPr>
        <w:t xml:space="preserve"> that does not share the names of the preceding </w:t>
      </w:r>
      <w:proofErr w:type="spellStart"/>
      <w:r>
        <w:rPr>
          <w:i/>
          <w:iCs/>
          <w:color w:val="000000"/>
        </w:rPr>
        <w:t>isnād</w:t>
      </w:r>
      <w:proofErr w:type="spellEnd"/>
      <w:r>
        <w:rPr>
          <w:color w:val="000000"/>
        </w:rPr>
        <w:t xml:space="preserve">. It is included as a distinct category because of the way our script operates on the text of the </w:t>
      </w:r>
      <w:r>
        <w:rPr>
          <w:i/>
          <w:iCs/>
          <w:color w:val="000000"/>
        </w:rPr>
        <w:t>TMD</w:t>
      </w:r>
      <w:r>
        <w:rPr>
          <w:color w:val="000000"/>
        </w:rPr>
        <w:t xml:space="preserve"> (we might subsequently revise to include the results within the other terms).</w:t>
      </w:r>
    </w:p>
  </w:footnote>
  <w:footnote w:id="2">
    <w:p w14:paraId="3796B5A9" w14:textId="77777777" w:rsidR="004818C1" w:rsidRDefault="00000000">
      <w:pPr>
        <w:pStyle w:val="FootnoteText"/>
      </w:pPr>
      <w:r>
        <w:rPr>
          <w:rStyle w:val="FootnoteReference"/>
        </w:rPr>
        <w:footnoteRef/>
      </w:r>
      <w:r>
        <w:rPr>
          <w:lang w:val="en-GB"/>
        </w:rPr>
        <w:t xml:space="preserve"> A short Hadith manual by a contemporary of Ibn </w:t>
      </w:r>
      <w:proofErr w:type="spellStart"/>
      <w:r>
        <w:rPr>
          <w:lang w:val="en-GB"/>
        </w:rPr>
        <w:t>ʿAsākir’s</w:t>
      </w:r>
      <w:proofErr w:type="spellEnd"/>
      <w:r>
        <w:rPr>
          <w:lang w:val="en-GB"/>
        </w:rPr>
        <w:t xml:space="preserve"> provides a useful comparison. For a description and translation of </w:t>
      </w:r>
      <w:proofErr w:type="spellStart"/>
      <w:r>
        <w:rPr>
          <w:lang w:val="en-GB"/>
        </w:rPr>
        <w:t>Abū</w:t>
      </w:r>
      <w:proofErr w:type="spellEnd"/>
      <w:r>
        <w:rPr>
          <w:lang w:val="en-GB"/>
        </w:rPr>
        <w:t xml:space="preserve"> </w:t>
      </w:r>
      <w:proofErr w:type="spellStart"/>
      <w:r>
        <w:rPr>
          <w:lang w:val="en-GB"/>
        </w:rPr>
        <w:t>Ḥafṣ</w:t>
      </w:r>
      <w:proofErr w:type="spellEnd"/>
      <w:r>
        <w:rPr>
          <w:lang w:val="en-GB"/>
        </w:rPr>
        <w:t xml:space="preserve"> </w:t>
      </w:r>
      <w:proofErr w:type="spellStart"/>
      <w:r>
        <w:rPr>
          <w:lang w:val="en-GB"/>
        </w:rPr>
        <w:t>ʿUmar</w:t>
      </w:r>
      <w:proofErr w:type="spellEnd"/>
      <w:r>
        <w:rPr>
          <w:lang w:val="en-GB"/>
        </w:rPr>
        <w:t xml:space="preserve"> b. </w:t>
      </w:r>
      <w:proofErr w:type="spellStart"/>
      <w:r>
        <w:rPr>
          <w:lang w:val="en-GB"/>
        </w:rPr>
        <w:t>ʿAbd</w:t>
      </w:r>
      <w:proofErr w:type="spellEnd"/>
      <w:r>
        <w:rPr>
          <w:lang w:val="en-GB"/>
        </w:rPr>
        <w:t xml:space="preserve"> al-</w:t>
      </w:r>
      <w:proofErr w:type="spellStart"/>
      <w:r>
        <w:rPr>
          <w:lang w:val="en-GB"/>
        </w:rPr>
        <w:t>Majīd</w:t>
      </w:r>
      <w:proofErr w:type="spellEnd"/>
      <w:r>
        <w:rPr>
          <w:lang w:val="en-GB"/>
        </w:rPr>
        <w:t xml:space="preserve"> al-</w:t>
      </w:r>
      <w:proofErr w:type="spellStart"/>
      <w:r>
        <w:rPr>
          <w:lang w:val="en-GB"/>
        </w:rPr>
        <w:t>Qurashī</w:t>
      </w:r>
      <w:proofErr w:type="spellEnd"/>
      <w:r>
        <w:rPr>
          <w:lang w:val="en-GB"/>
        </w:rPr>
        <w:t xml:space="preserve"> al-</w:t>
      </w:r>
      <w:proofErr w:type="spellStart"/>
      <w:r>
        <w:rPr>
          <w:lang w:val="en-GB"/>
        </w:rPr>
        <w:t>Mayyānishī</w:t>
      </w:r>
      <w:proofErr w:type="spellEnd"/>
      <w:r>
        <w:rPr>
          <w:lang w:val="en-GB"/>
        </w:rPr>
        <w:t xml:space="preserve"> al-</w:t>
      </w:r>
      <w:proofErr w:type="spellStart"/>
      <w:r>
        <w:rPr>
          <w:lang w:val="en-GB"/>
        </w:rPr>
        <w:t>Mahdawī’s</w:t>
      </w:r>
      <w:proofErr w:type="spellEnd"/>
      <w:r>
        <w:rPr>
          <w:lang w:val="en-GB"/>
        </w:rPr>
        <w:t xml:space="preserve"> (d. 581/1185) </w:t>
      </w:r>
      <w:proofErr w:type="spellStart"/>
      <w:r>
        <w:rPr>
          <w:i/>
          <w:iCs/>
          <w:lang w:val="en-GB"/>
        </w:rPr>
        <w:t>Mā</w:t>
      </w:r>
      <w:proofErr w:type="spellEnd"/>
      <w:r>
        <w:rPr>
          <w:i/>
          <w:iCs/>
          <w:lang w:val="en-GB"/>
        </w:rPr>
        <w:t xml:space="preserve"> </w:t>
      </w:r>
      <w:proofErr w:type="spellStart"/>
      <w:r>
        <w:rPr>
          <w:i/>
          <w:iCs/>
          <w:lang w:val="en-GB"/>
        </w:rPr>
        <w:t>lā</w:t>
      </w:r>
      <w:proofErr w:type="spellEnd"/>
      <w:r>
        <w:rPr>
          <w:i/>
          <w:iCs/>
          <w:lang w:val="en-GB"/>
        </w:rPr>
        <w:t xml:space="preserve"> </w:t>
      </w:r>
      <w:proofErr w:type="spellStart"/>
      <w:r>
        <w:rPr>
          <w:i/>
          <w:iCs/>
          <w:lang w:val="en-GB"/>
        </w:rPr>
        <w:t>yasaʿu</w:t>
      </w:r>
      <w:proofErr w:type="spellEnd"/>
      <w:r>
        <w:rPr>
          <w:i/>
          <w:iCs/>
          <w:lang w:val="en-GB"/>
        </w:rPr>
        <w:t xml:space="preserve"> al-</w:t>
      </w:r>
      <w:proofErr w:type="spellStart"/>
      <w:r>
        <w:rPr>
          <w:i/>
          <w:iCs/>
          <w:lang w:val="en-GB"/>
        </w:rPr>
        <w:t>muḥaddith</w:t>
      </w:r>
      <w:proofErr w:type="spellEnd"/>
      <w:r>
        <w:rPr>
          <w:i/>
          <w:iCs/>
          <w:lang w:val="en-GB"/>
        </w:rPr>
        <w:t xml:space="preserve"> </w:t>
      </w:r>
      <w:proofErr w:type="spellStart"/>
      <w:r>
        <w:rPr>
          <w:i/>
          <w:iCs/>
          <w:lang w:val="en-GB"/>
        </w:rPr>
        <w:t>jahluhu</w:t>
      </w:r>
      <w:proofErr w:type="spellEnd"/>
      <w:r>
        <w:rPr>
          <w:lang w:val="en-GB"/>
        </w:rPr>
        <w:t xml:space="preserve">, see Leonard </w:t>
      </w:r>
      <w:proofErr w:type="spellStart"/>
      <w:r>
        <w:rPr>
          <w:lang w:val="en-GB"/>
        </w:rPr>
        <w:t>Librande</w:t>
      </w:r>
      <w:proofErr w:type="spellEnd"/>
      <w:r>
        <w:rPr>
          <w:lang w:val="en-GB"/>
        </w:rPr>
        <w:t xml:space="preserve">, ‘The Supposed Homogeneity of Technical Terms in </w:t>
      </w:r>
      <w:proofErr w:type="spellStart"/>
      <w:r>
        <w:rPr>
          <w:lang w:val="en-GB"/>
        </w:rPr>
        <w:t>Ḥadīth</w:t>
      </w:r>
      <w:proofErr w:type="spellEnd"/>
      <w:r>
        <w:rPr>
          <w:lang w:val="en-GB"/>
        </w:rPr>
        <w:t xml:space="preserve">’, </w:t>
      </w:r>
      <w:r>
        <w:rPr>
          <w:i/>
          <w:iCs/>
          <w:lang w:val="en-GB"/>
        </w:rPr>
        <w:t>Muslim World</w:t>
      </w:r>
      <w:r>
        <w:rPr>
          <w:lang w:val="en-GB"/>
        </w:rPr>
        <w:t xml:space="preserve"> 72 (1982), 34–50. There are many other such manuals.</w:t>
      </w:r>
    </w:p>
  </w:footnote>
  <w:footnote w:id="3">
    <w:p w14:paraId="2BC3F521" w14:textId="77777777" w:rsidR="004818C1"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97–109; Ibn al-</w:t>
      </w:r>
      <w:proofErr w:type="spellStart"/>
      <w:r>
        <w:t>Ṣalāḥ</w:t>
      </w:r>
      <w:proofErr w:type="spellEnd"/>
      <w:r>
        <w:t xml:space="preserve">, </w:t>
      </w:r>
      <w:proofErr w:type="spellStart"/>
      <w:r>
        <w:rPr>
          <w:i/>
          <w:iCs/>
        </w:rPr>
        <w:t>Muqaddima</w:t>
      </w:r>
      <w:proofErr w:type="spellEnd"/>
      <w:r>
        <w:t xml:space="preserve">, 132–50, </w:t>
      </w:r>
      <w:proofErr w:type="spellStart"/>
      <w:r>
        <w:t>ms.</w:t>
      </w:r>
      <w:proofErr w:type="spellEnd"/>
      <w:r>
        <w:t xml:space="preserve"> 055–65.</w:t>
      </w:r>
      <w:r>
        <w:rPr>
          <w:color w:val="000000"/>
        </w:rPr>
        <w:t xml:space="preserve"> See also the translations of these Arabic terms in </w:t>
      </w:r>
      <w:r>
        <w:t>Robson, ‘</w:t>
      </w:r>
      <w:proofErr w:type="spellStart"/>
      <w:r>
        <w:t>Ḥadīth</w:t>
      </w:r>
      <w:proofErr w:type="spellEnd"/>
      <w:r>
        <w:t>’.</w:t>
      </w:r>
    </w:p>
  </w:footnote>
  <w:footnote w:id="4">
    <w:p w14:paraId="179FB993" w14:textId="77777777" w:rsidR="004818C1"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102; Ibn al-</w:t>
      </w:r>
      <w:proofErr w:type="spellStart"/>
      <w:r>
        <w:t>Ṣalāḥ</w:t>
      </w:r>
      <w:proofErr w:type="spellEnd"/>
      <w:r>
        <w:t xml:space="preserve">, </w:t>
      </w:r>
      <w:proofErr w:type="spellStart"/>
      <w:r>
        <w:rPr>
          <w:i/>
          <w:iCs/>
        </w:rPr>
        <w:t>Muqaddima</w:t>
      </w:r>
      <w:proofErr w:type="spellEnd"/>
      <w:r>
        <w:t xml:space="preserve">, 140, </w:t>
      </w:r>
      <w:proofErr w:type="spellStart"/>
      <w:r>
        <w:t>ms.</w:t>
      </w:r>
      <w:proofErr w:type="spellEnd"/>
      <w:r>
        <w:t xml:space="preserve"> 059.</w:t>
      </w:r>
      <w:r>
        <w:rPr>
          <w:color w:val="000000"/>
        </w:rPr>
        <w:t xml:space="preserve"> For a view on </w:t>
      </w:r>
      <w:proofErr w:type="spellStart"/>
      <w:r>
        <w:rPr>
          <w:i/>
          <w:iCs/>
          <w:color w:val="000000"/>
        </w:rPr>
        <w:t>ḥaddathanā</w:t>
      </w:r>
      <w:proofErr w:type="spellEnd"/>
      <w:r>
        <w:rPr>
          <w:color w:val="000000"/>
        </w:rPr>
        <w:t xml:space="preserve"> across centuries and contexts (with a slightly different reading of Ibn al-</w:t>
      </w:r>
      <w:proofErr w:type="spellStart"/>
      <w:r>
        <w:rPr>
          <w:color w:val="000000"/>
        </w:rPr>
        <w:t>Ṣalāḥ</w:t>
      </w:r>
      <w:proofErr w:type="spellEnd"/>
      <w:r>
        <w:rPr>
          <w:color w:val="000000"/>
        </w:rPr>
        <w:t xml:space="preserve">), </w:t>
      </w:r>
      <w:r>
        <w:t>Devin J. Stewart, ‘On Rhetoric, Reason, and Revelation: Ibn al-</w:t>
      </w:r>
      <w:proofErr w:type="spellStart"/>
      <w:r>
        <w:t>Jawzī’s</w:t>
      </w:r>
      <w:proofErr w:type="spellEnd"/>
      <w:r>
        <w:t xml:space="preserve"> </w:t>
      </w:r>
      <w:proofErr w:type="spellStart"/>
      <w:r>
        <w:rPr>
          <w:i/>
          <w:iCs/>
        </w:rPr>
        <w:t>Maqāmāt</w:t>
      </w:r>
      <w:proofErr w:type="spellEnd"/>
      <w:r>
        <w:t xml:space="preserve"> as an Anti-Parody and </w:t>
      </w:r>
      <w:r>
        <w:rPr>
          <w:i/>
          <w:iCs/>
        </w:rPr>
        <w:t xml:space="preserve">Sefer </w:t>
      </w:r>
      <w:proofErr w:type="spellStart"/>
      <w:r>
        <w:rPr>
          <w:i/>
          <w:iCs/>
        </w:rPr>
        <w:t>Taḥkemoni</w:t>
      </w:r>
      <w:proofErr w:type="spellEnd"/>
      <w:r>
        <w:t xml:space="preserve"> of Yehudah al-</w:t>
      </w:r>
      <w:proofErr w:type="spellStart"/>
      <w:r>
        <w:t>Ḥarīzī</w:t>
      </w:r>
      <w:proofErr w:type="spellEnd"/>
      <w:r>
        <w:t xml:space="preserve">’, </w:t>
      </w:r>
      <w:r>
        <w:rPr>
          <w:i/>
          <w:iCs/>
        </w:rPr>
        <w:t>Middle Eastern Literatures</w:t>
      </w:r>
      <w:r>
        <w:t xml:space="preserve"> 19/2 (2016), 207–11.</w:t>
      </w:r>
    </w:p>
  </w:footnote>
  <w:footnote w:id="5">
    <w:p w14:paraId="659EF3EC" w14:textId="77777777" w:rsidR="004818C1"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102; Ibn al-</w:t>
      </w:r>
      <w:proofErr w:type="spellStart"/>
      <w:r>
        <w:t>Ṣalāḥ</w:t>
      </w:r>
      <w:proofErr w:type="spellEnd"/>
      <w:r>
        <w:t xml:space="preserve">, </w:t>
      </w:r>
      <w:proofErr w:type="spellStart"/>
      <w:r>
        <w:rPr>
          <w:i/>
          <w:iCs/>
        </w:rPr>
        <w:t>Muqaddima</w:t>
      </w:r>
      <w:proofErr w:type="spellEnd"/>
      <w:r>
        <w:t xml:space="preserve">, 140, </w:t>
      </w:r>
      <w:proofErr w:type="spellStart"/>
      <w:r>
        <w:t>ms.</w:t>
      </w:r>
      <w:proofErr w:type="spellEnd"/>
      <w:r>
        <w:t xml:space="preserve"> 059.</w:t>
      </w:r>
    </w:p>
  </w:footnote>
  <w:footnote w:id="6">
    <w:p w14:paraId="1E00956E" w14:textId="77777777" w:rsidR="004818C1" w:rsidRDefault="00000000">
      <w:pPr>
        <w:pStyle w:val="FootnoteText"/>
      </w:pPr>
      <w:r>
        <w:rPr>
          <w:rStyle w:val="FootnoteReference"/>
        </w:rPr>
        <w:footnoteRef/>
      </w:r>
      <w:r>
        <w:rPr>
          <w:lang w:val="en-GB"/>
        </w:rPr>
        <w:t xml:space="preserve"> Ibn al-</w:t>
      </w:r>
      <w:proofErr w:type="spellStart"/>
      <w:r>
        <w:rPr>
          <w:lang w:val="en-GB"/>
        </w:rPr>
        <w:t>Ṣalāḥ</w:t>
      </w:r>
      <w:proofErr w:type="spellEnd"/>
      <w:r>
        <w:rPr>
          <w:lang w:val="en-GB"/>
        </w:rPr>
        <w:t xml:space="preserve">, </w:t>
      </w:r>
      <w:r>
        <w:rPr>
          <w:i/>
          <w:iCs/>
          <w:lang w:val="en-GB"/>
        </w:rPr>
        <w:t>Introduction</w:t>
      </w:r>
      <w:r>
        <w:rPr>
          <w:lang w:val="en-GB"/>
        </w:rPr>
        <w:t>, 104–5; Ibn al-</w:t>
      </w:r>
      <w:proofErr w:type="spellStart"/>
      <w:r>
        <w:rPr>
          <w:lang w:val="en-GB"/>
        </w:rPr>
        <w:t>Ṣalāḥ</w:t>
      </w:r>
      <w:proofErr w:type="spellEnd"/>
      <w:r>
        <w:rPr>
          <w:lang w:val="en-GB"/>
        </w:rPr>
        <w:t xml:space="preserve">, </w:t>
      </w:r>
      <w:proofErr w:type="spellStart"/>
      <w:r>
        <w:rPr>
          <w:i/>
          <w:iCs/>
          <w:lang w:val="en-GB"/>
        </w:rPr>
        <w:t>Muqaddima</w:t>
      </w:r>
      <w:proofErr w:type="spellEnd"/>
      <w:r>
        <w:rPr>
          <w:lang w:val="en-GB"/>
        </w:rPr>
        <w:t xml:space="preserve">, 144, </w:t>
      </w:r>
      <w:proofErr w:type="spellStart"/>
      <w:r>
        <w:rPr>
          <w:lang w:val="en-GB"/>
        </w:rPr>
        <w:t>ms</w:t>
      </w:r>
      <w:proofErr w:type="spellEnd"/>
      <w:r>
        <w:rPr>
          <w:lang w:val="en-GB"/>
        </w:rPr>
        <w:t xml:space="preserve">. 061. </w:t>
      </w:r>
    </w:p>
  </w:footnote>
  <w:footnote w:id="7">
    <w:p w14:paraId="177157A2" w14:textId="77777777" w:rsidR="004818C1" w:rsidRDefault="00000000">
      <w:pPr>
        <w:pStyle w:val="FootnoteText"/>
      </w:pPr>
      <w:r>
        <w:rPr>
          <w:rStyle w:val="FootnoteReference"/>
        </w:rPr>
        <w:footnoteRef/>
      </w:r>
      <w:r>
        <w:rPr>
          <w:lang w:val="en-GB"/>
        </w:rPr>
        <w:t xml:space="preserve"> Al-</w:t>
      </w:r>
      <w:proofErr w:type="spellStart"/>
      <w:r>
        <w:rPr>
          <w:lang w:val="en-GB"/>
        </w:rPr>
        <w:t>Mayyānishī</w:t>
      </w:r>
      <w:proofErr w:type="spellEnd"/>
      <w:r>
        <w:rPr>
          <w:lang w:val="en-GB"/>
        </w:rPr>
        <w:t xml:space="preserve"> writes: ‘Most of the learned were of the opinion that there is no difference between the </w:t>
      </w:r>
      <w:proofErr w:type="spellStart"/>
      <w:r>
        <w:rPr>
          <w:lang w:val="en-GB"/>
        </w:rPr>
        <w:t>ḥadīth</w:t>
      </w:r>
      <w:proofErr w:type="spellEnd"/>
      <w:r>
        <w:rPr>
          <w:lang w:val="en-GB"/>
        </w:rPr>
        <w:t xml:space="preserve"> reporter saying </w:t>
      </w:r>
      <w:proofErr w:type="spellStart"/>
      <w:r>
        <w:rPr>
          <w:i/>
          <w:iCs/>
          <w:lang w:val="en-GB"/>
        </w:rPr>
        <w:t>ḥaddathanā</w:t>
      </w:r>
      <w:proofErr w:type="spellEnd"/>
      <w:r>
        <w:rPr>
          <w:lang w:val="en-GB"/>
        </w:rPr>
        <w:t xml:space="preserve"> and his saying </w:t>
      </w:r>
      <w:proofErr w:type="spellStart"/>
      <w:r>
        <w:rPr>
          <w:i/>
          <w:iCs/>
          <w:lang w:val="en-GB"/>
        </w:rPr>
        <w:t>akhbaranā</w:t>
      </w:r>
      <w:proofErr w:type="spellEnd"/>
      <w:r>
        <w:rPr>
          <w:lang w:val="en-GB"/>
        </w:rPr>
        <w:t xml:space="preserve">. Others concluded that his expression </w:t>
      </w:r>
      <w:proofErr w:type="spellStart"/>
      <w:r>
        <w:rPr>
          <w:i/>
          <w:iCs/>
          <w:lang w:val="en-GB"/>
        </w:rPr>
        <w:t>ḥaddathanā</w:t>
      </w:r>
      <w:proofErr w:type="spellEnd"/>
      <w:r>
        <w:rPr>
          <w:i/>
          <w:iCs/>
          <w:lang w:val="en-GB"/>
        </w:rPr>
        <w:t xml:space="preserve"> </w:t>
      </w:r>
      <w:r>
        <w:rPr>
          <w:lang w:val="en-GB"/>
        </w:rPr>
        <w:t xml:space="preserve">meant he had actually heard it from the mouth of its reporter while his word </w:t>
      </w:r>
      <w:proofErr w:type="spellStart"/>
      <w:r>
        <w:rPr>
          <w:i/>
          <w:iCs/>
          <w:lang w:val="en-GB"/>
        </w:rPr>
        <w:t>akhbaranā</w:t>
      </w:r>
      <w:proofErr w:type="spellEnd"/>
      <w:r>
        <w:rPr>
          <w:i/>
          <w:iCs/>
          <w:lang w:val="en-GB"/>
        </w:rPr>
        <w:t xml:space="preserve"> </w:t>
      </w:r>
      <w:r>
        <w:rPr>
          <w:lang w:val="en-GB"/>
        </w:rPr>
        <w:t>signified he had heard it when the reporter or some other master had read it. It was transmitted to us on the authority of the messenger of God that he had said: “</w:t>
      </w:r>
      <w:proofErr w:type="spellStart"/>
      <w:r>
        <w:rPr>
          <w:i/>
          <w:iCs/>
          <w:lang w:val="en-GB"/>
        </w:rPr>
        <w:t>Ḥaddathanā</w:t>
      </w:r>
      <w:proofErr w:type="spellEnd"/>
      <w:r>
        <w:rPr>
          <w:lang w:val="en-GB"/>
        </w:rPr>
        <w:t xml:space="preserve"> and </w:t>
      </w:r>
      <w:proofErr w:type="spellStart"/>
      <w:r>
        <w:rPr>
          <w:i/>
          <w:iCs/>
          <w:lang w:val="en-GB"/>
        </w:rPr>
        <w:t>akhbaranā</w:t>
      </w:r>
      <w:proofErr w:type="spellEnd"/>
      <w:r>
        <w:rPr>
          <w:i/>
          <w:iCs/>
          <w:lang w:val="en-GB"/>
        </w:rPr>
        <w:t xml:space="preserve"> </w:t>
      </w:r>
      <w:r>
        <w:rPr>
          <w:lang w:val="en-GB"/>
        </w:rPr>
        <w:t xml:space="preserve">are the same, since for the Arab there is no difference between his saying </w:t>
      </w:r>
      <w:proofErr w:type="spellStart"/>
      <w:r>
        <w:rPr>
          <w:i/>
          <w:iCs/>
          <w:lang w:val="en-GB"/>
        </w:rPr>
        <w:t>ḥaddathanī</w:t>
      </w:r>
      <w:proofErr w:type="spellEnd"/>
      <w:r>
        <w:rPr>
          <w:i/>
          <w:iCs/>
          <w:lang w:val="en-GB"/>
        </w:rPr>
        <w:t xml:space="preserve"> </w:t>
      </w:r>
      <w:proofErr w:type="spellStart"/>
      <w:r>
        <w:rPr>
          <w:i/>
          <w:iCs/>
          <w:lang w:val="en-GB"/>
        </w:rPr>
        <w:t>fulān</w:t>
      </w:r>
      <w:proofErr w:type="spellEnd"/>
      <w:r>
        <w:rPr>
          <w:lang w:val="en-GB"/>
        </w:rPr>
        <w:t xml:space="preserve"> and </w:t>
      </w:r>
      <w:proofErr w:type="spellStart"/>
      <w:r>
        <w:rPr>
          <w:i/>
          <w:iCs/>
          <w:lang w:val="en-GB"/>
        </w:rPr>
        <w:t>akhbaranī</w:t>
      </w:r>
      <w:proofErr w:type="spellEnd"/>
      <w:r>
        <w:rPr>
          <w:i/>
          <w:iCs/>
          <w:lang w:val="en-GB"/>
        </w:rPr>
        <w:t xml:space="preserve"> </w:t>
      </w:r>
      <w:proofErr w:type="spellStart"/>
      <w:r>
        <w:rPr>
          <w:i/>
          <w:iCs/>
          <w:lang w:val="en-GB"/>
        </w:rPr>
        <w:t>fulān</w:t>
      </w:r>
      <w:proofErr w:type="spellEnd"/>
      <w:r>
        <w:rPr>
          <w:lang w:val="en-GB"/>
        </w:rPr>
        <w:t xml:space="preserve">.”’ </w:t>
      </w:r>
      <w:proofErr w:type="spellStart"/>
      <w:r>
        <w:rPr>
          <w:lang w:val="en-GB"/>
        </w:rPr>
        <w:t>Librande</w:t>
      </w:r>
      <w:proofErr w:type="spellEnd"/>
      <w:r>
        <w:rPr>
          <w:lang w:val="en-GB"/>
        </w:rPr>
        <w:t xml:space="preserve">, ‘Supposed Homogeneity’, 42–3. </w:t>
      </w:r>
    </w:p>
  </w:footnote>
  <w:footnote w:id="8">
    <w:p w14:paraId="723B9DF1" w14:textId="77777777" w:rsidR="004818C1" w:rsidRDefault="00000000">
      <w:pPr>
        <w:pStyle w:val="FootnoteText"/>
      </w:pPr>
      <w:r>
        <w:rPr>
          <w:rStyle w:val="FootnoteReference"/>
        </w:rPr>
        <w:footnoteRef/>
      </w:r>
      <w:r>
        <w:rPr>
          <w:lang w:val="en-GB"/>
        </w:rPr>
        <w:t xml:space="preserve"> Ibn al-</w:t>
      </w:r>
      <w:proofErr w:type="spellStart"/>
      <w:r>
        <w:rPr>
          <w:lang w:val="en-GB"/>
        </w:rPr>
        <w:t>Ṣalāḥ</w:t>
      </w:r>
      <w:proofErr w:type="spellEnd"/>
      <w:r>
        <w:rPr>
          <w:lang w:val="en-GB"/>
        </w:rPr>
        <w:t xml:space="preserve">, </w:t>
      </w:r>
      <w:r>
        <w:rPr>
          <w:i/>
          <w:iCs/>
          <w:lang w:val="en-GB"/>
        </w:rPr>
        <w:t>Introduction</w:t>
      </w:r>
      <w:r>
        <w:rPr>
          <w:lang w:val="en-GB"/>
        </w:rPr>
        <w:t>, 104; Ibn al-</w:t>
      </w:r>
      <w:proofErr w:type="spellStart"/>
      <w:r>
        <w:rPr>
          <w:lang w:val="en-GB"/>
        </w:rPr>
        <w:t>Ṣalāḥ</w:t>
      </w:r>
      <w:proofErr w:type="spellEnd"/>
      <w:r>
        <w:rPr>
          <w:lang w:val="en-GB"/>
        </w:rPr>
        <w:t xml:space="preserve">, </w:t>
      </w:r>
      <w:proofErr w:type="spellStart"/>
      <w:r>
        <w:rPr>
          <w:i/>
          <w:iCs/>
          <w:lang w:val="en-GB"/>
        </w:rPr>
        <w:t>Muqaddima</w:t>
      </w:r>
      <w:proofErr w:type="spellEnd"/>
      <w:r>
        <w:rPr>
          <w:lang w:val="en-GB"/>
        </w:rPr>
        <w:t xml:space="preserve">, 143, </w:t>
      </w:r>
      <w:proofErr w:type="spellStart"/>
      <w:r>
        <w:rPr>
          <w:lang w:val="en-GB"/>
        </w:rPr>
        <w:t>ms</w:t>
      </w:r>
      <w:proofErr w:type="spellEnd"/>
      <w:r>
        <w:rPr>
          <w:lang w:val="en-GB"/>
        </w:rPr>
        <w:t>. 061.</w:t>
      </w:r>
    </w:p>
  </w:footnote>
  <w:footnote w:id="9">
    <w:p w14:paraId="74271A50" w14:textId="77777777" w:rsidR="004818C1" w:rsidRDefault="00000000">
      <w:pPr>
        <w:pStyle w:val="FootnoteText"/>
      </w:pPr>
      <w:r>
        <w:rPr>
          <w:rStyle w:val="FootnoteReference"/>
        </w:rPr>
        <w:footnoteRef/>
      </w:r>
      <w:r>
        <w:rPr>
          <w:lang w:val="en-GB"/>
        </w:rPr>
        <w:t xml:space="preserve"> As noted in Post 2, we exclude such combined </w:t>
      </w:r>
      <w:proofErr w:type="spellStart"/>
      <w:r>
        <w:rPr>
          <w:i/>
          <w:iCs/>
          <w:lang w:val="en-GB"/>
        </w:rPr>
        <w:t>isnād</w:t>
      </w:r>
      <w:r>
        <w:rPr>
          <w:lang w:val="en-GB"/>
        </w:rPr>
        <w:t>s</w:t>
      </w:r>
      <w:proofErr w:type="spellEnd"/>
      <w:r>
        <w:rPr>
          <w:lang w:val="en-GB"/>
        </w:rPr>
        <w:t xml:space="preserve"> (of which we found 2,236) from our data set because they challenge our data model.</w:t>
      </w:r>
    </w:p>
  </w:footnote>
  <w:footnote w:id="10">
    <w:p w14:paraId="1B296155" w14:textId="2F104C72" w:rsidR="004818C1" w:rsidRDefault="00000000">
      <w:pPr>
        <w:pStyle w:val="FootnoteText"/>
      </w:pPr>
      <w:r>
        <w:rPr>
          <w:rStyle w:val="FootnoteReference"/>
        </w:rPr>
        <w:footnoteRef/>
      </w:r>
      <w:r>
        <w:t xml:space="preserve"> </w:t>
      </w:r>
      <w:hyperlink r:id="rId1" w:history="1">
        <w:r w:rsidRPr="00F627A1">
          <w:rPr>
            <w:rStyle w:val="Hyperlink"/>
          </w:rPr>
          <w:t xml:space="preserve">Savant and Seydi, ‘Ibn </w:t>
        </w:r>
        <w:proofErr w:type="spellStart"/>
        <w:r w:rsidRPr="00F627A1">
          <w:rPr>
            <w:rStyle w:val="Hyperlink"/>
          </w:rPr>
          <w:t>ʿAsākir</w:t>
        </w:r>
        <w:proofErr w:type="spellEnd"/>
        <w:r w:rsidRPr="00F627A1">
          <w:rPr>
            <w:rStyle w:val="Hyperlink"/>
          </w:rPr>
          <w:t xml:space="preserve"> and His History of Damascus’</w:t>
        </w:r>
      </w:hyperlink>
      <w:r>
        <w:t>, ‘Isnads’, table ‘</w:t>
      </w:r>
      <w:proofErr w:type="spellStart"/>
      <w:r>
        <w:rPr>
          <w:color w:val="000000"/>
        </w:rPr>
        <w:t>TransmissionChains_Normalised</w:t>
      </w:r>
      <w:proofErr w:type="spellEnd"/>
      <w:r>
        <w:t xml:space="preserve">’, ID 72876, </w:t>
      </w:r>
      <w:proofErr w:type="spellStart"/>
      <w:r>
        <w:t>ms.</w:t>
      </w:r>
      <w:proofErr w:type="spellEnd"/>
      <w:r>
        <w:t xml:space="preserve"> 24743.</w:t>
      </w:r>
    </w:p>
  </w:footnote>
  <w:footnote w:id="11">
    <w:p w14:paraId="1D87AD82" w14:textId="77777777" w:rsidR="004818C1" w:rsidRDefault="00000000">
      <w:pPr>
        <w:pStyle w:val="FootnoteText"/>
      </w:pPr>
      <w:r>
        <w:rPr>
          <w:rStyle w:val="FootnoteReference"/>
        </w:rPr>
        <w:footnoteRef/>
      </w:r>
      <w:r>
        <w:t xml:space="preserve"> </w:t>
      </w:r>
      <w:r>
        <w:rPr>
          <w:lang w:val="en-GB"/>
        </w:rPr>
        <w:t xml:space="preserve">Savant and Seydi, ‘Ibn </w:t>
      </w:r>
      <w:proofErr w:type="spellStart"/>
      <w:r>
        <w:rPr>
          <w:lang w:val="en-GB"/>
        </w:rPr>
        <w:t>ʿAsākir</w:t>
      </w:r>
      <w:proofErr w:type="spellEnd"/>
      <w:r>
        <w:rPr>
          <w:lang w:val="en-GB"/>
        </w:rPr>
        <w:t xml:space="preserve"> and His History of Damascus’, ‘Isnads’, table ‘</w:t>
      </w:r>
      <w:proofErr w:type="spellStart"/>
      <w:r>
        <w:rPr>
          <w:lang w:val="en-GB"/>
        </w:rPr>
        <w:t>TransmissionChains_Normalised</w:t>
      </w:r>
      <w:proofErr w:type="spellEnd"/>
      <w:r>
        <w:rPr>
          <w:lang w:val="en-GB"/>
        </w:rPr>
        <w:t xml:space="preserve">’, </w:t>
      </w:r>
      <w:r>
        <w:t xml:space="preserve">ID 74482, </w:t>
      </w:r>
      <w:proofErr w:type="spellStart"/>
      <w:r>
        <w:t>ms.</w:t>
      </w:r>
      <w:proofErr w:type="spellEnd"/>
      <w:r>
        <w:t xml:space="preserve"> 25267.</w:t>
      </w:r>
    </w:p>
  </w:footnote>
  <w:footnote w:id="12">
    <w:p w14:paraId="79180D78" w14:textId="77777777" w:rsidR="004818C1" w:rsidRDefault="00000000">
      <w:r>
        <w:rPr>
          <w:rStyle w:val="FootnoteReference"/>
        </w:rPr>
        <w:footnoteRef/>
      </w:r>
      <w:r>
        <w:rPr>
          <w:rFonts w:cs="Calibri"/>
          <w:sz w:val="20"/>
          <w:szCs w:val="20"/>
        </w:rPr>
        <w:t xml:space="preserve"> Ibn al-</w:t>
      </w:r>
      <w:proofErr w:type="spellStart"/>
      <w:r>
        <w:rPr>
          <w:rFonts w:cs="Calibri"/>
          <w:sz w:val="20"/>
          <w:szCs w:val="20"/>
        </w:rPr>
        <w:t>Ṣalāḥ</w:t>
      </w:r>
      <w:proofErr w:type="spellEnd"/>
      <w:r>
        <w:rPr>
          <w:rFonts w:cs="Calibri"/>
          <w:sz w:val="20"/>
          <w:szCs w:val="20"/>
        </w:rPr>
        <w:t xml:space="preserve"> refers to this way of transmitting Hadith as </w:t>
      </w:r>
      <w:proofErr w:type="spellStart"/>
      <w:r>
        <w:rPr>
          <w:rFonts w:cs="Calibri"/>
          <w:i/>
          <w:iCs/>
          <w:sz w:val="20"/>
          <w:szCs w:val="20"/>
        </w:rPr>
        <w:t>mukātaba</w:t>
      </w:r>
      <w:proofErr w:type="spellEnd"/>
      <w:r>
        <w:rPr>
          <w:rFonts w:cs="Calibri"/>
          <w:sz w:val="20"/>
          <w:szCs w:val="20"/>
        </w:rPr>
        <w:t xml:space="preserve"> (‘passing on’ or ‘transference’), and he addresses it as the fifth method of transmitting Hadith. Ibn al-</w:t>
      </w:r>
      <w:proofErr w:type="spellStart"/>
      <w:r>
        <w:rPr>
          <w:rFonts w:cs="Calibri"/>
          <w:sz w:val="20"/>
          <w:szCs w:val="20"/>
        </w:rPr>
        <w:t>Ṣalāḥ</w:t>
      </w:r>
      <w:proofErr w:type="spellEnd"/>
      <w:r>
        <w:rPr>
          <w:rFonts w:cs="Calibri"/>
          <w:sz w:val="20"/>
          <w:szCs w:val="20"/>
        </w:rPr>
        <w:t xml:space="preserve">, </w:t>
      </w:r>
      <w:r>
        <w:rPr>
          <w:rFonts w:cs="Calibri"/>
          <w:i/>
          <w:iCs/>
          <w:sz w:val="20"/>
          <w:szCs w:val="20"/>
        </w:rPr>
        <w:t>Introduction</w:t>
      </w:r>
      <w:r>
        <w:rPr>
          <w:rFonts w:cs="Calibri"/>
          <w:sz w:val="20"/>
          <w:szCs w:val="20"/>
        </w:rPr>
        <w:t>, 122–3; Ibn al-</w:t>
      </w:r>
      <w:proofErr w:type="spellStart"/>
      <w:r>
        <w:rPr>
          <w:rFonts w:cs="Calibri"/>
          <w:sz w:val="20"/>
          <w:szCs w:val="20"/>
        </w:rPr>
        <w:t>Ṣalāḥ</w:t>
      </w:r>
      <w:proofErr w:type="spellEnd"/>
      <w:r>
        <w:rPr>
          <w:rFonts w:cs="Calibri"/>
          <w:sz w:val="20"/>
          <w:szCs w:val="20"/>
        </w:rPr>
        <w:t xml:space="preserve">, </w:t>
      </w:r>
      <w:proofErr w:type="spellStart"/>
      <w:r>
        <w:rPr>
          <w:rFonts w:cs="Calibri"/>
          <w:i/>
          <w:iCs/>
          <w:sz w:val="20"/>
          <w:szCs w:val="20"/>
        </w:rPr>
        <w:t>Muqaddima</w:t>
      </w:r>
      <w:proofErr w:type="spellEnd"/>
      <w:r>
        <w:rPr>
          <w:rFonts w:cs="Calibri"/>
          <w:sz w:val="20"/>
          <w:szCs w:val="20"/>
        </w:rPr>
        <w:t xml:space="preserve">, 173–4, </w:t>
      </w:r>
      <w:proofErr w:type="spellStart"/>
      <w:r>
        <w:rPr>
          <w:rFonts w:cs="Calibri"/>
          <w:sz w:val="20"/>
          <w:szCs w:val="20"/>
        </w:rPr>
        <w:t>ms</w:t>
      </w:r>
      <w:proofErr w:type="spellEnd"/>
      <w:r>
        <w:rPr>
          <w:rFonts w:cs="Calibri"/>
          <w:sz w:val="20"/>
          <w:szCs w:val="20"/>
        </w:rPr>
        <w:t>. 076–7.</w:t>
      </w:r>
    </w:p>
    <w:p w14:paraId="2AC9AC1B" w14:textId="77777777" w:rsidR="004818C1" w:rsidRDefault="004818C1">
      <w:pPr>
        <w:spacing w:after="0"/>
        <w:rPr>
          <w:rFonts w:cs="Calibri"/>
          <w:sz w:val="20"/>
          <w:szCs w:val="20"/>
        </w:rPr>
      </w:pPr>
    </w:p>
  </w:footnote>
  <w:footnote w:id="13">
    <w:p w14:paraId="15DC56DC" w14:textId="77777777" w:rsidR="004818C1" w:rsidRDefault="00000000">
      <w:pPr>
        <w:pStyle w:val="FootnoteText"/>
      </w:pPr>
      <w:r>
        <w:rPr>
          <w:rStyle w:val="FootnoteReference"/>
        </w:rPr>
        <w:footnoteRef/>
      </w:r>
      <w:r>
        <w:t xml:space="preserve"> Personal communication, 15 July 2023.</w:t>
      </w:r>
    </w:p>
  </w:footnote>
  <w:footnote w:id="14">
    <w:p w14:paraId="40FD019A" w14:textId="77777777" w:rsidR="004818C1" w:rsidRDefault="00000000">
      <w:pPr>
        <w:pStyle w:val="FootnoteText"/>
      </w:pPr>
      <w:r>
        <w:rPr>
          <w:rStyle w:val="FootnoteReference"/>
        </w:rPr>
        <w:footnoteRef/>
      </w:r>
      <w:r>
        <w:t xml:space="preserve"> Adding in cases of </w:t>
      </w:r>
      <w:r>
        <w:rPr>
          <w:i/>
          <w:iCs/>
          <w:color w:val="000000"/>
        </w:rPr>
        <w:t>ḥ</w:t>
      </w:r>
      <w:r>
        <w:rPr>
          <w:color w:val="000000"/>
        </w:rPr>
        <w:t xml:space="preserve"> with </w:t>
      </w:r>
      <w:proofErr w:type="spellStart"/>
      <w:r>
        <w:rPr>
          <w:i/>
          <w:iCs/>
          <w:color w:val="000000"/>
        </w:rPr>
        <w:t>akhbaranā</w:t>
      </w:r>
      <w:proofErr w:type="spellEnd"/>
      <w:r>
        <w:rPr>
          <w:i/>
          <w:iCs/>
          <w:color w:val="000000"/>
        </w:rPr>
        <w:t xml:space="preserve"> </w:t>
      </w:r>
      <w:r>
        <w:rPr>
          <w:color w:val="000000"/>
        </w:rPr>
        <w:t>and its variants.</w:t>
      </w:r>
    </w:p>
  </w:footnote>
  <w:footnote w:id="15">
    <w:p w14:paraId="453335F4" w14:textId="77777777" w:rsidR="004818C1" w:rsidRDefault="00000000">
      <w:pPr>
        <w:pStyle w:val="FootnoteText"/>
      </w:pPr>
      <w:r>
        <w:rPr>
          <w:rStyle w:val="FootnoteReference"/>
        </w:rPr>
        <w:footnoteRef/>
      </w:r>
      <w:r>
        <w:rPr>
          <w:lang w:val="en-GB"/>
        </w:rPr>
        <w:t xml:space="preserve"> Ibn </w:t>
      </w:r>
      <w:proofErr w:type="spellStart"/>
      <w:r>
        <w:rPr>
          <w:lang w:val="en-GB"/>
        </w:rPr>
        <w:t>ʿAsākir’s</w:t>
      </w:r>
      <w:proofErr w:type="spellEnd"/>
      <w:r>
        <w:rPr>
          <w:lang w:val="en-GB"/>
        </w:rPr>
        <w:t xml:space="preserve"> top informants for short chains include Abu al-Qasim al-</w:t>
      </w:r>
      <w:proofErr w:type="spellStart"/>
      <w:r>
        <w:rPr>
          <w:lang w:val="en-GB"/>
        </w:rPr>
        <w:t>Samarqandi</w:t>
      </w:r>
      <w:proofErr w:type="spellEnd"/>
      <w:r>
        <w:rPr>
          <w:lang w:val="en-GB"/>
        </w:rPr>
        <w:t xml:space="preserve"> (his first-ranked direct informant who transmits ninety times </w:t>
      </w:r>
      <w:proofErr w:type="spellStart"/>
      <w:r>
        <w:rPr>
          <w:i/>
          <w:iCs/>
          <w:lang w:val="en-GB"/>
        </w:rPr>
        <w:t>ʿāliyan</w:t>
      </w:r>
      <w:proofErr w:type="spellEnd"/>
      <w:r>
        <w:rPr>
          <w:lang w:val="en-GB"/>
        </w:rPr>
        <w:t>), Abu al-Qasim b. al-</w:t>
      </w:r>
      <w:proofErr w:type="spellStart"/>
      <w:r>
        <w:rPr>
          <w:lang w:val="en-GB"/>
        </w:rPr>
        <w:t>Husayn</w:t>
      </w:r>
      <w:proofErr w:type="spellEnd"/>
      <w:r>
        <w:rPr>
          <w:lang w:val="en-GB"/>
        </w:rPr>
        <w:t xml:space="preserve"> (eleventh-ranked direct informant, sixty-six </w:t>
      </w:r>
      <w:proofErr w:type="spellStart"/>
      <w:r>
        <w:rPr>
          <w:i/>
          <w:iCs/>
          <w:lang w:val="en-GB"/>
        </w:rPr>
        <w:t>ʿāliyan</w:t>
      </w:r>
      <w:proofErr w:type="spellEnd"/>
      <w:r>
        <w:rPr>
          <w:lang w:val="en-GB"/>
        </w:rPr>
        <w:t xml:space="preserve"> transmissions) and Abu Ghalib (second-ranked direct informant, sixty-two </w:t>
      </w:r>
      <w:proofErr w:type="spellStart"/>
      <w:r>
        <w:rPr>
          <w:i/>
          <w:iCs/>
          <w:lang w:val="en-GB"/>
        </w:rPr>
        <w:t>ʿāliyan</w:t>
      </w:r>
      <w:proofErr w:type="spellEnd"/>
      <w:r>
        <w:rPr>
          <w:lang w:val="en-GB"/>
        </w:rPr>
        <w:t xml:space="preserve"> transmissions). See Savant and Seydi, ‘Ibn </w:t>
      </w:r>
      <w:proofErr w:type="spellStart"/>
      <w:r>
        <w:rPr>
          <w:lang w:val="en-GB"/>
        </w:rPr>
        <w:t>ʿAsākir</w:t>
      </w:r>
      <w:proofErr w:type="spellEnd"/>
      <w:r>
        <w:rPr>
          <w:lang w:val="en-GB"/>
        </w:rPr>
        <w:t xml:space="preserve"> and His History of Damascus’, ‘</w:t>
      </w:r>
      <w:proofErr w:type="spellStart"/>
      <w:r>
        <w:rPr>
          <w:lang w:val="en-GB"/>
        </w:rPr>
        <w:t>Isnads_with_Search_Terms</w:t>
      </w:r>
      <w:proofErr w:type="spellEnd"/>
      <w:r>
        <w:rPr>
          <w:lang w:val="en-GB"/>
        </w:rPr>
        <w:t>’, table ‘</w:t>
      </w:r>
      <w:proofErr w:type="spellStart"/>
      <w:r>
        <w:rPr>
          <w:lang w:val="en-GB"/>
        </w:rPr>
        <w:t>TC_Aliyan_NameCount</w:t>
      </w:r>
      <w:proofErr w:type="spellEnd"/>
      <w:r>
        <w:rPr>
          <w:lang w:val="en-GB"/>
        </w:rPr>
        <w:t>’.</w:t>
      </w:r>
    </w:p>
  </w:footnote>
  <w:footnote w:id="16">
    <w:p w14:paraId="58A9B6A5" w14:textId="77777777" w:rsidR="004818C1" w:rsidRPr="00AF4CAE" w:rsidRDefault="00000000">
      <w:pPr>
        <w:pStyle w:val="FootnoteText"/>
        <w:rPr>
          <w:lang w:val="it-IT"/>
        </w:rPr>
      </w:pPr>
      <w:r>
        <w:rPr>
          <w:rStyle w:val="FootnoteReference"/>
        </w:rPr>
        <w:footnoteRef/>
      </w:r>
      <w:r>
        <w:rPr>
          <w:lang w:val="it-IT"/>
        </w:rPr>
        <w:t xml:space="preserve"> Ibn al-</w:t>
      </w:r>
      <w:proofErr w:type="spellStart"/>
      <w:r>
        <w:rPr>
          <w:lang w:val="it-IT"/>
        </w:rPr>
        <w:t>Ṣalāḥ</w:t>
      </w:r>
      <w:proofErr w:type="spellEnd"/>
      <w:r>
        <w:rPr>
          <w:lang w:val="it-IT"/>
        </w:rPr>
        <w:t xml:space="preserve">, </w:t>
      </w:r>
      <w:proofErr w:type="spellStart"/>
      <w:r>
        <w:rPr>
          <w:i/>
          <w:iCs/>
          <w:lang w:val="it-IT"/>
        </w:rPr>
        <w:t>Muqaddima</w:t>
      </w:r>
      <w:proofErr w:type="spellEnd"/>
      <w:r>
        <w:rPr>
          <w:lang w:val="it-IT"/>
        </w:rPr>
        <w:t>, 171, ms. 75.</w:t>
      </w:r>
    </w:p>
  </w:footnote>
  <w:footnote w:id="17">
    <w:p w14:paraId="01D0AC17" w14:textId="77777777" w:rsidR="004818C1" w:rsidRPr="00AF4CAE" w:rsidRDefault="00000000">
      <w:pPr>
        <w:pStyle w:val="FootnoteText"/>
        <w:rPr>
          <w:lang w:val="it-IT"/>
        </w:rPr>
      </w:pPr>
      <w:r>
        <w:rPr>
          <w:rStyle w:val="FootnoteReference"/>
        </w:rPr>
        <w:footnoteRef/>
      </w:r>
      <w:r>
        <w:rPr>
          <w:lang w:val="it-IT"/>
        </w:rPr>
        <w:t xml:space="preserve"> Ibn al-</w:t>
      </w:r>
      <w:proofErr w:type="spellStart"/>
      <w:r>
        <w:rPr>
          <w:lang w:val="it-IT"/>
        </w:rPr>
        <w:t>Ṣalāḥ</w:t>
      </w:r>
      <w:proofErr w:type="spellEnd"/>
      <w:r>
        <w:rPr>
          <w:lang w:val="it-IT"/>
        </w:rPr>
        <w:t xml:space="preserve">, </w:t>
      </w:r>
      <w:proofErr w:type="spellStart"/>
      <w:r>
        <w:rPr>
          <w:i/>
          <w:iCs/>
          <w:lang w:val="it-IT"/>
        </w:rPr>
        <w:t>Introduction</w:t>
      </w:r>
      <w:proofErr w:type="spellEnd"/>
      <w:r>
        <w:rPr>
          <w:lang w:val="it-IT"/>
        </w:rPr>
        <w:t>, 100; Ibn al-</w:t>
      </w:r>
      <w:proofErr w:type="spellStart"/>
      <w:r>
        <w:rPr>
          <w:lang w:val="it-IT"/>
        </w:rPr>
        <w:t>Ṣalāḥ</w:t>
      </w:r>
      <w:proofErr w:type="spellEnd"/>
      <w:r>
        <w:rPr>
          <w:lang w:val="it-IT"/>
        </w:rPr>
        <w:t xml:space="preserve">, </w:t>
      </w:r>
      <w:proofErr w:type="spellStart"/>
      <w:r>
        <w:rPr>
          <w:i/>
          <w:iCs/>
          <w:lang w:val="it-IT"/>
        </w:rPr>
        <w:t>Muqaddima</w:t>
      </w:r>
      <w:proofErr w:type="spellEnd"/>
      <w:r>
        <w:rPr>
          <w:lang w:val="it-IT"/>
        </w:rPr>
        <w:t>, 137, ms. 057–8.</w:t>
      </w:r>
    </w:p>
  </w:footnote>
  <w:footnote w:id="18">
    <w:p w14:paraId="3D66A128" w14:textId="77777777" w:rsidR="004818C1" w:rsidRDefault="00000000">
      <w:pPr>
        <w:pStyle w:val="FootnoteText"/>
      </w:pPr>
      <w:r>
        <w:rPr>
          <w:rStyle w:val="FootnoteReference"/>
        </w:rPr>
        <w:footnoteRef/>
      </w:r>
      <w:r>
        <w:rPr>
          <w:lang w:val="en-GB"/>
        </w:rPr>
        <w:t xml:space="preserve"> Versus </w:t>
      </w:r>
      <w:proofErr w:type="spellStart"/>
      <w:r>
        <w:rPr>
          <w:i/>
          <w:iCs/>
          <w:lang w:val="en-GB"/>
        </w:rPr>
        <w:t>qirāʾati</w:t>
      </w:r>
      <w:proofErr w:type="spellEnd"/>
      <w:r>
        <w:rPr>
          <w:i/>
          <w:iCs/>
          <w:lang w:val="en-GB"/>
        </w:rPr>
        <w:t xml:space="preserve"> </w:t>
      </w:r>
      <w:proofErr w:type="spellStart"/>
      <w:r>
        <w:rPr>
          <w:i/>
          <w:iCs/>
          <w:lang w:val="en-GB"/>
        </w:rPr>
        <w:t>ʿalayhi</w:t>
      </w:r>
      <w:proofErr w:type="spellEnd"/>
      <w:r>
        <w:rPr>
          <w:lang w:val="en-GB"/>
        </w:rPr>
        <w:t xml:space="preserve">, which would appear to specify Ibn </w:t>
      </w:r>
      <w:proofErr w:type="spellStart"/>
      <w:r>
        <w:rPr>
          <w:lang w:val="en-GB"/>
        </w:rPr>
        <w:t>ʿAsākir’s</w:t>
      </w:r>
      <w:proofErr w:type="spellEnd"/>
      <w:r>
        <w:rPr>
          <w:lang w:val="en-GB"/>
        </w:rPr>
        <w:t xml:space="preserve"> own reading back.</w:t>
      </w:r>
    </w:p>
  </w:footnote>
  <w:footnote w:id="19">
    <w:p w14:paraId="25415B38" w14:textId="77777777" w:rsidR="004818C1" w:rsidRDefault="00000000">
      <w:pPr>
        <w:pStyle w:val="FootnoteText"/>
      </w:pPr>
      <w:r>
        <w:rPr>
          <w:rStyle w:val="FootnoteReference"/>
        </w:rPr>
        <w:footnoteRef/>
      </w:r>
      <w:r>
        <w:t xml:space="preserve"> Savant and Seydi, ‘Ibn </w:t>
      </w:r>
      <w:proofErr w:type="spellStart"/>
      <w:r>
        <w:t>ʿAsākir</w:t>
      </w:r>
      <w:proofErr w:type="spellEnd"/>
      <w:r>
        <w:t xml:space="preserve"> and His History of Damascus’, ‘Isnads’, table </w:t>
      </w:r>
      <w:r>
        <w:rPr>
          <w:lang w:val="en-GB"/>
        </w:rPr>
        <w:t>‘</w:t>
      </w:r>
      <w:proofErr w:type="spellStart"/>
      <w:r>
        <w:rPr>
          <w:lang w:val="en-GB"/>
        </w:rPr>
        <w:t>TransmissionChains_Normalised</w:t>
      </w:r>
      <w:proofErr w:type="spellEnd"/>
      <w:r>
        <w:rPr>
          <w:lang w:val="en-GB"/>
        </w:rPr>
        <w:t xml:space="preserve">’, </w:t>
      </w:r>
      <w:r>
        <w:t xml:space="preserve">ID 77305, </w:t>
      </w:r>
      <w:proofErr w:type="spellStart"/>
      <w:r>
        <w:t>ms.</w:t>
      </w:r>
      <w:proofErr w:type="spellEnd"/>
      <w:r>
        <w:t xml:space="preserve"> 23868.</w:t>
      </w:r>
    </w:p>
  </w:footnote>
  <w:footnote w:id="20">
    <w:p w14:paraId="57553C19" w14:textId="77777777" w:rsidR="004818C1" w:rsidRDefault="00000000">
      <w:pPr>
        <w:pStyle w:val="FootnoteText"/>
      </w:pPr>
      <w:r>
        <w:rPr>
          <w:rStyle w:val="FootnoteReference"/>
        </w:rPr>
        <w:footnoteRef/>
      </w:r>
      <w:r>
        <w:t xml:space="preserve"> A search of the expression </w:t>
      </w:r>
      <w:proofErr w:type="spellStart"/>
      <w:r>
        <w:rPr>
          <w:i/>
          <w:iCs/>
        </w:rPr>
        <w:t>ajāza</w:t>
      </w:r>
      <w:proofErr w:type="spellEnd"/>
      <w:r>
        <w:rPr>
          <w:i/>
          <w:iCs/>
        </w:rPr>
        <w:t xml:space="preserve"> </w:t>
      </w:r>
      <w:proofErr w:type="spellStart"/>
      <w:r>
        <w:rPr>
          <w:i/>
          <w:iCs/>
        </w:rPr>
        <w:t>lī</w:t>
      </w:r>
      <w:proofErr w:type="spellEnd"/>
      <w:r>
        <w:t xml:space="preserve"> (‘he licensed me’) produces 40 results. Though a small number they also are relevant. He says 14 times within biographical entries </w:t>
      </w:r>
      <w:proofErr w:type="spellStart"/>
      <w:r>
        <w:rPr>
          <w:i/>
          <w:iCs/>
        </w:rPr>
        <w:t>ajāza</w:t>
      </w:r>
      <w:proofErr w:type="spellEnd"/>
      <w:r>
        <w:rPr>
          <w:i/>
          <w:iCs/>
        </w:rPr>
        <w:t xml:space="preserve"> </w:t>
      </w:r>
      <w:proofErr w:type="spellStart"/>
      <w:r>
        <w:rPr>
          <w:i/>
          <w:iCs/>
        </w:rPr>
        <w:t>lī</w:t>
      </w:r>
      <w:proofErr w:type="spellEnd"/>
      <w:r>
        <w:rPr>
          <w:i/>
          <w:iCs/>
        </w:rPr>
        <w:t xml:space="preserve"> </w:t>
      </w:r>
      <w:proofErr w:type="spellStart"/>
      <w:r>
        <w:rPr>
          <w:i/>
          <w:iCs/>
        </w:rPr>
        <w:t>jamīʿa</w:t>
      </w:r>
      <w:proofErr w:type="spellEnd"/>
      <w:r>
        <w:rPr>
          <w:i/>
          <w:iCs/>
        </w:rPr>
        <w:t xml:space="preserve"> </w:t>
      </w:r>
      <w:proofErr w:type="spellStart"/>
      <w:r>
        <w:rPr>
          <w:i/>
          <w:iCs/>
        </w:rPr>
        <w:t>ḥadīthihi</w:t>
      </w:r>
      <w:proofErr w:type="spellEnd"/>
      <w:r>
        <w:t xml:space="preserve"> (‘he licensed to me all of his </w:t>
      </w:r>
      <w:proofErr w:type="spellStart"/>
      <w:r>
        <w:t>Ḥadīth</w:t>
      </w:r>
      <w:proofErr w:type="spellEnd"/>
      <w:r>
        <w:t xml:space="preserve">’). </w:t>
      </w:r>
    </w:p>
  </w:footnote>
  <w:footnote w:id="21">
    <w:p w14:paraId="7BEF733B" w14:textId="77777777" w:rsidR="004818C1" w:rsidRDefault="00000000">
      <w:pPr>
        <w:pStyle w:val="FootnoteText"/>
      </w:pPr>
      <w:r>
        <w:rPr>
          <w:rStyle w:val="FootnoteReference"/>
        </w:rPr>
        <w:footnoteRef/>
      </w:r>
      <w:r>
        <w:t xml:space="preserve"> This is the third method of Hadith transmission that Ibn al-</w:t>
      </w:r>
      <w:proofErr w:type="spellStart"/>
      <w:r>
        <w:t>Ṣalāḥ</w:t>
      </w:r>
      <w:proofErr w:type="spellEnd"/>
      <w:r>
        <w:t xml:space="preserve"> discusses. Ibn al-</w:t>
      </w:r>
      <w:proofErr w:type="spellStart"/>
      <w:r>
        <w:t>Ṣalāḥ</w:t>
      </w:r>
      <w:proofErr w:type="spellEnd"/>
      <w:r>
        <w:t xml:space="preserve">, </w:t>
      </w:r>
      <w:r>
        <w:rPr>
          <w:i/>
          <w:iCs/>
        </w:rPr>
        <w:t>Introduction</w:t>
      </w:r>
      <w:r>
        <w:t>, 109–18; Ibn al-</w:t>
      </w:r>
      <w:proofErr w:type="spellStart"/>
      <w:r>
        <w:t>Ṣalāḥ</w:t>
      </w:r>
      <w:proofErr w:type="spellEnd"/>
      <w:r>
        <w:t xml:space="preserve">, </w:t>
      </w:r>
      <w:proofErr w:type="spellStart"/>
      <w:r>
        <w:rPr>
          <w:i/>
          <w:iCs/>
        </w:rPr>
        <w:t>Muqaddima</w:t>
      </w:r>
      <w:proofErr w:type="spellEnd"/>
      <w:r>
        <w:t xml:space="preserve">, 150–64, </w:t>
      </w:r>
      <w:proofErr w:type="spellStart"/>
      <w:r>
        <w:t>ms.</w:t>
      </w:r>
      <w:proofErr w:type="spellEnd"/>
      <w:r>
        <w:t xml:space="preserve"> 065–72.</w:t>
      </w:r>
    </w:p>
  </w:footnote>
  <w:footnote w:id="22">
    <w:p w14:paraId="2C248AB5" w14:textId="77777777" w:rsidR="004818C1"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109; Ibn al-</w:t>
      </w:r>
      <w:proofErr w:type="spellStart"/>
      <w:r>
        <w:t>Ṣalāḥ</w:t>
      </w:r>
      <w:proofErr w:type="spellEnd"/>
      <w:r>
        <w:t xml:space="preserve">, </w:t>
      </w:r>
      <w:proofErr w:type="spellStart"/>
      <w:r>
        <w:rPr>
          <w:i/>
          <w:iCs/>
        </w:rPr>
        <w:t>Muqaddima</w:t>
      </w:r>
      <w:proofErr w:type="spellEnd"/>
      <w:r>
        <w:t xml:space="preserve">, 150, </w:t>
      </w:r>
      <w:proofErr w:type="spellStart"/>
      <w:r>
        <w:t>ms.</w:t>
      </w:r>
      <w:proofErr w:type="spellEnd"/>
      <w:r>
        <w:t xml:space="preserve"> 065.</w:t>
      </w:r>
    </w:p>
  </w:footnote>
  <w:footnote w:id="23">
    <w:p w14:paraId="10EA075E" w14:textId="77777777" w:rsidR="004818C1"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111–12; Ibn al-</w:t>
      </w:r>
      <w:proofErr w:type="spellStart"/>
      <w:r>
        <w:t>Ṣalāḥ</w:t>
      </w:r>
      <w:proofErr w:type="spellEnd"/>
      <w:r>
        <w:t xml:space="preserve">, </w:t>
      </w:r>
      <w:proofErr w:type="spellStart"/>
      <w:r>
        <w:rPr>
          <w:i/>
          <w:iCs/>
        </w:rPr>
        <w:t>Muqaddima</w:t>
      </w:r>
      <w:proofErr w:type="spellEnd"/>
      <w:r>
        <w:t xml:space="preserve">, 154, </w:t>
      </w:r>
      <w:proofErr w:type="spellStart"/>
      <w:r>
        <w:t>ms.</w:t>
      </w:r>
      <w:proofErr w:type="spellEnd"/>
      <w:r>
        <w:t xml:space="preserve"> 067.</w:t>
      </w:r>
    </w:p>
  </w:footnote>
  <w:footnote w:id="24">
    <w:p w14:paraId="7D294ACE" w14:textId="77777777" w:rsidR="004818C1" w:rsidRDefault="00000000">
      <w:pPr>
        <w:pStyle w:val="FootnoteText"/>
      </w:pPr>
      <w:r>
        <w:rPr>
          <w:rStyle w:val="FootnoteReference"/>
        </w:rPr>
        <w:footnoteRef/>
      </w:r>
      <w:r>
        <w:t xml:space="preserve"> </w:t>
      </w:r>
      <w:r>
        <w:rPr>
          <w:color w:val="000000"/>
        </w:rPr>
        <w:t xml:space="preserve">See especially </w:t>
      </w:r>
      <w:r>
        <w:t xml:space="preserve">Davidson, </w:t>
      </w:r>
      <w:r>
        <w:rPr>
          <w:i/>
          <w:iCs/>
        </w:rPr>
        <w:t>Carrying On the Tradition</w:t>
      </w:r>
      <w:r>
        <w:t xml:space="preserve">, 108–51 (chap. 3, ‘Non-oral Transmission in the Oral Idiom: The Development and Function of the </w:t>
      </w:r>
      <w:proofErr w:type="spellStart"/>
      <w:r>
        <w:rPr>
          <w:i/>
          <w:iCs/>
        </w:rPr>
        <w:t>Ijāza</w:t>
      </w:r>
      <w:proofErr w:type="spellEnd"/>
      <w:r>
        <w:t>’).</w:t>
      </w:r>
    </w:p>
  </w:footnote>
  <w:footnote w:id="25">
    <w:p w14:paraId="3427C0BD" w14:textId="77777777" w:rsidR="004818C1" w:rsidRDefault="00000000">
      <w:pPr>
        <w:pStyle w:val="FootnoteText"/>
      </w:pPr>
      <w:r>
        <w:rPr>
          <w:rStyle w:val="FootnoteReference"/>
        </w:rPr>
        <w:footnoteRef/>
      </w:r>
      <w:r>
        <w:t xml:space="preserve"> Davidson, </w:t>
      </w:r>
      <w:r>
        <w:rPr>
          <w:i/>
          <w:iCs/>
        </w:rPr>
        <w:t>Carrying On the Tradition</w:t>
      </w:r>
      <w:r>
        <w:t>, 108–9.</w:t>
      </w:r>
    </w:p>
  </w:footnote>
  <w:footnote w:id="26">
    <w:p w14:paraId="7419EEE5" w14:textId="77777777" w:rsidR="004818C1" w:rsidRDefault="00000000">
      <w:pPr>
        <w:pStyle w:val="FootnoteText"/>
      </w:pPr>
      <w:r>
        <w:rPr>
          <w:rStyle w:val="FootnoteReference"/>
        </w:rPr>
        <w:footnoteRef/>
      </w:r>
      <w:r>
        <w:t xml:space="preserve"> Davidson, </w:t>
      </w:r>
      <w:r>
        <w:rPr>
          <w:i/>
          <w:iCs/>
        </w:rPr>
        <w:t>Carrying On the Tradition</w:t>
      </w:r>
      <w:r>
        <w:t>, 115ff.</w:t>
      </w:r>
    </w:p>
  </w:footnote>
  <w:footnote w:id="27">
    <w:p w14:paraId="21EEB809" w14:textId="77777777" w:rsidR="004818C1" w:rsidRDefault="00000000">
      <w:pPr>
        <w:pStyle w:val="FootnoteText"/>
      </w:pPr>
      <w:r>
        <w:rPr>
          <w:rStyle w:val="FootnoteReference"/>
        </w:rPr>
        <w:footnoteRef/>
      </w:r>
      <w:r>
        <w:t xml:space="preserve"> Davidson, </w:t>
      </w:r>
      <w:r>
        <w:rPr>
          <w:i/>
          <w:iCs/>
        </w:rPr>
        <w:t>Carrying On the Tradition</w:t>
      </w:r>
      <w:r>
        <w:t>, 114.</w:t>
      </w:r>
    </w:p>
  </w:footnote>
  <w:footnote w:id="28">
    <w:p w14:paraId="5E16FA06" w14:textId="77777777" w:rsidR="004818C1" w:rsidRDefault="00000000">
      <w:pPr>
        <w:pStyle w:val="FootnoteText"/>
      </w:pPr>
      <w:r>
        <w:rPr>
          <w:rStyle w:val="FootnoteReference"/>
        </w:rPr>
        <w:footnoteRef/>
      </w:r>
      <w:r>
        <w:t xml:space="preserve"> Davidson, </w:t>
      </w:r>
      <w:r>
        <w:rPr>
          <w:i/>
          <w:iCs/>
        </w:rPr>
        <w:t>Carrying On the Tradition</w:t>
      </w:r>
      <w:r>
        <w:t>, 124–5.</w:t>
      </w:r>
    </w:p>
  </w:footnote>
  <w:footnote w:id="29">
    <w:p w14:paraId="3282A055" w14:textId="77777777" w:rsidR="004818C1" w:rsidRDefault="00000000">
      <w:pPr>
        <w:pStyle w:val="FootnoteText"/>
      </w:pPr>
      <w:r>
        <w:rPr>
          <w:rStyle w:val="FootnoteReference"/>
        </w:rPr>
        <w:footnoteRef/>
      </w:r>
      <w:r>
        <w:rPr>
          <w:lang w:val="en-GB"/>
        </w:rPr>
        <w:t xml:space="preserve"> Savant and Seydi, ‘Ibn </w:t>
      </w:r>
      <w:proofErr w:type="spellStart"/>
      <w:r>
        <w:rPr>
          <w:lang w:val="en-GB"/>
        </w:rPr>
        <w:t>ʿAsākir</w:t>
      </w:r>
      <w:proofErr w:type="spellEnd"/>
      <w:r>
        <w:rPr>
          <w:lang w:val="en-GB"/>
        </w:rPr>
        <w:t xml:space="preserve"> and His History of Damascus’, ‘</w:t>
      </w:r>
      <w:proofErr w:type="spellStart"/>
      <w:r>
        <w:rPr>
          <w:lang w:val="en-GB"/>
        </w:rPr>
        <w:t>Isnads_with_Search_Terms</w:t>
      </w:r>
      <w:proofErr w:type="spellEnd"/>
      <w:r>
        <w:rPr>
          <w:lang w:val="en-GB"/>
        </w:rPr>
        <w:t>’,</w:t>
      </w:r>
      <w:r>
        <w:rPr>
          <w:rFonts w:cs="Arial"/>
          <w:kern w:val="3"/>
          <w:sz w:val="22"/>
          <w:szCs w:val="22"/>
          <w:lang w:val="en-GB" w:eastAsia="en-US"/>
        </w:rPr>
        <w:t xml:space="preserve"> </w:t>
      </w:r>
      <w:r>
        <w:rPr>
          <w:lang w:val="en-GB"/>
        </w:rPr>
        <w:t>table ‘</w:t>
      </w:r>
      <w:proofErr w:type="spellStart"/>
      <w:r>
        <w:rPr>
          <w:lang w:val="en-GB"/>
        </w:rPr>
        <w:t>TC_Ijazatan</w:t>
      </w:r>
      <w:proofErr w:type="spellEnd"/>
      <w:r>
        <w:rPr>
          <w:lang w:val="en-GB"/>
        </w:rPr>
        <w:t>’.</w:t>
      </w:r>
    </w:p>
  </w:footnote>
  <w:footnote w:id="30">
    <w:p w14:paraId="584DA2C9" w14:textId="77777777" w:rsidR="004818C1" w:rsidRDefault="00000000">
      <w:pPr>
        <w:spacing w:after="0"/>
      </w:pPr>
      <w:r>
        <w:rPr>
          <w:rStyle w:val="FootnoteReference"/>
        </w:rPr>
        <w:footnoteRef/>
      </w:r>
      <w:r>
        <w:rPr>
          <w:rFonts w:cs="Calibri"/>
          <w:sz w:val="20"/>
          <w:szCs w:val="20"/>
        </w:rPr>
        <w:t xml:space="preserve"> </w:t>
      </w:r>
      <w:proofErr w:type="spellStart"/>
      <w:r>
        <w:rPr>
          <w:rFonts w:cs="Calibri"/>
          <w:sz w:val="20"/>
          <w:szCs w:val="20"/>
        </w:rPr>
        <w:t>Scheiner</w:t>
      </w:r>
      <w:proofErr w:type="spellEnd"/>
      <w:r>
        <w:rPr>
          <w:rFonts w:cs="Calibri"/>
          <w:sz w:val="20"/>
          <w:szCs w:val="20"/>
        </w:rPr>
        <w:t xml:space="preserve"> lists Abu 'Abd Allah al-</w:t>
      </w:r>
      <w:proofErr w:type="spellStart"/>
      <w:r>
        <w:rPr>
          <w:rFonts w:cs="Calibri"/>
          <w:sz w:val="20"/>
          <w:szCs w:val="20"/>
        </w:rPr>
        <w:t>Furawi</w:t>
      </w:r>
      <w:proofErr w:type="spellEnd"/>
      <w:r>
        <w:rPr>
          <w:rFonts w:cs="Calibri"/>
          <w:sz w:val="20"/>
          <w:szCs w:val="20"/>
        </w:rPr>
        <w:t xml:space="preserve"> (d. 530/1136) as a transmitter in two </w:t>
      </w:r>
      <w:proofErr w:type="spellStart"/>
      <w:r>
        <w:rPr>
          <w:rFonts w:cs="Calibri"/>
          <w:i/>
          <w:iCs/>
          <w:sz w:val="20"/>
          <w:szCs w:val="20"/>
        </w:rPr>
        <w:t>riwāya</w:t>
      </w:r>
      <w:r>
        <w:rPr>
          <w:rFonts w:cs="Calibri"/>
          <w:sz w:val="20"/>
          <w:szCs w:val="20"/>
        </w:rPr>
        <w:t>s</w:t>
      </w:r>
      <w:proofErr w:type="spellEnd"/>
      <w:r>
        <w:rPr>
          <w:rFonts w:cs="Calibri"/>
          <w:sz w:val="20"/>
          <w:szCs w:val="20"/>
        </w:rPr>
        <w:t>, for works by al-</w:t>
      </w:r>
      <w:proofErr w:type="spellStart"/>
      <w:r>
        <w:rPr>
          <w:rFonts w:cs="Calibri"/>
          <w:sz w:val="20"/>
          <w:szCs w:val="20"/>
        </w:rPr>
        <w:t>Ḥākim</w:t>
      </w:r>
      <w:proofErr w:type="spellEnd"/>
      <w:r>
        <w:rPr>
          <w:rFonts w:cs="Calibri"/>
          <w:sz w:val="20"/>
          <w:szCs w:val="20"/>
        </w:rPr>
        <w:t xml:space="preserve"> al-</w:t>
      </w:r>
      <w:proofErr w:type="spellStart"/>
      <w:r>
        <w:rPr>
          <w:rFonts w:cs="Calibri"/>
          <w:sz w:val="20"/>
          <w:szCs w:val="20"/>
        </w:rPr>
        <w:t>Nayṣābūrī</w:t>
      </w:r>
      <w:proofErr w:type="spellEnd"/>
      <w:r>
        <w:rPr>
          <w:rFonts w:cs="Calibri"/>
          <w:sz w:val="20"/>
          <w:szCs w:val="20"/>
        </w:rPr>
        <w:t xml:space="preserve"> (d. 403/1012, </w:t>
      </w:r>
      <w:proofErr w:type="spellStart"/>
      <w:r>
        <w:rPr>
          <w:rFonts w:cs="Calibri"/>
          <w:i/>
          <w:iCs/>
          <w:sz w:val="20"/>
          <w:szCs w:val="20"/>
        </w:rPr>
        <w:t>Kitāb</w:t>
      </w:r>
      <w:proofErr w:type="spellEnd"/>
      <w:r>
        <w:rPr>
          <w:rFonts w:cs="Calibri"/>
          <w:i/>
          <w:iCs/>
          <w:sz w:val="20"/>
          <w:szCs w:val="20"/>
        </w:rPr>
        <w:t xml:space="preserve"> </w:t>
      </w:r>
      <w:proofErr w:type="spellStart"/>
      <w:r>
        <w:rPr>
          <w:rFonts w:cs="Calibri"/>
          <w:i/>
          <w:iCs/>
          <w:sz w:val="20"/>
          <w:szCs w:val="20"/>
        </w:rPr>
        <w:t>MuIntikī</w:t>
      </w:r>
      <w:proofErr w:type="spellEnd"/>
      <w:r>
        <w:rPr>
          <w:rFonts w:cs="Calibri"/>
          <w:i/>
          <w:iCs/>
          <w:sz w:val="20"/>
          <w:szCs w:val="20"/>
        </w:rPr>
        <w:t xml:space="preserve"> </w:t>
      </w:r>
      <w:proofErr w:type="spellStart"/>
      <w:r>
        <w:rPr>
          <w:rFonts w:cs="Calibri"/>
          <w:i/>
          <w:iCs/>
          <w:sz w:val="20"/>
          <w:szCs w:val="20"/>
        </w:rPr>
        <w:t>ruwāt</w:t>
      </w:r>
      <w:proofErr w:type="spellEnd"/>
      <w:r>
        <w:rPr>
          <w:rFonts w:cs="Calibri"/>
          <w:i/>
          <w:iCs/>
          <w:sz w:val="20"/>
          <w:szCs w:val="20"/>
        </w:rPr>
        <w:t xml:space="preserve"> al-</w:t>
      </w:r>
      <w:proofErr w:type="spellStart"/>
      <w:r>
        <w:rPr>
          <w:rFonts w:cs="Calibri"/>
          <w:i/>
          <w:iCs/>
          <w:sz w:val="20"/>
          <w:szCs w:val="20"/>
        </w:rPr>
        <w:t>akhbār</w:t>
      </w:r>
      <w:proofErr w:type="spellEnd"/>
      <w:r>
        <w:rPr>
          <w:rFonts w:cs="Calibri"/>
          <w:sz w:val="20"/>
          <w:szCs w:val="20"/>
        </w:rPr>
        <w:t xml:space="preserve">) and </w:t>
      </w:r>
      <w:proofErr w:type="spellStart"/>
      <w:r>
        <w:rPr>
          <w:rFonts w:cs="Calibri"/>
          <w:sz w:val="20"/>
          <w:szCs w:val="20"/>
        </w:rPr>
        <w:t>Yazīd</w:t>
      </w:r>
      <w:proofErr w:type="spellEnd"/>
      <w:r>
        <w:rPr>
          <w:rFonts w:cs="Calibri"/>
          <w:sz w:val="20"/>
          <w:szCs w:val="20"/>
        </w:rPr>
        <w:t xml:space="preserve"> b. </w:t>
      </w:r>
      <w:proofErr w:type="spellStart"/>
      <w:r>
        <w:rPr>
          <w:rFonts w:cs="Calibri"/>
          <w:sz w:val="20"/>
          <w:szCs w:val="20"/>
        </w:rPr>
        <w:t>Muḥammad</w:t>
      </w:r>
      <w:proofErr w:type="spellEnd"/>
      <w:r>
        <w:rPr>
          <w:rFonts w:cs="Calibri"/>
          <w:sz w:val="20"/>
          <w:szCs w:val="20"/>
        </w:rPr>
        <w:t xml:space="preserve"> b. </w:t>
      </w:r>
      <w:proofErr w:type="spellStart"/>
      <w:r>
        <w:rPr>
          <w:rFonts w:cs="Calibri"/>
          <w:sz w:val="20"/>
          <w:szCs w:val="20"/>
        </w:rPr>
        <w:t>Iyās</w:t>
      </w:r>
      <w:proofErr w:type="spellEnd"/>
      <w:r>
        <w:rPr>
          <w:rFonts w:cs="Calibri"/>
          <w:sz w:val="20"/>
          <w:szCs w:val="20"/>
        </w:rPr>
        <w:t xml:space="preserve"> al-</w:t>
      </w:r>
      <w:proofErr w:type="spellStart"/>
      <w:r>
        <w:rPr>
          <w:rFonts w:cs="Calibri"/>
          <w:sz w:val="20"/>
          <w:szCs w:val="20"/>
        </w:rPr>
        <w:t>Azdī</w:t>
      </w:r>
      <w:proofErr w:type="spellEnd"/>
      <w:r>
        <w:rPr>
          <w:rFonts w:cs="Calibri"/>
          <w:sz w:val="20"/>
          <w:szCs w:val="20"/>
        </w:rPr>
        <w:t xml:space="preserve"> al-</w:t>
      </w:r>
      <w:proofErr w:type="spellStart"/>
      <w:r>
        <w:rPr>
          <w:rFonts w:cs="Calibri"/>
          <w:sz w:val="20"/>
          <w:szCs w:val="20"/>
        </w:rPr>
        <w:t>Mawṣilī</w:t>
      </w:r>
      <w:proofErr w:type="spellEnd"/>
      <w:r>
        <w:rPr>
          <w:rFonts w:cs="Calibri"/>
          <w:sz w:val="20"/>
          <w:szCs w:val="20"/>
        </w:rPr>
        <w:t xml:space="preserve"> (d. 334/946, </w:t>
      </w:r>
      <w:proofErr w:type="spellStart"/>
      <w:r>
        <w:rPr>
          <w:rFonts w:cs="Calibri"/>
          <w:i/>
          <w:iCs/>
          <w:sz w:val="20"/>
          <w:szCs w:val="20"/>
        </w:rPr>
        <w:t>Kitāb</w:t>
      </w:r>
      <w:proofErr w:type="spellEnd"/>
      <w:r>
        <w:rPr>
          <w:rFonts w:cs="Calibri"/>
          <w:i/>
          <w:iCs/>
          <w:sz w:val="20"/>
          <w:szCs w:val="20"/>
        </w:rPr>
        <w:t xml:space="preserve"> </w:t>
      </w:r>
      <w:proofErr w:type="spellStart"/>
      <w:r>
        <w:rPr>
          <w:rFonts w:cs="Calibri"/>
          <w:i/>
          <w:iCs/>
          <w:sz w:val="20"/>
          <w:szCs w:val="20"/>
        </w:rPr>
        <w:t>Ṭabaqāt</w:t>
      </w:r>
      <w:proofErr w:type="spellEnd"/>
      <w:r>
        <w:rPr>
          <w:rFonts w:cs="Calibri"/>
          <w:i/>
          <w:iCs/>
          <w:sz w:val="20"/>
          <w:szCs w:val="20"/>
        </w:rPr>
        <w:t xml:space="preserve"> </w:t>
      </w:r>
      <w:proofErr w:type="spellStart"/>
      <w:r>
        <w:rPr>
          <w:rFonts w:cs="Calibri"/>
          <w:i/>
          <w:iCs/>
          <w:sz w:val="20"/>
          <w:szCs w:val="20"/>
        </w:rPr>
        <w:t>muḥaddithī</w:t>
      </w:r>
      <w:proofErr w:type="spellEnd"/>
      <w:r>
        <w:rPr>
          <w:rFonts w:cs="Calibri"/>
          <w:i/>
          <w:iCs/>
          <w:sz w:val="20"/>
          <w:szCs w:val="20"/>
        </w:rPr>
        <w:t xml:space="preserve"> ahl al-</w:t>
      </w:r>
      <w:proofErr w:type="spellStart"/>
      <w:r>
        <w:rPr>
          <w:rFonts w:cs="Calibri"/>
          <w:i/>
          <w:iCs/>
          <w:sz w:val="20"/>
          <w:szCs w:val="20"/>
        </w:rPr>
        <w:t>Mawṣil</w:t>
      </w:r>
      <w:proofErr w:type="spellEnd"/>
      <w:r>
        <w:rPr>
          <w:rFonts w:cs="Calibri"/>
          <w:sz w:val="20"/>
          <w:szCs w:val="20"/>
        </w:rPr>
        <w:t xml:space="preserve">). According to Mourad, Ibn </w:t>
      </w:r>
      <w:proofErr w:type="spellStart"/>
      <w:r>
        <w:rPr>
          <w:rFonts w:cs="Calibri"/>
          <w:sz w:val="20"/>
          <w:szCs w:val="20"/>
        </w:rPr>
        <w:t>ʿAsākir</w:t>
      </w:r>
      <w:proofErr w:type="spellEnd"/>
      <w:r>
        <w:rPr>
          <w:rFonts w:cs="Calibri"/>
          <w:sz w:val="20"/>
          <w:szCs w:val="20"/>
        </w:rPr>
        <w:t xml:space="preserve"> sought him out in Nishapur, and he taught Ibn </w:t>
      </w:r>
      <w:proofErr w:type="spellStart"/>
      <w:r>
        <w:rPr>
          <w:rFonts w:cs="Calibri"/>
          <w:sz w:val="20"/>
          <w:szCs w:val="20"/>
        </w:rPr>
        <w:t>ʿAsākir</w:t>
      </w:r>
      <w:proofErr w:type="spellEnd"/>
      <w:r>
        <w:rPr>
          <w:rFonts w:cs="Calibri"/>
          <w:sz w:val="20"/>
          <w:szCs w:val="20"/>
        </w:rPr>
        <w:t xml:space="preserve"> the </w:t>
      </w:r>
      <w:proofErr w:type="spellStart"/>
      <w:r>
        <w:rPr>
          <w:rFonts w:cs="Calibri"/>
          <w:i/>
          <w:iCs/>
          <w:sz w:val="20"/>
          <w:szCs w:val="20"/>
        </w:rPr>
        <w:t>Dalāʾil</w:t>
      </w:r>
      <w:proofErr w:type="spellEnd"/>
      <w:r>
        <w:rPr>
          <w:rFonts w:cs="Calibri"/>
          <w:i/>
          <w:iCs/>
          <w:sz w:val="20"/>
          <w:szCs w:val="20"/>
        </w:rPr>
        <w:t xml:space="preserve"> al-</w:t>
      </w:r>
      <w:proofErr w:type="spellStart"/>
      <w:r>
        <w:rPr>
          <w:rFonts w:cs="Calibri"/>
          <w:i/>
          <w:iCs/>
          <w:sz w:val="20"/>
          <w:szCs w:val="20"/>
        </w:rPr>
        <w:t>nubuwwa</w:t>
      </w:r>
      <w:proofErr w:type="spellEnd"/>
      <w:r>
        <w:rPr>
          <w:rFonts w:cs="Calibri"/>
          <w:sz w:val="20"/>
          <w:szCs w:val="20"/>
        </w:rPr>
        <w:t xml:space="preserve"> of al-</w:t>
      </w:r>
      <w:proofErr w:type="spellStart"/>
      <w:r>
        <w:rPr>
          <w:rFonts w:cs="Calibri"/>
          <w:sz w:val="20"/>
          <w:szCs w:val="20"/>
        </w:rPr>
        <w:t>Bayhaqī</w:t>
      </w:r>
      <w:proofErr w:type="spellEnd"/>
      <w:r>
        <w:rPr>
          <w:rFonts w:cs="Calibri"/>
          <w:sz w:val="20"/>
          <w:szCs w:val="20"/>
        </w:rPr>
        <w:t xml:space="preserve"> and all the books of the Hadith canon: the </w:t>
      </w:r>
      <w:proofErr w:type="spellStart"/>
      <w:r>
        <w:rPr>
          <w:rFonts w:cs="Calibri"/>
          <w:i/>
          <w:iCs/>
          <w:sz w:val="20"/>
          <w:szCs w:val="20"/>
        </w:rPr>
        <w:t>Ṣaḥīh</w:t>
      </w:r>
      <w:proofErr w:type="spellEnd"/>
      <w:r>
        <w:rPr>
          <w:rFonts w:cs="Calibri"/>
          <w:sz w:val="20"/>
          <w:szCs w:val="20"/>
        </w:rPr>
        <w:t xml:space="preserve"> of al-</w:t>
      </w:r>
      <w:proofErr w:type="spellStart"/>
      <w:r>
        <w:rPr>
          <w:rFonts w:cs="Calibri"/>
          <w:sz w:val="20"/>
          <w:szCs w:val="20"/>
        </w:rPr>
        <w:t>Bukhārī</w:t>
      </w:r>
      <w:proofErr w:type="spellEnd"/>
      <w:r>
        <w:rPr>
          <w:rFonts w:cs="Calibri"/>
          <w:sz w:val="20"/>
          <w:szCs w:val="20"/>
        </w:rPr>
        <w:t xml:space="preserve"> (d. 256/870), the </w:t>
      </w:r>
      <w:proofErr w:type="spellStart"/>
      <w:r>
        <w:rPr>
          <w:rFonts w:cs="Calibri"/>
          <w:i/>
          <w:iCs/>
          <w:sz w:val="20"/>
          <w:szCs w:val="20"/>
        </w:rPr>
        <w:t>Ṣaḥīḥ</w:t>
      </w:r>
      <w:proofErr w:type="spellEnd"/>
      <w:r>
        <w:rPr>
          <w:rFonts w:cs="Calibri"/>
          <w:sz w:val="20"/>
          <w:szCs w:val="20"/>
        </w:rPr>
        <w:t xml:space="preserve"> of Muslim (d. 261/875), the </w:t>
      </w:r>
      <w:r>
        <w:rPr>
          <w:rFonts w:cs="Calibri"/>
          <w:i/>
          <w:iCs/>
          <w:sz w:val="20"/>
          <w:szCs w:val="20"/>
        </w:rPr>
        <w:t>Sunan</w:t>
      </w:r>
      <w:r>
        <w:rPr>
          <w:rFonts w:cs="Calibri"/>
          <w:sz w:val="20"/>
          <w:szCs w:val="20"/>
        </w:rPr>
        <w:t xml:space="preserve"> of </w:t>
      </w:r>
      <w:proofErr w:type="spellStart"/>
      <w:r>
        <w:rPr>
          <w:rFonts w:cs="Calibri"/>
          <w:sz w:val="20"/>
          <w:szCs w:val="20"/>
        </w:rPr>
        <w:t>Abū</w:t>
      </w:r>
      <w:proofErr w:type="spellEnd"/>
      <w:r>
        <w:rPr>
          <w:rFonts w:cs="Calibri"/>
          <w:sz w:val="20"/>
          <w:szCs w:val="20"/>
        </w:rPr>
        <w:t xml:space="preserve"> </w:t>
      </w:r>
      <w:proofErr w:type="spellStart"/>
      <w:r>
        <w:rPr>
          <w:rFonts w:cs="Calibri"/>
          <w:sz w:val="20"/>
          <w:szCs w:val="20"/>
        </w:rPr>
        <w:t>Dāwūd</w:t>
      </w:r>
      <w:proofErr w:type="spellEnd"/>
      <w:r>
        <w:rPr>
          <w:rFonts w:cs="Calibri"/>
          <w:sz w:val="20"/>
          <w:szCs w:val="20"/>
        </w:rPr>
        <w:t xml:space="preserve"> (d. 275/889), the </w:t>
      </w:r>
      <w:proofErr w:type="spellStart"/>
      <w:r>
        <w:rPr>
          <w:rFonts w:cs="Calibri"/>
          <w:i/>
          <w:iCs/>
          <w:sz w:val="20"/>
          <w:szCs w:val="20"/>
        </w:rPr>
        <w:t>Jamīʿ</w:t>
      </w:r>
      <w:proofErr w:type="spellEnd"/>
      <w:r>
        <w:rPr>
          <w:rFonts w:cs="Calibri"/>
          <w:i/>
          <w:iCs/>
          <w:sz w:val="20"/>
          <w:szCs w:val="20"/>
        </w:rPr>
        <w:t xml:space="preserve"> al-</w:t>
      </w:r>
      <w:proofErr w:type="spellStart"/>
      <w:r>
        <w:rPr>
          <w:rFonts w:cs="Calibri"/>
          <w:i/>
          <w:iCs/>
          <w:sz w:val="20"/>
          <w:szCs w:val="20"/>
        </w:rPr>
        <w:t>kabīr</w:t>
      </w:r>
      <w:proofErr w:type="spellEnd"/>
      <w:r>
        <w:rPr>
          <w:rFonts w:cs="Calibri"/>
          <w:sz w:val="20"/>
          <w:szCs w:val="20"/>
        </w:rPr>
        <w:t xml:space="preserve"> of al-</w:t>
      </w:r>
      <w:proofErr w:type="spellStart"/>
      <w:r>
        <w:rPr>
          <w:rFonts w:cs="Calibri"/>
          <w:sz w:val="20"/>
          <w:szCs w:val="20"/>
        </w:rPr>
        <w:t>Tirmidhī</w:t>
      </w:r>
      <w:proofErr w:type="spellEnd"/>
      <w:r>
        <w:rPr>
          <w:rFonts w:cs="Calibri"/>
          <w:sz w:val="20"/>
          <w:szCs w:val="20"/>
        </w:rPr>
        <w:t xml:space="preserve"> (d. 279/892) and the </w:t>
      </w:r>
      <w:r>
        <w:rPr>
          <w:rFonts w:cs="Calibri"/>
          <w:i/>
          <w:iCs/>
          <w:sz w:val="20"/>
          <w:szCs w:val="20"/>
        </w:rPr>
        <w:t>Sunan al-</w:t>
      </w:r>
      <w:proofErr w:type="spellStart"/>
      <w:r>
        <w:rPr>
          <w:rFonts w:cs="Calibri"/>
          <w:i/>
          <w:iCs/>
          <w:sz w:val="20"/>
          <w:szCs w:val="20"/>
        </w:rPr>
        <w:t>kubrā</w:t>
      </w:r>
      <w:proofErr w:type="spellEnd"/>
      <w:r>
        <w:rPr>
          <w:rFonts w:cs="Calibri"/>
          <w:sz w:val="20"/>
          <w:szCs w:val="20"/>
        </w:rPr>
        <w:t xml:space="preserve"> of al-</w:t>
      </w:r>
      <w:proofErr w:type="spellStart"/>
      <w:r>
        <w:rPr>
          <w:rFonts w:cs="Calibri"/>
          <w:sz w:val="20"/>
          <w:szCs w:val="20"/>
        </w:rPr>
        <w:t>Nasāʾī</w:t>
      </w:r>
      <w:proofErr w:type="spellEnd"/>
      <w:r>
        <w:rPr>
          <w:rFonts w:cs="Calibri"/>
          <w:sz w:val="20"/>
          <w:szCs w:val="20"/>
        </w:rPr>
        <w:t xml:space="preserve"> (d. 303/915). Mourad recounts a story according to which Abu 'Abd Allah al-</w:t>
      </w:r>
      <w:proofErr w:type="spellStart"/>
      <w:r>
        <w:rPr>
          <w:rFonts w:cs="Calibri"/>
          <w:sz w:val="20"/>
          <w:szCs w:val="20"/>
        </w:rPr>
        <w:t>Furawi</w:t>
      </w:r>
      <w:proofErr w:type="spellEnd"/>
      <w:r>
        <w:rPr>
          <w:rFonts w:cs="Calibri"/>
          <w:sz w:val="20"/>
          <w:szCs w:val="20"/>
        </w:rPr>
        <w:t xml:space="preserve"> was irritated by Ibn </w:t>
      </w:r>
      <w:proofErr w:type="spellStart"/>
      <w:r>
        <w:rPr>
          <w:rFonts w:cs="Calibri"/>
          <w:sz w:val="20"/>
          <w:szCs w:val="20"/>
        </w:rPr>
        <w:t>ʿAsākir’s</w:t>
      </w:r>
      <w:proofErr w:type="spellEnd"/>
      <w:r>
        <w:rPr>
          <w:rFonts w:cs="Calibri"/>
          <w:sz w:val="20"/>
          <w:szCs w:val="20"/>
        </w:rPr>
        <w:t xml:space="preserve"> pestering until someone reported having had a dream in which the Prophet Muhammad declared Abu 'Abd Allah al-</w:t>
      </w:r>
      <w:proofErr w:type="spellStart"/>
      <w:r>
        <w:rPr>
          <w:rFonts w:cs="Calibri"/>
          <w:sz w:val="20"/>
          <w:szCs w:val="20"/>
        </w:rPr>
        <w:t>Furawi</w:t>
      </w:r>
      <w:proofErr w:type="spellEnd"/>
      <w:r>
        <w:rPr>
          <w:rFonts w:cs="Calibri"/>
          <w:sz w:val="20"/>
          <w:szCs w:val="20"/>
        </w:rPr>
        <w:t xml:space="preserve"> should be patient with the ‘young dark-skinned Syrian’ (that is, Ibn </w:t>
      </w:r>
      <w:proofErr w:type="spellStart"/>
      <w:r>
        <w:rPr>
          <w:rFonts w:cs="Calibri"/>
          <w:sz w:val="20"/>
          <w:szCs w:val="20"/>
        </w:rPr>
        <w:t>ʿAsākir</w:t>
      </w:r>
      <w:proofErr w:type="spellEnd"/>
      <w:r>
        <w:rPr>
          <w:rFonts w:cs="Calibri"/>
          <w:sz w:val="20"/>
          <w:szCs w:val="20"/>
        </w:rPr>
        <w:t xml:space="preserve">) and teach him Hadith. Mourad, </w:t>
      </w:r>
      <w:r>
        <w:rPr>
          <w:rFonts w:cs="Calibri"/>
          <w:i/>
          <w:iCs/>
          <w:sz w:val="20"/>
          <w:szCs w:val="20"/>
        </w:rPr>
        <w:t>Ibn ‘</w:t>
      </w:r>
      <w:proofErr w:type="spellStart"/>
      <w:r>
        <w:rPr>
          <w:rFonts w:cs="Calibri"/>
          <w:i/>
          <w:iCs/>
          <w:sz w:val="20"/>
          <w:szCs w:val="20"/>
        </w:rPr>
        <w:t>Asakir</w:t>
      </w:r>
      <w:proofErr w:type="spellEnd"/>
      <w:r>
        <w:rPr>
          <w:rFonts w:cs="Calibri"/>
          <w:i/>
          <w:iCs/>
          <w:sz w:val="20"/>
          <w:szCs w:val="20"/>
        </w:rPr>
        <w:t xml:space="preserve"> of Damascus</w:t>
      </w:r>
      <w:r>
        <w:rPr>
          <w:rFonts w:cs="Calibri"/>
          <w:sz w:val="20"/>
          <w:szCs w:val="20"/>
        </w:rPr>
        <w:t>, 23–4.</w:t>
      </w:r>
    </w:p>
  </w:footnote>
  <w:footnote w:id="31">
    <w:p w14:paraId="356AE4EB" w14:textId="77777777" w:rsidR="004818C1" w:rsidRDefault="00000000">
      <w:pPr>
        <w:pStyle w:val="FootnoteText"/>
      </w:pPr>
      <w:r>
        <w:rPr>
          <w:rStyle w:val="FootnoteReference"/>
        </w:rPr>
        <w:footnoteRef/>
      </w:r>
      <w:r>
        <w:t xml:space="preserve"> </w:t>
      </w:r>
      <w:r>
        <w:rPr>
          <w:szCs w:val="24"/>
        </w:rPr>
        <w:t>Jeremy Farrell, ‘</w:t>
      </w:r>
      <w:proofErr w:type="spellStart"/>
      <w:r>
        <w:rPr>
          <w:szCs w:val="24"/>
        </w:rPr>
        <w:t>Jaʿfar</w:t>
      </w:r>
      <w:proofErr w:type="spellEnd"/>
      <w:r>
        <w:rPr>
          <w:szCs w:val="24"/>
        </w:rPr>
        <w:t xml:space="preserve"> al-</w:t>
      </w:r>
      <w:proofErr w:type="spellStart"/>
      <w:r>
        <w:rPr>
          <w:szCs w:val="24"/>
        </w:rPr>
        <w:t>Khuldī</w:t>
      </w:r>
      <w:proofErr w:type="spellEnd"/>
      <w:r>
        <w:rPr>
          <w:szCs w:val="24"/>
        </w:rPr>
        <w:t xml:space="preserve"> (d. 348/959) and the Early Sufi Textual Tradition: Text-critical and computational approaches’ (PhD Dissertation: Emory University, 2021), 83–99, 130–40.</w:t>
      </w:r>
    </w:p>
  </w:footnote>
  <w:footnote w:id="32">
    <w:p w14:paraId="60DCD46D" w14:textId="77777777" w:rsidR="004818C1" w:rsidRDefault="00000000">
      <w:pPr>
        <w:pStyle w:val="FootnoteText"/>
      </w:pPr>
      <w:r>
        <w:rPr>
          <w:rStyle w:val="FootnoteReference"/>
        </w:rPr>
        <w:footnoteRef/>
      </w:r>
      <w:r>
        <w:t xml:space="preserve"> </w:t>
      </w:r>
      <w:r>
        <w:rPr>
          <w:lang w:val="en-GB"/>
        </w:rPr>
        <w:t xml:space="preserve">The argument has been made that the phrase alludes to an </w:t>
      </w:r>
      <w:proofErr w:type="spellStart"/>
      <w:r>
        <w:rPr>
          <w:i/>
          <w:iCs/>
          <w:lang w:val="en-GB"/>
        </w:rPr>
        <w:t>ijāza</w:t>
      </w:r>
      <w:proofErr w:type="spellEnd"/>
      <w:r>
        <w:rPr>
          <w:lang w:val="en-GB"/>
        </w:rPr>
        <w:t xml:space="preserve"> for books acquired by written correspondence. Ibn </w:t>
      </w:r>
      <w:proofErr w:type="spellStart"/>
      <w:r>
        <w:rPr>
          <w:lang w:val="en-GB"/>
        </w:rPr>
        <w:t>ʿAsākir’s</w:t>
      </w:r>
      <w:proofErr w:type="spellEnd"/>
      <w:r>
        <w:rPr>
          <w:lang w:val="en-GB"/>
        </w:rPr>
        <w:t xml:space="preserve"> slight citation of </w:t>
      </w:r>
      <w:proofErr w:type="spellStart"/>
      <w:r>
        <w:rPr>
          <w:i/>
          <w:iCs/>
          <w:lang w:val="en-GB"/>
        </w:rPr>
        <w:t>ijāza</w:t>
      </w:r>
      <w:r>
        <w:rPr>
          <w:lang w:val="en-GB"/>
        </w:rPr>
        <w:t>s</w:t>
      </w:r>
      <w:proofErr w:type="spellEnd"/>
      <w:r>
        <w:rPr>
          <w:lang w:val="en-GB"/>
        </w:rPr>
        <w:t xml:space="preserve"> makes us sceptical that this is what he is saying.</w:t>
      </w:r>
    </w:p>
  </w:footnote>
  <w:footnote w:id="33">
    <w:p w14:paraId="12CE3743" w14:textId="77777777" w:rsidR="004818C1" w:rsidRDefault="00000000">
      <w:pPr>
        <w:pStyle w:val="FootnoteText"/>
      </w:pPr>
      <w:r>
        <w:rPr>
          <w:rStyle w:val="FootnoteReference"/>
        </w:rPr>
        <w:footnoteRef/>
      </w:r>
      <w:r>
        <w:rPr>
          <w:lang w:val="en-GB"/>
        </w:rPr>
        <w:t xml:space="preserve"> Personal communication, 10 February 2023.</w:t>
      </w:r>
    </w:p>
  </w:footnote>
  <w:footnote w:id="34">
    <w:p w14:paraId="0C2ABAC4" w14:textId="77777777" w:rsidR="004818C1" w:rsidRDefault="00000000">
      <w:pPr>
        <w:pStyle w:val="FootnoteText"/>
      </w:pPr>
      <w:r>
        <w:rPr>
          <w:rStyle w:val="FootnoteReference"/>
        </w:rPr>
        <w:footnoteRef/>
      </w:r>
      <w:r>
        <w:rPr>
          <w:lang w:val="en-GB"/>
        </w:rPr>
        <w:t xml:space="preserve"> Dickinson translates </w:t>
      </w:r>
      <w:proofErr w:type="spellStart"/>
      <w:r>
        <w:rPr>
          <w:i/>
          <w:iCs/>
          <w:lang w:val="en-GB"/>
        </w:rPr>
        <w:t>munāwalatan</w:t>
      </w:r>
      <w:proofErr w:type="spellEnd"/>
      <w:r>
        <w:rPr>
          <w:lang w:val="en-GB"/>
        </w:rPr>
        <w:t xml:space="preserve"> as ‘transference’, but we have used the more specific ‘handing over’, following Devin Stewart (personal communication 15 July 2023). Another possibility would be ‘passing along’, following </w:t>
      </w:r>
      <w:proofErr w:type="spellStart"/>
      <w:r>
        <w:rPr>
          <w:lang w:val="en-GB"/>
        </w:rPr>
        <w:t>Librande’s</w:t>
      </w:r>
      <w:proofErr w:type="spellEnd"/>
      <w:r>
        <w:rPr>
          <w:lang w:val="en-GB"/>
        </w:rPr>
        <w:t xml:space="preserve"> translation of al-</w:t>
      </w:r>
      <w:proofErr w:type="spellStart"/>
      <w:r>
        <w:rPr>
          <w:lang w:val="en-GB"/>
        </w:rPr>
        <w:t>Mayyānishī’s</w:t>
      </w:r>
      <w:proofErr w:type="spellEnd"/>
      <w:r>
        <w:rPr>
          <w:lang w:val="en-GB"/>
        </w:rPr>
        <w:t xml:space="preserve"> </w:t>
      </w:r>
      <w:proofErr w:type="spellStart"/>
      <w:r>
        <w:rPr>
          <w:i/>
          <w:iCs/>
          <w:lang w:val="en-GB"/>
        </w:rPr>
        <w:t>Mā</w:t>
      </w:r>
      <w:proofErr w:type="spellEnd"/>
      <w:r>
        <w:rPr>
          <w:i/>
          <w:iCs/>
          <w:lang w:val="en-GB"/>
        </w:rPr>
        <w:t xml:space="preserve"> </w:t>
      </w:r>
      <w:proofErr w:type="spellStart"/>
      <w:r>
        <w:rPr>
          <w:i/>
          <w:iCs/>
          <w:lang w:val="en-GB"/>
        </w:rPr>
        <w:t>lā</w:t>
      </w:r>
      <w:proofErr w:type="spellEnd"/>
      <w:r>
        <w:rPr>
          <w:i/>
          <w:iCs/>
          <w:lang w:val="en-GB"/>
        </w:rPr>
        <w:t xml:space="preserve"> </w:t>
      </w:r>
      <w:proofErr w:type="spellStart"/>
      <w:r>
        <w:rPr>
          <w:i/>
          <w:iCs/>
          <w:lang w:val="en-GB"/>
        </w:rPr>
        <w:t>yasaʿu</w:t>
      </w:r>
      <w:proofErr w:type="spellEnd"/>
      <w:r>
        <w:rPr>
          <w:lang w:val="en-GB"/>
        </w:rPr>
        <w:t xml:space="preserve"> in ‘Supposed Homogeneity’, 43 and note 42.</w:t>
      </w:r>
    </w:p>
  </w:footnote>
  <w:footnote w:id="35">
    <w:p w14:paraId="5E4BB83C" w14:textId="77777777" w:rsidR="004818C1" w:rsidRDefault="00000000">
      <w:pPr>
        <w:pStyle w:val="FootnoteText"/>
      </w:pPr>
      <w:r>
        <w:rPr>
          <w:rStyle w:val="FootnoteReference"/>
        </w:rPr>
        <w:footnoteRef/>
      </w:r>
      <w:r>
        <w:t xml:space="preserve"> Ibn al-</w:t>
      </w:r>
      <w:proofErr w:type="spellStart"/>
      <w:r>
        <w:t>Ṣalāḥ</w:t>
      </w:r>
      <w:proofErr w:type="spellEnd"/>
      <w:r>
        <w:t xml:space="preserve">, </w:t>
      </w:r>
      <w:r>
        <w:rPr>
          <w:i/>
          <w:iCs/>
        </w:rPr>
        <w:t>Introduction</w:t>
      </w:r>
      <w:r>
        <w:t>, 120–1; Ibn al-</w:t>
      </w:r>
      <w:proofErr w:type="spellStart"/>
      <w:r>
        <w:t>Ṣalāḥ</w:t>
      </w:r>
      <w:proofErr w:type="spellEnd"/>
      <w:r>
        <w:t xml:space="preserve">, </w:t>
      </w:r>
      <w:proofErr w:type="spellStart"/>
      <w:r>
        <w:rPr>
          <w:i/>
          <w:iCs/>
        </w:rPr>
        <w:t>Muqaddima</w:t>
      </w:r>
      <w:proofErr w:type="spellEnd"/>
      <w:r>
        <w:t xml:space="preserve">, 170, </w:t>
      </w:r>
      <w:proofErr w:type="spellStart"/>
      <w:r>
        <w:t>ms.</w:t>
      </w:r>
      <w:proofErr w:type="spellEnd"/>
      <w:r>
        <w:t xml:space="preserve"> 074–5.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99D"/>
    <w:multiLevelType w:val="multilevel"/>
    <w:tmpl w:val="9078B226"/>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6006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8C1"/>
    <w:rsid w:val="004818C1"/>
    <w:rsid w:val="0062434D"/>
    <w:rsid w:val="00747074"/>
    <w:rsid w:val="00A258EA"/>
    <w:rsid w:val="00AB1058"/>
    <w:rsid w:val="00AF4CAE"/>
    <w:rsid w:val="00E361F2"/>
    <w:rsid w:val="00F627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27ED"/>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cs="Calibri"/>
      <w:color w:val="2F5496"/>
      <w:kern w:val="0"/>
      <w:sz w:val="32"/>
      <w:szCs w:val="32"/>
      <w:lang w:val="en-US" w:eastAsia="en-GB"/>
    </w:rPr>
  </w:style>
  <w:style w:type="paragraph" w:styleId="Heading2">
    <w:name w:val="heading 2"/>
    <w:basedOn w:val="Normal"/>
    <w:next w:val="Normal"/>
    <w:uiPriority w:val="9"/>
    <w:unhideWhenUsed/>
    <w:qFormat/>
    <w:pPr>
      <w:keepNext/>
      <w:keepLines/>
      <w:spacing w:before="40" w:after="0"/>
      <w:outlineLvl w:val="1"/>
    </w:pPr>
    <w:rPr>
      <w:rFonts w:cs="Calibri"/>
      <w:color w:val="2F5496"/>
      <w:kern w:val="0"/>
      <w:sz w:val="26"/>
      <w:szCs w:val="26"/>
      <w:lang w:val="en-US" w:eastAsia="en-GB"/>
    </w:rPr>
  </w:style>
  <w:style w:type="paragraph" w:styleId="Heading3">
    <w:name w:val="heading 3"/>
    <w:basedOn w:val="Normal"/>
    <w:next w:val="Normal"/>
    <w:uiPriority w:val="9"/>
    <w:unhideWhenUsed/>
    <w:qFormat/>
    <w:pPr>
      <w:keepNext/>
      <w:keepLines/>
      <w:spacing w:before="40" w:after="0"/>
      <w:outlineLvl w:val="2"/>
    </w:pPr>
    <w:rPr>
      <w:rFonts w:cs="Calibri"/>
      <w:color w:val="1F3863"/>
      <w:kern w:val="0"/>
      <w:sz w:val="24"/>
      <w:szCs w:val="24"/>
      <w:lang w:val="en-US" w:eastAsia="en-GB"/>
    </w:rPr>
  </w:style>
  <w:style w:type="paragraph" w:styleId="Heading4">
    <w:name w:val="heading 4"/>
    <w:basedOn w:val="Normal"/>
    <w:next w:val="Normal"/>
    <w:uiPriority w:val="9"/>
    <w:semiHidden/>
    <w:unhideWhenUsed/>
    <w:qFormat/>
    <w:pPr>
      <w:keepNext/>
      <w:keepLines/>
      <w:spacing w:before="40" w:after="0"/>
      <w:outlineLvl w:val="3"/>
    </w:pPr>
    <w:rPr>
      <w:rFonts w:cs="Calibri"/>
      <w:i/>
      <w:color w:val="2F5496"/>
      <w:kern w:val="0"/>
      <w:lang w:val="en-US" w:eastAsia="en-GB"/>
    </w:rPr>
  </w:style>
  <w:style w:type="paragraph" w:styleId="Heading5">
    <w:name w:val="heading 5"/>
    <w:basedOn w:val="Normal"/>
    <w:next w:val="Normal"/>
    <w:uiPriority w:val="9"/>
    <w:semiHidden/>
    <w:unhideWhenUsed/>
    <w:qFormat/>
    <w:pPr>
      <w:keepNext/>
      <w:keepLines/>
      <w:spacing w:before="40" w:after="0"/>
      <w:outlineLvl w:val="4"/>
    </w:pPr>
    <w:rPr>
      <w:rFonts w:cs="Calibri"/>
      <w:color w:val="2F5496"/>
      <w:kern w:val="0"/>
      <w:lang w:val="en-US" w:eastAsia="en-GB"/>
    </w:rPr>
  </w:style>
  <w:style w:type="paragraph" w:styleId="Heading6">
    <w:name w:val="heading 6"/>
    <w:basedOn w:val="Normal"/>
    <w:next w:val="Normal"/>
    <w:uiPriority w:val="9"/>
    <w:semiHidden/>
    <w:unhideWhenUsed/>
    <w:qFormat/>
    <w:pPr>
      <w:keepNext/>
      <w:keepLines/>
      <w:spacing w:before="200" w:after="40"/>
      <w:outlineLvl w:val="5"/>
    </w:pPr>
    <w:rPr>
      <w:rFonts w:cs="Calibri"/>
      <w:b/>
      <w:kern w:val="0"/>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Calibri" w:hAnsi="Calibri" w:cs="Calibri"/>
      <w:color w:val="2F5496"/>
      <w:kern w:val="0"/>
      <w:sz w:val="32"/>
      <w:szCs w:val="32"/>
      <w:lang w:val="en-US" w:eastAsia="en-GB"/>
    </w:rPr>
  </w:style>
  <w:style w:type="character" w:customStyle="1" w:styleId="Heading2Char">
    <w:name w:val="Heading 2 Char"/>
    <w:basedOn w:val="DefaultParagraphFont"/>
    <w:rPr>
      <w:rFonts w:ascii="Calibri" w:eastAsia="Calibri" w:hAnsi="Calibri" w:cs="Calibri"/>
      <w:color w:val="2F5496"/>
      <w:kern w:val="0"/>
      <w:sz w:val="26"/>
      <w:szCs w:val="26"/>
      <w:lang w:val="en-US" w:eastAsia="en-GB"/>
    </w:rPr>
  </w:style>
  <w:style w:type="character" w:customStyle="1" w:styleId="Heading3Char">
    <w:name w:val="Heading 3 Char"/>
    <w:basedOn w:val="DefaultParagraphFont"/>
    <w:rPr>
      <w:rFonts w:ascii="Calibri" w:eastAsia="Calibri" w:hAnsi="Calibri" w:cs="Calibri"/>
      <w:color w:val="1F3863"/>
      <w:kern w:val="0"/>
      <w:sz w:val="24"/>
      <w:szCs w:val="24"/>
      <w:lang w:val="en-US" w:eastAsia="en-GB"/>
    </w:rPr>
  </w:style>
  <w:style w:type="character" w:customStyle="1" w:styleId="Heading4Char">
    <w:name w:val="Heading 4 Char"/>
    <w:basedOn w:val="DefaultParagraphFont"/>
    <w:rPr>
      <w:rFonts w:ascii="Calibri" w:eastAsia="Calibri" w:hAnsi="Calibri" w:cs="Calibri"/>
      <w:i/>
      <w:color w:val="2F5496"/>
      <w:kern w:val="0"/>
      <w:lang w:val="en-US" w:eastAsia="en-GB"/>
    </w:rPr>
  </w:style>
  <w:style w:type="character" w:customStyle="1" w:styleId="Heading5Char">
    <w:name w:val="Heading 5 Char"/>
    <w:basedOn w:val="DefaultParagraphFont"/>
    <w:rPr>
      <w:rFonts w:ascii="Calibri" w:eastAsia="Calibri" w:hAnsi="Calibri" w:cs="Calibri"/>
      <w:color w:val="2F5496"/>
      <w:kern w:val="0"/>
      <w:lang w:val="en-US" w:eastAsia="en-GB"/>
    </w:rPr>
  </w:style>
  <w:style w:type="character" w:customStyle="1" w:styleId="Heading6Char">
    <w:name w:val="Heading 6 Char"/>
    <w:basedOn w:val="DefaultParagraphFont"/>
    <w:rPr>
      <w:rFonts w:ascii="Calibri" w:eastAsia="Calibri" w:hAnsi="Calibri" w:cs="Calibri"/>
      <w:b/>
      <w:kern w:val="0"/>
      <w:sz w:val="20"/>
      <w:szCs w:val="20"/>
      <w:lang w:val="en-US" w:eastAsia="en-GB"/>
    </w:rPr>
  </w:style>
  <w:style w:type="paragraph" w:styleId="Title">
    <w:name w:val="Title"/>
    <w:basedOn w:val="Normal"/>
    <w:next w:val="Normal"/>
    <w:uiPriority w:val="10"/>
    <w:qFormat/>
    <w:pPr>
      <w:keepNext/>
      <w:keepLines/>
      <w:spacing w:before="480" w:after="120"/>
    </w:pPr>
    <w:rPr>
      <w:rFonts w:cs="Calibri"/>
      <w:b/>
      <w:kern w:val="0"/>
      <w:sz w:val="72"/>
      <w:szCs w:val="72"/>
      <w:lang w:val="en-US" w:eastAsia="en-GB"/>
    </w:rPr>
  </w:style>
  <w:style w:type="character" w:customStyle="1" w:styleId="TitleChar">
    <w:name w:val="Title Char"/>
    <w:basedOn w:val="DefaultParagraphFont"/>
    <w:rPr>
      <w:rFonts w:ascii="Calibri" w:eastAsia="Calibri" w:hAnsi="Calibri" w:cs="Calibri"/>
      <w:b/>
      <w:kern w:val="0"/>
      <w:sz w:val="72"/>
      <w:szCs w:val="72"/>
      <w:lang w:val="en-US" w:eastAsia="en-GB"/>
    </w:rPr>
  </w:style>
  <w:style w:type="paragraph" w:styleId="Subtitle">
    <w:name w:val="Subtitle"/>
    <w:basedOn w:val="Normal"/>
    <w:next w:val="Normal"/>
    <w:uiPriority w:val="11"/>
    <w:qFormat/>
    <w:rPr>
      <w:rFonts w:cs="Calibri"/>
      <w:color w:val="5A5A5A"/>
      <w:kern w:val="0"/>
      <w:lang w:val="en-US" w:eastAsia="en-GB"/>
    </w:rPr>
  </w:style>
  <w:style w:type="character" w:customStyle="1" w:styleId="SubtitleChar">
    <w:name w:val="Subtitle Char"/>
    <w:basedOn w:val="DefaultParagraphFont"/>
    <w:rPr>
      <w:rFonts w:ascii="Calibri" w:eastAsia="Calibri" w:hAnsi="Calibri" w:cs="Calibri"/>
      <w:color w:val="5A5A5A"/>
      <w:kern w:val="0"/>
      <w:lang w:val="en-US" w:eastAsia="en-GB"/>
    </w:rPr>
  </w:style>
  <w:style w:type="paragraph" w:styleId="CommentText">
    <w:name w:val="annotation text"/>
    <w:basedOn w:val="Normal"/>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Calibri"/>
      <w:b/>
      <w:bCs/>
      <w:kern w:val="0"/>
      <w:sz w:val="20"/>
      <w:szCs w:val="20"/>
      <w:lang w:val="en-US" w:eastAsia="en-GB"/>
    </w:rPr>
  </w:style>
  <w:style w:type="paragraph" w:styleId="Revision">
    <w:name w:val="Revision"/>
    <w:pPr>
      <w:suppressAutoHyphens/>
      <w:spacing w:after="0"/>
    </w:pPr>
    <w:rPr>
      <w:rFonts w:cs="Calibri"/>
      <w:kern w:val="0"/>
      <w:lang w:val="en-US" w:eastAsia="en-GB"/>
    </w:rPr>
  </w:style>
  <w:style w:type="paragraph" w:styleId="ListParagraph">
    <w:name w:val="List Paragraph"/>
    <w:basedOn w:val="Normal"/>
    <w:pPr>
      <w:ind w:left="720"/>
      <w:contextualSpacing/>
    </w:pPr>
    <w:rPr>
      <w:rFonts w:cs="Calibri"/>
      <w:kern w:val="0"/>
      <w:lang w:val="en-US" w:eastAsia="en-GB"/>
    </w:rPr>
  </w:style>
  <w:style w:type="paragraph" w:styleId="FootnoteText">
    <w:name w:val="footnote text"/>
    <w:basedOn w:val="Normal"/>
    <w:pPr>
      <w:spacing w:after="0"/>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EndnoteText">
    <w:name w:val="endnote text"/>
    <w:basedOn w:val="Normal"/>
    <w:pPr>
      <w:spacing w:after="0"/>
    </w:pPr>
    <w:rPr>
      <w:rFonts w:cs="Calibri"/>
      <w:kern w:val="0"/>
      <w:sz w:val="20"/>
      <w:szCs w:val="20"/>
      <w:lang w:val="en-US" w:eastAsia="en-GB"/>
    </w:rPr>
  </w:style>
  <w:style w:type="character" w:customStyle="1" w:styleId="EndnoteTextChar">
    <w:name w:val="Endnote Text Char"/>
    <w:basedOn w:val="DefaultParagraphFont"/>
    <w:rPr>
      <w:rFonts w:ascii="Calibri" w:eastAsia="Calibri" w:hAnsi="Calibri" w:cs="Calibri"/>
      <w:kern w:val="0"/>
      <w:sz w:val="20"/>
      <w:szCs w:val="20"/>
      <w:lang w:val="en-US" w:eastAsia="en-GB"/>
    </w:rPr>
  </w:style>
  <w:style w:type="character" w:styleId="EndnoteReference">
    <w:name w:val="endnote reference"/>
    <w:basedOn w:val="DefaultParagraphFont"/>
    <w:rPr>
      <w:position w:val="0"/>
      <w:vertAlign w:val="superscript"/>
    </w:rPr>
  </w:style>
  <w:style w:type="paragraph" w:styleId="HTMLPreformatted">
    <w:name w:val="HTML Preformatted"/>
    <w:basedOn w:val="Normal"/>
    <w:pPr>
      <w:spacing w:after="0"/>
    </w:pPr>
    <w:rPr>
      <w:rFonts w:ascii="Consolas" w:hAnsi="Consolas" w:cs="Calibri"/>
      <w:kern w:val="0"/>
      <w:sz w:val="20"/>
      <w:szCs w:val="20"/>
      <w:lang w:val="en-US" w:eastAsia="en-GB"/>
    </w:rPr>
  </w:style>
  <w:style w:type="character" w:customStyle="1" w:styleId="HTMLPreformattedChar">
    <w:name w:val="HTML Preformatted Char"/>
    <w:basedOn w:val="DefaultParagraphFont"/>
    <w:rPr>
      <w:rFonts w:ascii="Consolas" w:eastAsia="Calibri" w:hAnsi="Consolas" w:cs="Calibri"/>
      <w:kern w:val="0"/>
      <w:sz w:val="20"/>
      <w:szCs w:val="20"/>
      <w:lang w:val="en-US" w:eastAsia="en-GB"/>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character" w:customStyle="1" w:styleId="HeaderChar">
    <w:name w:val="Header Char"/>
    <w:basedOn w:val="DefaultParagraphFont"/>
  </w:style>
  <w:style w:type="paragraph" w:styleId="Header">
    <w:name w:val="header"/>
    <w:basedOn w:val="Normal"/>
    <w:pPr>
      <w:tabs>
        <w:tab w:val="center" w:pos="4680"/>
        <w:tab w:val="right" w:pos="9360"/>
      </w:tabs>
      <w:spacing w:after="0"/>
    </w:pPr>
  </w:style>
  <w:style w:type="character" w:customStyle="1" w:styleId="HeaderChar1">
    <w:name w:val="Header Char1"/>
    <w:basedOn w:val="DefaultParagraphFont"/>
  </w:style>
  <w:style w:type="paragraph" w:styleId="Bibliography">
    <w:name w:val="Bibliography"/>
    <w:basedOn w:val="Normal"/>
    <w:next w:val="Normal"/>
    <w:rPr>
      <w:rFonts w:cs="Calibri"/>
      <w:kern w:val="0"/>
      <w:lang w:val="en-US" w:eastAsia="en-GB"/>
    </w:rPr>
  </w:style>
  <w:style w:type="character" w:customStyle="1" w:styleId="cf01">
    <w:name w:val="cf01"/>
    <w:basedOn w:val="DefaultParagraphFont"/>
    <w:rPr>
      <w:rFonts w:ascii="Segoe UI" w:hAnsi="Segoe UI" w:cs="Segoe UI"/>
      <w:sz w:val="18"/>
      <w:szCs w:val="18"/>
      <w:shd w:val="clear" w:color="auto" w:fill="00FFFF"/>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4800</Words>
  <Characters>27362</Characters>
  <Application>Microsoft Office Word</Application>
  <DocSecurity>0</DocSecurity>
  <Lines>228</Lines>
  <Paragraphs>64</Paragraphs>
  <ScaleCrop>false</ScaleCrop>
  <Company/>
  <LinksUpToDate>false</LinksUpToDate>
  <CharactersWithSpaces>32098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sarah savant</cp:lastModifiedBy>
  <cp:revision>5</cp:revision>
  <dcterms:created xsi:type="dcterms:W3CDTF">2023-07-28T17:10:00Z</dcterms:created>
  <dcterms:modified xsi:type="dcterms:W3CDTF">2023-08-21T16:22:00Z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id="73YyzlQu"/&gt;&lt;style id="http://www.zotero.org/styles/kitab-style-guide-for-zotero-aslisho" hasBibliography="1" bibliographyStyleHasBeenSet="0"/&gt;&lt;prefs&gt;&lt;pref name="fieldType" value="Field"/&gt;&lt;pref na</vt:lpwstr>
  </property>
  <property fmtid="{D5CDD505-2E9C-101B-9397-08002B2CF9AE}" pid="3" name="ZOTERO_PREF_2">
    <vt:lpwstr>me="automaticJournalAbbreviations" value="true"/&gt;&lt;pref name="noteType" value="1"/&gt;&lt;/prefs&gt;&lt;/data&gt;</vt:lpwstr>
  </property>
</Properties>
</file>