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DC5C" w14:textId="77777777" w:rsidR="00407389" w:rsidRDefault="00000000">
      <w:pPr>
        <w:spacing w:line="240" w:lineRule="auto"/>
        <w:rPr>
          <w:rFonts w:cs="Calibri"/>
          <w:kern w:val="0"/>
          <w:sz w:val="24"/>
          <w:szCs w:val="24"/>
          <w:lang w:eastAsia="en-GB"/>
        </w:rPr>
      </w:pPr>
      <w:r>
        <w:rPr>
          <w:rFonts w:cs="Calibri"/>
          <w:kern w:val="0"/>
          <w:sz w:val="24"/>
          <w:szCs w:val="24"/>
          <w:lang w:eastAsia="en-GB"/>
        </w:rPr>
        <w:t>Digital humanists often say they would like to read more work in progress. Our blog posts represent such work. We worked intensively over months to create and interpret this data. There was much back and forth. The data presented here offers a snapshot of our work at a specific point in time.</w:t>
      </w:r>
    </w:p>
    <w:p w14:paraId="1B027B8F" w14:textId="7914544A" w:rsidR="00407389" w:rsidRDefault="00000000">
      <w:pPr>
        <w:spacing w:line="240" w:lineRule="auto"/>
        <w:rPr>
          <w:rFonts w:cs="Calibri"/>
          <w:kern w:val="0"/>
          <w:sz w:val="24"/>
          <w:szCs w:val="24"/>
          <w:lang w:eastAsia="en-GB"/>
        </w:rPr>
      </w:pPr>
      <w:r>
        <w:rPr>
          <w:rFonts w:cs="Calibri"/>
          <w:kern w:val="0"/>
          <w:sz w:val="24"/>
          <w:szCs w:val="24"/>
          <w:lang w:eastAsia="en-GB"/>
        </w:rPr>
        <w:t xml:space="preserve">For detailed information on the data and the files contained therein, please see the </w:t>
      </w:r>
      <w:hyperlink r:id="rId6" w:history="1">
        <w:r w:rsidRPr="00170ACE">
          <w:rPr>
            <w:rStyle w:val="Hyperlink"/>
            <w:rFonts w:cs="Calibri"/>
            <w:kern w:val="0"/>
            <w:sz w:val="24"/>
            <w:szCs w:val="24"/>
            <w:lang w:eastAsia="en-GB"/>
          </w:rPr>
          <w:t>data set</w:t>
        </w:r>
      </w:hyperlink>
      <w:r>
        <w:rPr>
          <w:rFonts w:cs="Calibri"/>
          <w:kern w:val="0"/>
          <w:sz w:val="24"/>
          <w:szCs w:val="24"/>
          <w:lang w:eastAsia="en-GB"/>
        </w:rPr>
        <w:t xml:space="preserve"> released with these posts. What follows is a summary of the data on which our work on Ibn </w:t>
      </w:r>
      <w:proofErr w:type="spellStart"/>
      <w:r>
        <w:rPr>
          <w:rFonts w:cs="Calibri"/>
          <w:kern w:val="0"/>
          <w:sz w:val="24"/>
          <w:szCs w:val="24"/>
          <w:lang w:eastAsia="en-GB"/>
        </w:rPr>
        <w:t>ʿAsākir</w:t>
      </w:r>
      <w:proofErr w:type="spellEnd"/>
      <w:r>
        <w:rPr>
          <w:rFonts w:cs="Calibri"/>
          <w:kern w:val="0"/>
          <w:sz w:val="24"/>
          <w:szCs w:val="24"/>
          <w:lang w:eastAsia="en-GB"/>
        </w:rPr>
        <w:t xml:space="preserve"> is based.</w:t>
      </w:r>
    </w:p>
    <w:p w14:paraId="494AD106" w14:textId="77777777" w:rsidR="00407389" w:rsidRDefault="00000000">
      <w:pPr>
        <w:keepNext/>
        <w:keepLines/>
        <w:spacing w:line="240" w:lineRule="auto"/>
        <w:outlineLvl w:val="1"/>
      </w:pPr>
      <w:r>
        <w:rPr>
          <w:rFonts w:cs="Calibri"/>
          <w:color w:val="2F5496"/>
          <w:kern w:val="0"/>
          <w:sz w:val="24"/>
          <w:szCs w:val="24"/>
          <w:lang w:eastAsia="en-GB"/>
        </w:rPr>
        <w:t>The book files</w:t>
      </w:r>
    </w:p>
    <w:p w14:paraId="5641B63C" w14:textId="77777777" w:rsidR="00407389" w:rsidRDefault="00000000">
      <w:pPr>
        <w:spacing w:line="240" w:lineRule="auto"/>
      </w:pPr>
      <w:r>
        <w:rPr>
          <w:rFonts w:cs="Calibri"/>
          <w:kern w:val="0"/>
          <w:sz w:val="24"/>
          <w:szCs w:val="24"/>
          <w:lang w:eastAsia="en-GB"/>
        </w:rPr>
        <w:t xml:space="preserve">For the </w:t>
      </w:r>
      <w:r>
        <w:rPr>
          <w:rFonts w:cs="Calibri"/>
          <w:i/>
          <w:iCs/>
          <w:kern w:val="0"/>
          <w:sz w:val="24"/>
          <w:szCs w:val="24"/>
          <w:lang w:eastAsia="en-GB"/>
        </w:rPr>
        <w:t>TMD</w:t>
      </w:r>
      <w:r>
        <w:rPr>
          <w:rFonts w:cs="Calibri"/>
          <w:kern w:val="0"/>
          <w:sz w:val="24"/>
          <w:szCs w:val="24"/>
          <w:lang w:eastAsia="en-GB"/>
        </w:rPr>
        <w:t xml:space="preserve">, we used the 1995–2001 </w:t>
      </w:r>
      <w:proofErr w:type="spellStart"/>
      <w:r>
        <w:rPr>
          <w:rFonts w:cs="Calibri"/>
          <w:kern w:val="0"/>
          <w:sz w:val="24"/>
          <w:szCs w:val="24"/>
          <w:lang w:eastAsia="en-GB"/>
        </w:rPr>
        <w:t>Dār</w:t>
      </w:r>
      <w:proofErr w:type="spellEnd"/>
      <w:r>
        <w:rPr>
          <w:rFonts w:cs="Calibri"/>
          <w:kern w:val="0"/>
          <w:sz w:val="24"/>
          <w:szCs w:val="24"/>
          <w:lang w:eastAsia="en-GB"/>
        </w:rPr>
        <w:t xml:space="preserve"> al-</w:t>
      </w:r>
      <w:proofErr w:type="spellStart"/>
      <w:r>
        <w:rPr>
          <w:rFonts w:cs="Calibri"/>
          <w:kern w:val="0"/>
          <w:sz w:val="24"/>
          <w:szCs w:val="24"/>
          <w:lang w:eastAsia="en-GB"/>
        </w:rPr>
        <w:t>Fikr</w:t>
      </w:r>
      <w:proofErr w:type="spellEnd"/>
      <w:r>
        <w:rPr>
          <w:rFonts w:cs="Calibri"/>
          <w:kern w:val="0"/>
          <w:sz w:val="24"/>
          <w:szCs w:val="24"/>
          <w:lang w:eastAsia="en-GB"/>
        </w:rPr>
        <w:t xml:space="preserve"> edition of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xml:space="preserve">. The edition consists of eighty volumes, with volumes 71–74 representing a </w:t>
      </w:r>
      <w:proofErr w:type="spellStart"/>
      <w:r>
        <w:rPr>
          <w:rFonts w:cs="Calibri"/>
          <w:i/>
          <w:iCs/>
          <w:kern w:val="0"/>
          <w:sz w:val="24"/>
          <w:szCs w:val="24"/>
          <w:lang w:eastAsia="en-GB"/>
        </w:rPr>
        <w:t>mustadrak</w:t>
      </w:r>
      <w:proofErr w:type="spellEnd"/>
      <w:r>
        <w:rPr>
          <w:rFonts w:cs="Calibri"/>
          <w:kern w:val="0"/>
          <w:sz w:val="24"/>
          <w:szCs w:val="24"/>
          <w:lang w:eastAsia="en-GB"/>
        </w:rPr>
        <w:t xml:space="preserve">, or supplement, added by the editors (including additional biographical entries) and volumes 75–80 containing indexes. This is the first modern scholarly edition of the </w:t>
      </w:r>
      <w:r>
        <w:rPr>
          <w:rFonts w:cs="Calibri"/>
          <w:i/>
          <w:iCs/>
          <w:kern w:val="0"/>
          <w:sz w:val="24"/>
          <w:szCs w:val="24"/>
          <w:lang w:eastAsia="en-GB"/>
        </w:rPr>
        <w:t>TMD</w:t>
      </w:r>
      <w:r>
        <w:rPr>
          <w:rFonts w:cs="Calibri"/>
          <w:kern w:val="0"/>
          <w:sz w:val="24"/>
          <w:szCs w:val="24"/>
          <w:lang w:eastAsia="en-GB"/>
        </w:rPr>
        <w:t xml:space="preserve">, and it was completed only in 2001, reflecting the challenges the work posed to editors. There was no complete manuscript, and the work’s sheer size and the complexity of its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created formidable obstacles. Judging by Ibn </w:t>
      </w:r>
      <w:proofErr w:type="spellStart"/>
      <w:r>
        <w:rPr>
          <w:rFonts w:cs="Calibri"/>
          <w:kern w:val="0"/>
          <w:sz w:val="24"/>
          <w:szCs w:val="24"/>
          <w:lang w:eastAsia="en-GB"/>
        </w:rPr>
        <w:t>Manẓūr’s</w:t>
      </w:r>
      <w:proofErr w:type="spellEnd"/>
      <w:r>
        <w:rPr>
          <w:rFonts w:cs="Calibri"/>
          <w:kern w:val="0"/>
          <w:sz w:val="24"/>
          <w:szCs w:val="24"/>
          <w:lang w:eastAsia="en-GB"/>
        </w:rPr>
        <w:t xml:space="preserve"> </w:t>
      </w:r>
      <w:proofErr w:type="spellStart"/>
      <w:r>
        <w:rPr>
          <w:rFonts w:cs="Calibri"/>
          <w:i/>
          <w:iCs/>
          <w:kern w:val="0"/>
          <w:sz w:val="24"/>
          <w:szCs w:val="24"/>
          <w:lang w:eastAsia="en-GB"/>
        </w:rPr>
        <w:t>Mukhtaṣar</w:t>
      </w:r>
      <w:proofErr w:type="spellEnd"/>
      <w:r>
        <w:rPr>
          <w:rFonts w:cs="Calibri"/>
          <w:kern w:val="0"/>
          <w:sz w:val="24"/>
          <w:szCs w:val="24"/>
          <w:lang w:eastAsia="en-GB"/>
        </w:rPr>
        <w:t xml:space="preserve">, which substantially reproduces the </w:t>
      </w:r>
      <w:r>
        <w:rPr>
          <w:rFonts w:cs="Calibri"/>
          <w:i/>
          <w:iCs/>
          <w:kern w:val="0"/>
          <w:sz w:val="24"/>
          <w:szCs w:val="24"/>
          <w:lang w:eastAsia="en-GB"/>
        </w:rPr>
        <w:t>TMD</w:t>
      </w:r>
      <w:r>
        <w:rPr>
          <w:rFonts w:cs="Calibri"/>
          <w:kern w:val="0"/>
          <w:sz w:val="24"/>
          <w:szCs w:val="24"/>
          <w:lang w:eastAsia="en-GB"/>
        </w:rPr>
        <w:t xml:space="preserve"> but without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the edition and the manuscript tradition on which it is based contain lacunae.</w:t>
      </w:r>
      <w:r>
        <w:rPr>
          <w:rStyle w:val="FootnoteReference"/>
          <w:rFonts w:cs="Calibri"/>
          <w:kern w:val="0"/>
          <w:sz w:val="24"/>
          <w:szCs w:val="24"/>
          <w:lang w:eastAsia="en-GB"/>
        </w:rPr>
        <w:footnoteReference w:id="1"/>
      </w:r>
    </w:p>
    <w:p w14:paraId="31F8FA95" w14:textId="77777777" w:rsidR="00407389" w:rsidRDefault="00000000">
      <w:pPr>
        <w:spacing w:line="240" w:lineRule="auto"/>
      </w:pPr>
      <w:r>
        <w:rPr>
          <w:rFonts w:cs="Calibri"/>
          <w:color w:val="000000"/>
          <w:kern w:val="0"/>
          <w:sz w:val="24"/>
          <w:szCs w:val="24"/>
          <w:lang w:eastAsia="en-GB"/>
        </w:rPr>
        <w:t xml:space="preserve">The machine-readable file of Ibn </w:t>
      </w:r>
      <w:proofErr w:type="spellStart"/>
      <w:r>
        <w:rPr>
          <w:rFonts w:cs="Calibri"/>
          <w:color w:val="000000"/>
          <w:kern w:val="0"/>
          <w:sz w:val="24"/>
          <w:szCs w:val="24"/>
          <w:lang w:eastAsia="en-GB"/>
        </w:rPr>
        <w:t>ʿAsākir’s</w:t>
      </w:r>
      <w:proofErr w:type="spellEnd"/>
      <w:r>
        <w:rPr>
          <w:rFonts w:cs="Calibri"/>
          <w:color w:val="000000"/>
          <w:kern w:val="0"/>
          <w:sz w:val="24"/>
          <w:szCs w:val="24"/>
          <w:lang w:eastAsia="en-GB"/>
        </w:rPr>
        <w:t xml:space="preserve"> list of teachers (</w:t>
      </w:r>
      <w:proofErr w:type="spellStart"/>
      <w:r>
        <w:rPr>
          <w:rFonts w:cs="Calibri"/>
          <w:i/>
          <w:iCs/>
          <w:color w:val="000000"/>
          <w:kern w:val="0"/>
          <w:sz w:val="24"/>
          <w:szCs w:val="24"/>
          <w:lang w:eastAsia="en-GB"/>
        </w:rPr>
        <w:t>Muʿjam</w:t>
      </w:r>
      <w:proofErr w:type="spellEnd"/>
      <w:r>
        <w:rPr>
          <w:rFonts w:cs="Calibri"/>
          <w:i/>
          <w:iCs/>
          <w:color w:val="000000"/>
          <w:kern w:val="0"/>
          <w:sz w:val="24"/>
          <w:szCs w:val="24"/>
          <w:lang w:eastAsia="en-GB"/>
        </w:rPr>
        <w:t xml:space="preserve"> al-</w:t>
      </w:r>
      <w:proofErr w:type="spellStart"/>
      <w:r>
        <w:rPr>
          <w:rFonts w:cs="Calibri"/>
          <w:i/>
          <w:iCs/>
          <w:color w:val="000000"/>
          <w:kern w:val="0"/>
          <w:sz w:val="24"/>
          <w:szCs w:val="24"/>
          <w:lang w:eastAsia="en-GB"/>
        </w:rPr>
        <w:t>shuyūkh</w:t>
      </w:r>
      <w:proofErr w:type="spellEnd"/>
      <w:r>
        <w:rPr>
          <w:rFonts w:cs="Calibri"/>
          <w:color w:val="000000"/>
          <w:kern w:val="0"/>
          <w:sz w:val="24"/>
          <w:szCs w:val="24"/>
          <w:lang w:eastAsia="en-GB"/>
        </w:rPr>
        <w:t xml:space="preserve">) that we used is based on an edition by </w:t>
      </w:r>
      <w:proofErr w:type="spellStart"/>
      <w:r>
        <w:rPr>
          <w:rFonts w:cs="Calibri"/>
          <w:kern w:val="0"/>
          <w:sz w:val="24"/>
          <w:szCs w:val="24"/>
          <w:lang w:eastAsia="en-GB"/>
        </w:rPr>
        <w:t>Shākir</w:t>
      </w:r>
      <w:proofErr w:type="spellEnd"/>
      <w:r>
        <w:rPr>
          <w:rFonts w:cs="Calibri"/>
          <w:kern w:val="0"/>
          <w:sz w:val="24"/>
          <w:szCs w:val="24"/>
          <w:lang w:eastAsia="en-GB"/>
        </w:rPr>
        <w:t xml:space="preserve"> </w:t>
      </w:r>
      <w:proofErr w:type="spellStart"/>
      <w:r>
        <w:rPr>
          <w:rFonts w:cs="Calibri"/>
          <w:kern w:val="0"/>
          <w:sz w:val="24"/>
          <w:szCs w:val="24"/>
          <w:lang w:eastAsia="en-GB"/>
        </w:rPr>
        <w:t>Faḥḥām</w:t>
      </w:r>
      <w:proofErr w:type="spellEnd"/>
      <w:r>
        <w:rPr>
          <w:rFonts w:cs="Calibri"/>
          <w:color w:val="000000"/>
          <w:kern w:val="0"/>
          <w:sz w:val="24"/>
          <w:szCs w:val="24"/>
          <w:lang w:eastAsia="en-GB"/>
        </w:rPr>
        <w:t xml:space="preserve"> and </w:t>
      </w:r>
      <w:proofErr w:type="spellStart"/>
      <w:r>
        <w:rPr>
          <w:rFonts w:cs="Calibri"/>
          <w:color w:val="000000"/>
          <w:kern w:val="0"/>
          <w:sz w:val="24"/>
          <w:szCs w:val="24"/>
          <w:lang w:eastAsia="en-GB"/>
        </w:rPr>
        <w:t>Wafāʾ</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Taqī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Dīn</w:t>
      </w:r>
      <w:proofErr w:type="spellEnd"/>
      <w:r>
        <w:rPr>
          <w:rFonts w:cs="Calibri"/>
          <w:color w:val="000000"/>
          <w:kern w:val="0"/>
          <w:sz w:val="24"/>
          <w:szCs w:val="24"/>
          <w:lang w:eastAsia="en-GB"/>
        </w:rPr>
        <w:t xml:space="preserve">, published in Damascus by </w:t>
      </w:r>
      <w:proofErr w:type="spellStart"/>
      <w:r>
        <w:rPr>
          <w:rFonts w:cs="Calibri"/>
          <w:color w:val="000000"/>
          <w:kern w:val="0"/>
          <w:sz w:val="24"/>
          <w:szCs w:val="24"/>
          <w:lang w:eastAsia="en-GB"/>
        </w:rPr>
        <w:t>Dār</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Bashāʾir</w:t>
      </w:r>
      <w:proofErr w:type="spellEnd"/>
      <w:r>
        <w:rPr>
          <w:rFonts w:cs="Calibri"/>
          <w:color w:val="000000"/>
          <w:kern w:val="0"/>
          <w:sz w:val="24"/>
          <w:szCs w:val="24"/>
          <w:lang w:eastAsia="en-GB"/>
        </w:rPr>
        <w:t xml:space="preserve"> in 1421/2000.</w:t>
      </w:r>
      <w:r>
        <w:rPr>
          <w:rFonts w:cs="Calibri"/>
          <w:kern w:val="0"/>
          <w:sz w:val="24"/>
          <w:szCs w:val="24"/>
          <w:vertAlign w:val="superscript"/>
          <w:lang w:val="en-US" w:eastAsia="en-GB"/>
        </w:rPr>
        <w:footnoteReference w:id="2"/>
      </w:r>
    </w:p>
    <w:p w14:paraId="37B1F75A" w14:textId="66785B87" w:rsidR="00407389" w:rsidRDefault="00000000">
      <w:pPr>
        <w:spacing w:line="240" w:lineRule="auto"/>
      </w:pPr>
      <w:bookmarkStart w:id="0" w:name="_17dp8vu"/>
      <w:bookmarkEnd w:id="0"/>
      <w:r>
        <w:rPr>
          <w:rFonts w:cs="Calibri"/>
          <w:color w:val="000000"/>
          <w:kern w:val="0"/>
          <w:sz w:val="24"/>
          <w:szCs w:val="24"/>
          <w:lang w:eastAsia="en-GB"/>
        </w:rPr>
        <w:t xml:space="preserve">To obtain information from </w:t>
      </w:r>
      <w:proofErr w:type="spellStart"/>
      <w:r>
        <w:rPr>
          <w:rFonts w:cs="Calibri"/>
          <w:color w:val="000000"/>
          <w:kern w:val="0"/>
          <w:sz w:val="24"/>
          <w:szCs w:val="24"/>
          <w:shd w:val="clear" w:color="auto" w:fill="FFFFFF"/>
          <w:lang w:eastAsia="en-GB"/>
        </w:rPr>
        <w:t>Ṭalāl</w:t>
      </w:r>
      <w:proofErr w:type="spellEnd"/>
      <w:r>
        <w:rPr>
          <w:rFonts w:cs="Calibri"/>
          <w:color w:val="000000"/>
          <w:kern w:val="0"/>
          <w:sz w:val="24"/>
          <w:szCs w:val="24"/>
          <w:shd w:val="clear" w:color="auto" w:fill="FFFFFF"/>
          <w:lang w:eastAsia="en-GB"/>
        </w:rPr>
        <w:t xml:space="preserve"> b. </w:t>
      </w:r>
      <w:proofErr w:type="spellStart"/>
      <w:r>
        <w:rPr>
          <w:rFonts w:cs="Calibri"/>
          <w:color w:val="000000"/>
          <w:kern w:val="0"/>
          <w:sz w:val="24"/>
          <w:szCs w:val="24"/>
          <w:shd w:val="clear" w:color="auto" w:fill="FFFFFF"/>
          <w:lang w:eastAsia="en-GB"/>
        </w:rPr>
        <w:t>Saʿūd</w:t>
      </w:r>
      <w:proofErr w:type="spellEnd"/>
      <w:r>
        <w:rPr>
          <w:rFonts w:cs="Calibri"/>
          <w:color w:val="000000"/>
          <w:kern w:val="0"/>
          <w:sz w:val="24"/>
          <w:szCs w:val="24"/>
          <w:shd w:val="clear" w:color="auto" w:fill="FFFFFF"/>
          <w:lang w:eastAsia="en-GB"/>
        </w:rPr>
        <w:t xml:space="preserve"> </w:t>
      </w:r>
      <w:proofErr w:type="spellStart"/>
      <w:r>
        <w:rPr>
          <w:rFonts w:cs="Calibri"/>
          <w:color w:val="000000"/>
          <w:kern w:val="0"/>
          <w:sz w:val="24"/>
          <w:szCs w:val="24"/>
          <w:shd w:val="clear" w:color="auto" w:fill="FFFFFF"/>
          <w:lang w:eastAsia="en-GB"/>
        </w:rPr>
        <w:t>al-Daʿjāni</w:t>
      </w:r>
      <w:proofErr w:type="spellEnd"/>
      <w:r>
        <w:rPr>
          <w:rFonts w:cs="Calibri"/>
          <w:color w:val="000000"/>
          <w:kern w:val="0"/>
          <w:sz w:val="24"/>
          <w:szCs w:val="24"/>
          <w:shd w:val="clear" w:color="auto" w:fill="FFFFFF"/>
          <w:lang w:eastAsia="en-GB"/>
        </w:rPr>
        <w:t xml:space="preserve">̄’s </w:t>
      </w:r>
      <w:proofErr w:type="spellStart"/>
      <w:r>
        <w:rPr>
          <w:rFonts w:cs="Calibri"/>
          <w:i/>
          <w:iCs/>
          <w:color w:val="000000"/>
          <w:kern w:val="0"/>
          <w:sz w:val="24"/>
          <w:szCs w:val="24"/>
          <w:shd w:val="clear" w:color="auto" w:fill="FFFFFF"/>
          <w:lang w:eastAsia="en-GB"/>
        </w:rPr>
        <w:t>Mawārid</w:t>
      </w:r>
      <w:proofErr w:type="spellEnd"/>
      <w:r>
        <w:rPr>
          <w:rFonts w:cs="Calibri"/>
          <w:i/>
          <w:iCs/>
          <w:color w:val="000000"/>
          <w:kern w:val="0"/>
          <w:sz w:val="24"/>
          <w:szCs w:val="24"/>
          <w:shd w:val="clear" w:color="auto" w:fill="FFFFFF"/>
          <w:lang w:eastAsia="en-GB"/>
        </w:rPr>
        <w:t xml:space="preserve"> Ibn </w:t>
      </w:r>
      <w:proofErr w:type="spellStart"/>
      <w:r>
        <w:rPr>
          <w:rFonts w:cs="Calibri"/>
          <w:i/>
          <w:iCs/>
          <w:color w:val="000000"/>
          <w:kern w:val="0"/>
          <w:sz w:val="24"/>
          <w:szCs w:val="24"/>
          <w:shd w:val="clear" w:color="auto" w:fill="FFFFFF"/>
          <w:lang w:eastAsia="en-GB"/>
        </w:rPr>
        <w:t>ʿAsākir</w:t>
      </w:r>
      <w:proofErr w:type="spellEnd"/>
      <w:r>
        <w:rPr>
          <w:rFonts w:cs="Calibri"/>
          <w:color w:val="000000"/>
          <w:kern w:val="0"/>
          <w:sz w:val="24"/>
          <w:szCs w:val="24"/>
          <w:shd w:val="clear" w:color="auto" w:fill="FFFFFF"/>
          <w:lang w:eastAsia="en-GB"/>
        </w:rPr>
        <w:t xml:space="preserve">, we </w:t>
      </w:r>
      <w:proofErr w:type="spellStart"/>
      <w:r>
        <w:rPr>
          <w:rFonts w:cs="Calibri"/>
          <w:color w:val="000000"/>
          <w:kern w:val="0"/>
          <w:sz w:val="24"/>
          <w:szCs w:val="24"/>
          <w:shd w:val="clear" w:color="auto" w:fill="FFFFFF"/>
          <w:lang w:eastAsia="en-GB"/>
        </w:rPr>
        <w:t>OCR’d</w:t>
      </w:r>
      <w:proofErr w:type="spellEnd"/>
      <w:r>
        <w:rPr>
          <w:rFonts w:cs="Calibri"/>
          <w:color w:val="000000"/>
          <w:kern w:val="0"/>
          <w:sz w:val="24"/>
          <w:szCs w:val="24"/>
          <w:shd w:val="clear" w:color="auto" w:fill="FFFFFF"/>
          <w:lang w:eastAsia="en-GB"/>
        </w:rPr>
        <w:t xml:space="preserve"> </w:t>
      </w:r>
      <w:r w:rsidR="000A265C">
        <w:rPr>
          <w:rFonts w:cs="Calibri"/>
          <w:color w:val="000000"/>
          <w:kern w:val="0"/>
          <w:sz w:val="24"/>
          <w:szCs w:val="24"/>
          <w:shd w:val="clear" w:color="auto" w:fill="FFFFFF"/>
          <w:lang w:eastAsia="en-GB"/>
        </w:rPr>
        <w:t xml:space="preserve">volume 1 of </w:t>
      </w:r>
      <w:r>
        <w:rPr>
          <w:rFonts w:cs="Calibri"/>
          <w:color w:val="000000"/>
          <w:kern w:val="0"/>
          <w:sz w:val="24"/>
          <w:szCs w:val="24"/>
          <w:shd w:val="clear" w:color="auto" w:fill="FFFFFF"/>
          <w:lang w:eastAsia="en-GB"/>
        </w:rPr>
        <w:t>the printed text</w:t>
      </w:r>
      <w:r>
        <w:rPr>
          <w:rFonts w:cs="Calibri"/>
          <w:kern w:val="0"/>
          <w:sz w:val="24"/>
          <w:szCs w:val="24"/>
          <w:shd w:val="clear" w:color="auto" w:fill="FFFFFF"/>
          <w:vertAlign w:val="superscript"/>
          <w:lang w:val="en-US" w:eastAsia="en-GB"/>
        </w:rPr>
        <w:footnoteReference w:id="3"/>
      </w:r>
      <w:r>
        <w:rPr>
          <w:rFonts w:cs="Calibri"/>
          <w:color w:val="000000"/>
          <w:kern w:val="0"/>
          <w:sz w:val="24"/>
          <w:szCs w:val="24"/>
          <w:lang w:eastAsia="en-GB"/>
        </w:rPr>
        <w:t xml:space="preserve"> with a Kraken model (version 3.0.0.0b21.dev6) and then extracted a list of author names and book titles to be searched for in the </w:t>
      </w:r>
      <w:r>
        <w:rPr>
          <w:rFonts w:cs="Calibri"/>
          <w:i/>
          <w:color w:val="000000"/>
          <w:kern w:val="0"/>
          <w:sz w:val="24"/>
          <w:szCs w:val="24"/>
          <w:lang w:eastAsia="en-GB"/>
        </w:rPr>
        <w:t>TMD</w:t>
      </w:r>
      <w:r>
        <w:rPr>
          <w:rFonts w:cs="Calibri"/>
          <w:color w:val="000000"/>
          <w:kern w:val="0"/>
          <w:sz w:val="24"/>
          <w:szCs w:val="24"/>
          <w:lang w:eastAsia="en-GB"/>
        </w:rPr>
        <w:t xml:space="preserve">. The </w:t>
      </w:r>
      <w:proofErr w:type="spellStart"/>
      <w:r>
        <w:rPr>
          <w:rFonts w:cs="Calibri"/>
          <w:color w:val="000000"/>
          <w:kern w:val="0"/>
          <w:sz w:val="24"/>
          <w:szCs w:val="24"/>
          <w:lang w:eastAsia="en-GB"/>
        </w:rPr>
        <w:t>OCR’d</w:t>
      </w:r>
      <w:proofErr w:type="spellEnd"/>
      <w:r>
        <w:rPr>
          <w:rFonts w:cs="Calibri"/>
          <w:color w:val="000000"/>
          <w:kern w:val="0"/>
          <w:sz w:val="24"/>
          <w:szCs w:val="24"/>
          <w:lang w:eastAsia="en-GB"/>
        </w:rPr>
        <w:t xml:space="preserve"> text was lightly checked and corrected against a PDF of the printed text by Hamid Reza Hakimi, who also tagged the author and title names in the text.</w:t>
      </w:r>
    </w:p>
    <w:p w14:paraId="416B0DA3" w14:textId="77777777" w:rsidR="00407389" w:rsidRDefault="00000000">
      <w:pPr>
        <w:keepNext/>
        <w:keepLines/>
        <w:spacing w:line="240" w:lineRule="auto"/>
        <w:outlineLvl w:val="1"/>
      </w:pPr>
      <w:proofErr w:type="spellStart"/>
      <w:r>
        <w:rPr>
          <w:rFonts w:cs="Calibri"/>
          <w:i/>
          <w:iCs/>
          <w:color w:val="2F5496"/>
          <w:kern w:val="0"/>
          <w:sz w:val="24"/>
          <w:szCs w:val="24"/>
          <w:lang w:eastAsia="en-GB"/>
        </w:rPr>
        <w:t>Isnād</w:t>
      </w:r>
      <w:r>
        <w:rPr>
          <w:rFonts w:cs="Calibri"/>
          <w:color w:val="2F5496"/>
          <w:kern w:val="0"/>
          <w:sz w:val="24"/>
          <w:szCs w:val="24"/>
          <w:lang w:eastAsia="en-GB"/>
        </w:rPr>
        <w:t>s</w:t>
      </w:r>
      <w:proofErr w:type="spellEnd"/>
      <w:r>
        <w:rPr>
          <w:rFonts w:cs="Calibri"/>
          <w:color w:val="2F5496"/>
          <w:kern w:val="0"/>
          <w:sz w:val="24"/>
          <w:szCs w:val="24"/>
          <w:lang w:eastAsia="en-GB"/>
        </w:rPr>
        <w:t xml:space="preserve"> </w:t>
      </w:r>
    </w:p>
    <w:p w14:paraId="42F70D2B" w14:textId="77777777" w:rsidR="00407389" w:rsidRDefault="00000000">
      <w:pPr>
        <w:spacing w:line="240" w:lineRule="auto"/>
      </w:pPr>
      <w:r>
        <w:rPr>
          <w:rFonts w:cs="Calibri"/>
          <w:kern w:val="0"/>
          <w:sz w:val="24"/>
          <w:szCs w:val="24"/>
          <w:lang w:eastAsia="en-GB"/>
        </w:rPr>
        <w:t xml:space="preserve">We relied on paragraph markers in the </w:t>
      </w:r>
      <w:r>
        <w:rPr>
          <w:rFonts w:cs="Calibri"/>
          <w:i/>
          <w:iCs/>
          <w:kern w:val="0"/>
          <w:sz w:val="24"/>
          <w:szCs w:val="24"/>
          <w:lang w:eastAsia="en-GB"/>
        </w:rPr>
        <w:t>TMD</w:t>
      </w:r>
      <w:r>
        <w:rPr>
          <w:rFonts w:cs="Calibri"/>
          <w:kern w:val="0"/>
          <w:sz w:val="24"/>
          <w:szCs w:val="24"/>
          <w:lang w:eastAsia="en-GB"/>
        </w:rPr>
        <w:t xml:space="preserve"> to identify the beginnings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took the next fifty word tokens following each beginning to constitute the </w:t>
      </w:r>
      <w:proofErr w:type="spellStart"/>
      <w:r>
        <w:rPr>
          <w:rFonts w:cs="Calibri"/>
          <w:i/>
          <w:iCs/>
          <w:kern w:val="0"/>
          <w:sz w:val="24"/>
          <w:szCs w:val="24"/>
          <w:lang w:eastAsia="en-GB"/>
        </w:rPr>
        <w:t>isnād</w:t>
      </w:r>
      <w:proofErr w:type="spellEnd"/>
      <w:r>
        <w:rPr>
          <w:rFonts w:cs="Calibri"/>
          <w:kern w:val="0"/>
          <w:sz w:val="24"/>
          <w:szCs w:val="24"/>
          <w:lang w:eastAsia="en-GB"/>
        </w:rPr>
        <w:t xml:space="preserve">. We thus extracted 79,470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gave each a unique identification number, recorded the milestone in the text at which it was located and assembled all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a table. </w:t>
      </w:r>
    </w:p>
    <w:p w14:paraId="1AC0F421" w14:textId="77777777" w:rsidR="00407389" w:rsidRDefault="00000000">
      <w:pPr>
        <w:spacing w:line="240" w:lineRule="auto"/>
      </w:pPr>
      <w:r>
        <w:rPr>
          <w:rFonts w:cs="Calibri"/>
          <w:kern w:val="0"/>
          <w:sz w:val="24"/>
          <w:szCs w:val="24"/>
          <w:lang w:eastAsia="en-GB"/>
        </w:rPr>
        <w:t xml:space="preserve">We then split each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into names within cells, using transmission terms. In the example in Table 2.1, we used the words in square brackets to split the </w:t>
      </w:r>
      <w:proofErr w:type="spellStart"/>
      <w:r>
        <w:rPr>
          <w:rFonts w:cs="Calibri"/>
          <w:i/>
          <w:kern w:val="0"/>
          <w:sz w:val="24"/>
          <w:szCs w:val="24"/>
          <w:lang w:eastAsia="en-GB"/>
        </w:rPr>
        <w:t>isnād</w:t>
      </w:r>
      <w:proofErr w:type="spellEnd"/>
      <w:r>
        <w:rPr>
          <w:rFonts w:cs="Calibri"/>
          <w:kern w:val="0"/>
          <w:sz w:val="24"/>
          <w:szCs w:val="24"/>
          <w:lang w:eastAsia="en-GB"/>
        </w:rPr>
        <w:t xml:space="preserve"> string, which then gave us the list of names shown in the table.</w:t>
      </w:r>
    </w:p>
    <w:p w14:paraId="776250BB" w14:textId="77777777" w:rsidR="00407389" w:rsidRDefault="00000000">
      <w:pPr>
        <w:bidi/>
        <w:spacing w:line="240" w:lineRule="auto"/>
      </w:pPr>
      <w:r>
        <w:rPr>
          <w:rFonts w:cs="Calibri"/>
          <w:iCs/>
          <w:color w:val="1F3863"/>
          <w:kern w:val="0"/>
          <w:sz w:val="24"/>
          <w:szCs w:val="24"/>
          <w:rtl/>
          <w:lang w:eastAsia="en-GB"/>
        </w:rPr>
        <w:lastRenderedPageBreak/>
        <w:t>]</w:t>
      </w:r>
      <w:r>
        <w:rPr>
          <w:rFonts w:cs="Calibri"/>
          <w:kern w:val="0"/>
          <w:sz w:val="24"/>
          <w:szCs w:val="24"/>
          <w:rtl/>
          <w:lang w:eastAsia="en-GB"/>
        </w:rPr>
        <w:t>أنبأنا] أبو الحسن عبد الغافر بن إسماعيل [أنا] محمد بن يحيى بن إبراهيم [أنا] أبو عبد الرحمن السلمي [قال سمعت] الحسين بن أحمد [يقول سمعت] الدقي [يقول سمعت] أبا عبد الله</w:t>
      </w:r>
    </w:p>
    <w:tbl>
      <w:tblPr>
        <w:bidiVisual/>
        <w:tblW w:w="9026" w:type="dxa"/>
        <w:tblLayout w:type="fixed"/>
        <w:tblCellMar>
          <w:left w:w="10" w:type="dxa"/>
          <w:right w:w="10" w:type="dxa"/>
        </w:tblCellMar>
        <w:tblLook w:val="04A0" w:firstRow="1" w:lastRow="0" w:firstColumn="1" w:lastColumn="0" w:noHBand="0" w:noVBand="1"/>
      </w:tblPr>
      <w:tblGrid>
        <w:gridCol w:w="1505"/>
        <w:gridCol w:w="1505"/>
        <w:gridCol w:w="1504"/>
        <w:gridCol w:w="1504"/>
        <w:gridCol w:w="1504"/>
        <w:gridCol w:w="1504"/>
      </w:tblGrid>
      <w:tr w:rsidR="00407389" w14:paraId="7D82B59D"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FFF5C"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name_5</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435C8"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name_4</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FE676"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name_3</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92E89"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name_2</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B064D"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name_1</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D8B38" w14:textId="77777777" w:rsidR="00407389" w:rsidRDefault="00000000">
            <w:pPr>
              <w:widowControl w:val="0"/>
              <w:spacing w:line="240" w:lineRule="auto"/>
              <w:rPr>
                <w:rFonts w:cs="Calibri"/>
                <w:kern w:val="0"/>
                <w:sz w:val="24"/>
                <w:szCs w:val="24"/>
                <w:lang w:eastAsia="en-GB"/>
              </w:rPr>
            </w:pPr>
            <w:r>
              <w:rPr>
                <w:rFonts w:cs="Calibri"/>
                <w:kern w:val="0"/>
                <w:sz w:val="24"/>
                <w:szCs w:val="24"/>
                <w:lang w:eastAsia="en-GB"/>
              </w:rPr>
              <w:t>name_0</w:t>
            </w:r>
          </w:p>
        </w:tc>
      </w:tr>
      <w:tr w:rsidR="00407389" w14:paraId="47C23CEF"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E32D0" w14:textId="77777777" w:rsidR="00407389" w:rsidRDefault="00000000">
            <w:pPr>
              <w:bidi/>
              <w:spacing w:line="240" w:lineRule="auto"/>
            </w:pPr>
            <w:r>
              <w:rPr>
                <w:rFonts w:cs="Calibri"/>
                <w:kern w:val="0"/>
                <w:sz w:val="24"/>
                <w:szCs w:val="24"/>
                <w:rtl/>
                <w:lang w:eastAsia="en-GB"/>
              </w:rPr>
              <w:t>أبا عبد الله</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002E4" w14:textId="77777777" w:rsidR="00407389" w:rsidRDefault="00000000">
            <w:pPr>
              <w:bidi/>
              <w:spacing w:line="240" w:lineRule="auto"/>
            </w:pPr>
            <w:r>
              <w:rPr>
                <w:rFonts w:cs="Calibri"/>
                <w:kern w:val="0"/>
                <w:sz w:val="24"/>
                <w:szCs w:val="24"/>
                <w:rtl/>
                <w:lang w:eastAsia="en-GB"/>
              </w:rPr>
              <w:t>الدقي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BE0E9" w14:textId="77777777" w:rsidR="00407389" w:rsidRDefault="00000000">
            <w:pPr>
              <w:bidi/>
              <w:spacing w:line="240" w:lineRule="auto"/>
            </w:pPr>
            <w:r>
              <w:rPr>
                <w:rFonts w:cs="Calibri"/>
                <w:kern w:val="0"/>
                <w:sz w:val="24"/>
                <w:szCs w:val="24"/>
                <w:rtl/>
                <w:lang w:eastAsia="en-GB"/>
              </w:rPr>
              <w:t>الحسين بن أحمد</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01CB1" w14:textId="77777777" w:rsidR="00407389" w:rsidRDefault="00000000">
            <w:pPr>
              <w:bidi/>
              <w:spacing w:line="240" w:lineRule="auto"/>
            </w:pPr>
            <w:r>
              <w:rPr>
                <w:rFonts w:cs="Calibri"/>
                <w:kern w:val="0"/>
                <w:sz w:val="24"/>
                <w:szCs w:val="24"/>
                <w:rtl/>
                <w:lang w:eastAsia="en-GB"/>
              </w:rPr>
              <w:t>أبو عبد الرحمن السلمي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9882C" w14:textId="77777777" w:rsidR="00407389" w:rsidRDefault="00000000">
            <w:pPr>
              <w:bidi/>
              <w:spacing w:line="240" w:lineRule="auto"/>
            </w:pPr>
            <w:r>
              <w:rPr>
                <w:rFonts w:cs="Calibri"/>
                <w:kern w:val="0"/>
                <w:sz w:val="24"/>
                <w:szCs w:val="24"/>
                <w:rtl/>
                <w:lang w:eastAsia="en-GB"/>
              </w:rPr>
              <w:t>محمد بن يحيى بن إبراهيم</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9B99A" w14:textId="77777777" w:rsidR="00407389" w:rsidRDefault="00000000">
            <w:pPr>
              <w:bidi/>
              <w:spacing w:line="240" w:lineRule="auto"/>
            </w:pPr>
            <w:r>
              <w:rPr>
                <w:rFonts w:cs="Calibri"/>
                <w:kern w:val="0"/>
                <w:sz w:val="24"/>
                <w:szCs w:val="24"/>
                <w:rtl/>
                <w:lang w:eastAsia="en-GB"/>
              </w:rPr>
              <w:t>أبو الحسن عبد الغافر بن إسماعيل</w:t>
            </w:r>
          </w:p>
        </w:tc>
      </w:tr>
    </w:tbl>
    <w:p w14:paraId="01A87D90" w14:textId="77777777" w:rsidR="00407389" w:rsidRDefault="00000000">
      <w:pPr>
        <w:spacing w:line="240" w:lineRule="auto"/>
      </w:pPr>
      <w:r>
        <w:rPr>
          <w:rFonts w:cs="Calibri"/>
          <w:kern w:val="0"/>
          <w:sz w:val="24"/>
          <w:szCs w:val="24"/>
          <w:lang w:eastAsia="en-GB"/>
        </w:rPr>
        <w:t xml:space="preserve">Table 2.1: An example </w:t>
      </w:r>
      <w:proofErr w:type="spellStart"/>
      <w:r>
        <w:rPr>
          <w:rFonts w:cs="Calibri"/>
          <w:i/>
          <w:iCs/>
          <w:kern w:val="0"/>
          <w:sz w:val="24"/>
          <w:szCs w:val="24"/>
          <w:lang w:eastAsia="en-GB"/>
        </w:rPr>
        <w:t>isnād</w:t>
      </w:r>
      <w:proofErr w:type="spellEnd"/>
      <w:r>
        <w:rPr>
          <w:rFonts w:cs="Calibri"/>
          <w:kern w:val="0"/>
          <w:sz w:val="24"/>
          <w:szCs w:val="24"/>
          <w:lang w:eastAsia="en-GB"/>
        </w:rPr>
        <w:t xml:space="preserve"> split into names.</w:t>
      </w:r>
    </w:p>
    <w:p w14:paraId="37E59D88" w14:textId="77777777" w:rsidR="00407389" w:rsidRDefault="00000000">
      <w:pPr>
        <w:spacing w:line="240" w:lineRule="auto"/>
      </w:pPr>
      <w:r>
        <w:rPr>
          <w:rFonts w:cs="Calibri"/>
          <w:kern w:val="0"/>
          <w:sz w:val="24"/>
          <w:szCs w:val="24"/>
          <w:lang w:eastAsia="en-GB"/>
        </w:rPr>
        <w:t xml:space="preserve">We filtered out any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lacked a name in position 0 (that is, the name of a direct informant) as well as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forked, meaning that Ibn </w:t>
      </w:r>
      <w:proofErr w:type="spellStart"/>
      <w:r>
        <w:rPr>
          <w:rFonts w:cs="Calibri"/>
          <w:kern w:val="0"/>
          <w:sz w:val="24"/>
          <w:szCs w:val="24"/>
          <w:lang w:eastAsia="en-GB"/>
        </w:rPr>
        <w:t>ʿAsākir</w:t>
      </w:r>
      <w:proofErr w:type="spellEnd"/>
      <w:r>
        <w:rPr>
          <w:rFonts w:cs="Calibri"/>
          <w:kern w:val="0"/>
          <w:sz w:val="24"/>
          <w:szCs w:val="24"/>
          <w:lang w:eastAsia="en-GB"/>
        </w:rPr>
        <w:t xml:space="preserve"> introduced an additional name with another transmission chain after naming his direct informant. Applying these filters left us with 77,231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7ED9484A"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Name List</w:t>
      </w:r>
    </w:p>
    <w:p w14:paraId="70B73B09" w14:textId="77777777" w:rsidR="00407389"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refers to a lot of people. From the </w:t>
      </w:r>
      <w:r>
        <w:rPr>
          <w:rFonts w:cs="Calibri"/>
          <w:i/>
          <w:iCs/>
          <w:kern w:val="0"/>
          <w:sz w:val="24"/>
          <w:szCs w:val="24"/>
          <w:lang w:eastAsia="en-GB"/>
        </w:rPr>
        <w:t>TMD</w:t>
      </w:r>
      <w:r>
        <w:rPr>
          <w:rFonts w:cs="Calibri"/>
          <w:kern w:val="0"/>
          <w:sz w:val="24"/>
          <w:szCs w:val="24"/>
          <w:lang w:eastAsia="en-GB"/>
        </w:rPr>
        <w:t xml:space="preserv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compiled a list of over </w:t>
      </w:r>
      <w:bookmarkStart w:id="1" w:name="_Hlk135323953"/>
      <w:r>
        <w:rPr>
          <w:rFonts w:cs="Calibri"/>
          <w:kern w:val="0"/>
          <w:sz w:val="24"/>
          <w:szCs w:val="24"/>
          <w:lang w:eastAsia="en-GB"/>
        </w:rPr>
        <w:t xml:space="preserve">9,238 ‘surface forms’ of names (that is, names as they appear in a text), which mapped to 3,885 distinct identities. </w:t>
      </w:r>
      <w:bookmarkEnd w:id="1"/>
      <w:r>
        <w:rPr>
          <w:rFonts w:cs="Calibri"/>
          <w:kern w:val="0"/>
          <w:sz w:val="24"/>
          <w:szCs w:val="24"/>
          <w:lang w:eastAsia="en-GB"/>
        </w:rPr>
        <w:t>As we explain later, we did not map all surface forms – far from it. For comparison, al-</w:t>
      </w:r>
      <w:proofErr w:type="spellStart"/>
      <w:r>
        <w:rPr>
          <w:rFonts w:cs="Calibri"/>
          <w:kern w:val="0"/>
          <w:sz w:val="24"/>
          <w:szCs w:val="24"/>
          <w:lang w:eastAsia="en-GB"/>
        </w:rPr>
        <w:t>Ṭabarī’s</w:t>
      </w:r>
      <w:proofErr w:type="spellEnd"/>
      <w:r>
        <w:rPr>
          <w:rFonts w:cs="Calibri"/>
          <w:kern w:val="0"/>
          <w:sz w:val="24"/>
          <w:szCs w:val="24"/>
          <w:lang w:eastAsia="en-GB"/>
        </w:rPr>
        <w:t xml:space="preserve"> three works contained 4,921 surface forms mapped to 3,787 identities. Both Ibn </w:t>
      </w:r>
      <w:proofErr w:type="spellStart"/>
      <w:r>
        <w:rPr>
          <w:rFonts w:cs="Calibri"/>
          <w:kern w:val="0"/>
          <w:sz w:val="24"/>
          <w:szCs w:val="24"/>
          <w:lang w:eastAsia="en-GB"/>
        </w:rPr>
        <w:t>ʿAsākir</w:t>
      </w:r>
      <w:proofErr w:type="spellEnd"/>
      <w:r>
        <w:rPr>
          <w:rFonts w:cs="Calibri"/>
          <w:kern w:val="0"/>
          <w:sz w:val="24"/>
          <w:szCs w:val="24"/>
          <w:lang w:eastAsia="en-GB"/>
        </w:rPr>
        <w:t xml:space="preserve"> and al-</w:t>
      </w:r>
      <w:proofErr w:type="spellStart"/>
      <w:r>
        <w:rPr>
          <w:rFonts w:cs="Calibri"/>
          <w:kern w:val="0"/>
          <w:sz w:val="24"/>
          <w:szCs w:val="24"/>
          <w:lang w:eastAsia="en-GB"/>
        </w:rPr>
        <w:t>Ṭabarī</w:t>
      </w:r>
      <w:proofErr w:type="spellEnd"/>
      <w:r>
        <w:rPr>
          <w:rFonts w:cs="Calibri"/>
          <w:kern w:val="0"/>
          <w:sz w:val="24"/>
          <w:szCs w:val="24"/>
          <w:lang w:eastAsia="en-GB"/>
        </w:rPr>
        <w:t xml:space="preserve"> sometimes use the same surface form for different people and different surface forms for the same people.</w:t>
      </w:r>
    </w:p>
    <w:p w14:paraId="4060C7B9" w14:textId="77777777" w:rsidR="00407389" w:rsidRDefault="00000000">
      <w:pPr>
        <w:spacing w:line="240" w:lineRule="auto"/>
      </w:pPr>
      <w:r>
        <w:rPr>
          <w:rFonts w:cs="Calibri"/>
          <w:kern w:val="0"/>
          <w:sz w:val="24"/>
          <w:szCs w:val="24"/>
          <w:lang w:eastAsia="en-GB"/>
        </w:rPr>
        <w:t xml:space="preserve">To facilitate handling and filtering of the names, we normalised each to a standard Latin-script form. These forms are based on the transliteration system of the </w:t>
      </w:r>
      <w:r>
        <w:rPr>
          <w:rFonts w:cs="Calibri"/>
          <w:i/>
          <w:iCs/>
          <w:kern w:val="0"/>
          <w:sz w:val="24"/>
          <w:szCs w:val="24"/>
          <w:lang w:eastAsia="en-GB"/>
        </w:rPr>
        <w:t>International Journal of Middle Eastern Studies</w:t>
      </w:r>
      <w:r>
        <w:rPr>
          <w:rFonts w:cs="Calibri"/>
          <w:kern w:val="0"/>
          <w:sz w:val="24"/>
          <w:szCs w:val="24"/>
          <w:lang w:eastAsia="en-GB"/>
        </w:rPr>
        <w:t xml:space="preserve"> (</w:t>
      </w:r>
      <w:r>
        <w:rPr>
          <w:rFonts w:cs="Calibri"/>
          <w:i/>
          <w:iCs/>
          <w:kern w:val="0"/>
          <w:sz w:val="24"/>
          <w:szCs w:val="24"/>
          <w:lang w:eastAsia="en-GB"/>
        </w:rPr>
        <w:t>IJMES</w:t>
      </w:r>
      <w:r>
        <w:rPr>
          <w:rFonts w:cs="Calibri"/>
          <w:kern w:val="0"/>
          <w:sz w:val="24"/>
          <w:szCs w:val="24"/>
          <w:lang w:eastAsia="en-GB"/>
        </w:rPr>
        <w:t>) but without diacritics.</w:t>
      </w:r>
    </w:p>
    <w:p w14:paraId="5BDADCFF" w14:textId="77777777" w:rsidR="00407389" w:rsidRDefault="00000000">
      <w:pPr>
        <w:spacing w:line="240" w:lineRule="auto"/>
      </w:pPr>
      <w:r>
        <w:rPr>
          <w:rFonts w:cs="Calibri"/>
          <w:color w:val="000000"/>
          <w:kern w:val="0"/>
          <w:sz w:val="24"/>
          <w:szCs w:val="24"/>
          <w:lang w:eastAsia="en-GB"/>
        </w:rPr>
        <w:t xml:space="preserve">To decide on the normalised form to be used, we looked for patterns, searching, for example, for similar surface forms that differed only in the inclusion or omission of a </w:t>
      </w:r>
      <w:r>
        <w:rPr>
          <w:rFonts w:cs="Calibri"/>
          <w:i/>
          <w:color w:val="000000"/>
          <w:kern w:val="0"/>
          <w:sz w:val="24"/>
          <w:szCs w:val="24"/>
          <w:lang w:eastAsia="en-GB"/>
        </w:rPr>
        <w:t>kunya</w:t>
      </w:r>
      <w:r>
        <w:rPr>
          <w:rFonts w:cs="Calibri"/>
          <w:color w:val="000000"/>
          <w:kern w:val="0"/>
          <w:sz w:val="24"/>
          <w:szCs w:val="24"/>
          <w:lang w:eastAsia="en-GB"/>
        </w:rPr>
        <w:t xml:space="preserve">, or for names that consistently appeared in the same position within </w:t>
      </w:r>
      <w:proofErr w:type="spellStart"/>
      <w:r>
        <w:rPr>
          <w:rFonts w:cs="Calibri"/>
          <w:i/>
          <w:color w:val="000000"/>
          <w:kern w:val="0"/>
          <w:sz w:val="24"/>
          <w:szCs w:val="24"/>
          <w:lang w:eastAsia="en-GB"/>
        </w:rPr>
        <w:t>isnād</w:t>
      </w:r>
      <w:r>
        <w:rPr>
          <w:rFonts w:cs="Calibri"/>
          <w:iCs/>
          <w:color w:val="000000"/>
          <w:kern w:val="0"/>
          <w:sz w:val="24"/>
          <w:szCs w:val="24"/>
          <w:lang w:eastAsia="en-GB"/>
        </w:rPr>
        <w:t>s</w:t>
      </w:r>
      <w:proofErr w:type="spellEnd"/>
      <w:r>
        <w:rPr>
          <w:rFonts w:cs="Calibri"/>
          <w:iCs/>
          <w:color w:val="000000"/>
          <w:kern w:val="0"/>
          <w:sz w:val="24"/>
          <w:szCs w:val="24"/>
          <w:lang w:eastAsia="en-GB"/>
        </w:rPr>
        <w:t>, with the same</w:t>
      </w:r>
      <w:r>
        <w:rPr>
          <w:rFonts w:cs="Calibri"/>
          <w:color w:val="000000"/>
          <w:kern w:val="0"/>
          <w:sz w:val="24"/>
          <w:szCs w:val="24"/>
          <w:lang w:eastAsia="en-GB"/>
        </w:rPr>
        <w:t xml:space="preserve"> names preceding and following it. The normalised name is not always the most commonly cited surface form. Instead, it is often the shortest form or the one that best distinguishes the named individual from other, similarly named people.</w:t>
      </w:r>
    </w:p>
    <w:p w14:paraId="765D05D7" w14:textId="77777777" w:rsidR="00407389" w:rsidRDefault="00000000">
      <w:pPr>
        <w:spacing w:line="240" w:lineRule="auto"/>
      </w:pPr>
      <w:r>
        <w:rPr>
          <w:rFonts w:cs="Calibri"/>
          <w:color w:val="000000"/>
          <w:kern w:val="0"/>
          <w:sz w:val="24"/>
          <w:szCs w:val="24"/>
          <w:lang w:eastAsia="en-GB"/>
        </w:rPr>
        <w:t xml:space="preserve">Although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uses thousands of different surface forms, and many for the same person, he refers to his most important direct informants typically in a consistent way. Readers may wish to investigate the data closely on this point.</w:t>
      </w:r>
      <w:r>
        <w:rPr>
          <w:rFonts w:cs="Calibri"/>
          <w:kern w:val="0"/>
          <w:sz w:val="24"/>
          <w:szCs w:val="24"/>
          <w:vertAlign w:val="superscript"/>
          <w:lang w:val="en-US" w:eastAsia="en-GB"/>
        </w:rPr>
        <w:footnoteReference w:id="4"/>
      </w:r>
      <w:r>
        <w:rPr>
          <w:rFonts w:cs="Calibri"/>
          <w:color w:val="000000"/>
          <w:kern w:val="0"/>
          <w:sz w:val="24"/>
          <w:szCs w:val="24"/>
          <w:lang w:eastAsia="en-GB"/>
        </w:rPr>
        <w:t xml:space="preserve"> </w:t>
      </w:r>
    </w:p>
    <w:p w14:paraId="69B5F5D3"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Transmission terms</w:t>
      </w:r>
    </w:p>
    <w:p w14:paraId="04A48F13" w14:textId="77777777" w:rsidR="00407389" w:rsidRDefault="00000000">
      <w:pPr>
        <w:spacing w:line="240" w:lineRule="auto"/>
      </w:pPr>
      <w:r>
        <w:rPr>
          <w:rFonts w:cs="Calibri"/>
          <w:kern w:val="0"/>
          <w:sz w:val="24"/>
          <w:szCs w:val="24"/>
          <w:lang w:eastAsia="en-GB"/>
        </w:rPr>
        <w:t xml:space="preserve">Our list of transmission terms in the </w:t>
      </w:r>
      <w:r>
        <w:rPr>
          <w:rFonts w:cs="Calibri"/>
          <w:i/>
          <w:iCs/>
          <w:kern w:val="0"/>
          <w:sz w:val="24"/>
          <w:szCs w:val="24"/>
          <w:lang w:eastAsia="en-GB"/>
        </w:rPr>
        <w:t>TMD</w:t>
      </w:r>
      <w:r>
        <w:rPr>
          <w:rFonts w:cs="Calibri"/>
          <w:kern w:val="0"/>
          <w:sz w:val="24"/>
          <w:szCs w:val="24"/>
          <w:lang w:eastAsia="en-GB"/>
        </w:rPr>
        <w:t xml:space="preserve"> built on an earlier version of such a list initiated by R. Kevin Jaques and expanded for our work on al-</w:t>
      </w:r>
      <w:proofErr w:type="spellStart"/>
      <w:r>
        <w:rPr>
          <w:rFonts w:cs="Calibri"/>
          <w:kern w:val="0"/>
          <w:sz w:val="24"/>
          <w:szCs w:val="24"/>
          <w:lang w:eastAsia="en-GB"/>
        </w:rPr>
        <w:t>Ṭabarī</w:t>
      </w:r>
      <w:proofErr w:type="spellEnd"/>
      <w:r>
        <w:rPr>
          <w:rFonts w:cs="Calibri"/>
          <w:kern w:val="0"/>
          <w:sz w:val="24"/>
          <w:szCs w:val="24"/>
          <w:lang w:eastAsia="en-GB"/>
        </w:rPr>
        <w:t xml:space="preserve">. We augmented the list with additional terms found at the beginnings of paragraphs in the </w:t>
      </w:r>
      <w:r>
        <w:rPr>
          <w:rFonts w:cs="Calibri"/>
          <w:i/>
          <w:iCs/>
          <w:kern w:val="0"/>
          <w:sz w:val="24"/>
          <w:szCs w:val="24"/>
          <w:lang w:eastAsia="en-GB"/>
        </w:rPr>
        <w:t>TMD</w:t>
      </w:r>
      <w:r>
        <w:rPr>
          <w:rFonts w:cs="Calibri"/>
          <w:kern w:val="0"/>
          <w:sz w:val="24"/>
          <w:szCs w:val="24"/>
          <w:lang w:eastAsia="en-GB"/>
        </w:rPr>
        <w:t>. We also created a list of words to remove from the cells once we had split them.</w:t>
      </w:r>
    </w:p>
    <w:p w14:paraId="38118333" w14:textId="77777777" w:rsidR="00407389" w:rsidRDefault="00000000">
      <w:pPr>
        <w:spacing w:line="240" w:lineRule="auto"/>
      </w:pPr>
      <w:r>
        <w:rPr>
          <w:rFonts w:cs="Calibri"/>
          <w:kern w:val="0"/>
          <w:sz w:val="24"/>
          <w:szCs w:val="24"/>
          <w:lang w:eastAsia="en-GB"/>
        </w:rPr>
        <w:t xml:space="preserve">We then grouped semantically related transmission terms together and decided to focus on the six most frequently used terms, as they initiate more than 99% of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12E31751" w14:textId="77777777" w:rsidR="00407389" w:rsidRDefault="00000000">
      <w:pPr>
        <w:spacing w:line="240" w:lineRule="auto"/>
      </w:pPr>
      <w:r>
        <w:rPr>
          <w:rFonts w:cs="Calibri"/>
          <w:kern w:val="0"/>
          <w:sz w:val="24"/>
          <w:szCs w:val="24"/>
          <w:lang w:eastAsia="en-GB"/>
        </w:rPr>
        <w:lastRenderedPageBreak/>
        <w:t xml:space="preserve">We also searched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other transmission terms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in conjunction with the six to explain his method. These include the adverbial modifiers </w:t>
      </w:r>
      <w:proofErr w:type="spellStart"/>
      <w:r>
        <w:rPr>
          <w:rFonts w:cs="Calibri"/>
          <w:i/>
          <w:iCs/>
          <w:kern w:val="0"/>
          <w:sz w:val="24"/>
          <w:szCs w:val="24"/>
          <w:lang w:eastAsia="en-GB"/>
        </w:rPr>
        <w:t>idhnan</w:t>
      </w:r>
      <w:proofErr w:type="spellEnd"/>
      <w:r>
        <w:rPr>
          <w:rFonts w:cs="Calibri"/>
          <w:kern w:val="0"/>
          <w:sz w:val="24"/>
          <w:szCs w:val="24"/>
          <w:lang w:eastAsia="en-GB"/>
        </w:rPr>
        <w:t xml:space="preserve">, </w:t>
      </w:r>
      <w:proofErr w:type="spellStart"/>
      <w:r>
        <w:rPr>
          <w:rFonts w:cs="Calibri"/>
          <w:i/>
          <w:iCs/>
          <w:kern w:val="0"/>
          <w:sz w:val="24"/>
          <w:szCs w:val="24"/>
          <w:lang w:eastAsia="en-GB"/>
        </w:rPr>
        <w:t>munāwalatan</w:t>
      </w:r>
      <w:proofErr w:type="spellEnd"/>
      <w:r>
        <w:rPr>
          <w:rFonts w:cs="Calibri"/>
          <w:kern w:val="0"/>
          <w:sz w:val="24"/>
          <w:szCs w:val="24"/>
          <w:lang w:eastAsia="en-GB"/>
        </w:rPr>
        <w:t xml:space="preserve">, </w:t>
      </w:r>
      <w:proofErr w:type="spellStart"/>
      <w:r>
        <w:rPr>
          <w:rFonts w:cs="Calibri"/>
          <w:i/>
          <w:iCs/>
          <w:kern w:val="0"/>
          <w:sz w:val="24"/>
          <w:szCs w:val="24"/>
          <w:lang w:eastAsia="en-GB"/>
        </w:rPr>
        <w:t>lafẓan</w:t>
      </w:r>
      <w:proofErr w:type="spellEnd"/>
      <w:r>
        <w:rPr>
          <w:rFonts w:cs="Calibri"/>
          <w:i/>
          <w:iCs/>
          <w:kern w:val="0"/>
          <w:sz w:val="24"/>
          <w:szCs w:val="24"/>
          <w:lang w:eastAsia="en-GB"/>
        </w:rPr>
        <w:t xml:space="preserve">, </w:t>
      </w:r>
      <w:proofErr w:type="spellStart"/>
      <w:r>
        <w:rPr>
          <w:rFonts w:cs="Calibri"/>
          <w:i/>
          <w:iCs/>
          <w:kern w:val="0"/>
          <w:sz w:val="24"/>
          <w:szCs w:val="24"/>
          <w:lang w:eastAsia="en-GB"/>
        </w:rPr>
        <w:t>ʿāliyan</w:t>
      </w:r>
      <w:proofErr w:type="spellEnd"/>
      <w:r>
        <w:rPr>
          <w:rFonts w:cs="Calibri"/>
          <w:kern w:val="0"/>
          <w:sz w:val="24"/>
          <w:szCs w:val="24"/>
          <w:lang w:eastAsia="en-GB"/>
        </w:rPr>
        <w:t>,</w:t>
      </w:r>
      <w:r>
        <w:rPr>
          <w:rFonts w:cs="Calibri"/>
          <w:i/>
          <w:iCs/>
          <w:kern w:val="0"/>
          <w:sz w:val="24"/>
          <w:szCs w:val="24"/>
          <w:lang w:eastAsia="en-GB"/>
        </w:rPr>
        <w:t xml:space="preserve"> </w:t>
      </w:r>
      <w:proofErr w:type="spellStart"/>
      <w:r>
        <w:rPr>
          <w:rFonts w:cs="Calibri"/>
          <w:i/>
          <w:iCs/>
          <w:kern w:val="0"/>
          <w:sz w:val="24"/>
          <w:szCs w:val="24"/>
          <w:lang w:eastAsia="en-GB"/>
        </w:rPr>
        <w:t>shifāhan</w:t>
      </w:r>
      <w:proofErr w:type="spellEnd"/>
      <w:r>
        <w:rPr>
          <w:rFonts w:cs="Calibri"/>
          <w:kern w:val="0"/>
          <w:sz w:val="24"/>
          <w:szCs w:val="24"/>
          <w:lang w:eastAsia="en-GB"/>
        </w:rPr>
        <w:t xml:space="preserve">,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and </w:t>
      </w:r>
      <w:proofErr w:type="spellStart"/>
      <w:r>
        <w:rPr>
          <w:rFonts w:cs="Calibri"/>
          <w:i/>
          <w:iCs/>
          <w:kern w:val="0"/>
          <w:sz w:val="24"/>
          <w:szCs w:val="24"/>
          <w:lang w:eastAsia="en-GB"/>
        </w:rPr>
        <w:t>ijāzatan</w:t>
      </w:r>
      <w:proofErr w:type="spellEnd"/>
      <w:r>
        <w:rPr>
          <w:rFonts w:cs="Calibri"/>
          <w:kern w:val="0"/>
          <w:sz w:val="24"/>
          <w:szCs w:val="24"/>
          <w:lang w:eastAsia="en-GB"/>
        </w:rPr>
        <w:t>, as well as references to a person’s writing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We chose the terms on the basis of their frequency within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p>
    <w:p w14:paraId="2D024576"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Author names and titles of works</w:t>
      </w:r>
    </w:p>
    <w:p w14:paraId="4B2F7AD6" w14:textId="77777777" w:rsidR="00407389" w:rsidRDefault="00000000">
      <w:pPr>
        <w:spacing w:line="240" w:lineRule="auto"/>
      </w:pPr>
      <w:r>
        <w:rPr>
          <w:rFonts w:cs="Calibri"/>
          <w:kern w:val="0"/>
          <w:sz w:val="24"/>
          <w:szCs w:val="24"/>
          <w:lang w:eastAsia="en-GB"/>
        </w:rPr>
        <w:t xml:space="preserve">We assembled a list of persons whom modern scholars credit with authoring books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We gave each author a unique ID and used these IDs throughout our data set. There are 238 such authors. However, their ID numbers, assigned before normalisation was complete and thus before variant names for the same individual were identified, run to 241. We refrained from renumbering the authors to avoid disrupting links within our data.</w:t>
      </w:r>
    </w:p>
    <w:p w14:paraId="77883BB4" w14:textId="77777777" w:rsidR="00407389" w:rsidRDefault="00000000">
      <w:pPr>
        <w:spacing w:line="240" w:lineRule="auto"/>
      </w:pPr>
      <w:r>
        <w:rPr>
          <w:rFonts w:cs="Calibri"/>
          <w:kern w:val="0"/>
          <w:sz w:val="24"/>
          <w:szCs w:val="24"/>
          <w:lang w:eastAsia="en-GB"/>
        </w:rPr>
        <w:t xml:space="preserve">To identify the authors, we drew (as noted above) on the works of </w:t>
      </w:r>
      <w:proofErr w:type="spellStart"/>
      <w:r>
        <w:rPr>
          <w:rFonts w:cs="Calibri"/>
          <w:kern w:val="0"/>
          <w:sz w:val="24"/>
          <w:szCs w:val="24"/>
          <w:lang w:eastAsia="en-GB"/>
        </w:rPr>
        <w:t>Scheiner</w:t>
      </w:r>
      <w:proofErr w:type="spellEnd"/>
      <w:r>
        <w:rPr>
          <w:rFonts w:cs="Calibri"/>
          <w:kern w:val="0"/>
          <w:sz w:val="24"/>
          <w:szCs w:val="24"/>
          <w:lang w:eastAsia="en-GB"/>
        </w:rPr>
        <w:t>, Mourad and al-</w:t>
      </w:r>
      <w:proofErr w:type="spellStart"/>
      <w:r>
        <w:rPr>
          <w:rFonts w:cs="Calibri"/>
          <w:kern w:val="0"/>
          <w:sz w:val="24"/>
          <w:szCs w:val="24"/>
          <w:lang w:eastAsia="en-GB"/>
        </w:rPr>
        <w:t>Daʿjānī</w:t>
      </w:r>
      <w:proofErr w:type="spellEnd"/>
      <w:r>
        <w:rPr>
          <w:rFonts w:cs="Calibri"/>
          <w:kern w:val="0"/>
          <w:sz w:val="24"/>
          <w:szCs w:val="24"/>
          <w:lang w:eastAsia="en-GB"/>
        </w:rPr>
        <w:t xml:space="preserve">, who gave us other important information, including the titles of the authors’ works (which we used for searches) and the dates of their deaths. We complemented this information with details from the </w:t>
      </w:r>
      <w:proofErr w:type="spellStart"/>
      <w:r>
        <w:rPr>
          <w:rFonts w:cs="Calibri"/>
          <w:kern w:val="0"/>
          <w:sz w:val="24"/>
          <w:szCs w:val="24"/>
          <w:lang w:eastAsia="en-GB"/>
        </w:rPr>
        <w:t>OpenITI</w:t>
      </w:r>
      <w:proofErr w:type="spellEnd"/>
      <w:r>
        <w:rPr>
          <w:rFonts w:cs="Calibri"/>
          <w:kern w:val="0"/>
          <w:sz w:val="24"/>
          <w:szCs w:val="24"/>
          <w:lang w:eastAsia="en-GB"/>
        </w:rPr>
        <w:t xml:space="preserve"> and occasionally the third edition of the </w:t>
      </w:r>
      <w:r>
        <w:rPr>
          <w:rFonts w:cs="Calibri"/>
          <w:i/>
          <w:iCs/>
          <w:kern w:val="0"/>
          <w:sz w:val="24"/>
          <w:szCs w:val="24"/>
          <w:lang w:eastAsia="en-GB"/>
        </w:rPr>
        <w:t>Encyclopaedia of Islam</w:t>
      </w:r>
      <w:r>
        <w:rPr>
          <w:rFonts w:cs="Calibri"/>
          <w:kern w:val="0"/>
          <w:sz w:val="24"/>
          <w:szCs w:val="24"/>
          <w:lang w:eastAsia="en-GB"/>
        </w:rPr>
        <w:t>.</w:t>
      </w:r>
    </w:p>
    <w:p w14:paraId="40677209"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Search terms and results</w:t>
      </w:r>
    </w:p>
    <w:p w14:paraId="5B8E90AB" w14:textId="77777777" w:rsidR="00407389" w:rsidRDefault="00000000">
      <w:pPr>
        <w:spacing w:line="240" w:lineRule="auto"/>
      </w:pPr>
      <w:r>
        <w:rPr>
          <w:rFonts w:cs="Calibri"/>
          <w:kern w:val="0"/>
          <w:sz w:val="24"/>
          <w:szCs w:val="24"/>
          <w:lang w:eastAsia="en-GB"/>
        </w:rPr>
        <w:t xml:space="preserve">We searched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titles used in conjunction with author names. This was not very successful.</w:t>
      </w:r>
    </w:p>
    <w:p w14:paraId="0750E251" w14:textId="77777777" w:rsidR="00407389" w:rsidRDefault="00000000">
      <w:pPr>
        <w:spacing w:line="240" w:lineRule="auto"/>
        <w:rPr>
          <w:rFonts w:cs="Calibri"/>
          <w:kern w:val="0"/>
          <w:sz w:val="24"/>
          <w:szCs w:val="24"/>
          <w:lang w:eastAsia="en-GB"/>
        </w:rPr>
      </w:pPr>
      <w:r>
        <w:rPr>
          <w:rFonts w:cs="Calibri"/>
          <w:kern w:val="0"/>
          <w:sz w:val="24"/>
          <w:szCs w:val="24"/>
          <w:lang w:eastAsia="en-GB"/>
        </w:rPr>
        <w:t>We also did some general searches – Underwood’s Boolean fishing expeditions. We include the results and discuss these in posts 5 and 6.</w:t>
      </w:r>
    </w:p>
    <w:p w14:paraId="4506EA02" w14:textId="1989A21A" w:rsidR="00407389" w:rsidRDefault="00000000">
      <w:pPr>
        <w:spacing w:line="240" w:lineRule="auto"/>
      </w:pPr>
      <w:r>
        <w:rPr>
          <w:rFonts w:cs="Calibri"/>
          <w:kern w:val="0"/>
          <w:sz w:val="24"/>
          <w:szCs w:val="24"/>
          <w:lang w:eastAsia="en-GB"/>
        </w:rPr>
        <w:t>T</w:t>
      </w:r>
      <w:r w:rsidR="004C1C2A">
        <w:rPr>
          <w:rFonts w:cs="Calibri"/>
          <w:kern w:val="0"/>
          <w:sz w:val="24"/>
          <w:szCs w:val="24"/>
          <w:lang w:eastAsia="en-GB"/>
        </w:rPr>
        <w:t xml:space="preserve">hree </w:t>
      </w:r>
      <w:r>
        <w:rPr>
          <w:rFonts w:cs="Calibri"/>
          <w:kern w:val="0"/>
          <w:sz w:val="24"/>
          <w:szCs w:val="24"/>
          <w:lang w:eastAsia="en-GB"/>
        </w:rPr>
        <w:t xml:space="preserve">terms proved illuminating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the character of his sources.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refers to a type of written source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used in preparing the </w:t>
      </w:r>
      <w:r>
        <w:rPr>
          <w:rFonts w:cs="Calibri"/>
          <w:i/>
          <w:iCs/>
          <w:kern w:val="0"/>
          <w:sz w:val="24"/>
          <w:szCs w:val="24"/>
          <w:lang w:eastAsia="en-GB"/>
        </w:rPr>
        <w:t>TMD</w:t>
      </w:r>
      <w:r>
        <w:rPr>
          <w:rFonts w:cs="Calibri"/>
          <w:kern w:val="0"/>
          <w:sz w:val="24"/>
          <w:szCs w:val="24"/>
          <w:lang w:eastAsia="en-GB"/>
        </w:rPr>
        <w:t xml:space="preserve"> (and indeed, the full title of the </w:t>
      </w:r>
      <w:r>
        <w:rPr>
          <w:rFonts w:cs="Calibri"/>
          <w:i/>
          <w:iCs/>
          <w:kern w:val="0"/>
          <w:sz w:val="24"/>
          <w:szCs w:val="24"/>
          <w:lang w:eastAsia="en-GB"/>
        </w:rPr>
        <w:t xml:space="preserve">TMD </w:t>
      </w:r>
      <w:r>
        <w:rPr>
          <w:rFonts w:cs="Calibri"/>
          <w:kern w:val="0"/>
          <w:sz w:val="24"/>
          <w:szCs w:val="24"/>
          <w:lang w:eastAsia="en-GB"/>
        </w:rPr>
        <w:t xml:space="preserve">contains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bi-</w:t>
      </w:r>
      <w:proofErr w:type="spellStart"/>
      <w:r>
        <w:rPr>
          <w:rFonts w:cs="Calibri"/>
          <w:i/>
          <w:iCs/>
          <w:kern w:val="0"/>
          <w:sz w:val="24"/>
          <w:szCs w:val="24"/>
          <w:lang w:eastAsia="en-GB"/>
        </w:rPr>
        <w:t>khaṭṭ</w:t>
      </w:r>
      <w:proofErr w:type="spellEnd"/>
      <w:r>
        <w:rPr>
          <w:rFonts w:cs="Calibri"/>
          <w:kern w:val="0"/>
          <w:sz w:val="24"/>
          <w:szCs w:val="24"/>
          <w:lang w:eastAsia="en-GB"/>
        </w:rPr>
        <w:t xml:space="preserve"> denotes his reading of his predecessors’  handwritten text. </w:t>
      </w:r>
      <w:r w:rsidR="004C1C2A">
        <w:rPr>
          <w:rFonts w:cs="Calibri"/>
          <w:kern w:val="0"/>
          <w:sz w:val="24"/>
          <w:szCs w:val="24"/>
          <w:lang w:eastAsia="en-GB"/>
        </w:rPr>
        <w:t xml:space="preserve">He introduces written texts, and some books, with the term </w:t>
      </w:r>
      <w:proofErr w:type="spellStart"/>
      <w:r w:rsidR="004C1C2A" w:rsidRPr="004C1C2A">
        <w:rPr>
          <w:rFonts w:cs="Calibri"/>
          <w:i/>
          <w:iCs/>
          <w:kern w:val="0"/>
          <w:sz w:val="24"/>
          <w:szCs w:val="24"/>
          <w:lang w:eastAsia="en-GB"/>
        </w:rPr>
        <w:t>dhakara</w:t>
      </w:r>
      <w:proofErr w:type="spellEnd"/>
      <w:r w:rsidR="004C1C2A">
        <w:rPr>
          <w:rFonts w:cs="Calibri"/>
          <w:kern w:val="0"/>
          <w:sz w:val="24"/>
          <w:szCs w:val="24"/>
          <w:lang w:eastAsia="en-GB"/>
        </w:rPr>
        <w:t xml:space="preserve">. </w:t>
      </w:r>
      <w:r>
        <w:rPr>
          <w:rFonts w:cs="Calibri"/>
          <w:kern w:val="0"/>
          <w:sz w:val="24"/>
          <w:szCs w:val="24"/>
          <w:lang w:eastAsia="en-GB"/>
        </w:rPr>
        <w:t>We believe that these t</w:t>
      </w:r>
      <w:r w:rsidR="004C1C2A">
        <w:rPr>
          <w:rFonts w:cs="Calibri"/>
          <w:kern w:val="0"/>
          <w:sz w:val="24"/>
          <w:szCs w:val="24"/>
          <w:lang w:eastAsia="en-GB"/>
        </w:rPr>
        <w:t>hree</w:t>
      </w:r>
      <w:r>
        <w:rPr>
          <w:rFonts w:cs="Calibri"/>
          <w:kern w:val="0"/>
          <w:sz w:val="24"/>
          <w:szCs w:val="24"/>
          <w:lang w:eastAsia="en-GB"/>
        </w:rPr>
        <w:t xml:space="preserve"> terms offer a good representation of the nature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and we will argue that they merit more attention than they have</w:t>
      </w:r>
      <w:r w:rsidR="004C1C2A">
        <w:rPr>
          <w:rFonts w:cs="Calibri"/>
          <w:kern w:val="0"/>
          <w:sz w:val="24"/>
          <w:szCs w:val="24"/>
          <w:lang w:eastAsia="en-GB"/>
        </w:rPr>
        <w:t xml:space="preserve"> received</w:t>
      </w:r>
      <w:r>
        <w:rPr>
          <w:rFonts w:cs="Calibri"/>
          <w:kern w:val="0"/>
          <w:sz w:val="24"/>
          <w:szCs w:val="24"/>
          <w:lang w:eastAsia="en-GB"/>
        </w:rPr>
        <w:t>.</w:t>
      </w:r>
    </w:p>
    <w:p w14:paraId="354C2B7D"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Text reuse data</w:t>
      </w:r>
    </w:p>
    <w:p w14:paraId="462D2F4E" w14:textId="77777777" w:rsidR="00407389" w:rsidRDefault="00000000">
      <w:pPr>
        <w:spacing w:line="240" w:lineRule="auto"/>
      </w:pPr>
      <w:r>
        <w:rPr>
          <w:rFonts w:cs="Calibri"/>
          <w:kern w:val="0"/>
          <w:sz w:val="24"/>
          <w:szCs w:val="24"/>
          <w:lang w:eastAsia="en-GB"/>
        </w:rPr>
        <w:t xml:space="preserve">We identified thirty-nine texts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that </w:t>
      </w:r>
      <w:proofErr w:type="spellStart"/>
      <w:r>
        <w:rPr>
          <w:rFonts w:cs="Calibri"/>
          <w:kern w:val="0"/>
          <w:sz w:val="24"/>
          <w:szCs w:val="24"/>
          <w:lang w:eastAsia="en-GB"/>
        </w:rPr>
        <w:t>Scheiner</w:t>
      </w:r>
      <w:proofErr w:type="spellEnd"/>
      <w:r>
        <w:rPr>
          <w:rFonts w:cs="Calibri"/>
          <w:kern w:val="0"/>
          <w:sz w:val="24"/>
          <w:szCs w:val="24"/>
          <w:lang w:eastAsia="en-GB"/>
        </w:rPr>
        <w:t xml:space="preserve"> cited as sources for Ibn </w:t>
      </w:r>
      <w:proofErr w:type="spellStart"/>
      <w:r>
        <w:rPr>
          <w:rFonts w:cs="Calibri"/>
          <w:kern w:val="0"/>
          <w:sz w:val="24"/>
          <w:szCs w:val="24"/>
          <w:lang w:eastAsia="en-GB"/>
        </w:rPr>
        <w:t>ʿAsākir</w:t>
      </w:r>
      <w:proofErr w:type="spellEnd"/>
      <w:r>
        <w:rPr>
          <w:rFonts w:cs="Calibri"/>
          <w:kern w:val="0"/>
          <w:sz w:val="24"/>
          <w:szCs w:val="24"/>
          <w:lang w:eastAsia="en-GB"/>
        </w:rPr>
        <w:t xml:space="preserve">. We then compared these files with the </w:t>
      </w:r>
      <w:r>
        <w:rPr>
          <w:rFonts w:cs="Calibri"/>
          <w:i/>
          <w:iCs/>
          <w:kern w:val="0"/>
          <w:sz w:val="24"/>
          <w:szCs w:val="24"/>
          <w:lang w:eastAsia="en-GB"/>
        </w:rPr>
        <w:t xml:space="preserve">TMD </w:t>
      </w:r>
      <w:r>
        <w:rPr>
          <w:rFonts w:cs="Calibri"/>
          <w:kern w:val="0"/>
          <w:sz w:val="24"/>
          <w:szCs w:val="24"/>
          <w:lang w:eastAsia="en-GB"/>
        </w:rPr>
        <w:t>to detect text reuse. We collated the results and graphed them with Power BI software in order to reveal the general pattern of reuse for each work.</w:t>
      </w:r>
    </w:p>
    <w:p w14:paraId="4E7C9575"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All texts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divided into numbered 300-word chunks, which we call milestones. For each instance of overlap between two books, the reuse comparison files record the milestone location of the alignment in each book. </w:t>
      </w:r>
    </w:p>
    <w:p w14:paraId="1C7E8658" w14:textId="77777777" w:rsidR="00407389" w:rsidRDefault="00000000">
      <w:pPr>
        <w:spacing w:line="240" w:lineRule="auto"/>
      </w:pPr>
      <w:r>
        <w:rPr>
          <w:rFonts w:cs="Calibri"/>
          <w:kern w:val="0"/>
          <w:sz w:val="24"/>
          <w:szCs w:val="24"/>
          <w:lang w:eastAsia="en-GB"/>
        </w:rPr>
        <w:t xml:space="preserve">We also noted the milestone for each </w:t>
      </w:r>
      <w:proofErr w:type="spellStart"/>
      <w:r>
        <w:rPr>
          <w:rFonts w:cs="Calibri"/>
          <w:i/>
          <w:iCs/>
          <w:kern w:val="0"/>
          <w:sz w:val="24"/>
          <w:szCs w:val="24"/>
          <w:lang w:eastAsia="en-GB"/>
        </w:rPr>
        <w:t>isnād</w:t>
      </w:r>
      <w:proofErr w:type="spellEnd"/>
      <w:r>
        <w:rPr>
          <w:rFonts w:cs="Calibri"/>
          <w:kern w:val="0"/>
          <w:sz w:val="24"/>
          <w:szCs w:val="24"/>
          <w:lang w:eastAsia="en-GB"/>
        </w:rPr>
        <w:t xml:space="preserve"> in our </w:t>
      </w:r>
      <w:proofErr w:type="spellStart"/>
      <w:r>
        <w:rPr>
          <w:rFonts w:cs="Calibri"/>
          <w:i/>
          <w:iCs/>
          <w:kern w:val="0"/>
          <w:sz w:val="24"/>
          <w:szCs w:val="24"/>
          <w:lang w:eastAsia="en-GB"/>
        </w:rPr>
        <w:t>isnād</w:t>
      </w:r>
      <w:proofErr w:type="spellEnd"/>
      <w:r>
        <w:rPr>
          <w:rFonts w:cs="Calibri"/>
          <w:kern w:val="0"/>
          <w:sz w:val="24"/>
          <w:szCs w:val="24"/>
          <w:lang w:eastAsia="en-GB"/>
        </w:rPr>
        <w:t xml:space="preserve"> listing. This allowed us to investigate whether citations of an author’s name are accompanied by reuse of that author’s text.</w:t>
      </w:r>
    </w:p>
    <w:p w14:paraId="3CF49378" w14:textId="77777777" w:rsidR="00407389" w:rsidRDefault="00000000">
      <w:pPr>
        <w:spacing w:line="240" w:lineRule="auto"/>
        <w:rPr>
          <w:rFonts w:cs="Calibri"/>
          <w:kern w:val="0"/>
          <w:sz w:val="24"/>
          <w:szCs w:val="24"/>
          <w:lang w:eastAsia="en-GB"/>
        </w:rPr>
      </w:pPr>
      <w:r>
        <w:rPr>
          <w:rFonts w:cs="Calibri"/>
          <w:kern w:val="0"/>
          <w:sz w:val="24"/>
          <w:szCs w:val="24"/>
          <w:lang w:eastAsia="en-GB"/>
        </w:rPr>
        <w:lastRenderedPageBreak/>
        <w:t>The data we present here has not yet been carefully studied. But our general impression is that there is less correlation between citation and reuse than modern scholars might assume.</w:t>
      </w:r>
    </w:p>
    <w:p w14:paraId="0DCA3099"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Challenges</w:t>
      </w:r>
    </w:p>
    <w:p w14:paraId="20B7146F"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This work was highly iterative. We ran into challenges and then addressed them. </w:t>
      </w:r>
    </w:p>
    <w:p w14:paraId="2A97984E" w14:textId="77777777" w:rsidR="00407389" w:rsidRDefault="00000000">
      <w:pPr>
        <w:keepNext/>
        <w:keepLines/>
        <w:spacing w:line="240" w:lineRule="auto"/>
        <w:outlineLvl w:val="2"/>
      </w:pPr>
      <w:r>
        <w:rPr>
          <w:rFonts w:cs="Calibri"/>
          <w:color w:val="1F3863"/>
          <w:kern w:val="0"/>
          <w:sz w:val="24"/>
          <w:szCs w:val="24"/>
          <w:lang w:eastAsia="en-GB"/>
        </w:rPr>
        <w:t>Paragraph markers</w:t>
      </w:r>
    </w:p>
    <w:p w14:paraId="14BAA1BC" w14:textId="77777777" w:rsidR="00407389" w:rsidRDefault="00000000">
      <w:pPr>
        <w:spacing w:line="240" w:lineRule="auto"/>
      </w:pPr>
      <w:r>
        <w:rPr>
          <w:rFonts w:cs="Calibri"/>
          <w:kern w:val="0"/>
          <w:sz w:val="24"/>
          <w:szCs w:val="24"/>
          <w:lang w:eastAsia="en-GB"/>
        </w:rPr>
        <w:t xml:space="preserve">The text of the </w:t>
      </w:r>
      <w:r>
        <w:rPr>
          <w:rFonts w:cs="Calibri"/>
          <w:i/>
          <w:iCs/>
          <w:kern w:val="0"/>
          <w:sz w:val="24"/>
          <w:szCs w:val="24"/>
          <w:lang w:eastAsia="en-GB"/>
        </w:rPr>
        <w:t>TMD</w:t>
      </w:r>
      <w:r>
        <w:rPr>
          <w:rFonts w:cs="Calibri"/>
          <w:kern w:val="0"/>
          <w:sz w:val="24"/>
          <w:szCs w:val="24"/>
          <w:lang w:eastAsia="en-GB"/>
        </w:rPr>
        <w:t xml:space="preserve">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had been annotated previously by team members, but the annotation procedure does not normally involve checking paragraph tags, as this is very time-consuming and is not required for text reuse detection or other corpus-wide studies we are undertaking. We thus felt some light editing would be useful. Hamid Reza Hakimi spent more than ten hours correcting paragraph markers. We know additional work in this area could be done.</w:t>
      </w:r>
    </w:p>
    <w:p w14:paraId="56DB6204" w14:textId="77777777" w:rsidR="00407389" w:rsidRDefault="00000000">
      <w:pPr>
        <w:spacing w:line="240" w:lineRule="auto"/>
      </w:pPr>
      <w:r>
        <w:rPr>
          <w:rFonts w:cs="Calibri"/>
          <w:kern w:val="0"/>
          <w:sz w:val="24"/>
          <w:szCs w:val="24"/>
          <w:lang w:eastAsia="en-GB"/>
        </w:rPr>
        <w:t xml:space="preserve">A problem that arose from our use of paragraph markers to identify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was that we sometimes missed distinctions between separate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sometimes follows an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iCs/>
          <w:kern w:val="0"/>
          <w:sz w:val="24"/>
          <w:szCs w:val="24"/>
          <w:lang w:eastAsia="en-GB"/>
        </w:rPr>
        <w:t>with</w:t>
      </w:r>
      <w:r>
        <w:rPr>
          <w:rFonts w:cs="Calibri"/>
          <w:kern w:val="0"/>
          <w:sz w:val="24"/>
          <w:szCs w:val="24"/>
          <w:lang w:eastAsia="en-GB"/>
        </w:rPr>
        <w:t xml:space="preserve"> a second, distinct </w:t>
      </w:r>
      <w:proofErr w:type="spellStart"/>
      <w:r>
        <w:rPr>
          <w:rFonts w:cs="Calibri"/>
          <w:i/>
          <w:iCs/>
          <w:kern w:val="0"/>
          <w:sz w:val="24"/>
          <w:szCs w:val="24"/>
          <w:lang w:eastAsia="en-GB"/>
        </w:rPr>
        <w:t>isnād</w:t>
      </w:r>
      <w:proofErr w:type="spellEnd"/>
      <w:r>
        <w:rPr>
          <w:rFonts w:cs="Calibri"/>
          <w:kern w:val="0"/>
          <w:sz w:val="24"/>
          <w:szCs w:val="24"/>
          <w:lang w:eastAsia="en-GB"/>
        </w:rPr>
        <w:t xml:space="preserve"> for the same the </w:t>
      </w:r>
      <w:proofErr w:type="spellStart"/>
      <w:r>
        <w:rPr>
          <w:rFonts w:cs="Calibri"/>
          <w:i/>
          <w:kern w:val="0"/>
          <w:sz w:val="24"/>
          <w:szCs w:val="24"/>
          <w:lang w:eastAsia="en-GB"/>
        </w:rPr>
        <w:t>matn</w:t>
      </w:r>
      <w:proofErr w:type="spellEnd"/>
      <w:r>
        <w:rPr>
          <w:rFonts w:cs="Calibri"/>
          <w:kern w:val="0"/>
          <w:sz w:val="24"/>
          <w:szCs w:val="24"/>
          <w:lang w:eastAsia="en-GB"/>
        </w:rPr>
        <w:t xml:space="preserve"> (transmitted text). To give an example, Ibn </w:t>
      </w:r>
      <w:proofErr w:type="spellStart"/>
      <w:r>
        <w:rPr>
          <w:rFonts w:cs="Calibri"/>
          <w:kern w:val="0"/>
          <w:sz w:val="24"/>
          <w:szCs w:val="24"/>
          <w:lang w:eastAsia="en-GB"/>
        </w:rPr>
        <w:t>ʿAsākir</w:t>
      </w:r>
      <w:proofErr w:type="spellEnd"/>
      <w:r>
        <w:rPr>
          <w:rFonts w:cs="Calibri"/>
          <w:kern w:val="0"/>
          <w:sz w:val="24"/>
          <w:szCs w:val="24"/>
          <w:lang w:eastAsia="en-GB"/>
        </w:rPr>
        <w:t xml:space="preserve"> always transmitted from al-Khatib through just one intermediary, so al-Khatib’s position 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should always be 1, with the intermediary in position 0. However, because of the way our data was extracted, he sometimes appeared in both position 1 and position 2.</w:t>
      </w:r>
    </w:p>
    <w:p w14:paraId="394C208D" w14:textId="77777777" w:rsidR="00407389" w:rsidRDefault="00000000">
      <w:pPr>
        <w:spacing w:line="240" w:lineRule="auto"/>
      </w:pPr>
      <w:r>
        <w:rPr>
          <w:rFonts w:cs="Calibri"/>
          <w:kern w:val="0"/>
          <w:sz w:val="24"/>
          <w:szCs w:val="24"/>
          <w:lang w:eastAsia="en-GB"/>
        </w:rPr>
        <w:t xml:space="preserve">To address this issue, we tagged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separately, using # for primary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 for secondary ones. Of the 79,470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originally extracted, 2,236 (3%) were found to contain a second </w:t>
      </w:r>
      <w:proofErr w:type="spellStart"/>
      <w:r>
        <w:rPr>
          <w:rFonts w:cs="Calibri"/>
          <w:i/>
          <w:iCs/>
          <w:kern w:val="0"/>
          <w:sz w:val="24"/>
          <w:szCs w:val="24"/>
          <w:lang w:eastAsia="en-GB"/>
        </w:rPr>
        <w:t>isnād</w:t>
      </w:r>
      <w:proofErr w:type="spellEnd"/>
      <w:r>
        <w:rPr>
          <w:rFonts w:cs="Calibri"/>
          <w:kern w:val="0"/>
          <w:sz w:val="24"/>
          <w:szCs w:val="24"/>
          <w:lang w:eastAsia="en-GB"/>
        </w:rPr>
        <w:t xml:space="preserve">. We are aware that we have not identified all cases of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the text, but their number does not seem to affect our data or interpretation, as we are focused mainly on the big picture of the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not on, say, finding rare and interesting ones. It is always possible to retag the text in the future to account for the additional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then to regenerate the data.</w:t>
      </w:r>
    </w:p>
    <w:p w14:paraId="388986AF" w14:textId="77777777" w:rsidR="00407389" w:rsidRDefault="00000000">
      <w:pPr>
        <w:spacing w:line="240" w:lineRule="auto"/>
      </w:pPr>
      <w:r>
        <w:rPr>
          <w:rFonts w:cs="Calibri"/>
          <w:kern w:val="0"/>
          <w:sz w:val="24"/>
          <w:szCs w:val="24"/>
          <w:lang w:eastAsia="en-GB"/>
        </w:rPr>
        <w:t xml:space="preserve">Our final table excludes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it proved difficult to collect statistics using such data. But we have examined the excluded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provide them in the data set. We do not believe that excluding them alters our conclusions.</w:t>
      </w:r>
    </w:p>
    <w:p w14:paraId="0F00A9AA"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Errors</w:t>
      </w:r>
    </w:p>
    <w:p w14:paraId="27799A2E"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Many problems were rooted in the long history of the text, encompassing both manuscripts and the modern edition. For example, copyists surprisingly often confused </w:t>
      </w:r>
      <w:proofErr w:type="spellStart"/>
      <w:r>
        <w:rPr>
          <w:rFonts w:cs="Calibri"/>
          <w:kern w:val="0"/>
          <w:sz w:val="24"/>
          <w:szCs w:val="24"/>
          <w:lang w:eastAsia="en-GB"/>
        </w:rPr>
        <w:t>Ḥasans</w:t>
      </w:r>
      <w:proofErr w:type="spellEnd"/>
      <w:r>
        <w:rPr>
          <w:rFonts w:cs="Calibri"/>
          <w:kern w:val="0"/>
          <w:sz w:val="24"/>
          <w:szCs w:val="24"/>
          <w:lang w:eastAsia="en-GB"/>
        </w:rPr>
        <w:t xml:space="preserve"> and </w:t>
      </w:r>
      <w:proofErr w:type="spellStart"/>
      <w:r>
        <w:rPr>
          <w:rFonts w:cs="Calibri"/>
          <w:kern w:val="0"/>
          <w:sz w:val="24"/>
          <w:szCs w:val="24"/>
          <w:lang w:eastAsia="en-GB"/>
        </w:rPr>
        <w:t>Ḥusayns</w:t>
      </w:r>
      <w:proofErr w:type="spellEnd"/>
      <w:r>
        <w:rPr>
          <w:rFonts w:cs="Calibri"/>
          <w:kern w:val="0"/>
          <w:sz w:val="24"/>
          <w:szCs w:val="24"/>
          <w:lang w:eastAsia="en-GB"/>
        </w:rPr>
        <w:t xml:space="preserve">. The process of transferring the text to print also gave rise to inconsistencies that challenged our methodology. A common issue was spacing: the same pair of words in a name might be written separately or as one word (for example, Abu al-Barakat was sometimes rendered without a space between Abu and al-), which generated two different surface forms of the name. </w:t>
      </w:r>
    </w:p>
    <w:p w14:paraId="7F1C8BC2" w14:textId="77777777" w:rsidR="00407389" w:rsidRDefault="00000000">
      <w:pPr>
        <w:spacing w:line="240" w:lineRule="auto"/>
      </w:pPr>
      <w:r>
        <w:rPr>
          <w:rFonts w:cs="Calibri"/>
          <w:kern w:val="0"/>
          <w:sz w:val="24"/>
          <w:szCs w:val="24"/>
          <w:lang w:eastAsia="en-GB"/>
        </w:rPr>
        <w:t xml:space="preserve">Our normalisation process addressed such spacing issues, tracing names with divergent spacings to the correct individual. We were generally conservative with normalisation. On rare occasions, we would add an al-, for example, where the text did not have one. And in a handful of cases, we accepted minor variation in author names (e.g. when all major elements of a name were the same) and normalised the variant forms to one and the same </w:t>
      </w:r>
      <w:r>
        <w:rPr>
          <w:rFonts w:cs="Calibri"/>
          <w:kern w:val="0"/>
          <w:sz w:val="24"/>
          <w:szCs w:val="24"/>
          <w:lang w:eastAsia="en-GB"/>
        </w:rPr>
        <w:lastRenderedPageBreak/>
        <w:t xml:space="preserve">name so we could search for author names as expansively as possible. Otherwise, we accepted the text as it was and reckoned its state as a limitation on what we may conclude from it. </w:t>
      </w:r>
      <w:proofErr w:type="spellStart"/>
      <w:r>
        <w:rPr>
          <w:rFonts w:cs="Calibri"/>
          <w:kern w:val="0"/>
          <w:sz w:val="24"/>
          <w:szCs w:val="24"/>
          <w:lang w:eastAsia="en-GB"/>
        </w:rPr>
        <w:t>Ḥasan</w:t>
      </w:r>
      <w:proofErr w:type="spellEnd"/>
      <w:r>
        <w:rPr>
          <w:rFonts w:cs="Calibri"/>
          <w:kern w:val="0"/>
          <w:sz w:val="24"/>
          <w:szCs w:val="24"/>
          <w:lang w:eastAsia="en-GB"/>
        </w:rPr>
        <w:t xml:space="preserve"> in Arabic script is normalised as Hasan, even when we suspected that the copyist had made a mistake and that the name should in fact be </w:t>
      </w:r>
      <w:proofErr w:type="spellStart"/>
      <w:r>
        <w:rPr>
          <w:rFonts w:cs="Calibri"/>
          <w:kern w:val="0"/>
          <w:sz w:val="24"/>
          <w:szCs w:val="24"/>
          <w:lang w:eastAsia="en-GB"/>
        </w:rPr>
        <w:t>Ḥusayn</w:t>
      </w:r>
      <w:proofErr w:type="spellEnd"/>
      <w:r>
        <w:rPr>
          <w:rFonts w:cs="Calibri"/>
          <w:kern w:val="0"/>
          <w:sz w:val="24"/>
          <w:szCs w:val="24"/>
          <w:lang w:eastAsia="en-GB"/>
        </w:rPr>
        <w:t xml:space="preserve">. This means that if </w:t>
      </w:r>
      <w:proofErr w:type="spellStart"/>
      <w:r>
        <w:rPr>
          <w:rFonts w:cs="Calibri"/>
          <w:kern w:val="0"/>
          <w:sz w:val="24"/>
          <w:szCs w:val="24"/>
          <w:lang w:eastAsia="en-GB"/>
        </w:rPr>
        <w:t>Ḥusayn</w:t>
      </w:r>
      <w:proofErr w:type="spellEnd"/>
      <w:r>
        <w:rPr>
          <w:rFonts w:cs="Calibri"/>
          <w:kern w:val="0"/>
          <w:sz w:val="24"/>
          <w:szCs w:val="24"/>
          <w:lang w:eastAsia="en-GB"/>
        </w:rPr>
        <w:t xml:space="preserve"> was in fact the intended person, we are perpetuating the error and have an invented person on our Name List. In the future, the data set will benefit enormously from the use of natural language processing tools to weed out such errors.</w:t>
      </w:r>
      <w:r>
        <w:rPr>
          <w:rFonts w:cs="Calibri"/>
          <w:kern w:val="0"/>
          <w:sz w:val="24"/>
          <w:szCs w:val="24"/>
          <w:vertAlign w:val="superscript"/>
          <w:lang w:val="en-US" w:eastAsia="en-GB"/>
        </w:rPr>
        <w:footnoteReference w:id="5"/>
      </w:r>
    </w:p>
    <w:p w14:paraId="052A8266"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Many surface forms</w:t>
      </w:r>
    </w:p>
    <w:p w14:paraId="4AD92C57"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The normalisation process entailed many difficulties. We often wondered what Ibn </w:t>
      </w:r>
      <w:proofErr w:type="spellStart"/>
      <w:r>
        <w:rPr>
          <w:rFonts w:cs="Calibri"/>
          <w:kern w:val="0"/>
          <w:sz w:val="24"/>
          <w:szCs w:val="24"/>
          <w:lang w:eastAsia="en-GB"/>
        </w:rPr>
        <w:t>ʿAsākir</w:t>
      </w:r>
      <w:proofErr w:type="spellEnd"/>
      <w:r>
        <w:rPr>
          <w:rFonts w:cs="Calibri"/>
          <w:kern w:val="0"/>
          <w:sz w:val="24"/>
          <w:szCs w:val="24"/>
          <w:lang w:eastAsia="en-GB"/>
        </w:rPr>
        <w:t xml:space="preserve"> might have been thinking when he referred to the same person in many ways – was he assuming the knowledge of his audience? </w:t>
      </w:r>
    </w:p>
    <w:p w14:paraId="0886E2AC" w14:textId="77777777" w:rsidR="00407389" w:rsidRDefault="00000000">
      <w:pPr>
        <w:spacing w:line="240" w:lineRule="auto"/>
      </w:pPr>
      <w:r>
        <w:rPr>
          <w:rFonts w:cs="Calibri"/>
          <w:kern w:val="0"/>
          <w:sz w:val="24"/>
          <w:szCs w:val="24"/>
          <w:lang w:eastAsia="en-GB"/>
        </w:rPr>
        <w:t xml:space="preserve">Interestingly, when referring to persons further down in the </w:t>
      </w:r>
      <w:proofErr w:type="spellStart"/>
      <w:r>
        <w:rPr>
          <w:rFonts w:cs="Calibri"/>
          <w:i/>
          <w:kern w:val="0"/>
          <w:sz w:val="24"/>
          <w:szCs w:val="24"/>
          <w:lang w:eastAsia="en-GB"/>
        </w:rPr>
        <w:t>isnād</w:t>
      </w:r>
      <w:proofErr w:type="spellEnd"/>
      <w:r>
        <w:rPr>
          <w:rFonts w:cs="Calibri"/>
          <w:kern w:val="0"/>
          <w:sz w:val="24"/>
          <w:szCs w:val="24"/>
          <w:lang w:eastAsia="en-GB"/>
        </w:rPr>
        <w:t xml:space="preserve"> chains, he himself occasionally admitted to uncertainty about the identity of individuals so vaguely named. One entry in the </w:t>
      </w:r>
      <w:r>
        <w:rPr>
          <w:rFonts w:cs="Calibri"/>
          <w:i/>
          <w:kern w:val="0"/>
          <w:sz w:val="24"/>
          <w:szCs w:val="24"/>
          <w:lang w:eastAsia="en-GB"/>
        </w:rPr>
        <w:t>TMD</w:t>
      </w:r>
      <w:r>
        <w:rPr>
          <w:rFonts w:cs="Calibri"/>
          <w:kern w:val="0"/>
          <w:sz w:val="24"/>
          <w:szCs w:val="24"/>
          <w:lang w:eastAsia="en-GB"/>
        </w:rPr>
        <w:t xml:space="preserve"> is dedicated to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ʿAlī</w:t>
      </w:r>
      <w:proofErr w:type="spellEnd"/>
      <w:r>
        <w:rPr>
          <w:rFonts w:cs="Calibri"/>
          <w:kern w:val="0"/>
          <w:sz w:val="24"/>
          <w:szCs w:val="24"/>
          <w:lang w:eastAsia="en-GB"/>
        </w:rPr>
        <w:t xml:space="preserve">’, about whom Ibn </w:t>
      </w:r>
      <w:proofErr w:type="spellStart"/>
      <w:r>
        <w:rPr>
          <w:rFonts w:cs="Calibri"/>
          <w:kern w:val="0"/>
          <w:sz w:val="24"/>
          <w:szCs w:val="24"/>
          <w:lang w:eastAsia="en-GB"/>
        </w:rPr>
        <w:t>ʿAsākir</w:t>
      </w:r>
      <w:proofErr w:type="spellEnd"/>
      <w:r>
        <w:rPr>
          <w:rFonts w:cs="Calibri"/>
          <w:kern w:val="0"/>
          <w:sz w:val="24"/>
          <w:szCs w:val="24"/>
          <w:lang w:eastAsia="en-GB"/>
        </w:rPr>
        <w:t xml:space="preserve"> says, ‘I believe (</w:t>
      </w:r>
      <w:proofErr w:type="spellStart"/>
      <w:r>
        <w:rPr>
          <w:rFonts w:cs="Calibri"/>
          <w:i/>
          <w:kern w:val="0"/>
          <w:sz w:val="24"/>
          <w:szCs w:val="24"/>
          <w:lang w:eastAsia="en-GB"/>
        </w:rPr>
        <w:t>aẓunnu</w:t>
      </w:r>
      <w:proofErr w:type="spellEnd"/>
      <w:r>
        <w:rPr>
          <w:rFonts w:cs="Calibri"/>
          <w:kern w:val="0"/>
          <w:sz w:val="24"/>
          <w:szCs w:val="24"/>
          <w:lang w:eastAsia="en-GB"/>
        </w:rPr>
        <w:t xml:space="preserve">) that he is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Ṣūfī</w:t>
      </w:r>
      <w:proofErr w:type="spellEnd"/>
      <w:r>
        <w:rPr>
          <w:rFonts w:cs="Calibri"/>
          <w:kern w:val="0"/>
          <w:sz w:val="24"/>
          <w:szCs w:val="24"/>
          <w:lang w:eastAsia="en-GB"/>
        </w:rPr>
        <w:t>.’</w:t>
      </w:r>
      <w:r>
        <w:rPr>
          <w:rStyle w:val="FootnoteReference"/>
          <w:rFonts w:cs="Calibri"/>
          <w:kern w:val="0"/>
          <w:sz w:val="24"/>
          <w:szCs w:val="24"/>
          <w:lang w:eastAsia="en-GB"/>
        </w:rPr>
        <w:footnoteReference w:id="6"/>
      </w:r>
      <w:r>
        <w:rPr>
          <w:rFonts w:cs="Calibri"/>
          <w:kern w:val="0"/>
          <w:sz w:val="24"/>
          <w:szCs w:val="24"/>
          <w:lang w:eastAsia="en-GB"/>
        </w:rPr>
        <w:t xml:space="preserve"> On another occasion, he gives a chain of transmission but suggests a correction to it, arguing that the transmission more likely involved a father rather than a brother, as the chain claims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akhīhi</w:t>
      </w:r>
      <w:proofErr w:type="spellEnd"/>
      <w:r>
        <w:rPr>
          <w:rFonts w:cs="Calibri"/>
          <w:i/>
          <w:kern w:val="0"/>
          <w:sz w:val="24"/>
          <w:szCs w:val="24"/>
          <w:lang w:eastAsia="en-GB"/>
        </w:rPr>
        <w:t xml:space="preserve"> </w:t>
      </w:r>
      <w:proofErr w:type="spellStart"/>
      <w:r>
        <w:rPr>
          <w:rFonts w:cs="Calibri"/>
          <w:i/>
          <w:kern w:val="0"/>
          <w:sz w:val="24"/>
          <w:szCs w:val="24"/>
          <w:lang w:eastAsia="en-GB"/>
        </w:rPr>
        <w:t>aẓunnuhu</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abīhi</w:t>
      </w:r>
      <w:proofErr w:type="spellEnd"/>
      <w:r>
        <w:rPr>
          <w:rFonts w:cs="Calibri"/>
          <w:kern w:val="0"/>
          <w:sz w:val="24"/>
          <w:szCs w:val="24"/>
          <w:lang w:eastAsia="en-GB"/>
        </w:rPr>
        <w:t>).</w:t>
      </w:r>
      <w:r>
        <w:rPr>
          <w:rStyle w:val="FootnoteReference"/>
          <w:rFonts w:cs="Calibri"/>
          <w:kern w:val="0"/>
          <w:sz w:val="24"/>
          <w:szCs w:val="24"/>
          <w:lang w:eastAsia="en-GB"/>
        </w:rPr>
        <w:footnoteReference w:id="7"/>
      </w:r>
    </w:p>
    <w:p w14:paraId="39B28487" w14:textId="77777777" w:rsidR="00407389" w:rsidRDefault="00000000">
      <w:pPr>
        <w:spacing w:line="240" w:lineRule="auto"/>
      </w:pPr>
      <w:r>
        <w:rPr>
          <w:rFonts w:cs="Calibri"/>
          <w:kern w:val="0"/>
          <w:sz w:val="24"/>
          <w:szCs w:val="24"/>
          <w:lang w:eastAsia="en-GB"/>
        </w:rPr>
        <w:t>Much of our work on name normalisation involved simple transcription of Arabic surface forms to Latin-script normalisations. However, in many cases some sleuthing was required. We did substantial work on named entity recognition (NER), which is a technique of information extraction that involves identifying and classifying names, and we drew on our knowledge of Arabic onomastics and familiarity with common versus rare names to trace different surface forms to the same person.</w:t>
      </w:r>
      <w:r>
        <w:rPr>
          <w:rFonts w:cs="Calibri"/>
          <w:kern w:val="0"/>
          <w:sz w:val="24"/>
          <w:szCs w:val="24"/>
          <w:vertAlign w:val="superscript"/>
          <w:lang w:val="en-US" w:eastAsia="en-GB"/>
        </w:rPr>
        <w:footnoteReference w:id="8"/>
      </w:r>
      <w:r>
        <w:rPr>
          <w:rFonts w:cs="Calibri"/>
          <w:kern w:val="0"/>
          <w:sz w:val="24"/>
          <w:szCs w:val="24"/>
          <w:lang w:eastAsia="en-GB"/>
        </w:rPr>
        <w:t xml:space="preserve"> This was very much a brute-force effort. We have experimented with further ways to disambiguate names automatically, such as by using a clustering algorithm, but have not been able to move beyond where we are now. </w:t>
      </w:r>
    </w:p>
    <w:p w14:paraId="1092F0AF" w14:textId="77777777" w:rsidR="00407389" w:rsidRDefault="00000000">
      <w:pPr>
        <w:spacing w:line="240" w:lineRule="auto"/>
      </w:pPr>
      <w:r>
        <w:rPr>
          <w:rFonts w:cs="Calibri"/>
          <w:kern w:val="0"/>
          <w:sz w:val="24"/>
          <w:szCs w:val="24"/>
          <w:lang w:eastAsia="en-GB"/>
        </w:rPr>
        <w:t xml:space="preserve">Sarah’s initial Name List contained more than 6,000 surface forms and their normalisations. For 89%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could not identify a direct informant (judging by the proportion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still contained only an </w:t>
      </w:r>
      <w:proofErr w:type="spellStart"/>
      <w:r>
        <w:rPr>
          <w:rFonts w:cs="Calibri"/>
          <w:kern w:val="0"/>
          <w:sz w:val="24"/>
          <w:szCs w:val="24"/>
          <w:lang w:eastAsia="en-GB"/>
        </w:rPr>
        <w:t>unnormalised</w:t>
      </w:r>
      <w:proofErr w:type="spellEnd"/>
      <w:r>
        <w:rPr>
          <w:rFonts w:cs="Calibri"/>
          <w:kern w:val="0"/>
          <w:sz w:val="24"/>
          <w:szCs w:val="24"/>
          <w:lang w:eastAsia="en-GB"/>
        </w:rPr>
        <w:t xml:space="preserve">, Arabic-script name in the first position in the </w:t>
      </w:r>
      <w:proofErr w:type="spellStart"/>
      <w:r>
        <w:rPr>
          <w:rFonts w:cs="Calibri"/>
          <w:i/>
          <w:iCs/>
          <w:kern w:val="0"/>
          <w:sz w:val="24"/>
          <w:szCs w:val="24"/>
          <w:lang w:eastAsia="en-GB"/>
        </w:rPr>
        <w:t>isnād</w:t>
      </w:r>
      <w:proofErr w:type="spellEnd"/>
      <w:r>
        <w:rPr>
          <w:rFonts w:cs="Calibri"/>
          <w:kern w:val="0"/>
          <w:sz w:val="24"/>
          <w:szCs w:val="24"/>
          <w:lang w:eastAsia="en-GB"/>
        </w:rPr>
        <w:t xml:space="preserve">). Hamid Reza Hakimi joined the effort, and together we developed more computational ways to normalise names. This critical work brought the number of name normalisations to 9,238. We now have at least one normalised name for 91% of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Further normalisation would take much work and likely yield little benefit, insofar as we seek the big picture.</w:t>
      </w:r>
    </w:p>
    <w:p w14:paraId="7028218B" w14:textId="77777777" w:rsidR="00407389" w:rsidRDefault="00000000">
      <w:pPr>
        <w:spacing w:line="240" w:lineRule="auto"/>
      </w:pPr>
      <w:r>
        <w:rPr>
          <w:rFonts w:cs="Calibri"/>
          <w:kern w:val="0"/>
          <w:sz w:val="24"/>
          <w:szCs w:val="24"/>
          <w:lang w:eastAsia="en-GB"/>
        </w:rPr>
        <w:lastRenderedPageBreak/>
        <w:t xml:space="preserve">A particular problem is posed by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two distinct names in position 0, as in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Ghālib</w:t>
      </w:r>
      <w:proofErr w:type="spellEnd"/>
      <w:r>
        <w:rPr>
          <w:rFonts w:cs="Calibri"/>
          <w:kern w:val="0"/>
          <w:sz w:val="24"/>
          <w:szCs w:val="24"/>
          <w:lang w:eastAsia="en-GB"/>
        </w:rPr>
        <w:t xml:space="preserve"> [Abu Ghalib]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[Abu 'Abd Allah] told us that …’ To partially address this issue, we searched the </w:t>
      </w:r>
      <w:proofErr w:type="spellStart"/>
      <w:r>
        <w:rPr>
          <w:rFonts w:cs="Calibri"/>
          <w:kern w:val="0"/>
          <w:sz w:val="24"/>
          <w:szCs w:val="24"/>
          <w:lang w:eastAsia="en-GB"/>
        </w:rPr>
        <w:t>unnormalised</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surface forms associated with the twenty most frequently cited transmitters. We found many partial matches, in which one of these names was embedded in a longer list of names. We counted these as matches but marked them in our data as ‘partial matches’ to signal that the string might contain additional names we have not normalised. </w:t>
      </w:r>
    </w:p>
    <w:p w14:paraId="4E9BC5A2" w14:textId="77777777" w:rsidR="00407389" w:rsidRDefault="00000000">
      <w:pPr>
        <w:spacing w:line="240" w:lineRule="auto"/>
      </w:pPr>
      <w:r>
        <w:rPr>
          <w:rFonts w:cs="Calibri"/>
          <w:kern w:val="0"/>
          <w:sz w:val="24"/>
          <w:szCs w:val="24"/>
          <w:lang w:eastAsia="en-GB"/>
        </w:rPr>
        <w:t xml:space="preserve">We are satisfied with our Name List for now, as it serves our current purposes. But we anticipate developing better methods for refining it in the future. Ryan Muther has been working on parallel problems, and his work will be helpful. We also expect work on NLP to be useful. For example, names might be extracted from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through the use of an automatic parser such as those that exist now for English and other languages. Though various projects are developing such tools for Arabic,</w:t>
      </w:r>
      <w:r>
        <w:rPr>
          <w:rStyle w:val="FootnoteReference"/>
          <w:rFonts w:cs="Calibri"/>
          <w:kern w:val="0"/>
          <w:sz w:val="24"/>
          <w:szCs w:val="24"/>
          <w:lang w:eastAsia="en-GB"/>
        </w:rPr>
        <w:footnoteReference w:id="9"/>
      </w:r>
      <w:r>
        <w:rPr>
          <w:rFonts w:cs="Calibri"/>
          <w:kern w:val="0"/>
          <w:sz w:val="24"/>
          <w:szCs w:val="24"/>
          <w:lang w:eastAsia="en-GB"/>
        </w:rPr>
        <w:t xml:space="preserve"> we have only begun testing them for historical Arabic. </w:t>
      </w:r>
    </w:p>
    <w:p w14:paraId="48F9C6AC"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Uncertainty</w:t>
      </w:r>
    </w:p>
    <w:p w14:paraId="314780C3" w14:textId="77777777" w:rsidR="00407389" w:rsidRDefault="00000000">
      <w:pPr>
        <w:spacing w:line="240" w:lineRule="auto"/>
      </w:pPr>
      <w:r>
        <w:rPr>
          <w:rFonts w:cs="Calibri"/>
          <w:kern w:val="0"/>
          <w:sz w:val="24"/>
          <w:szCs w:val="24"/>
          <w:lang w:eastAsia="en-GB"/>
        </w:rPr>
        <w:t xml:space="preserve">In a very few cases, we have normalised different surface forms to a common short name, even when examination of the elements in longer forms of the name seems to point to two distinct persons. For example,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cites two transmitters called Umm al-Mujtaba and Umm al-Baha'. He also occasionally names them together, as ‘Umm al-</w:t>
      </w:r>
      <w:proofErr w:type="spellStart"/>
      <w:r>
        <w:rPr>
          <w:rFonts w:cs="Calibri"/>
          <w:kern w:val="0"/>
          <w:sz w:val="24"/>
          <w:szCs w:val="24"/>
          <w:lang w:eastAsia="en-GB"/>
        </w:rPr>
        <w:t>Mujtabāʾ</w:t>
      </w:r>
      <w:proofErr w:type="spellEnd"/>
      <w:r>
        <w:rPr>
          <w:rFonts w:cs="Calibri"/>
          <w:kern w:val="0"/>
          <w:sz w:val="24"/>
          <w:szCs w:val="24"/>
          <w:lang w:eastAsia="en-GB"/>
        </w:rPr>
        <w:t xml:space="preserve">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Nāṣir</w:t>
      </w:r>
      <w:proofErr w:type="spellEnd"/>
      <w:r>
        <w:rPr>
          <w:rFonts w:cs="Calibri"/>
          <w:kern w:val="0"/>
          <w:sz w:val="24"/>
          <w:szCs w:val="24"/>
          <w:lang w:eastAsia="en-GB"/>
        </w:rPr>
        <w:t>’ and ‘Umm al-</w:t>
      </w:r>
      <w:proofErr w:type="spellStart"/>
      <w:r>
        <w:rPr>
          <w:rFonts w:cs="Calibri"/>
          <w:kern w:val="0"/>
          <w:sz w:val="24"/>
          <w:szCs w:val="24"/>
          <w:lang w:eastAsia="en-GB"/>
        </w:rPr>
        <w:t>Bahāʾ</w:t>
      </w:r>
      <w:proofErr w:type="spellEnd"/>
      <w:r>
        <w:rPr>
          <w:rFonts w:cs="Calibri"/>
          <w:kern w:val="0"/>
          <w:sz w:val="24"/>
          <w:szCs w:val="24"/>
          <w:lang w:eastAsia="en-GB"/>
        </w:rPr>
        <w:t xml:space="preserve">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Somewhere along the way, however, the genealogies of the two </w:t>
      </w:r>
      <w:proofErr w:type="spellStart"/>
      <w:r>
        <w:rPr>
          <w:rFonts w:cs="Calibri"/>
          <w:kern w:val="0"/>
          <w:sz w:val="24"/>
          <w:szCs w:val="24"/>
          <w:lang w:eastAsia="en-GB"/>
        </w:rPr>
        <w:t>Fāṭimas</w:t>
      </w:r>
      <w:proofErr w:type="spellEnd"/>
      <w:r>
        <w:rPr>
          <w:rFonts w:cs="Calibri"/>
          <w:kern w:val="0"/>
          <w:sz w:val="24"/>
          <w:szCs w:val="24"/>
          <w:lang w:eastAsia="en-GB"/>
        </w:rPr>
        <w:t xml:space="preserve"> got mixed up, so the </w:t>
      </w:r>
      <w:r>
        <w:rPr>
          <w:rFonts w:cs="Calibri"/>
          <w:i/>
          <w:kern w:val="0"/>
          <w:sz w:val="24"/>
          <w:szCs w:val="24"/>
          <w:lang w:eastAsia="en-GB"/>
        </w:rPr>
        <w:t>TMD</w:t>
      </w:r>
      <w:r>
        <w:rPr>
          <w:rFonts w:cs="Calibri"/>
          <w:kern w:val="0"/>
          <w:sz w:val="24"/>
          <w:szCs w:val="24"/>
          <w:lang w:eastAsia="en-GB"/>
        </w:rPr>
        <w:t xml:space="preserve"> sometimes refers to Umm al-Mujtaba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and to Umm al-Baha'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Nāṣir</w:t>
      </w:r>
      <w:proofErr w:type="spellEnd"/>
      <w:r>
        <w:rPr>
          <w:rFonts w:cs="Calibri"/>
          <w:kern w:val="0"/>
          <w:sz w:val="24"/>
          <w:szCs w:val="24"/>
          <w:lang w:eastAsia="en-GB"/>
        </w:rPr>
        <w:t xml:space="preserve"> (and also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Aḥmad</w:t>
      </w:r>
      <w:proofErr w:type="spellEnd"/>
      <w:r>
        <w:rPr>
          <w:rFonts w:cs="Calibri"/>
          <w:kern w:val="0"/>
          <w:sz w:val="24"/>
          <w:szCs w:val="24"/>
          <w:lang w:eastAsia="en-GB"/>
        </w:rPr>
        <w:t xml:space="preserve"> or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Allāḥ</w:t>
      </w:r>
      <w:proofErr w:type="spellEnd"/>
      <w:r>
        <w:rPr>
          <w:rFonts w:cs="Calibri"/>
          <w:kern w:val="0"/>
          <w:sz w:val="24"/>
          <w:szCs w:val="24"/>
          <w:lang w:eastAsia="en-GB"/>
        </w:rPr>
        <w:t xml:space="preserve">). Given that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mentions the two names together, it seems clear that they identify two separate women, so we felt we could safely refer to them by their shortened names and ignore the confusion about their genealogies. This seemed a good route especially in cases in which the short-form names were not themselves very common; the situation would have been very different with, say,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Ḥasan</w:t>
      </w:r>
      <w:proofErr w:type="spellEnd"/>
      <w:r>
        <w:rPr>
          <w:rFonts w:cs="Calibri"/>
          <w:kern w:val="0"/>
          <w:sz w:val="24"/>
          <w:szCs w:val="24"/>
          <w:lang w:eastAsia="en-GB"/>
        </w:rPr>
        <w:t xml:space="preserve"> or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w:t>
      </w:r>
    </w:p>
    <w:p w14:paraId="1F238F3C" w14:textId="77777777" w:rsidR="00407389" w:rsidRDefault="00000000">
      <w:pPr>
        <w:keepNext/>
        <w:keepLines/>
        <w:spacing w:line="240" w:lineRule="auto"/>
        <w:outlineLvl w:val="1"/>
      </w:pPr>
      <w:r>
        <w:rPr>
          <w:rFonts w:cs="Calibri"/>
          <w:color w:val="2F5496"/>
          <w:kern w:val="0"/>
          <w:sz w:val="24"/>
          <w:szCs w:val="24"/>
          <w:lang w:eastAsia="en-GB"/>
        </w:rPr>
        <w:t>Conventions</w:t>
      </w:r>
    </w:p>
    <w:p w14:paraId="323AB4D5" w14:textId="77777777" w:rsidR="00407389" w:rsidRDefault="00000000">
      <w:pPr>
        <w:spacing w:line="240" w:lineRule="auto"/>
      </w:pPr>
      <w:r>
        <w:rPr>
          <w:rFonts w:cs="Calibri"/>
          <w:kern w:val="0"/>
          <w:sz w:val="24"/>
          <w:szCs w:val="24"/>
          <w:lang w:eastAsia="en-GB"/>
        </w:rPr>
        <w:t xml:space="preserve">We cite our data set throughout the posts that follow, sometimes using the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number within the data set. We also give milestones for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use the normalised forms of informants’ names but often refer to authors by their better-known, transliterated names. When translating passages from the text, we give the surface form as it appears in the text, followed by the normalised form in square brackets. Readers can recognise normalised names by their lack of diacritics. Normally, </w:t>
      </w:r>
      <w:proofErr w:type="spellStart"/>
      <w:r>
        <w:rPr>
          <w:rFonts w:cs="Calibri"/>
          <w:kern w:val="0"/>
          <w:sz w:val="24"/>
          <w:szCs w:val="24"/>
          <w:lang w:eastAsia="en-GB"/>
        </w:rPr>
        <w:t>OpenITI</w:t>
      </w:r>
      <w:proofErr w:type="spellEnd"/>
      <w:r>
        <w:rPr>
          <w:rFonts w:cs="Calibri"/>
          <w:kern w:val="0"/>
          <w:sz w:val="24"/>
          <w:szCs w:val="24"/>
          <w:lang w:eastAsia="en-GB"/>
        </w:rPr>
        <w:t xml:space="preserve"> blog posts lack diacritics, but for this series, we found them necessary.</w:t>
      </w:r>
    </w:p>
    <w:sectPr w:rsidR="0040738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73B2" w14:textId="77777777" w:rsidR="006A42C1" w:rsidRDefault="006A42C1">
      <w:pPr>
        <w:spacing w:after="0" w:line="240" w:lineRule="auto"/>
      </w:pPr>
      <w:r>
        <w:separator/>
      </w:r>
    </w:p>
  </w:endnote>
  <w:endnote w:type="continuationSeparator" w:id="0">
    <w:p w14:paraId="3BB81EB0" w14:textId="77777777" w:rsidR="006A42C1" w:rsidRDefault="006A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B740" w14:textId="77777777" w:rsidR="006A42C1" w:rsidRDefault="006A42C1">
      <w:pPr>
        <w:spacing w:after="0" w:line="240" w:lineRule="auto"/>
      </w:pPr>
      <w:r>
        <w:rPr>
          <w:color w:val="000000"/>
        </w:rPr>
        <w:separator/>
      </w:r>
    </w:p>
  </w:footnote>
  <w:footnote w:type="continuationSeparator" w:id="0">
    <w:p w14:paraId="258FBDB4" w14:textId="77777777" w:rsidR="006A42C1" w:rsidRDefault="006A42C1">
      <w:pPr>
        <w:spacing w:after="0" w:line="240" w:lineRule="auto"/>
      </w:pPr>
      <w:r>
        <w:continuationSeparator/>
      </w:r>
    </w:p>
  </w:footnote>
  <w:footnote w:id="1">
    <w:p w14:paraId="0B82F3E9" w14:textId="77777777" w:rsidR="00407389" w:rsidRDefault="00000000">
      <w:pPr>
        <w:pStyle w:val="FootnoteText"/>
      </w:pPr>
      <w:r>
        <w:rPr>
          <w:rStyle w:val="FootnoteReference"/>
        </w:rPr>
        <w:footnoteRef/>
      </w:r>
      <w:r>
        <w:t xml:space="preserve"> </w:t>
      </w:r>
      <w:r>
        <w:rPr>
          <w:rFonts w:ascii="Times New Roman" w:hAnsi="Times New Roman" w:cs="Times New Roman"/>
          <w:color w:val="000000"/>
        </w:rPr>
        <w:t xml:space="preserve">On the book’s publication history, see </w:t>
      </w:r>
      <w:r>
        <w:rPr>
          <w:rFonts w:ascii="Times New Roman" w:hAnsi="Times New Roman" w:cs="Times New Roman"/>
        </w:rPr>
        <w:t xml:space="preserve">Steven Judd and Jens </w:t>
      </w:r>
      <w:proofErr w:type="spellStart"/>
      <w:r>
        <w:rPr>
          <w:rFonts w:ascii="Times New Roman" w:hAnsi="Times New Roman" w:cs="Times New Roman"/>
        </w:rPr>
        <w:t>Scheiner</w:t>
      </w:r>
      <w:proofErr w:type="spellEnd"/>
      <w:r>
        <w:rPr>
          <w:rFonts w:ascii="Times New Roman" w:hAnsi="Times New Roman" w:cs="Times New Roman"/>
        </w:rPr>
        <w:t xml:space="preserve">, ‘Introduction’, in Judd and </w:t>
      </w:r>
      <w:proofErr w:type="spellStart"/>
      <w:r>
        <w:rPr>
          <w:rFonts w:ascii="Times New Roman" w:hAnsi="Times New Roman" w:cs="Times New Roman"/>
        </w:rPr>
        <w:t>Scheiner</w:t>
      </w:r>
      <w:proofErr w:type="spellEnd"/>
      <w:r>
        <w:rPr>
          <w:rFonts w:ascii="Times New Roman" w:hAnsi="Times New Roman" w:cs="Times New Roman"/>
        </w:rPr>
        <w:t xml:space="preserve">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xml:space="preserve">, 1–3; Nancy Khalek, ‘Prologue: The Publication of the </w:t>
      </w:r>
      <w:proofErr w:type="spellStart"/>
      <w:r>
        <w:rPr>
          <w:rFonts w:ascii="Times New Roman" w:hAnsi="Times New Roman" w:cs="Times New Roman"/>
        </w:rPr>
        <w:t>Dār</w:t>
      </w:r>
      <w:proofErr w:type="spellEnd"/>
      <w:r>
        <w:rPr>
          <w:rFonts w:ascii="Times New Roman" w:hAnsi="Times New Roman" w:cs="Times New Roman"/>
        </w:rPr>
        <w:t xml:space="preserve"> al-</w:t>
      </w:r>
      <w:proofErr w:type="spellStart"/>
      <w:r>
        <w:rPr>
          <w:rFonts w:ascii="Times New Roman" w:hAnsi="Times New Roman" w:cs="Times New Roman"/>
        </w:rPr>
        <w:t>Fikr</w:t>
      </w:r>
      <w:proofErr w:type="spellEnd"/>
      <w:r>
        <w:rPr>
          <w:rFonts w:ascii="Times New Roman" w:hAnsi="Times New Roman" w:cs="Times New Roman"/>
        </w:rPr>
        <w:t xml:space="preserve"> Edition of Ibn </w:t>
      </w:r>
      <w:proofErr w:type="spellStart"/>
      <w:r>
        <w:rPr>
          <w:rFonts w:ascii="Times New Roman" w:hAnsi="Times New Roman" w:cs="Times New Roman"/>
        </w:rPr>
        <w:t>ʿAsākir’s</w:t>
      </w:r>
      <w:proofErr w:type="spellEnd"/>
      <w:r>
        <w:rPr>
          <w:rFonts w:ascii="Times New Roman" w:hAnsi="Times New Roman" w:cs="Times New Roman"/>
          <w:i/>
          <w:iCs/>
        </w:rPr>
        <w:t xml:space="preserve"> </w:t>
      </w:r>
      <w:proofErr w:type="spellStart"/>
      <w:r>
        <w:rPr>
          <w:rFonts w:ascii="Times New Roman" w:hAnsi="Times New Roman" w:cs="Times New Roman"/>
          <w:i/>
          <w:iCs/>
        </w:rPr>
        <w:t>Taʾrīkh</w:t>
      </w:r>
      <w:proofErr w:type="spellEnd"/>
      <w:r>
        <w:rPr>
          <w:rFonts w:ascii="Times New Roman" w:hAnsi="Times New Roman" w:cs="Times New Roman"/>
          <w:i/>
          <w:iCs/>
        </w:rPr>
        <w:t xml:space="preserve"> </w:t>
      </w:r>
      <w:proofErr w:type="spellStart"/>
      <w:r>
        <w:rPr>
          <w:rFonts w:ascii="Times New Roman" w:hAnsi="Times New Roman" w:cs="Times New Roman"/>
          <w:i/>
          <w:iCs/>
        </w:rPr>
        <w:t>Madīnat</w:t>
      </w:r>
      <w:proofErr w:type="spellEnd"/>
      <w:r>
        <w:rPr>
          <w:rFonts w:ascii="Times New Roman" w:hAnsi="Times New Roman" w:cs="Times New Roman"/>
          <w:i/>
          <w:iCs/>
        </w:rPr>
        <w:t xml:space="preserve"> Dimashq</w:t>
      </w:r>
      <w:r>
        <w:rPr>
          <w:rFonts w:ascii="Times New Roman" w:hAnsi="Times New Roman" w:cs="Times New Roman"/>
        </w:rPr>
        <w:t xml:space="preserve">’, in Judd and </w:t>
      </w:r>
      <w:proofErr w:type="spellStart"/>
      <w:r>
        <w:rPr>
          <w:rFonts w:ascii="Times New Roman" w:hAnsi="Times New Roman" w:cs="Times New Roman"/>
        </w:rPr>
        <w:t>Scheiner</w:t>
      </w:r>
      <w:proofErr w:type="spellEnd"/>
      <w:r>
        <w:rPr>
          <w:rFonts w:ascii="Times New Roman" w:hAnsi="Times New Roman" w:cs="Times New Roman"/>
        </w:rPr>
        <w:t xml:space="preserve">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4–8. Se</w:t>
      </w:r>
      <w:r>
        <w:rPr>
          <w:rFonts w:ascii="Times New Roman" w:hAnsi="Times New Roman" w:cs="Times New Roman"/>
          <w:color w:val="000000"/>
        </w:rPr>
        <w:t xml:space="preserve">e also </w:t>
      </w:r>
      <w:r>
        <w:rPr>
          <w:rFonts w:ascii="Times New Roman" w:hAnsi="Times New Roman" w:cs="Times New Roman"/>
        </w:rPr>
        <w:t xml:space="preserve">James E. Lindsay, ‘Appendix C: Major Lacunae in </w:t>
      </w:r>
      <w:r>
        <w:rPr>
          <w:rFonts w:ascii="Times New Roman" w:hAnsi="Times New Roman" w:cs="Times New Roman"/>
          <w:i/>
          <w:iCs/>
        </w:rPr>
        <w:t>TMD</w:t>
      </w:r>
      <w:r>
        <w:rPr>
          <w:rFonts w:ascii="Times New Roman" w:hAnsi="Times New Roman" w:cs="Times New Roman"/>
        </w:rPr>
        <w:t xml:space="preserve">’, in Lindsay (ed.), </w:t>
      </w:r>
      <w:r>
        <w:rPr>
          <w:rFonts w:ascii="Times New Roman" w:hAnsi="Times New Roman" w:cs="Times New Roman"/>
          <w:i/>
          <w:iCs/>
        </w:rPr>
        <w:t xml:space="preserve">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and Early Islamic History</w:t>
      </w:r>
      <w:r>
        <w:rPr>
          <w:rFonts w:ascii="Times New Roman" w:hAnsi="Times New Roman" w:cs="Times New Roman"/>
        </w:rPr>
        <w:t>, 141–3. See</w:t>
      </w:r>
      <w:r>
        <w:rPr>
          <w:rFonts w:ascii="Times New Roman" w:hAnsi="Times New Roman" w:cs="Times New Roman"/>
          <w:color w:val="000000"/>
        </w:rPr>
        <w:t xml:space="preserve"> also a further critique of the </w:t>
      </w:r>
      <w:proofErr w:type="spellStart"/>
      <w:r>
        <w:rPr>
          <w:rFonts w:ascii="Times New Roman" w:hAnsi="Times New Roman" w:cs="Times New Roman"/>
          <w:color w:val="000000"/>
        </w:rPr>
        <w:t>Dār</w:t>
      </w:r>
      <w:proofErr w:type="spellEnd"/>
      <w:r>
        <w:rPr>
          <w:rFonts w:ascii="Times New Roman" w:hAnsi="Times New Roman" w:cs="Times New Roman"/>
          <w:color w:val="000000"/>
        </w:rPr>
        <w:t xml:space="preserve"> al-</w:t>
      </w:r>
      <w:proofErr w:type="spellStart"/>
      <w:r>
        <w:rPr>
          <w:rFonts w:ascii="Times New Roman" w:hAnsi="Times New Roman" w:cs="Times New Roman"/>
          <w:color w:val="000000"/>
        </w:rPr>
        <w:t>Fikr</w:t>
      </w:r>
      <w:proofErr w:type="spellEnd"/>
      <w:r>
        <w:rPr>
          <w:rFonts w:ascii="Times New Roman" w:hAnsi="Times New Roman" w:cs="Times New Roman"/>
          <w:color w:val="000000"/>
        </w:rPr>
        <w:t xml:space="preserve"> edition (supporting our exclusion of the </w:t>
      </w:r>
      <w:proofErr w:type="spellStart"/>
      <w:r>
        <w:rPr>
          <w:rFonts w:ascii="Times New Roman" w:hAnsi="Times New Roman" w:cs="Times New Roman"/>
          <w:i/>
          <w:color w:val="000000"/>
        </w:rPr>
        <w:t>mustadrak</w:t>
      </w:r>
      <w:proofErr w:type="spellEnd"/>
      <w:r>
        <w:rPr>
          <w:rFonts w:ascii="Times New Roman" w:hAnsi="Times New Roman" w:cs="Times New Roman"/>
          <w:iCs/>
          <w:color w:val="000000"/>
        </w:rPr>
        <w:t>, which Lindsay includes</w:t>
      </w:r>
      <w:r>
        <w:rPr>
          <w:rFonts w:ascii="Times New Roman" w:hAnsi="Times New Roman" w:cs="Times New Roman"/>
          <w:color w:val="000000"/>
        </w:rPr>
        <w:t xml:space="preserve">) in </w:t>
      </w:r>
      <w:r>
        <w:rPr>
          <w:rFonts w:ascii="Times New Roman" w:hAnsi="Times New Roman" w:cs="Times New Roman"/>
        </w:rPr>
        <w:t xml:space="preserve">Mourad, </w:t>
      </w:r>
      <w:r>
        <w:rPr>
          <w:rFonts w:ascii="Times New Roman" w:hAnsi="Times New Roman" w:cs="Times New Roman"/>
          <w:i/>
          <w:iCs/>
        </w:rPr>
        <w:t>Ibn ‘</w:t>
      </w:r>
      <w:proofErr w:type="spellStart"/>
      <w:r>
        <w:rPr>
          <w:rFonts w:ascii="Times New Roman" w:hAnsi="Times New Roman" w:cs="Times New Roman"/>
          <w:i/>
          <w:iCs/>
        </w:rPr>
        <w:t>Asakir</w:t>
      </w:r>
      <w:proofErr w:type="spellEnd"/>
      <w:r>
        <w:rPr>
          <w:rFonts w:ascii="Times New Roman" w:hAnsi="Times New Roman" w:cs="Times New Roman"/>
          <w:i/>
          <w:iCs/>
        </w:rPr>
        <w:t xml:space="preserve"> of Damascus</w:t>
      </w:r>
      <w:r>
        <w:rPr>
          <w:rFonts w:ascii="Times New Roman" w:hAnsi="Times New Roman" w:cs="Times New Roman"/>
        </w:rPr>
        <w:t>, 78–80.</w:t>
      </w:r>
    </w:p>
  </w:footnote>
  <w:footnote w:id="2">
    <w:p w14:paraId="39D3D696" w14:textId="77777777" w:rsidR="00407389" w:rsidRDefault="00000000">
      <w:pPr>
        <w:pStyle w:val="FootnoteText"/>
      </w:pPr>
      <w:r>
        <w:rPr>
          <w:rStyle w:val="FootnoteReference"/>
        </w:rPr>
        <w:footnoteRef/>
      </w:r>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Muʿjam</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shuyūkh</w:t>
      </w:r>
      <w:proofErr w:type="spellEnd"/>
      <w:r>
        <w:rPr>
          <w:rFonts w:ascii="Times New Roman" w:hAnsi="Times New Roman" w:cs="Times New Roman"/>
          <w:lang w:val="en-GB"/>
        </w:rPr>
        <w:t xml:space="preserve">, ed. </w:t>
      </w:r>
      <w:proofErr w:type="spellStart"/>
      <w:r>
        <w:rPr>
          <w:rFonts w:ascii="Times New Roman" w:hAnsi="Times New Roman" w:cs="Times New Roman"/>
          <w:lang w:val="en-GB"/>
        </w:rPr>
        <w:t>Shākir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Faḥḥām</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Wafāʾ</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Taqī</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3 vols (Damascus: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2000), 0571IbnCasakir.MucjamShuyukh.Shamela0012750.</w:t>
      </w:r>
    </w:p>
  </w:footnote>
  <w:footnote w:id="3">
    <w:p w14:paraId="0EDC0107" w14:textId="3BB645AE" w:rsidR="00407389" w:rsidRDefault="00000000">
      <w:pPr>
        <w:pStyle w:val="FootnoteText"/>
      </w:pPr>
      <w:r>
        <w:rPr>
          <w:rStyle w:val="FootnoteReference"/>
        </w:rPr>
        <w:footnoteRef/>
      </w:r>
      <w:r>
        <w:rPr>
          <w:rFonts w:ascii="Times New Roman" w:hAnsi="Times New Roman" w:cs="Times New Roman"/>
          <w:lang w:val="en-GB"/>
        </w:rPr>
        <w:t xml:space="preserve"> Al-</w:t>
      </w:r>
      <w:proofErr w:type="spellStart"/>
      <w:r>
        <w:rPr>
          <w:rFonts w:ascii="Times New Roman" w:hAnsi="Times New Roman" w:cs="Times New Roman"/>
          <w:lang w:val="en-GB"/>
        </w:rPr>
        <w:t>Daʿjānī</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Mawārid</w:t>
      </w:r>
      <w:proofErr w:type="spellEnd"/>
      <w:r>
        <w:rPr>
          <w:rFonts w:ascii="Times New Roman" w:hAnsi="Times New Roman" w:cs="Times New Roman"/>
          <w:i/>
          <w:iCs/>
          <w:lang w:val="en-GB"/>
        </w:rPr>
        <w:t xml:space="preserve"> Ibn </w:t>
      </w:r>
      <w:proofErr w:type="spellStart"/>
      <w:r>
        <w:rPr>
          <w:rFonts w:ascii="Times New Roman" w:hAnsi="Times New Roman" w:cs="Times New Roman"/>
          <w:i/>
          <w:iCs/>
          <w:lang w:val="en-GB"/>
        </w:rPr>
        <w:t>ʿAsākir</w:t>
      </w:r>
      <w:proofErr w:type="spellEnd"/>
      <w:r w:rsidR="00C130BA">
        <w:rPr>
          <w:rFonts w:ascii="Times New Roman" w:hAnsi="Times New Roman" w:cs="Times New Roman"/>
          <w:lang w:val="en-GB"/>
        </w:rPr>
        <w:t>, vol. 1.</w:t>
      </w:r>
    </w:p>
  </w:footnote>
  <w:footnote w:id="4">
    <w:p w14:paraId="2920166D" w14:textId="4ABE42FA" w:rsidR="00407389" w:rsidRDefault="00000000">
      <w:pPr>
        <w:pStyle w:val="FootnoteText"/>
      </w:pPr>
      <w:r>
        <w:rPr>
          <w:rStyle w:val="FootnoteReference"/>
        </w:rPr>
        <w:footnoteRef/>
      </w:r>
      <w:r>
        <w:rPr>
          <w:rFonts w:ascii="Times New Roman" w:hAnsi="Times New Roman" w:cs="Times New Roman"/>
          <w:lang w:val="en-GB"/>
        </w:rPr>
        <w:t xml:space="preserve"> </w:t>
      </w:r>
      <w:hyperlink r:id="rId1" w:history="1">
        <w:r w:rsidRPr="00DC32E9">
          <w:rPr>
            <w:rStyle w:val="Hyperlink"/>
            <w:rFonts w:ascii="Times New Roman" w:hAnsi="Times New Roman" w:cs="Times New Roman"/>
            <w:lang w:val="en-GB"/>
          </w:rPr>
          <w:t xml:space="preserve">See Savant and Seydi, ‘Ibn </w:t>
        </w:r>
        <w:proofErr w:type="spellStart"/>
        <w:r w:rsidRPr="00DC32E9">
          <w:rPr>
            <w:rStyle w:val="Hyperlink"/>
            <w:rFonts w:ascii="Times New Roman" w:hAnsi="Times New Roman" w:cs="Times New Roman"/>
            <w:lang w:val="en-GB"/>
          </w:rPr>
          <w:t>ʿAsākir</w:t>
        </w:r>
        <w:proofErr w:type="spellEnd"/>
        <w:r w:rsidRPr="00DC32E9">
          <w:rPr>
            <w:rStyle w:val="Hyperlink"/>
            <w:rFonts w:ascii="Times New Roman" w:hAnsi="Times New Roman" w:cs="Times New Roman"/>
            <w:lang w:val="en-GB"/>
          </w:rPr>
          <w:t xml:space="preserve"> and His History of Damascus’</w:t>
        </w:r>
      </w:hyperlink>
      <w:r>
        <w:rPr>
          <w:rFonts w:ascii="Times New Roman" w:hAnsi="Times New Roman" w:cs="Times New Roman"/>
          <w:lang w:val="en-GB"/>
        </w:rPr>
        <w:t>, ‘Isnads’, table ‘</w:t>
      </w:r>
      <w:proofErr w:type="spellStart"/>
      <w:r>
        <w:rPr>
          <w:rFonts w:ascii="Times New Roman" w:hAnsi="Times New Roman" w:cs="Times New Roman"/>
          <w:lang w:val="en-GB"/>
        </w:rPr>
        <w:t>TC_NameCount_Arabic</w:t>
      </w:r>
      <w:proofErr w:type="spellEnd"/>
      <w:r>
        <w:rPr>
          <w:rFonts w:ascii="Times New Roman" w:hAnsi="Times New Roman" w:cs="Times New Roman"/>
          <w:lang w:val="en-GB"/>
        </w:rPr>
        <w:t>’.</w:t>
      </w:r>
    </w:p>
  </w:footnote>
  <w:footnote w:id="5">
    <w:p w14:paraId="4F0925DE" w14:textId="77777777" w:rsidR="00407389" w:rsidRDefault="00000000">
      <w:pPr>
        <w:pStyle w:val="FootnoteText"/>
      </w:pPr>
      <w:r>
        <w:rPr>
          <w:rStyle w:val="FootnoteReference"/>
        </w:rPr>
        <w:footnoteRef/>
      </w:r>
      <w:r>
        <w:rPr>
          <w:rFonts w:ascii="Times New Roman" w:hAnsi="Times New Roman" w:cs="Times New Roman"/>
          <w:lang w:val="en-GB"/>
        </w:rPr>
        <w:t xml:space="preserve"> </w:t>
      </w:r>
      <w:bookmarkStart w:id="2" w:name="_Hlk134697180"/>
      <w:proofErr w:type="spellStart"/>
      <w:r>
        <w:rPr>
          <w:rFonts w:ascii="Times New Roman" w:hAnsi="Times New Roman" w:cs="Times New Roman"/>
          <w:lang w:val="en-GB"/>
        </w:rPr>
        <w:t>ʿAlī</w:t>
      </w:r>
      <w:proofErr w:type="spellEnd"/>
      <w:r>
        <w:rPr>
          <w:rFonts w:ascii="Times New Roman" w:hAnsi="Times New Roman" w:cs="Times New Roman"/>
          <w:lang w:val="en-GB"/>
        </w:rPr>
        <w:t xml:space="preserve"> b. al-</w:t>
      </w:r>
      <w:proofErr w:type="spellStart"/>
      <w:r>
        <w:rPr>
          <w:rFonts w:ascii="Times New Roman" w:hAnsi="Times New Roman" w:cs="Times New Roman"/>
          <w:lang w:val="en-GB"/>
        </w:rPr>
        <w:t>Ḥasan</w:t>
      </w:r>
      <w:proofErr w:type="spellEnd"/>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Tārīkh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 </w:t>
      </w:r>
      <w:proofErr w:type="spellStart"/>
      <w:r>
        <w:rPr>
          <w:rFonts w:ascii="Times New Roman" w:hAnsi="Times New Roman" w:cs="Times New Roman"/>
          <w:i/>
          <w:iCs/>
          <w:lang w:val="en-GB"/>
        </w:rPr>
        <w:t>Wa</w:t>
      </w:r>
      <w:proofErr w:type="spellEnd"/>
      <w:r>
        <w:rPr>
          <w:rFonts w:ascii="Times New Roman" w:hAnsi="Times New Roman" w:cs="Times New Roman"/>
          <w:i/>
          <w:iCs/>
          <w:lang w:val="en-GB"/>
        </w:rPr>
        <w:t xml:space="preserve">-dhikr </w:t>
      </w:r>
      <w:proofErr w:type="spellStart"/>
      <w:r>
        <w:rPr>
          <w:rFonts w:ascii="Times New Roman" w:hAnsi="Times New Roman" w:cs="Times New Roman"/>
          <w:i/>
          <w:iCs/>
          <w:lang w:val="en-GB"/>
        </w:rPr>
        <w:t>faḍlihā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wa-tasmiyat</w:t>
      </w:r>
      <w:proofErr w:type="spellEnd"/>
      <w:r>
        <w:rPr>
          <w:rFonts w:ascii="Times New Roman" w:hAnsi="Times New Roman" w:cs="Times New Roman"/>
          <w:i/>
          <w:iCs/>
          <w:lang w:val="en-GB"/>
        </w:rPr>
        <w:t xml:space="preserve"> man </w:t>
      </w:r>
      <w:proofErr w:type="spellStart"/>
      <w:r>
        <w:rPr>
          <w:rFonts w:ascii="Times New Roman" w:hAnsi="Times New Roman" w:cs="Times New Roman"/>
          <w:i/>
          <w:iCs/>
          <w:lang w:val="en-GB"/>
        </w:rPr>
        <w:t>ḥallahā</w:t>
      </w:r>
      <w:proofErr w:type="spellEnd"/>
      <w:r>
        <w:rPr>
          <w:rFonts w:ascii="Times New Roman" w:hAnsi="Times New Roman" w:cs="Times New Roman"/>
          <w:i/>
          <w:iCs/>
          <w:lang w:val="en-GB"/>
        </w:rPr>
        <w:t xml:space="preserve"> min al-</w:t>
      </w:r>
      <w:proofErr w:type="spellStart"/>
      <w:r>
        <w:rPr>
          <w:rFonts w:ascii="Times New Roman" w:hAnsi="Times New Roman" w:cs="Times New Roman"/>
          <w:i/>
          <w:iCs/>
          <w:lang w:val="en-GB"/>
        </w:rPr>
        <w:t>amāthil</w:t>
      </w:r>
      <w:proofErr w:type="spellEnd"/>
      <w:r>
        <w:rPr>
          <w:rFonts w:ascii="Times New Roman" w:hAnsi="Times New Roman" w:cs="Times New Roman"/>
          <w:i/>
          <w:iCs/>
          <w:lang w:val="en-GB"/>
        </w:rPr>
        <w:t xml:space="preserve"> aw </w:t>
      </w:r>
      <w:proofErr w:type="spellStart"/>
      <w:r>
        <w:rPr>
          <w:rFonts w:ascii="Times New Roman" w:hAnsi="Times New Roman" w:cs="Times New Roman"/>
          <w:i/>
          <w:iCs/>
          <w:lang w:val="en-GB"/>
        </w:rPr>
        <w:t>ijtāza</w:t>
      </w:r>
      <w:proofErr w:type="spellEnd"/>
      <w:r>
        <w:rPr>
          <w:rFonts w:ascii="Times New Roman" w:hAnsi="Times New Roman" w:cs="Times New Roman"/>
          <w:i/>
          <w:iCs/>
          <w:lang w:val="en-GB"/>
        </w:rPr>
        <w:t xml:space="preserve"> bi-</w:t>
      </w:r>
      <w:proofErr w:type="spellStart"/>
      <w:r>
        <w:rPr>
          <w:rFonts w:ascii="Times New Roman" w:hAnsi="Times New Roman" w:cs="Times New Roman"/>
          <w:i/>
          <w:iCs/>
          <w:lang w:val="en-GB"/>
        </w:rPr>
        <w:t>nawāḥīhā</w:t>
      </w:r>
      <w:proofErr w:type="spellEnd"/>
      <w:r>
        <w:rPr>
          <w:rFonts w:ascii="Times New Roman" w:hAnsi="Times New Roman" w:cs="Times New Roman"/>
          <w:i/>
          <w:iCs/>
          <w:lang w:val="en-GB"/>
        </w:rPr>
        <w:t xml:space="preserve"> min </w:t>
      </w:r>
      <w:proofErr w:type="spellStart"/>
      <w:r>
        <w:rPr>
          <w:rFonts w:ascii="Times New Roman" w:hAnsi="Times New Roman" w:cs="Times New Roman"/>
          <w:i/>
          <w:iCs/>
          <w:lang w:val="en-GB"/>
        </w:rPr>
        <w:t>wāridīhā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wa-ahlihā</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[henceforth </w:t>
      </w:r>
      <w:r>
        <w:rPr>
          <w:rFonts w:ascii="Times New Roman" w:hAnsi="Times New Roman" w:cs="Times New Roman"/>
          <w:i/>
          <w:iCs/>
          <w:lang w:val="en-GB"/>
        </w:rPr>
        <w:t>TMD</w:t>
      </w:r>
      <w:r>
        <w:rPr>
          <w:rFonts w:ascii="Times New Roman" w:hAnsi="Times New Roman" w:cs="Times New Roman"/>
          <w:lang w:val="en-GB"/>
        </w:rPr>
        <w:t xml:space="preserve">], ed. </w:t>
      </w:r>
      <w:proofErr w:type="spellStart"/>
      <w:r>
        <w:rPr>
          <w:rFonts w:ascii="Times New Roman" w:hAnsi="Times New Roman" w:cs="Times New Roman"/>
          <w:lang w:val="en-GB"/>
        </w:rPr>
        <w:t>Muḥibb</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Abī</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Saʿīd</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ʿUmar</w:t>
      </w:r>
      <w:proofErr w:type="spellEnd"/>
      <w:r>
        <w:rPr>
          <w:rFonts w:ascii="Times New Roman" w:hAnsi="Times New Roman" w:cs="Times New Roman"/>
          <w:lang w:val="en-GB"/>
        </w:rPr>
        <w:t xml:space="preserve"> b. </w:t>
      </w:r>
      <w:proofErr w:type="spellStart"/>
      <w:r>
        <w:rPr>
          <w:rFonts w:ascii="Times New Roman" w:hAnsi="Times New Roman" w:cs="Times New Roman"/>
          <w:lang w:val="en-GB"/>
        </w:rPr>
        <w:t>Gharāma</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ʿAmrawī</w:t>
      </w:r>
      <w:proofErr w:type="spellEnd"/>
      <w:r>
        <w:rPr>
          <w:rFonts w:ascii="Times New Roman" w:hAnsi="Times New Roman" w:cs="Times New Roman"/>
          <w:lang w:val="en-GB"/>
        </w:rPr>
        <w:t xml:space="preserve">, 80 vols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Fikr</w:t>
      </w:r>
      <w:proofErr w:type="spellEnd"/>
      <w:r>
        <w:rPr>
          <w:rFonts w:ascii="Times New Roman" w:hAnsi="Times New Roman" w:cs="Times New Roman"/>
          <w:lang w:val="en-GB"/>
        </w:rPr>
        <w:t xml:space="preserve">, 1995–2001), 2:412, 0571IbnCasakir.TarikhDimashq.JK000916, </w:t>
      </w:r>
      <w:proofErr w:type="spellStart"/>
      <w:r>
        <w:rPr>
          <w:rFonts w:ascii="Times New Roman" w:hAnsi="Times New Roman" w:cs="Times New Roman"/>
          <w:lang w:val="en-GB"/>
        </w:rPr>
        <w:t>ms</w:t>
      </w:r>
      <w:proofErr w:type="spellEnd"/>
      <w:r>
        <w:rPr>
          <w:rFonts w:ascii="Times New Roman" w:hAnsi="Times New Roman" w:cs="Times New Roman"/>
          <w:lang w:val="en-GB"/>
        </w:rPr>
        <w:t>. 00652.</w:t>
      </w:r>
      <w:bookmarkEnd w:id="2"/>
    </w:p>
  </w:footnote>
  <w:footnote w:id="6">
    <w:p w14:paraId="2CFEA06C" w14:textId="77777777" w:rsidR="00407389" w:rsidRDefault="00000000">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5:81, </w:t>
      </w:r>
      <w:proofErr w:type="spellStart"/>
      <w:r>
        <w:rPr>
          <w:rFonts w:ascii="Times New Roman" w:hAnsi="Times New Roman" w:cs="Times New Roman"/>
        </w:rPr>
        <w:t>ms.</w:t>
      </w:r>
      <w:proofErr w:type="spellEnd"/>
      <w:r>
        <w:rPr>
          <w:rFonts w:ascii="Times New Roman" w:hAnsi="Times New Roman" w:cs="Times New Roman"/>
        </w:rPr>
        <w:t xml:space="preserve"> 01439.</w:t>
      </w:r>
    </w:p>
  </w:footnote>
  <w:footnote w:id="7">
    <w:p w14:paraId="3F5D22DB" w14:textId="77777777" w:rsidR="00407389" w:rsidRDefault="00000000">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2:412, </w:t>
      </w:r>
      <w:proofErr w:type="spellStart"/>
      <w:r>
        <w:rPr>
          <w:rFonts w:ascii="Times New Roman" w:hAnsi="Times New Roman" w:cs="Times New Roman"/>
        </w:rPr>
        <w:t>ms.</w:t>
      </w:r>
      <w:proofErr w:type="spellEnd"/>
      <w:r>
        <w:rPr>
          <w:rFonts w:ascii="Times New Roman" w:hAnsi="Times New Roman" w:cs="Times New Roman"/>
        </w:rPr>
        <w:t xml:space="preserve"> 00652.</w:t>
      </w:r>
    </w:p>
  </w:footnote>
  <w:footnote w:id="8">
    <w:p w14:paraId="730EFA4E" w14:textId="77777777" w:rsidR="00407389" w:rsidRDefault="00000000">
      <w:pPr>
        <w:spacing w:after="0" w:line="240" w:lineRule="auto"/>
      </w:pPr>
      <w:r>
        <w:rPr>
          <w:rStyle w:val="FootnoteReference"/>
        </w:rPr>
        <w:footnoteRef/>
      </w:r>
      <w:r>
        <w:rPr>
          <w:rFonts w:ascii="Times New Roman" w:hAnsi="Times New Roman" w:cs="Times New Roman"/>
          <w:sz w:val="20"/>
          <w:szCs w:val="20"/>
        </w:rPr>
        <w:t xml:space="preserve"> Reading through these names gave us a good chance to think about Arabic onomastics and to see a few rarities. For example, for most of history in the Muslim world, compared to the Christian West, there is generally less tendency for a son to share his father’s given name, but we do have the case of Abu al-Hasan Muhammad b. Muhammad b. Muhammad b. al-</w:t>
      </w:r>
      <w:proofErr w:type="spellStart"/>
      <w:r>
        <w:rPr>
          <w:rFonts w:ascii="Times New Roman" w:hAnsi="Times New Roman" w:cs="Times New Roman"/>
          <w:sz w:val="20"/>
          <w:szCs w:val="20"/>
        </w:rPr>
        <w:t>Muhtadi</w:t>
      </w:r>
      <w:proofErr w:type="spellEnd"/>
      <w:r>
        <w:rPr>
          <w:rFonts w:ascii="Times New Roman" w:hAnsi="Times New Roman" w:cs="Times New Roman"/>
          <w:sz w:val="20"/>
          <w:szCs w:val="20"/>
        </w:rPr>
        <w:t xml:space="preserve">. This man went by the </w:t>
      </w:r>
      <w:proofErr w:type="spellStart"/>
      <w:r>
        <w:rPr>
          <w:rFonts w:ascii="Times New Roman" w:hAnsi="Times New Roman" w:cs="Times New Roman"/>
          <w:i/>
          <w:sz w:val="20"/>
          <w:szCs w:val="20"/>
        </w:rPr>
        <w:t>laqab</w:t>
      </w:r>
      <w:proofErr w:type="spellEnd"/>
      <w:r>
        <w:rPr>
          <w:rFonts w:ascii="Times New Roman" w:hAnsi="Times New Roman" w:cs="Times New Roman"/>
          <w:sz w:val="20"/>
          <w:szCs w:val="20"/>
        </w:rPr>
        <w:t xml:space="preserve"> ‘Father of al-</w:t>
      </w:r>
      <w:proofErr w:type="spellStart"/>
      <w:r>
        <w:rPr>
          <w:rFonts w:ascii="Times New Roman" w:hAnsi="Times New Roman" w:cs="Times New Roman"/>
          <w:sz w:val="20"/>
          <w:szCs w:val="20"/>
        </w:rPr>
        <w:t>Ḥasan</w:t>
      </w:r>
      <w:proofErr w:type="spellEnd"/>
      <w:r>
        <w:rPr>
          <w:rFonts w:ascii="Times New Roman" w:hAnsi="Times New Roman" w:cs="Times New Roman"/>
          <w:sz w:val="20"/>
          <w:szCs w:val="20"/>
        </w:rPr>
        <w:t xml:space="preserve">’ but was the son and grandson of </w:t>
      </w:r>
      <w:proofErr w:type="spellStart"/>
      <w:r>
        <w:rPr>
          <w:rFonts w:ascii="Times New Roman" w:hAnsi="Times New Roman" w:cs="Times New Roman"/>
          <w:sz w:val="20"/>
          <w:szCs w:val="20"/>
        </w:rPr>
        <w:t>Muḥammads</w:t>
      </w:r>
      <w:proofErr w:type="spellEnd"/>
      <w:r>
        <w:rPr>
          <w:rFonts w:ascii="Times New Roman" w:hAnsi="Times New Roman" w:cs="Times New Roman"/>
          <w:sz w:val="20"/>
          <w:szCs w:val="20"/>
        </w:rPr>
        <w:t>. Nothing fundamental is learned from looking at this one name, but looking at thousands gives a sense of the possibilities.</w:t>
      </w:r>
    </w:p>
  </w:footnote>
  <w:footnote w:id="9">
    <w:p w14:paraId="20A57EDE" w14:textId="77777777" w:rsidR="00407389" w:rsidRDefault="00000000">
      <w:pPr>
        <w:pStyle w:val="FootnoteText"/>
      </w:pPr>
      <w:r>
        <w:rPr>
          <w:rStyle w:val="FootnoteReference"/>
        </w:rPr>
        <w:footnoteRef/>
      </w:r>
      <w:r>
        <w:t xml:space="preserve"> </w:t>
      </w:r>
      <w:r>
        <w:rPr>
          <w:rFonts w:ascii="Times New Roman" w:hAnsi="Times New Roman" w:cs="Times New Roman"/>
          <w:color w:val="000000"/>
        </w:rPr>
        <w:t xml:space="preserve">See, for example, the work of Nizar Habash and his </w:t>
      </w:r>
      <w:proofErr w:type="spellStart"/>
      <w:r>
        <w:rPr>
          <w:rFonts w:ascii="Times New Roman" w:hAnsi="Times New Roman" w:cs="Times New Roman"/>
          <w:color w:val="000000"/>
        </w:rPr>
        <w:t>CAMel</w:t>
      </w:r>
      <w:proofErr w:type="spellEnd"/>
      <w:r>
        <w:rPr>
          <w:rFonts w:ascii="Times New Roman" w:hAnsi="Times New Roman" w:cs="Times New Roman"/>
          <w:color w:val="000000"/>
        </w:rPr>
        <w:t xml:space="preserve"> laboratory’s tools.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89"/>
    <w:rsid w:val="000A265C"/>
    <w:rsid w:val="00170ACE"/>
    <w:rsid w:val="002E61EA"/>
    <w:rsid w:val="003D04FB"/>
    <w:rsid w:val="00407389"/>
    <w:rsid w:val="004C1C2A"/>
    <w:rsid w:val="006A42C1"/>
    <w:rsid w:val="00B236F2"/>
    <w:rsid w:val="00C130BA"/>
    <w:rsid w:val="00D92AFD"/>
    <w:rsid w:val="00DC32E9"/>
    <w:rsid w:val="00FA3A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225"/>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Revision">
    <w:name w:val="Revision"/>
    <w:pPr>
      <w:spacing w:after="0" w:line="240" w:lineRule="auto"/>
    </w:pPr>
  </w:style>
  <w:style w:type="character" w:styleId="Hyperlink">
    <w:name w:val="Hyperlink"/>
    <w:basedOn w:val="DefaultParagraphFont"/>
    <w:uiPriority w:val="99"/>
    <w:unhideWhenUsed/>
    <w:rsid w:val="00DC32E9"/>
    <w:rPr>
      <w:color w:val="0563C1" w:themeColor="hyperlink"/>
      <w:u w:val="single"/>
    </w:rPr>
  </w:style>
  <w:style w:type="character" w:styleId="UnresolvedMention">
    <w:name w:val="Unresolved Mention"/>
    <w:basedOn w:val="DefaultParagraphFont"/>
    <w:uiPriority w:val="99"/>
    <w:semiHidden/>
    <w:unhideWhenUsed/>
    <w:rsid w:val="00DC3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8233103"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8</cp:revision>
  <dcterms:created xsi:type="dcterms:W3CDTF">2023-07-28T17:09:00Z</dcterms:created>
  <dcterms:modified xsi:type="dcterms:W3CDTF">2023-08-10T16:41:00Z</dcterms:modified>
</cp:coreProperties>
</file>