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2B3C" w14:textId="3F900DCA"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As noted in the last post, we struggled to verify book citations in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both within and outside of </w:t>
      </w:r>
      <w:proofErr w:type="spellStart"/>
      <w:r w:rsidRPr="001152CE">
        <w:rPr>
          <w:rFonts w:asciiTheme="minorHAnsi" w:hAnsiTheme="minorHAnsi" w:cstheme="minorHAnsi"/>
          <w:i/>
          <w:iCs/>
          <w:kern w:val="0"/>
          <w:sz w:val="24"/>
          <w:szCs w:val="24"/>
          <w:lang w:eastAsia="en-GB"/>
        </w:rPr>
        <w:t>isnād</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 We believe that our struggles reflect the challenging nature of the task as much as it does a need to work further on the problem.</w:t>
      </w:r>
      <w:r w:rsidR="00BE38B5" w:rsidRPr="001152CE">
        <w:rPr>
          <w:rStyle w:val="FootnoteReference"/>
          <w:rFonts w:asciiTheme="minorHAnsi" w:hAnsiTheme="minorHAnsi" w:cstheme="minorHAnsi"/>
          <w:kern w:val="0"/>
          <w:sz w:val="24"/>
          <w:szCs w:val="24"/>
          <w:lang w:eastAsia="en-GB"/>
        </w:rPr>
        <w:footnoteReference w:id="1"/>
      </w:r>
    </w:p>
    <w:p w14:paraId="72F19CC6" w14:textId="77777777" w:rsidR="00C74DFA" w:rsidRPr="001152CE" w:rsidRDefault="00000000">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A key obstacle to understanding the sources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had to hand lies in our presuppositions about writing and the ways in which it was preserved. The idea of a finished and ‘published’ book, with a title known to posterity, represents only one aspect of the writings that circulated in his time. We need to widen our vocabulary and understanding of books.</w:t>
      </w:r>
    </w:p>
    <w:p w14:paraId="3A183B0F" w14:textId="77777777" w:rsidR="00C74DFA" w:rsidRPr="001152CE" w:rsidRDefault="00000000" w:rsidP="00930D4B">
      <w:pPr>
        <w:pStyle w:val="Heading2"/>
        <w:rPr>
          <w:lang w:eastAsia="en-GB"/>
        </w:rPr>
      </w:pPr>
      <w:bookmarkStart w:id="1" w:name="_2p2csry"/>
      <w:bookmarkEnd w:id="1"/>
      <w:r w:rsidRPr="001152CE">
        <w:rPr>
          <w:lang w:eastAsia="en-GB"/>
        </w:rPr>
        <w:t>A couple of finds</w:t>
      </w:r>
    </w:p>
    <w:p w14:paraId="30800B77" w14:textId="77777777" w:rsidR="00B305D3" w:rsidRDefault="00000000" w:rsidP="00B305D3">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In our searches, we came across certain suggestive phrases that we then looked into in greater detail. Table 6.1 presents some of these phrases. </w:t>
      </w:r>
    </w:p>
    <w:tbl>
      <w:tblPr>
        <w:tblW w:w="0" w:type="dxa"/>
        <w:tblCellMar>
          <w:left w:w="0" w:type="dxa"/>
          <w:right w:w="0" w:type="dxa"/>
        </w:tblCellMar>
        <w:tblLook w:val="04A0" w:firstRow="1" w:lastRow="0" w:firstColumn="1" w:lastColumn="0" w:noHBand="0" w:noVBand="1"/>
      </w:tblPr>
      <w:tblGrid>
        <w:gridCol w:w="1880"/>
        <w:gridCol w:w="687"/>
        <w:gridCol w:w="1683"/>
        <w:gridCol w:w="4760"/>
      </w:tblGrid>
      <w:tr w:rsidR="00B305D3" w:rsidRPr="00B305D3" w14:paraId="257EDD7F" w14:textId="77777777" w:rsidTr="00B305D3">
        <w:trPr>
          <w:trHeight w:val="315"/>
        </w:trPr>
        <w:tc>
          <w:tcPr>
            <w:tcW w:w="0" w:type="auto"/>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58FA6E8" w14:textId="77777777" w:rsidR="00B305D3" w:rsidRPr="00B305D3" w:rsidRDefault="00B305D3" w:rsidP="00B305D3">
            <w:pPr>
              <w:suppressAutoHyphens w:val="0"/>
              <w:autoSpaceDN/>
              <w:spacing w:after="0" w:line="240" w:lineRule="auto"/>
              <w:jc w:val="center"/>
              <w:rPr>
                <w:rFonts w:eastAsia="Times New Roman" w:cs="Calibri"/>
                <w:b/>
                <w:bCs/>
                <w:kern w:val="0"/>
                <w:sz w:val="24"/>
                <w:szCs w:val="24"/>
                <w:lang w:eastAsia="en-GB"/>
              </w:rPr>
            </w:pPr>
            <w:r w:rsidRPr="00B305D3">
              <w:rPr>
                <w:rFonts w:eastAsia="Times New Roman" w:cs="Calibri"/>
                <w:b/>
                <w:bCs/>
                <w:kern w:val="0"/>
                <w:sz w:val="24"/>
                <w:szCs w:val="24"/>
                <w:lang w:eastAsia="en-GB"/>
              </w:rPr>
              <w:t>Search term</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302EE72" w14:textId="77777777" w:rsidR="00B305D3" w:rsidRPr="00B305D3" w:rsidRDefault="00B305D3" w:rsidP="00B305D3">
            <w:pPr>
              <w:suppressAutoHyphens w:val="0"/>
              <w:autoSpaceDN/>
              <w:spacing w:after="0" w:line="240" w:lineRule="auto"/>
              <w:jc w:val="center"/>
              <w:rPr>
                <w:rFonts w:eastAsia="Times New Roman" w:cs="Calibri"/>
                <w:b/>
                <w:bCs/>
                <w:kern w:val="0"/>
                <w:sz w:val="24"/>
                <w:szCs w:val="24"/>
                <w:lang w:eastAsia="en-GB"/>
              </w:rPr>
            </w:pPr>
            <w:r w:rsidRPr="00B305D3">
              <w:rPr>
                <w:rFonts w:eastAsia="Times New Roman" w:cs="Calibri"/>
                <w:b/>
                <w:bCs/>
                <w:kern w:val="0"/>
                <w:sz w:val="24"/>
                <w:szCs w:val="24"/>
                <w:lang w:eastAsia="en-GB"/>
              </w:rPr>
              <w:t>Count</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2824EED" w14:textId="77777777" w:rsidR="00B305D3" w:rsidRPr="00B305D3" w:rsidRDefault="00B305D3" w:rsidP="00B305D3">
            <w:pPr>
              <w:suppressAutoHyphens w:val="0"/>
              <w:autoSpaceDN/>
              <w:spacing w:after="0" w:line="240" w:lineRule="auto"/>
              <w:jc w:val="center"/>
              <w:rPr>
                <w:rFonts w:eastAsia="Times New Roman" w:cs="Calibri"/>
                <w:b/>
                <w:bCs/>
                <w:kern w:val="0"/>
                <w:sz w:val="24"/>
                <w:szCs w:val="24"/>
                <w:lang w:eastAsia="en-GB"/>
              </w:rPr>
            </w:pPr>
            <w:r w:rsidRPr="00B305D3">
              <w:rPr>
                <w:rFonts w:eastAsia="Times New Roman" w:cs="Calibri"/>
                <w:b/>
                <w:bCs/>
                <w:kern w:val="0"/>
                <w:sz w:val="24"/>
                <w:szCs w:val="24"/>
                <w:lang w:eastAsia="en-GB"/>
              </w:rPr>
              <w:t>Example</w:t>
            </w:r>
          </w:p>
        </w:tc>
        <w:tc>
          <w:tcPr>
            <w:tcW w:w="0" w:type="auto"/>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7C1AA6D3" w14:textId="77777777" w:rsidR="00B305D3" w:rsidRPr="00B305D3" w:rsidRDefault="00B305D3" w:rsidP="00B305D3">
            <w:pPr>
              <w:suppressAutoHyphens w:val="0"/>
              <w:autoSpaceDN/>
              <w:spacing w:after="0" w:line="240" w:lineRule="auto"/>
              <w:jc w:val="center"/>
              <w:rPr>
                <w:rFonts w:eastAsia="Times New Roman" w:cs="Calibri"/>
                <w:b/>
                <w:bCs/>
                <w:kern w:val="0"/>
                <w:sz w:val="24"/>
                <w:szCs w:val="24"/>
                <w:lang w:eastAsia="en-GB"/>
              </w:rPr>
            </w:pPr>
            <w:r w:rsidRPr="00B305D3">
              <w:rPr>
                <w:rFonts w:eastAsia="Times New Roman" w:cs="Calibri"/>
                <w:b/>
                <w:bCs/>
                <w:kern w:val="0"/>
                <w:sz w:val="24"/>
                <w:szCs w:val="24"/>
                <w:lang w:eastAsia="en-GB"/>
              </w:rPr>
              <w:t>Comment</w:t>
            </w:r>
          </w:p>
        </w:tc>
      </w:tr>
      <w:tr w:rsidR="00B305D3" w:rsidRPr="00B305D3" w14:paraId="75062AAA" w14:textId="77777777" w:rsidTr="00B305D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0F0419E5" w14:textId="77777777" w:rsidR="00B305D3" w:rsidRPr="00B305D3" w:rsidRDefault="00B305D3" w:rsidP="00B305D3">
            <w:pPr>
              <w:suppressAutoHyphens w:val="0"/>
              <w:autoSpaceDN/>
              <w:spacing w:after="0" w:line="240" w:lineRule="auto"/>
              <w:jc w:val="center"/>
              <w:rPr>
                <w:rFonts w:eastAsia="Times New Roman" w:cs="Calibri"/>
                <w:i/>
                <w:iCs/>
                <w:kern w:val="0"/>
                <w:sz w:val="24"/>
                <w:szCs w:val="24"/>
                <w:lang w:eastAsia="en-GB"/>
              </w:rPr>
            </w:pPr>
            <w:proofErr w:type="spellStart"/>
            <w:r w:rsidRPr="00B305D3">
              <w:rPr>
                <w:rFonts w:eastAsia="Times New Roman" w:cs="Calibri"/>
                <w:i/>
                <w:iCs/>
                <w:kern w:val="0"/>
                <w:sz w:val="24"/>
                <w:szCs w:val="24"/>
                <w:lang w:eastAsia="en-GB"/>
              </w:rPr>
              <w:t>wajadtu</w:t>
            </w:r>
            <w:proofErr w:type="spellEnd"/>
            <w:r w:rsidRPr="00B305D3">
              <w:rPr>
                <w:rFonts w:eastAsia="Times New Roman" w:cs="Calibri"/>
                <w:i/>
                <w:iCs/>
                <w:kern w:val="0"/>
                <w:sz w:val="24"/>
                <w:szCs w:val="24"/>
                <w:lang w:eastAsia="en-GB"/>
              </w:rPr>
              <w:t xml:space="preserve"> bi-</w:t>
            </w:r>
            <w:proofErr w:type="spellStart"/>
            <w:r w:rsidRPr="00B305D3">
              <w:rPr>
                <w:rFonts w:eastAsia="Times New Roman" w:cs="Calibri"/>
                <w:i/>
                <w:iCs/>
                <w:kern w:val="0"/>
                <w:sz w:val="24"/>
                <w:szCs w:val="24"/>
                <w:lang w:eastAsia="en-GB"/>
              </w:rPr>
              <w:t>khaṭṭ</w:t>
            </w:r>
            <w:proofErr w:type="spellEnd"/>
            <w:r w:rsidRPr="00B305D3">
              <w:rPr>
                <w:rFonts w:eastAsia="Times New Roman" w:cs="Calibri"/>
                <w:kern w:val="0"/>
                <w:sz w:val="24"/>
                <w:szCs w:val="24"/>
                <w:lang w:eastAsia="en-GB"/>
              </w:rPr>
              <w:t xml:space="preserve"> (‘I found in the handwriting of’ so-and-so)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227FB"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A48E17"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 xml:space="preserve">‘I found in the handwriting of Abu al-Faraj </w:t>
            </w:r>
            <w:proofErr w:type="spellStart"/>
            <w:r w:rsidRPr="00B305D3">
              <w:rPr>
                <w:rFonts w:eastAsia="Times New Roman" w:cs="Calibri"/>
                <w:kern w:val="0"/>
                <w:sz w:val="24"/>
                <w:szCs w:val="24"/>
                <w:lang w:eastAsia="en-GB"/>
              </w:rPr>
              <w:t>Ghayth</w:t>
            </w:r>
            <w:proofErr w:type="spellEnd"/>
            <w:r w:rsidRPr="00B305D3">
              <w:rPr>
                <w:rFonts w:eastAsia="Times New Roman" w:cs="Calibri"/>
                <w:kern w:val="0"/>
                <w:sz w:val="24"/>
                <w:szCs w:val="24"/>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6EBF441"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 xml:space="preserve">Only Abu al-Faraj </w:t>
            </w:r>
            <w:proofErr w:type="spellStart"/>
            <w:r w:rsidRPr="00B305D3">
              <w:rPr>
                <w:rFonts w:eastAsia="Times New Roman" w:cs="Calibri"/>
                <w:kern w:val="0"/>
                <w:sz w:val="24"/>
                <w:szCs w:val="24"/>
                <w:lang w:eastAsia="en-GB"/>
              </w:rPr>
              <w:t>Ghayth</w:t>
            </w:r>
            <w:proofErr w:type="spellEnd"/>
            <w:r w:rsidRPr="00B305D3">
              <w:rPr>
                <w:rFonts w:eastAsia="Times New Roman" w:cs="Calibri"/>
                <w:kern w:val="0"/>
                <w:sz w:val="24"/>
                <w:szCs w:val="24"/>
                <w:lang w:eastAsia="en-GB"/>
              </w:rPr>
              <w:t xml:space="preserve"> (d. 509/1115) is mentioned more than once in this way, and he is cited only three times (by contrast, he is cited 261 times as a direct informant in the overall</w:t>
            </w:r>
            <w:r w:rsidRPr="00B305D3">
              <w:rPr>
                <w:rFonts w:eastAsia="Times New Roman" w:cs="Calibri"/>
                <w:i/>
                <w:iCs/>
                <w:kern w:val="0"/>
                <w:sz w:val="24"/>
                <w:szCs w:val="24"/>
                <w:lang w:eastAsia="en-GB"/>
              </w:rPr>
              <w:t xml:space="preserve"> </w:t>
            </w:r>
            <w:proofErr w:type="spellStart"/>
            <w:r w:rsidRPr="00B305D3">
              <w:rPr>
                <w:rFonts w:eastAsia="Times New Roman" w:cs="Calibri"/>
                <w:i/>
                <w:iCs/>
                <w:kern w:val="0"/>
                <w:sz w:val="24"/>
                <w:szCs w:val="24"/>
                <w:lang w:eastAsia="en-GB"/>
              </w:rPr>
              <w:t>isnād</w:t>
            </w:r>
            <w:proofErr w:type="spellEnd"/>
            <w:r w:rsidRPr="00B305D3">
              <w:rPr>
                <w:rFonts w:eastAsia="Times New Roman" w:cs="Calibri"/>
                <w:i/>
                <w:iCs/>
                <w:kern w:val="0"/>
                <w:sz w:val="24"/>
                <w:szCs w:val="24"/>
                <w:lang w:eastAsia="en-GB"/>
              </w:rPr>
              <w:t xml:space="preserve"> </w:t>
            </w:r>
            <w:r w:rsidRPr="00B305D3">
              <w:rPr>
                <w:rFonts w:eastAsia="Times New Roman" w:cs="Calibri"/>
                <w:kern w:val="0"/>
                <w:sz w:val="24"/>
                <w:szCs w:val="24"/>
                <w:lang w:eastAsia="en-GB"/>
              </w:rPr>
              <w:t>data set).</w:t>
            </w:r>
          </w:p>
        </w:tc>
      </w:tr>
      <w:tr w:rsidR="00B305D3" w:rsidRPr="00B305D3" w14:paraId="51C60480" w14:textId="77777777" w:rsidTr="00B305D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089FBFC9" w14:textId="77777777" w:rsidR="00B305D3" w:rsidRPr="00B305D3" w:rsidRDefault="00B305D3" w:rsidP="00B305D3">
            <w:pPr>
              <w:suppressAutoHyphens w:val="0"/>
              <w:autoSpaceDN/>
              <w:spacing w:after="0" w:line="240" w:lineRule="auto"/>
              <w:jc w:val="center"/>
              <w:rPr>
                <w:rFonts w:eastAsia="Times New Roman" w:cs="Calibri"/>
                <w:i/>
                <w:iCs/>
                <w:kern w:val="0"/>
                <w:sz w:val="24"/>
                <w:szCs w:val="24"/>
                <w:lang w:eastAsia="en-GB"/>
              </w:rPr>
            </w:pPr>
            <w:proofErr w:type="spellStart"/>
            <w:r w:rsidRPr="00B305D3">
              <w:rPr>
                <w:rFonts w:eastAsia="Times New Roman" w:cs="Calibri"/>
                <w:i/>
                <w:iCs/>
                <w:kern w:val="0"/>
                <w:sz w:val="24"/>
                <w:szCs w:val="24"/>
                <w:lang w:eastAsia="en-GB"/>
              </w:rPr>
              <w:t>qaraʾtu</w:t>
            </w:r>
            <w:proofErr w:type="spellEnd"/>
            <w:r w:rsidRPr="00B305D3">
              <w:rPr>
                <w:rFonts w:eastAsia="Times New Roman" w:cs="Calibri"/>
                <w:i/>
                <w:iCs/>
                <w:kern w:val="0"/>
                <w:sz w:val="24"/>
                <w:szCs w:val="24"/>
                <w:lang w:eastAsia="en-GB"/>
              </w:rPr>
              <w:t xml:space="preserve"> </w:t>
            </w:r>
            <w:proofErr w:type="spellStart"/>
            <w:r w:rsidRPr="00B305D3">
              <w:rPr>
                <w:rFonts w:eastAsia="Times New Roman" w:cs="Calibri"/>
                <w:i/>
                <w:iCs/>
                <w:kern w:val="0"/>
                <w:sz w:val="24"/>
                <w:szCs w:val="24"/>
                <w:lang w:eastAsia="en-GB"/>
              </w:rPr>
              <w:t>fī</w:t>
            </w:r>
            <w:proofErr w:type="spellEnd"/>
            <w:r w:rsidRPr="00B305D3">
              <w:rPr>
                <w:rFonts w:eastAsia="Times New Roman" w:cs="Calibri"/>
                <w:i/>
                <w:iCs/>
                <w:kern w:val="0"/>
                <w:sz w:val="24"/>
                <w:szCs w:val="24"/>
                <w:lang w:eastAsia="en-GB"/>
              </w:rPr>
              <w:t xml:space="preserve"> </w:t>
            </w:r>
            <w:proofErr w:type="spellStart"/>
            <w:r w:rsidRPr="00B305D3">
              <w:rPr>
                <w:rFonts w:eastAsia="Times New Roman" w:cs="Calibri"/>
                <w:i/>
                <w:iCs/>
                <w:kern w:val="0"/>
                <w:sz w:val="24"/>
                <w:szCs w:val="24"/>
                <w:lang w:eastAsia="en-GB"/>
              </w:rPr>
              <w:t>kitāb</w:t>
            </w:r>
            <w:proofErr w:type="spellEnd"/>
            <w:r w:rsidRPr="00B305D3">
              <w:rPr>
                <w:rFonts w:eastAsia="Times New Roman" w:cs="Calibri"/>
                <w:i/>
                <w:iCs/>
                <w:kern w:val="0"/>
                <w:sz w:val="24"/>
                <w:szCs w:val="24"/>
                <w:lang w:eastAsia="en-GB"/>
              </w:rPr>
              <w:t xml:space="preserve"> </w:t>
            </w:r>
            <w:r w:rsidRPr="00B305D3">
              <w:rPr>
                <w:rFonts w:eastAsia="Times New Roman" w:cs="Calibri"/>
                <w:kern w:val="0"/>
                <w:sz w:val="24"/>
                <w:szCs w:val="24"/>
                <w:lang w:eastAsia="en-GB"/>
              </w:rPr>
              <w:t>(‘I read in the writing of’ so-and-so)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38D3797"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236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9A9731"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‘I read in the writing of Abu al-Faraj al-</w:t>
            </w:r>
            <w:proofErr w:type="spellStart"/>
            <w:r w:rsidRPr="00B305D3">
              <w:rPr>
                <w:rFonts w:eastAsia="Times New Roman" w:cs="Calibri"/>
                <w:kern w:val="0"/>
                <w:sz w:val="24"/>
                <w:szCs w:val="24"/>
                <w:lang w:eastAsia="en-GB"/>
              </w:rPr>
              <w:t>Isfahani</w:t>
            </w:r>
            <w:proofErr w:type="spellEnd"/>
            <w:r w:rsidRPr="00B305D3">
              <w:rPr>
                <w:rFonts w:eastAsia="Times New Roman" w:cs="Calibri"/>
                <w:kern w:val="0"/>
                <w:sz w:val="24"/>
                <w:szCs w:val="24"/>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6E5AD" w14:textId="77777777" w:rsidR="00B305D3" w:rsidRPr="00B305D3" w:rsidRDefault="00B305D3" w:rsidP="00B305D3">
            <w:pPr>
              <w:suppressAutoHyphens w:val="0"/>
              <w:autoSpaceDN/>
              <w:spacing w:after="0" w:line="240" w:lineRule="auto"/>
              <w:jc w:val="center"/>
              <w:rPr>
                <w:rFonts w:eastAsia="Times New Roman" w:cs="Calibri"/>
                <w:kern w:val="0"/>
                <w:sz w:val="24"/>
                <w:szCs w:val="24"/>
                <w:lang w:eastAsia="en-GB"/>
              </w:rPr>
            </w:pPr>
            <w:r w:rsidRPr="00B305D3">
              <w:rPr>
                <w:rFonts w:eastAsia="Times New Roman" w:cs="Calibri"/>
                <w:kern w:val="0"/>
                <w:sz w:val="24"/>
                <w:szCs w:val="24"/>
                <w:lang w:eastAsia="en-GB"/>
              </w:rPr>
              <w:t>The two persons cited most often in this way are Abu al-Faraj al-</w:t>
            </w:r>
            <w:proofErr w:type="spellStart"/>
            <w:r w:rsidRPr="00B305D3">
              <w:rPr>
                <w:rFonts w:eastAsia="Times New Roman" w:cs="Calibri"/>
                <w:kern w:val="0"/>
                <w:sz w:val="24"/>
                <w:szCs w:val="24"/>
                <w:lang w:eastAsia="en-GB"/>
              </w:rPr>
              <w:t>Isfahani</w:t>
            </w:r>
            <w:proofErr w:type="spellEnd"/>
            <w:r w:rsidRPr="00B305D3">
              <w:rPr>
                <w:rFonts w:eastAsia="Times New Roman" w:cs="Calibri"/>
                <w:kern w:val="0"/>
                <w:sz w:val="24"/>
                <w:szCs w:val="24"/>
                <w:lang w:eastAsia="en-GB"/>
              </w:rPr>
              <w:t xml:space="preserve"> (d. 356/967; 102 times) and Abu al-</w:t>
            </w:r>
            <w:proofErr w:type="spellStart"/>
            <w:r w:rsidRPr="00B305D3">
              <w:rPr>
                <w:rFonts w:eastAsia="Times New Roman" w:cs="Calibri"/>
                <w:kern w:val="0"/>
                <w:sz w:val="24"/>
                <w:szCs w:val="24"/>
                <w:lang w:eastAsia="en-GB"/>
              </w:rPr>
              <w:t>Husayn</w:t>
            </w:r>
            <w:proofErr w:type="spellEnd"/>
            <w:r w:rsidRPr="00B305D3">
              <w:rPr>
                <w:rFonts w:eastAsia="Times New Roman" w:cs="Calibri"/>
                <w:kern w:val="0"/>
                <w:sz w:val="24"/>
                <w:szCs w:val="24"/>
                <w:lang w:eastAsia="en-GB"/>
              </w:rPr>
              <w:t xml:space="preserve"> al-Razi (d. 347/958; twenty times).</w:t>
            </w:r>
          </w:p>
        </w:tc>
      </w:tr>
    </w:tbl>
    <w:p w14:paraId="218E6A89" w14:textId="504D4E18" w:rsidR="00C74DFA" w:rsidRPr="001152CE" w:rsidRDefault="00000000" w:rsidP="00B305D3">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Table 6.1: Selected transmission phrases used by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We counted only cases in the beginnings of paragraphs in order to isolate occasions on which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is the speaker.</w:t>
      </w:r>
      <w:r w:rsidR="00B305D3">
        <w:rPr>
          <w:rStyle w:val="FootnoteReference"/>
          <w:rFonts w:asciiTheme="minorHAnsi" w:hAnsiTheme="minorHAnsi" w:cstheme="minorHAnsi"/>
          <w:kern w:val="0"/>
          <w:sz w:val="24"/>
          <w:szCs w:val="24"/>
          <w:lang w:eastAsia="en-GB"/>
        </w:rPr>
        <w:footnoteReference w:id="2"/>
      </w:r>
    </w:p>
    <w:p w14:paraId="6F99BD64" w14:textId="11C5AD29" w:rsidR="00C74DFA" w:rsidRPr="001152CE" w:rsidRDefault="00000000" w:rsidP="00F66F6A">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However, considering the size of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the searches for the first two phrases did not yield large numbers of citations of works. </w:t>
      </w:r>
    </w:p>
    <w:p w14:paraId="7803AB4C" w14:textId="77777777" w:rsidR="00C74DFA" w:rsidRPr="001152CE" w:rsidRDefault="00000000">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We noticed that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sometimes cites his sources conspicuously vaguely in these and other cases. These situations struck us as interesting, as they raised the possibility that he was willing to pass on unattributed information. The following is an example:</w:t>
      </w:r>
    </w:p>
    <w:p w14:paraId="3FCF7A1F" w14:textId="77777777" w:rsidR="00C74DFA" w:rsidRPr="001152CE" w:rsidRDefault="00000000">
      <w:pPr>
        <w:spacing w:line="240" w:lineRule="auto"/>
        <w:jc w:val="right"/>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 </w:t>
      </w:r>
      <w:r w:rsidRPr="001152CE">
        <w:rPr>
          <w:rFonts w:asciiTheme="minorHAnsi" w:hAnsiTheme="minorHAnsi" w:cstheme="minorHAnsi"/>
          <w:kern w:val="0"/>
          <w:sz w:val="24"/>
          <w:szCs w:val="24"/>
          <w:rtl/>
          <w:lang w:eastAsia="en-GB"/>
        </w:rPr>
        <w:t xml:space="preserve">قرأت في كتاب بعض أهل العلم حدثني أبو عبد الله اليزيدي حدثني أحمد بن الحارث الخراز قال </w:t>
      </w:r>
      <w:proofErr w:type="spellStart"/>
      <w:r w:rsidRPr="001152CE">
        <w:rPr>
          <w:rFonts w:asciiTheme="minorHAnsi" w:hAnsiTheme="minorHAnsi" w:cstheme="minorHAnsi"/>
          <w:kern w:val="0"/>
          <w:sz w:val="24"/>
          <w:szCs w:val="24"/>
          <w:rtl/>
          <w:lang w:eastAsia="en-GB"/>
        </w:rPr>
        <w:t>قال</w:t>
      </w:r>
      <w:proofErr w:type="spellEnd"/>
      <w:r w:rsidRPr="001152CE">
        <w:rPr>
          <w:rFonts w:asciiTheme="minorHAnsi" w:hAnsiTheme="minorHAnsi" w:cstheme="minorHAnsi"/>
          <w:kern w:val="0"/>
          <w:sz w:val="24"/>
          <w:szCs w:val="24"/>
          <w:rtl/>
          <w:lang w:eastAsia="en-GB"/>
        </w:rPr>
        <w:t xml:space="preserve"> أبو الحسن المدائني وخليفة بن خياط التميمي كان بأرض البلقاء رجل من ولد</w:t>
      </w:r>
    </w:p>
    <w:p w14:paraId="158CC650" w14:textId="77777777" w:rsidR="00C74DFA" w:rsidRPr="001152CE" w:rsidRDefault="00000000">
      <w:pPr>
        <w:spacing w:line="240" w:lineRule="auto"/>
        <w:ind w:left="720"/>
        <w:rPr>
          <w:rFonts w:asciiTheme="minorHAnsi" w:hAnsiTheme="minorHAnsi" w:cstheme="minorHAnsi"/>
          <w:sz w:val="24"/>
          <w:szCs w:val="24"/>
        </w:rPr>
      </w:pPr>
      <w:r w:rsidRPr="001152CE">
        <w:rPr>
          <w:rFonts w:asciiTheme="minorHAnsi" w:hAnsiTheme="minorHAnsi" w:cstheme="minorHAnsi"/>
          <w:kern w:val="0"/>
          <w:sz w:val="24"/>
          <w:szCs w:val="24"/>
          <w:lang w:eastAsia="en-GB"/>
        </w:rPr>
        <w:t>I read in the writing of a certain scholar (</w:t>
      </w:r>
      <w:proofErr w:type="spellStart"/>
      <w:r w:rsidRPr="001152CE">
        <w:rPr>
          <w:rFonts w:asciiTheme="minorHAnsi" w:hAnsiTheme="minorHAnsi" w:cstheme="minorHAnsi"/>
          <w:i/>
          <w:iCs/>
          <w:kern w:val="0"/>
          <w:sz w:val="24"/>
          <w:szCs w:val="24"/>
          <w:lang w:eastAsia="en-GB"/>
        </w:rPr>
        <w:t>fī</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kitāb</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baʿḍ</w:t>
      </w:r>
      <w:proofErr w:type="spellEnd"/>
      <w:r w:rsidRPr="001152CE">
        <w:rPr>
          <w:rFonts w:asciiTheme="minorHAnsi" w:hAnsiTheme="minorHAnsi" w:cstheme="minorHAnsi"/>
          <w:i/>
          <w:iCs/>
          <w:kern w:val="0"/>
          <w:sz w:val="24"/>
          <w:szCs w:val="24"/>
          <w:lang w:eastAsia="en-GB"/>
        </w:rPr>
        <w:t xml:space="preserve"> ahl al-</w:t>
      </w:r>
      <w:proofErr w:type="spellStart"/>
      <w:r w:rsidRPr="001152CE">
        <w:rPr>
          <w:rFonts w:asciiTheme="minorHAnsi" w:hAnsiTheme="minorHAnsi" w:cstheme="minorHAnsi"/>
          <w:i/>
          <w:iCs/>
          <w:kern w:val="0"/>
          <w:sz w:val="24"/>
          <w:szCs w:val="24"/>
          <w:lang w:eastAsia="en-GB"/>
        </w:rPr>
        <w:t>ʿilm</w:t>
      </w:r>
      <w:proofErr w:type="spellEnd"/>
      <w:r w:rsidRPr="001152CE">
        <w:rPr>
          <w:rFonts w:asciiTheme="minorHAnsi" w:hAnsiTheme="minorHAnsi" w:cstheme="minorHAnsi"/>
          <w:kern w:val="0"/>
          <w:sz w:val="24"/>
          <w:szCs w:val="24"/>
          <w:lang w:eastAsia="en-GB"/>
        </w:rPr>
        <w:t xml:space="preserve">), who said that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ʿAbd</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Allāh</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Yazīdī</w:t>
      </w:r>
      <w:proofErr w:type="spellEnd"/>
      <w:r w:rsidRPr="001152CE">
        <w:rPr>
          <w:rFonts w:asciiTheme="minorHAnsi" w:hAnsiTheme="minorHAnsi" w:cstheme="minorHAnsi"/>
          <w:kern w:val="0"/>
          <w:sz w:val="24"/>
          <w:szCs w:val="24"/>
          <w:lang w:eastAsia="en-GB"/>
        </w:rPr>
        <w:t xml:space="preserve"> transmitted to him that </w:t>
      </w:r>
      <w:proofErr w:type="spellStart"/>
      <w:r w:rsidRPr="001152CE">
        <w:rPr>
          <w:rFonts w:asciiTheme="minorHAnsi" w:hAnsiTheme="minorHAnsi" w:cstheme="minorHAnsi"/>
          <w:kern w:val="0"/>
          <w:sz w:val="24"/>
          <w:szCs w:val="24"/>
          <w:lang w:eastAsia="en-GB"/>
        </w:rPr>
        <w:t>Aḥmad</w:t>
      </w:r>
      <w:proofErr w:type="spellEnd"/>
      <w:r w:rsidRPr="001152CE">
        <w:rPr>
          <w:rFonts w:asciiTheme="minorHAnsi" w:hAnsiTheme="minorHAnsi" w:cstheme="minorHAnsi"/>
          <w:kern w:val="0"/>
          <w:sz w:val="24"/>
          <w:szCs w:val="24"/>
          <w:lang w:eastAsia="en-GB"/>
        </w:rPr>
        <w:t xml:space="preserve"> b. al-</w:t>
      </w:r>
      <w:proofErr w:type="spellStart"/>
      <w:r w:rsidRPr="001152CE">
        <w:rPr>
          <w:rFonts w:asciiTheme="minorHAnsi" w:hAnsiTheme="minorHAnsi" w:cstheme="minorHAnsi"/>
          <w:kern w:val="0"/>
          <w:sz w:val="24"/>
          <w:szCs w:val="24"/>
          <w:lang w:eastAsia="en-GB"/>
        </w:rPr>
        <w:t>Ḥārith</w:t>
      </w:r>
      <w:proofErr w:type="spellEnd"/>
      <w:r w:rsidRPr="001152CE">
        <w:rPr>
          <w:rFonts w:asciiTheme="minorHAnsi" w:hAnsiTheme="minorHAnsi" w:cstheme="minorHAnsi"/>
          <w:kern w:val="0"/>
          <w:sz w:val="24"/>
          <w:szCs w:val="24"/>
          <w:lang w:eastAsia="en-GB"/>
        </w:rPr>
        <w:t xml:space="preserve"> the cobbler said that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Ḥasan</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Madāʾinī</w:t>
      </w:r>
      <w:proofErr w:type="spellEnd"/>
      <w:r w:rsidRPr="001152CE">
        <w:rPr>
          <w:rFonts w:asciiTheme="minorHAnsi" w:hAnsiTheme="minorHAnsi" w:cstheme="minorHAnsi"/>
          <w:kern w:val="0"/>
          <w:sz w:val="24"/>
          <w:szCs w:val="24"/>
          <w:lang w:eastAsia="en-GB"/>
        </w:rPr>
        <w:t xml:space="preserve"> and </w:t>
      </w:r>
      <w:proofErr w:type="spellStart"/>
      <w:r w:rsidRPr="001152CE">
        <w:rPr>
          <w:rFonts w:asciiTheme="minorHAnsi" w:hAnsiTheme="minorHAnsi" w:cstheme="minorHAnsi"/>
          <w:kern w:val="0"/>
          <w:sz w:val="24"/>
          <w:szCs w:val="24"/>
          <w:lang w:eastAsia="en-GB"/>
        </w:rPr>
        <w:t>Khalīfa</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Khayyāṭ</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Tamīmī</w:t>
      </w:r>
      <w:proofErr w:type="spellEnd"/>
      <w:r w:rsidRPr="001152CE">
        <w:rPr>
          <w:rFonts w:asciiTheme="minorHAnsi" w:hAnsiTheme="minorHAnsi" w:cstheme="minorHAnsi"/>
          <w:kern w:val="0"/>
          <w:sz w:val="24"/>
          <w:szCs w:val="24"/>
          <w:lang w:eastAsia="en-GB"/>
        </w:rPr>
        <w:t xml:space="preserve"> said that in the land of </w:t>
      </w:r>
      <w:proofErr w:type="spellStart"/>
      <w:r w:rsidRPr="001152CE">
        <w:rPr>
          <w:rFonts w:asciiTheme="minorHAnsi" w:hAnsiTheme="minorHAnsi" w:cstheme="minorHAnsi"/>
          <w:kern w:val="0"/>
          <w:sz w:val="24"/>
          <w:szCs w:val="24"/>
          <w:lang w:eastAsia="en-GB"/>
        </w:rPr>
        <w:t>Balqāʾ</w:t>
      </w:r>
      <w:proofErr w:type="spellEnd"/>
      <w:r w:rsidRPr="001152CE">
        <w:rPr>
          <w:rFonts w:asciiTheme="minorHAnsi" w:hAnsiTheme="minorHAnsi" w:cstheme="minorHAnsi"/>
          <w:kern w:val="0"/>
          <w:sz w:val="24"/>
          <w:szCs w:val="24"/>
          <w:lang w:eastAsia="en-GB"/>
        </w:rPr>
        <w:t xml:space="preserve"> there was a man …</w:t>
      </w:r>
      <w:r w:rsidRPr="001152CE">
        <w:rPr>
          <w:rStyle w:val="FootnoteReference"/>
          <w:rFonts w:asciiTheme="minorHAnsi" w:hAnsiTheme="minorHAnsi" w:cstheme="minorHAnsi"/>
          <w:sz w:val="24"/>
          <w:szCs w:val="24"/>
          <w:lang w:val="en-US" w:eastAsia="en-GB"/>
        </w:rPr>
        <w:footnoteReference w:id="3"/>
      </w:r>
    </w:p>
    <w:p w14:paraId="54A0B6BD" w14:textId="77777777" w:rsidR="00C74DFA" w:rsidRPr="001152CE" w:rsidRDefault="00000000" w:rsidP="00930D4B">
      <w:pPr>
        <w:pStyle w:val="Heading2"/>
        <w:rPr>
          <w:lang w:eastAsia="en-GB"/>
        </w:rPr>
      </w:pPr>
      <w:bookmarkStart w:id="3" w:name="_23ckvvd"/>
      <w:bookmarkEnd w:id="3"/>
      <w:r w:rsidRPr="001152CE">
        <w:rPr>
          <w:lang w:eastAsia="en-GB"/>
        </w:rPr>
        <w:lastRenderedPageBreak/>
        <w:t xml:space="preserve">More meaningful search results </w:t>
      </w:r>
    </w:p>
    <w:p w14:paraId="348F5C09" w14:textId="77777777" w:rsidR="00C74DFA" w:rsidRPr="001152CE" w:rsidRDefault="00000000">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While the preceding search terms produced only limited insights, </w:t>
      </w:r>
      <w:bookmarkStart w:id="4" w:name="_Hlk138772156"/>
      <w:r w:rsidRPr="001152CE">
        <w:rPr>
          <w:rFonts w:asciiTheme="minorHAnsi" w:hAnsiTheme="minorHAnsi" w:cstheme="minorHAnsi"/>
          <w:kern w:val="0"/>
          <w:sz w:val="24"/>
          <w:szCs w:val="24"/>
          <w:lang w:eastAsia="en-GB"/>
        </w:rPr>
        <w:t xml:space="preserve">the following three terms were more fruitful. </w:t>
      </w:r>
    </w:p>
    <w:bookmarkEnd w:id="4"/>
    <w:p w14:paraId="7F797F80" w14:textId="77777777" w:rsidR="00C74DFA" w:rsidRPr="00930D4B" w:rsidRDefault="00000000" w:rsidP="00930D4B">
      <w:pPr>
        <w:pStyle w:val="Heading3"/>
        <w:rPr>
          <w:i/>
          <w:iCs/>
          <w:lang w:eastAsia="en-GB"/>
        </w:rPr>
      </w:pPr>
      <w:proofErr w:type="spellStart"/>
      <w:r w:rsidRPr="00930D4B">
        <w:rPr>
          <w:i/>
          <w:iCs/>
          <w:lang w:eastAsia="en-GB"/>
        </w:rPr>
        <w:t>Tasmiya</w:t>
      </w:r>
      <w:proofErr w:type="spellEnd"/>
    </w:p>
    <w:p w14:paraId="731D4317" w14:textId="77777777" w:rsidR="00C74DFA" w:rsidRPr="001152CE" w:rsidRDefault="00000000">
      <w:pPr>
        <w:spacing w:line="240" w:lineRule="auto"/>
        <w:rPr>
          <w:rFonts w:asciiTheme="minorHAnsi" w:hAnsiTheme="minorHAnsi" w:cstheme="minorHAnsi"/>
          <w:sz w:val="24"/>
          <w:szCs w:val="24"/>
        </w:rPr>
      </w:pPr>
      <w:bookmarkStart w:id="5" w:name="_Hlk138772265"/>
      <w:r w:rsidRPr="001152CE">
        <w:rPr>
          <w:rFonts w:asciiTheme="minorHAnsi" w:hAnsiTheme="minorHAnsi" w:cstheme="minorHAnsi"/>
          <w:kern w:val="0"/>
          <w:sz w:val="24"/>
          <w:szCs w:val="24"/>
          <w:lang w:eastAsia="en-GB"/>
        </w:rPr>
        <w:t xml:space="preserve">On several occasions in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refers to a person and says that this person reported something in a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w:t>
      </w:r>
    </w:p>
    <w:p w14:paraId="44A3B148"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What does the term </w:t>
      </w:r>
      <w:proofErr w:type="spellStart"/>
      <w:r w:rsidRPr="001152CE">
        <w:rPr>
          <w:rFonts w:asciiTheme="minorHAnsi" w:hAnsiTheme="minorHAnsi" w:cstheme="minorHAnsi"/>
          <w:i/>
          <w:kern w:val="0"/>
          <w:sz w:val="24"/>
          <w:szCs w:val="24"/>
          <w:lang w:eastAsia="en-GB"/>
        </w:rPr>
        <w:t>tasmiya</w:t>
      </w:r>
      <w:proofErr w:type="spellEnd"/>
      <w:r w:rsidRPr="001152CE">
        <w:rPr>
          <w:rFonts w:asciiTheme="minorHAnsi" w:hAnsiTheme="minorHAnsi" w:cstheme="minorHAnsi"/>
          <w:kern w:val="0"/>
          <w:sz w:val="24"/>
          <w:szCs w:val="24"/>
          <w:lang w:eastAsia="en-GB"/>
        </w:rPr>
        <w:t xml:space="preserve"> mean? Philologically speaking,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is the verbal noun of the second form of the Arabic verb </w:t>
      </w:r>
      <w:proofErr w:type="spellStart"/>
      <w:r w:rsidRPr="001152CE">
        <w:rPr>
          <w:rFonts w:asciiTheme="minorHAnsi" w:hAnsiTheme="minorHAnsi" w:cstheme="minorHAnsi"/>
          <w:i/>
          <w:iCs/>
          <w:kern w:val="0"/>
          <w:sz w:val="24"/>
          <w:szCs w:val="24"/>
          <w:lang w:eastAsia="en-GB"/>
        </w:rPr>
        <w:t>sammā</w:t>
      </w:r>
      <w:proofErr w:type="spellEnd"/>
      <w:r w:rsidRPr="001152CE">
        <w:rPr>
          <w:rFonts w:asciiTheme="minorHAnsi" w:hAnsiTheme="minorHAnsi" w:cstheme="minorHAnsi"/>
          <w:kern w:val="0"/>
          <w:sz w:val="24"/>
          <w:szCs w:val="24"/>
          <w:lang w:eastAsia="en-GB"/>
        </w:rPr>
        <w:t>/</w:t>
      </w:r>
      <w:proofErr w:type="spellStart"/>
      <w:r w:rsidRPr="001152CE">
        <w:rPr>
          <w:rFonts w:asciiTheme="minorHAnsi" w:hAnsiTheme="minorHAnsi" w:cstheme="minorHAnsi"/>
          <w:i/>
          <w:iCs/>
          <w:kern w:val="0"/>
          <w:sz w:val="24"/>
          <w:szCs w:val="24"/>
          <w:lang w:eastAsia="en-GB"/>
        </w:rPr>
        <w:t>yusammī</w:t>
      </w:r>
      <w:proofErr w:type="spellEnd"/>
      <w:r w:rsidRPr="001152CE">
        <w:rPr>
          <w:rFonts w:asciiTheme="minorHAnsi" w:hAnsiTheme="minorHAnsi" w:cstheme="minorHAnsi"/>
          <w:kern w:val="0"/>
          <w:sz w:val="24"/>
          <w:szCs w:val="24"/>
          <w:lang w:eastAsia="en-GB"/>
        </w:rPr>
        <w:t xml:space="preserve">, which is related to the word </w:t>
      </w:r>
      <w:r w:rsidRPr="001152CE">
        <w:rPr>
          <w:rFonts w:asciiTheme="minorHAnsi" w:hAnsiTheme="minorHAnsi" w:cstheme="minorHAnsi"/>
          <w:i/>
          <w:iCs/>
          <w:kern w:val="0"/>
          <w:sz w:val="24"/>
          <w:szCs w:val="24"/>
          <w:lang w:eastAsia="en-GB"/>
        </w:rPr>
        <w:t>ism</w:t>
      </w:r>
      <w:r w:rsidRPr="001152CE">
        <w:rPr>
          <w:rFonts w:asciiTheme="minorHAnsi" w:hAnsiTheme="minorHAnsi" w:cstheme="minorHAnsi"/>
          <w:kern w:val="0"/>
          <w:sz w:val="24"/>
          <w:szCs w:val="24"/>
          <w:lang w:eastAsia="en-GB"/>
        </w:rPr>
        <w:t xml:space="preserve">, ‘name’. When we searched for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and the four word tokens that follow it, we found what appear to be works listing people of various sorts (see Table 6.2). </w:t>
      </w:r>
    </w:p>
    <w:tbl>
      <w:tblPr>
        <w:tblW w:w="9010" w:type="dxa"/>
        <w:tblCellMar>
          <w:left w:w="10" w:type="dxa"/>
          <w:right w:w="10" w:type="dxa"/>
        </w:tblCellMar>
        <w:tblLook w:val="04A0" w:firstRow="1" w:lastRow="0" w:firstColumn="1" w:lastColumn="0" w:noHBand="0" w:noVBand="1"/>
      </w:tblPr>
      <w:tblGrid>
        <w:gridCol w:w="6143"/>
        <w:gridCol w:w="2180"/>
        <w:gridCol w:w="687"/>
      </w:tblGrid>
      <w:tr w:rsidR="00C74DFA" w:rsidRPr="001152CE" w14:paraId="11402218" w14:textId="77777777">
        <w:trPr>
          <w:trHeight w:val="315"/>
        </w:trPr>
        <w:tc>
          <w:tcPr>
            <w:tcW w:w="6143" w:type="dxa"/>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bottom"/>
          </w:tcPr>
          <w:p w14:paraId="56D4EE99" w14:textId="77777777" w:rsidR="00C74DFA" w:rsidRPr="001152CE" w:rsidRDefault="00000000">
            <w:pPr>
              <w:spacing w:line="240" w:lineRule="auto"/>
              <w:jc w:val="center"/>
              <w:rPr>
                <w:rFonts w:asciiTheme="minorHAnsi" w:eastAsia="Times New Roman" w:hAnsiTheme="minorHAnsi" w:cstheme="minorHAnsi"/>
                <w:b/>
                <w:bCs/>
                <w:kern w:val="0"/>
                <w:sz w:val="24"/>
                <w:szCs w:val="24"/>
                <w:lang w:eastAsia="en-GB"/>
              </w:rPr>
            </w:pPr>
            <w:r w:rsidRPr="001152CE">
              <w:rPr>
                <w:rFonts w:asciiTheme="minorHAnsi" w:eastAsia="Times New Roman" w:hAnsiTheme="minorHAnsi" w:cstheme="minorHAnsi"/>
                <w:b/>
                <w:bCs/>
                <w:kern w:val="0"/>
                <w:sz w:val="24"/>
                <w:szCs w:val="24"/>
                <w:lang w:eastAsia="en-GB"/>
              </w:rPr>
              <w:t>Title in translation</w:t>
            </w:r>
          </w:p>
        </w:tc>
        <w:tc>
          <w:tcPr>
            <w:tcW w:w="2180" w:type="dxa"/>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tcPr>
          <w:p w14:paraId="41D23C72" w14:textId="77777777" w:rsidR="00C74DFA" w:rsidRPr="001152CE" w:rsidRDefault="00000000">
            <w:pPr>
              <w:spacing w:line="240" w:lineRule="auto"/>
              <w:jc w:val="center"/>
              <w:rPr>
                <w:rFonts w:asciiTheme="minorHAnsi" w:eastAsia="Times New Roman" w:hAnsiTheme="minorHAnsi" w:cstheme="minorHAnsi"/>
                <w:b/>
                <w:bCs/>
                <w:kern w:val="0"/>
                <w:sz w:val="24"/>
                <w:szCs w:val="24"/>
                <w:lang w:eastAsia="en-GB"/>
              </w:rPr>
            </w:pPr>
            <w:r w:rsidRPr="001152CE">
              <w:rPr>
                <w:rFonts w:asciiTheme="minorHAnsi" w:eastAsia="Times New Roman" w:hAnsiTheme="minorHAnsi" w:cstheme="minorHAnsi"/>
                <w:b/>
                <w:bCs/>
                <w:kern w:val="0"/>
                <w:sz w:val="24"/>
                <w:szCs w:val="24"/>
                <w:lang w:eastAsia="en-GB"/>
              </w:rPr>
              <w:t>Title (short form)</w:t>
            </w:r>
          </w:p>
        </w:tc>
        <w:tc>
          <w:tcPr>
            <w:tcW w:w="687" w:type="dxa"/>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tcPr>
          <w:p w14:paraId="3965CB97" w14:textId="77777777" w:rsidR="00C74DFA" w:rsidRPr="001152CE" w:rsidRDefault="00000000">
            <w:pPr>
              <w:spacing w:line="240" w:lineRule="auto"/>
              <w:jc w:val="center"/>
              <w:rPr>
                <w:rFonts w:asciiTheme="minorHAnsi" w:eastAsia="Times New Roman" w:hAnsiTheme="minorHAnsi" w:cstheme="minorHAnsi"/>
                <w:b/>
                <w:bCs/>
                <w:kern w:val="0"/>
                <w:sz w:val="24"/>
                <w:szCs w:val="24"/>
                <w:lang w:eastAsia="en-GB"/>
              </w:rPr>
            </w:pPr>
            <w:r w:rsidRPr="001152CE">
              <w:rPr>
                <w:rFonts w:asciiTheme="minorHAnsi" w:eastAsia="Times New Roman" w:hAnsiTheme="minorHAnsi" w:cstheme="minorHAnsi"/>
                <w:b/>
                <w:bCs/>
                <w:kern w:val="0"/>
                <w:sz w:val="24"/>
                <w:szCs w:val="24"/>
                <w:lang w:eastAsia="en-GB"/>
              </w:rPr>
              <w:t>Count</w:t>
            </w:r>
          </w:p>
        </w:tc>
      </w:tr>
      <w:tr w:rsidR="00C74DFA" w:rsidRPr="001152CE" w14:paraId="245105C9"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468BC12"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Prophet’s Companions who took part in [the Battle of] Badr</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103F813"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شهد بدرا من</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050BC35"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126</w:t>
            </w:r>
          </w:p>
        </w:tc>
      </w:tr>
      <w:tr w:rsidR="00C74DFA" w:rsidRPr="001152CE" w14:paraId="1AB07B0E"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57C344" w14:textId="77777777" w:rsidR="00C74DFA" w:rsidRPr="001152CE" w:rsidRDefault="00000000">
            <w:pPr>
              <w:spacing w:line="240" w:lineRule="auto"/>
              <w:rPr>
                <w:rFonts w:asciiTheme="minorHAnsi" w:eastAsia="Times New Roman" w:hAnsiTheme="minorHAnsi" w:cstheme="minorHAnsi"/>
                <w:kern w:val="0"/>
                <w:sz w:val="24"/>
                <w:szCs w:val="24"/>
                <w:lang w:eastAsia="en-GB"/>
              </w:rPr>
            </w:pPr>
            <w:bookmarkStart w:id="6" w:name="_Hlk141434983"/>
            <w:r w:rsidRPr="001152CE">
              <w:rPr>
                <w:rFonts w:asciiTheme="minorHAnsi" w:eastAsia="Times New Roman" w:hAnsiTheme="minorHAnsi" w:cstheme="minorHAnsi"/>
                <w:kern w:val="0"/>
                <w:sz w:val="24"/>
                <w:szCs w:val="24"/>
                <w:lang w:eastAsia="en-GB"/>
              </w:rPr>
              <w:t>List of those from whom people copied in [Damascus]</w:t>
            </w:r>
            <w:bookmarkEnd w:id="6"/>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8EAD9F9"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كتب عنه بدمشق</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14B9103C"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113</w:t>
            </w:r>
          </w:p>
        </w:tc>
      </w:tr>
      <w:tr w:rsidR="00C74DFA" w:rsidRPr="001152CE" w14:paraId="2410EEF7"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F6D96D5"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Successors from Medina, including Hadith transmitters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A4065E9"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تابعي أهل المدينة ومحدثيهم</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0392714B"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65</w:t>
            </w:r>
          </w:p>
        </w:tc>
      </w:tr>
      <w:tr w:rsidR="00C74DFA" w:rsidRPr="001152CE" w14:paraId="3A23260B"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AC2D5B"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[Companions] who settled in Homs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054DBAB"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نزل حمص من</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127C0046"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48</w:t>
            </w:r>
          </w:p>
        </w:tc>
      </w:tr>
      <w:tr w:rsidR="00C74DFA" w:rsidRPr="001152CE" w14:paraId="4FA29799"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7738B4"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[Companions] who settled in Damascus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5C740E3"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نزل الشام من</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81102BB"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44</w:t>
            </w:r>
          </w:p>
        </w:tc>
      </w:tr>
      <w:tr w:rsidR="00C74DFA" w:rsidRPr="001152CE" w14:paraId="7B7A1DA5"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9EB65B"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those who emigrated to the land of [Abyssinia]</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2C67882"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هاجر إلى أرض</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1309D697"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27</w:t>
            </w:r>
          </w:p>
        </w:tc>
      </w:tr>
      <w:tr w:rsidR="00C74DFA" w:rsidRPr="001152CE" w14:paraId="56E0B00F"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6D03C07"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those who gave audition in Damascus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4D9BA066"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سمع منه بدمشق</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6654A4F"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26</w:t>
            </w:r>
          </w:p>
        </w:tc>
      </w:tr>
      <w:tr w:rsidR="00C74DFA" w:rsidRPr="001152CE" w14:paraId="226CEEC0"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4CF16DB"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those who transmitted from the Prophet</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17AC7626"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روى عن النبي</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E3D582F"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21</w:t>
            </w:r>
          </w:p>
        </w:tc>
      </w:tr>
      <w:tr w:rsidR="00C74DFA" w:rsidRPr="001152CE" w14:paraId="33DF098F"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80FEFE6"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Umayyads] who were in Damascus and [the oasis of] al-</w:t>
            </w:r>
            <w:proofErr w:type="spellStart"/>
            <w:r w:rsidRPr="001152CE">
              <w:rPr>
                <w:rFonts w:asciiTheme="minorHAnsi" w:eastAsia="Times New Roman" w:hAnsiTheme="minorHAnsi" w:cstheme="minorHAnsi"/>
                <w:kern w:val="0"/>
                <w:sz w:val="24"/>
                <w:szCs w:val="24"/>
                <w:lang w:eastAsia="en-GB"/>
              </w:rPr>
              <w:t>Ghūṭa</w:t>
            </w:r>
            <w:proofErr w:type="spellEnd"/>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6733495"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كان بدمشق وغوطتها</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2CB4EC6E"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21</w:t>
            </w:r>
          </w:p>
        </w:tc>
      </w:tr>
      <w:tr w:rsidR="00C74DFA" w:rsidRPr="001152CE" w14:paraId="389EC779"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E7E8560"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scribes of the emirs of Damascus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26CF5FDC"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كتاب أمراء دمشق وذكر</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C9D464C"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17</w:t>
            </w:r>
          </w:p>
        </w:tc>
      </w:tr>
      <w:tr w:rsidR="00C74DFA" w:rsidRPr="001152CE" w14:paraId="530080CA"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E573C28"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those from whom people copied in [the villages of Damascus]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33ABA426"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كتب عنه في</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5AC50292"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16</w:t>
            </w:r>
          </w:p>
        </w:tc>
      </w:tr>
      <w:tr w:rsidR="00C74DFA" w:rsidRPr="001152CE" w14:paraId="55400522"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559B8D9"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those who witnessed [the Battle of] al-</w:t>
            </w:r>
            <w:proofErr w:type="spellStart"/>
            <w:r w:rsidRPr="001152CE">
              <w:rPr>
                <w:rFonts w:asciiTheme="minorHAnsi" w:eastAsia="Times New Roman" w:hAnsiTheme="minorHAnsi" w:cstheme="minorHAnsi"/>
                <w:kern w:val="0"/>
                <w:sz w:val="24"/>
                <w:szCs w:val="24"/>
                <w:lang w:eastAsia="en-GB"/>
              </w:rPr>
              <w:t>ʿAqaba</w:t>
            </w:r>
            <w:proofErr w:type="spellEnd"/>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E153326"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شهد العقبة وفي</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3E581C3C"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14</w:t>
            </w:r>
          </w:p>
        </w:tc>
      </w:tr>
      <w:tr w:rsidR="00C74DFA" w:rsidRPr="001152CE" w14:paraId="0D7EAF28"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411D34E"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[Umayyads] who were in Damascus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0AE404AC"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كان بدمشق من</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893E9D6"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14</w:t>
            </w:r>
          </w:p>
        </w:tc>
      </w:tr>
      <w:tr w:rsidR="00C74DFA" w:rsidRPr="001152CE" w14:paraId="764B89E4"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0124109"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Prophet’s governors</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6755D640"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عمال النبي صلى الله</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309493D"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13</w:t>
            </w:r>
          </w:p>
        </w:tc>
      </w:tr>
      <w:tr w:rsidR="00C74DFA" w:rsidRPr="001152CE" w14:paraId="34097B6E" w14:textId="77777777">
        <w:trPr>
          <w:trHeight w:val="315"/>
        </w:trPr>
        <w:tc>
          <w:tcPr>
            <w:tcW w:w="6143"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AF5DCC6"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lastRenderedPageBreak/>
              <w:t>List of the Companions in al-</w:t>
            </w:r>
            <w:proofErr w:type="spellStart"/>
            <w:r w:rsidRPr="001152CE">
              <w:rPr>
                <w:rFonts w:asciiTheme="minorHAnsi" w:eastAsia="Times New Roman" w:hAnsiTheme="minorHAnsi" w:cstheme="minorHAnsi"/>
                <w:kern w:val="0"/>
                <w:sz w:val="24"/>
                <w:szCs w:val="24"/>
                <w:lang w:eastAsia="en-GB"/>
              </w:rPr>
              <w:t>ʿAqaba</w:t>
            </w:r>
            <w:proofErr w:type="spellEnd"/>
            <w:r w:rsidRPr="001152CE">
              <w:rPr>
                <w:rFonts w:asciiTheme="minorHAnsi" w:eastAsia="Times New Roman" w:hAnsiTheme="minorHAnsi" w:cstheme="minorHAnsi"/>
                <w:kern w:val="0"/>
                <w:sz w:val="24"/>
                <w:szCs w:val="24"/>
                <w:lang w:eastAsia="en-GB"/>
              </w:rPr>
              <w:t xml:space="preserve"> during the [second] period</w:t>
            </w:r>
          </w:p>
        </w:tc>
        <w:tc>
          <w:tcPr>
            <w:tcW w:w="21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tcPr>
          <w:p w14:paraId="552375F7"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أصحاب العقبة في المرة</w:t>
            </w:r>
          </w:p>
        </w:tc>
        <w:tc>
          <w:tcPr>
            <w:tcW w:w="687"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4C715CFF"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12</w:t>
            </w:r>
          </w:p>
        </w:tc>
      </w:tr>
      <w:tr w:rsidR="00C74DFA" w:rsidRPr="001152CE" w14:paraId="4C9F1D14" w14:textId="77777777">
        <w:trPr>
          <w:trHeight w:val="315"/>
        </w:trPr>
        <w:tc>
          <w:tcPr>
            <w:tcW w:w="6143"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D0E7CD" w14:textId="77777777" w:rsidR="00C74DFA" w:rsidRPr="001152CE" w:rsidRDefault="00000000">
            <w:pPr>
              <w:spacing w:line="240" w:lineRule="auto"/>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List of the [Companions] who settled in Kufa</w:t>
            </w:r>
          </w:p>
        </w:tc>
        <w:tc>
          <w:tcPr>
            <w:tcW w:w="21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tcPr>
          <w:p w14:paraId="6B599031" w14:textId="77777777" w:rsidR="00C74DFA" w:rsidRPr="001152CE" w:rsidRDefault="00000000">
            <w:pPr>
              <w:spacing w:line="240" w:lineRule="auto"/>
              <w:jc w:val="center"/>
              <w:rPr>
                <w:rFonts w:asciiTheme="minorHAnsi" w:hAnsiTheme="minorHAnsi" w:cstheme="minorHAnsi"/>
                <w:sz w:val="24"/>
                <w:szCs w:val="24"/>
              </w:rPr>
            </w:pPr>
            <w:r w:rsidRPr="001152CE">
              <w:rPr>
                <w:rFonts w:asciiTheme="minorHAnsi" w:eastAsia="Times New Roman" w:hAnsiTheme="minorHAnsi" w:cstheme="minorHAnsi"/>
                <w:kern w:val="0"/>
                <w:sz w:val="24"/>
                <w:szCs w:val="24"/>
                <w:rtl/>
                <w:lang w:eastAsia="en-GB"/>
              </w:rPr>
              <w:t>تسمية من نزل الكوفة من</w:t>
            </w:r>
          </w:p>
        </w:tc>
        <w:tc>
          <w:tcPr>
            <w:tcW w:w="68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5FD9738" w14:textId="77777777" w:rsidR="00C74DFA" w:rsidRPr="001152CE" w:rsidRDefault="00000000">
            <w:pPr>
              <w:spacing w:line="240" w:lineRule="auto"/>
              <w:jc w:val="center"/>
              <w:rPr>
                <w:rFonts w:asciiTheme="minorHAnsi" w:eastAsia="Times New Roman" w:hAnsiTheme="minorHAnsi" w:cstheme="minorHAnsi"/>
                <w:kern w:val="0"/>
                <w:sz w:val="24"/>
                <w:szCs w:val="24"/>
                <w:lang w:eastAsia="en-GB"/>
              </w:rPr>
            </w:pPr>
            <w:r w:rsidRPr="001152CE">
              <w:rPr>
                <w:rFonts w:asciiTheme="minorHAnsi" w:eastAsia="Times New Roman" w:hAnsiTheme="minorHAnsi" w:cstheme="minorHAnsi"/>
                <w:kern w:val="0"/>
                <w:sz w:val="24"/>
                <w:szCs w:val="24"/>
                <w:lang w:eastAsia="en-GB"/>
              </w:rPr>
              <w:t>12</w:t>
            </w:r>
          </w:p>
        </w:tc>
      </w:tr>
    </w:tbl>
    <w:p w14:paraId="0F2B6B06" w14:textId="3368E44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Table 6.2: Sample results of a search for the word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plus the</w:t>
      </w:r>
      <w:r w:rsidR="00406EFD">
        <w:rPr>
          <w:rFonts w:asciiTheme="minorHAnsi" w:hAnsiTheme="minorHAnsi" w:cstheme="minorHAnsi"/>
          <w:kern w:val="0"/>
          <w:sz w:val="24"/>
          <w:szCs w:val="24"/>
          <w:lang w:eastAsia="en-GB"/>
        </w:rPr>
        <w:t xml:space="preserve"> four</w:t>
      </w:r>
      <w:r w:rsidRPr="001152CE">
        <w:rPr>
          <w:rFonts w:asciiTheme="minorHAnsi" w:hAnsiTheme="minorHAnsi" w:cstheme="minorHAnsi"/>
          <w:kern w:val="0"/>
          <w:sz w:val="24"/>
          <w:szCs w:val="24"/>
          <w:lang w:eastAsia="en-GB"/>
        </w:rPr>
        <w:t xml:space="preserve"> word tokens that follow it.</w:t>
      </w:r>
      <w:r w:rsidR="00B305D3">
        <w:rPr>
          <w:rStyle w:val="FootnoteReference"/>
          <w:rFonts w:asciiTheme="minorHAnsi" w:hAnsiTheme="minorHAnsi" w:cstheme="minorHAnsi"/>
          <w:kern w:val="0"/>
          <w:sz w:val="24"/>
          <w:szCs w:val="24"/>
          <w:lang w:eastAsia="en-GB"/>
        </w:rPr>
        <w:footnoteReference w:id="4"/>
      </w:r>
      <w:r w:rsidRPr="001152CE">
        <w:rPr>
          <w:rFonts w:asciiTheme="minorHAnsi" w:hAnsiTheme="minorHAnsi" w:cstheme="minorHAnsi"/>
          <w:kern w:val="0"/>
          <w:sz w:val="24"/>
          <w:szCs w:val="24"/>
          <w:lang w:eastAsia="en-GB"/>
        </w:rPr>
        <w:t xml:space="preserve"> </w:t>
      </w:r>
    </w:p>
    <w:p w14:paraId="0FB58818"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There are presently ten short works (ranging in length from 256 to 13,083 words) in the </w:t>
      </w:r>
      <w:proofErr w:type="spellStart"/>
      <w:r w:rsidRPr="001152CE">
        <w:rPr>
          <w:rFonts w:asciiTheme="minorHAnsi" w:hAnsiTheme="minorHAnsi" w:cstheme="minorHAnsi"/>
          <w:kern w:val="0"/>
          <w:sz w:val="24"/>
          <w:szCs w:val="24"/>
          <w:lang w:eastAsia="en-GB"/>
        </w:rPr>
        <w:t>OpenITI</w:t>
      </w:r>
      <w:proofErr w:type="spellEnd"/>
      <w:r w:rsidRPr="001152CE">
        <w:rPr>
          <w:rFonts w:asciiTheme="minorHAnsi" w:hAnsiTheme="minorHAnsi" w:cstheme="minorHAnsi"/>
          <w:kern w:val="0"/>
          <w:sz w:val="24"/>
          <w:szCs w:val="24"/>
          <w:lang w:eastAsia="en-GB"/>
        </w:rPr>
        <w:t xml:space="preserve"> that bear the title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Each centres on a list, and most of the lists are relevant to the study of </w:t>
      </w:r>
      <w:proofErr w:type="spellStart"/>
      <w:r w:rsidRPr="001152CE">
        <w:rPr>
          <w:rFonts w:asciiTheme="minorHAnsi" w:hAnsiTheme="minorHAnsi" w:cstheme="minorHAnsi"/>
          <w:i/>
          <w:iCs/>
          <w:kern w:val="0"/>
          <w:sz w:val="24"/>
          <w:szCs w:val="24"/>
          <w:lang w:eastAsia="en-GB"/>
        </w:rPr>
        <w:t>isnād</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w:t>
      </w:r>
      <w:r w:rsidRPr="001152CE">
        <w:rPr>
          <w:rFonts w:asciiTheme="minorHAnsi" w:hAnsiTheme="minorHAnsi" w:cstheme="minorHAnsi"/>
          <w:kern w:val="0"/>
          <w:sz w:val="24"/>
          <w:szCs w:val="24"/>
          <w:vertAlign w:val="superscript"/>
          <w:lang w:val="en-US" w:eastAsia="en-GB"/>
        </w:rPr>
        <w:footnoteReference w:id="5"/>
      </w:r>
      <w:r w:rsidRPr="001152CE">
        <w:rPr>
          <w:rFonts w:asciiTheme="minorHAnsi" w:hAnsiTheme="minorHAnsi" w:cstheme="minorHAnsi"/>
          <w:kern w:val="0"/>
          <w:sz w:val="24"/>
          <w:szCs w:val="24"/>
          <w:lang w:eastAsia="en-GB"/>
        </w:rPr>
        <w:t xml:space="preserve">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himself created such works, as noted in our first post in this series.</w:t>
      </w:r>
    </w:p>
    <w:p w14:paraId="4232BC10"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Al-</w:t>
      </w:r>
      <w:proofErr w:type="spellStart"/>
      <w:r w:rsidRPr="001152CE">
        <w:rPr>
          <w:rFonts w:asciiTheme="minorHAnsi" w:hAnsiTheme="minorHAnsi" w:cstheme="minorHAnsi"/>
          <w:kern w:val="0"/>
          <w:sz w:val="24"/>
          <w:szCs w:val="24"/>
          <w:lang w:eastAsia="en-GB"/>
        </w:rPr>
        <w:t>Daʿjānī</w:t>
      </w:r>
      <w:proofErr w:type="spellEnd"/>
      <w:r w:rsidRPr="001152CE">
        <w:rPr>
          <w:rFonts w:asciiTheme="minorHAnsi" w:hAnsiTheme="minorHAnsi" w:cstheme="minorHAnsi"/>
          <w:kern w:val="0"/>
          <w:sz w:val="24"/>
          <w:szCs w:val="24"/>
          <w:lang w:eastAsia="en-GB"/>
        </w:rPr>
        <w:t xml:space="preserve"> and </w:t>
      </w: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include eleven works bearing the title </w:t>
      </w:r>
      <w:proofErr w:type="spellStart"/>
      <w:r w:rsidRPr="001152CE">
        <w:rPr>
          <w:rFonts w:asciiTheme="minorHAnsi" w:hAnsiTheme="minorHAnsi" w:cstheme="minorHAnsi"/>
          <w:i/>
          <w:kern w:val="0"/>
          <w:sz w:val="24"/>
          <w:szCs w:val="24"/>
          <w:lang w:eastAsia="en-GB"/>
        </w:rPr>
        <w:t>tasmiya</w:t>
      </w:r>
      <w:proofErr w:type="spellEnd"/>
      <w:r w:rsidRPr="001152CE">
        <w:rPr>
          <w:rFonts w:asciiTheme="minorHAnsi" w:hAnsiTheme="minorHAnsi" w:cstheme="minorHAnsi"/>
          <w:iCs/>
          <w:kern w:val="0"/>
          <w:sz w:val="24"/>
          <w:szCs w:val="24"/>
          <w:lang w:eastAsia="en-GB"/>
        </w:rPr>
        <w:t xml:space="preserve"> in their lists of Ibn </w:t>
      </w:r>
      <w:proofErr w:type="spellStart"/>
      <w:r w:rsidRPr="001152CE">
        <w:rPr>
          <w:rFonts w:asciiTheme="minorHAnsi" w:hAnsiTheme="minorHAnsi" w:cstheme="minorHAnsi"/>
          <w:iCs/>
          <w:kern w:val="0"/>
          <w:sz w:val="24"/>
          <w:szCs w:val="24"/>
          <w:lang w:eastAsia="en-GB"/>
        </w:rPr>
        <w:t>ʿAsākir’s</w:t>
      </w:r>
      <w:proofErr w:type="spellEnd"/>
      <w:r w:rsidRPr="001152CE">
        <w:rPr>
          <w:rFonts w:asciiTheme="minorHAnsi" w:hAnsiTheme="minorHAnsi" w:cstheme="minorHAnsi"/>
          <w:iCs/>
          <w:kern w:val="0"/>
          <w:sz w:val="24"/>
          <w:szCs w:val="24"/>
          <w:lang w:eastAsia="en-GB"/>
        </w:rPr>
        <w:t xml:space="preserve"> sources. T</w:t>
      </w:r>
      <w:r w:rsidRPr="001152CE">
        <w:rPr>
          <w:rFonts w:asciiTheme="minorHAnsi" w:hAnsiTheme="minorHAnsi" w:cstheme="minorHAnsi"/>
          <w:kern w:val="0"/>
          <w:sz w:val="24"/>
          <w:szCs w:val="24"/>
          <w:lang w:eastAsia="en-GB"/>
        </w:rPr>
        <w:t xml:space="preserve">wo of these can perhaps be matched to extant works in the </w:t>
      </w:r>
      <w:proofErr w:type="spellStart"/>
      <w:r w:rsidRPr="001152CE">
        <w:rPr>
          <w:rFonts w:asciiTheme="minorHAnsi" w:hAnsiTheme="minorHAnsi" w:cstheme="minorHAnsi"/>
          <w:kern w:val="0"/>
          <w:sz w:val="24"/>
          <w:szCs w:val="24"/>
          <w:lang w:eastAsia="en-GB"/>
        </w:rPr>
        <w:t>OpenITI</w:t>
      </w:r>
      <w:proofErr w:type="spellEnd"/>
      <w:r w:rsidRPr="001152CE">
        <w:rPr>
          <w:rFonts w:asciiTheme="minorHAnsi" w:hAnsiTheme="minorHAnsi" w:cstheme="minorHAnsi"/>
          <w:kern w:val="0"/>
          <w:sz w:val="24"/>
          <w:szCs w:val="24"/>
          <w:lang w:eastAsia="en-GB"/>
        </w:rPr>
        <w:t>.</w:t>
      </w:r>
      <w:r w:rsidRPr="001152CE">
        <w:rPr>
          <w:rFonts w:asciiTheme="minorHAnsi" w:hAnsiTheme="minorHAnsi" w:cstheme="minorHAnsi"/>
          <w:kern w:val="0"/>
          <w:sz w:val="24"/>
          <w:szCs w:val="24"/>
          <w:vertAlign w:val="superscript"/>
          <w:lang w:val="en-US" w:eastAsia="en-GB"/>
        </w:rPr>
        <w:footnoteReference w:id="6"/>
      </w:r>
      <w:r w:rsidRPr="001152CE">
        <w:rPr>
          <w:rFonts w:asciiTheme="minorHAnsi" w:hAnsiTheme="minorHAnsi" w:cstheme="minorHAnsi"/>
          <w:kern w:val="0"/>
          <w:sz w:val="24"/>
          <w:szCs w:val="24"/>
          <w:lang w:eastAsia="en-GB"/>
        </w:rPr>
        <w:t xml:space="preserve"> </w:t>
      </w:r>
    </w:p>
    <w:p w14:paraId="2F658642"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But there is a far greater number of references to a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in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We counted 773 distinct </w:t>
      </w:r>
      <w:proofErr w:type="spellStart"/>
      <w:r w:rsidRPr="001152CE">
        <w:rPr>
          <w:rFonts w:asciiTheme="minorHAnsi" w:hAnsiTheme="minorHAnsi" w:cstheme="minorHAnsi"/>
          <w:i/>
          <w:iCs/>
          <w:kern w:val="0"/>
          <w:sz w:val="24"/>
          <w:szCs w:val="24"/>
          <w:lang w:eastAsia="en-GB"/>
        </w:rPr>
        <w:t>tasmiya</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 which are collectively cited 1,694 times.</w:t>
      </w:r>
      <w:r w:rsidRPr="001152CE">
        <w:rPr>
          <w:rStyle w:val="FootnoteReference"/>
          <w:rFonts w:asciiTheme="minorHAnsi" w:hAnsiTheme="minorHAnsi" w:cstheme="minorHAnsi"/>
          <w:kern w:val="0"/>
          <w:sz w:val="24"/>
          <w:szCs w:val="24"/>
          <w:lang w:eastAsia="en-GB"/>
        </w:rPr>
        <w:footnoteReference w:id="7"/>
      </w:r>
      <w:r w:rsidRPr="001152CE">
        <w:rPr>
          <w:rFonts w:asciiTheme="minorHAnsi" w:hAnsiTheme="minorHAnsi" w:cstheme="minorHAnsi"/>
          <w:kern w:val="0"/>
          <w:sz w:val="24"/>
          <w:szCs w:val="24"/>
          <w:lang w:eastAsia="en-GB"/>
        </w:rPr>
        <w:t xml:space="preserve"> Most (617) are cited only once.</w:t>
      </w:r>
    </w:p>
    <w:p w14:paraId="64DC60A6"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The highly descriptive wording that follows the term </w:t>
      </w:r>
      <w:proofErr w:type="spellStart"/>
      <w:r w:rsidRPr="001152CE">
        <w:rPr>
          <w:rFonts w:asciiTheme="minorHAnsi" w:hAnsiTheme="minorHAnsi" w:cstheme="minorHAnsi"/>
          <w:i/>
          <w:kern w:val="0"/>
          <w:sz w:val="24"/>
          <w:szCs w:val="24"/>
          <w:lang w:eastAsia="en-GB"/>
        </w:rPr>
        <w:t>tasmiya</w:t>
      </w:r>
      <w:proofErr w:type="spellEnd"/>
      <w:r w:rsidRPr="001152CE">
        <w:rPr>
          <w:rFonts w:asciiTheme="minorHAnsi" w:hAnsiTheme="minorHAnsi" w:cstheme="minorHAnsi"/>
          <w:kern w:val="0"/>
          <w:sz w:val="24"/>
          <w:szCs w:val="24"/>
          <w:lang w:eastAsia="en-GB"/>
        </w:rPr>
        <w:t xml:space="preserve"> supports the assumption that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works are based on lists. Further, many references to </w:t>
      </w:r>
      <w:proofErr w:type="spellStart"/>
      <w:r w:rsidRPr="001152CE">
        <w:rPr>
          <w:rFonts w:asciiTheme="minorHAnsi" w:hAnsiTheme="minorHAnsi" w:cstheme="minorHAnsi"/>
          <w:i/>
          <w:iCs/>
          <w:kern w:val="0"/>
          <w:sz w:val="24"/>
          <w:szCs w:val="24"/>
          <w:lang w:eastAsia="en-GB"/>
        </w:rPr>
        <w:t>tasmiya</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 xml:space="preserve"> are accompanied by references to handwriting (</w:t>
      </w:r>
      <w:proofErr w:type="spellStart"/>
      <w:r w:rsidRPr="001152CE">
        <w:rPr>
          <w:rFonts w:asciiTheme="minorHAnsi" w:hAnsiTheme="minorHAnsi" w:cstheme="minorHAnsi"/>
          <w:i/>
          <w:kern w:val="0"/>
          <w:sz w:val="24"/>
          <w:szCs w:val="24"/>
          <w:lang w:eastAsia="en-GB"/>
        </w:rPr>
        <w:t>khaṭṭ</w:t>
      </w:r>
      <w:proofErr w:type="spellEnd"/>
      <w:r w:rsidRPr="001152CE">
        <w:rPr>
          <w:rFonts w:asciiTheme="minorHAnsi" w:hAnsiTheme="minorHAnsi" w:cstheme="minorHAnsi"/>
          <w:kern w:val="0"/>
          <w:sz w:val="24"/>
          <w:szCs w:val="24"/>
          <w:lang w:eastAsia="en-GB"/>
        </w:rPr>
        <w:t xml:space="preserve">), by their authors or by transmitters of the works, leading us to think that a subset may well have been autograph copies of written resources that circulated among scholars and that were useful for writing large-scale works such as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w:t>
      </w:r>
    </w:p>
    <w:p w14:paraId="7574B5DD"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However,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i/>
          <w:iCs/>
          <w:kern w:val="0"/>
          <w:sz w:val="24"/>
          <w:szCs w:val="24"/>
          <w:lang w:eastAsia="en-GB"/>
        </w:rPr>
        <w:t xml:space="preserve"> </w:t>
      </w:r>
      <w:r w:rsidRPr="001152CE">
        <w:rPr>
          <w:rFonts w:asciiTheme="minorHAnsi" w:hAnsiTheme="minorHAnsi" w:cstheme="minorHAnsi"/>
          <w:kern w:val="0"/>
          <w:sz w:val="24"/>
          <w:szCs w:val="24"/>
          <w:lang w:eastAsia="en-GB"/>
        </w:rPr>
        <w:t xml:space="preserve">might also point to a section of a larger work, as </w:t>
      </w: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has argued (especially in the case of </w:t>
      </w:r>
      <w:proofErr w:type="spellStart"/>
      <w:r w:rsidRPr="001152CE">
        <w:rPr>
          <w:rFonts w:asciiTheme="minorHAnsi" w:hAnsiTheme="minorHAnsi" w:cstheme="minorHAnsi"/>
          <w:kern w:val="0"/>
          <w:sz w:val="24"/>
          <w:szCs w:val="24"/>
          <w:lang w:eastAsia="en-GB"/>
        </w:rPr>
        <w:t>Mūsā</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ʿUqba</w:t>
      </w:r>
      <w:proofErr w:type="spellEnd"/>
      <w:r w:rsidRPr="001152CE">
        <w:rPr>
          <w:rFonts w:asciiTheme="minorHAnsi" w:hAnsiTheme="minorHAnsi" w:cstheme="minorHAnsi"/>
          <w:kern w:val="0"/>
          <w:sz w:val="24"/>
          <w:szCs w:val="24"/>
          <w:lang w:eastAsia="en-GB"/>
        </w:rPr>
        <w:t xml:space="preserve">, d. 141/758, whose notebook he believes still circulated in Ibn </w:t>
      </w:r>
      <w:proofErr w:type="spellStart"/>
      <w:r w:rsidRPr="001152CE">
        <w:rPr>
          <w:rFonts w:asciiTheme="minorHAnsi" w:hAnsiTheme="minorHAnsi" w:cstheme="minorHAnsi"/>
          <w:kern w:val="0"/>
          <w:sz w:val="24"/>
          <w:szCs w:val="24"/>
          <w:lang w:eastAsia="en-GB"/>
        </w:rPr>
        <w:t>ʿAsākir’s</w:t>
      </w:r>
      <w:proofErr w:type="spellEnd"/>
      <w:r w:rsidRPr="001152CE">
        <w:rPr>
          <w:rFonts w:asciiTheme="minorHAnsi" w:hAnsiTheme="minorHAnsi" w:cstheme="minorHAnsi"/>
          <w:kern w:val="0"/>
          <w:sz w:val="24"/>
          <w:szCs w:val="24"/>
          <w:lang w:eastAsia="en-GB"/>
        </w:rPr>
        <w:t xml:space="preserve"> day). We cannot rule out this possibility. Ibn </w:t>
      </w:r>
      <w:proofErr w:type="spellStart"/>
      <w:r w:rsidRPr="001152CE">
        <w:rPr>
          <w:rFonts w:asciiTheme="minorHAnsi" w:hAnsiTheme="minorHAnsi" w:cstheme="minorHAnsi"/>
          <w:kern w:val="0"/>
          <w:sz w:val="24"/>
          <w:szCs w:val="24"/>
          <w:lang w:eastAsia="en-GB"/>
        </w:rPr>
        <w:t>Sa'd’s</w:t>
      </w:r>
      <w:proofErr w:type="spellEnd"/>
      <w:r w:rsidRPr="001152CE">
        <w:rPr>
          <w:rFonts w:asciiTheme="minorHAnsi" w:hAnsiTheme="minorHAnsi" w:cstheme="minorHAnsi"/>
          <w:kern w:val="0"/>
          <w:sz w:val="24"/>
          <w:szCs w:val="24"/>
          <w:lang w:eastAsia="en-GB"/>
        </w:rPr>
        <w:t xml:space="preserve"> </w:t>
      </w:r>
      <w:r w:rsidRPr="001152CE">
        <w:rPr>
          <w:rFonts w:asciiTheme="minorHAnsi" w:hAnsiTheme="minorHAnsi" w:cstheme="minorHAnsi"/>
          <w:i/>
          <w:iCs/>
          <w:kern w:val="0"/>
          <w:sz w:val="24"/>
          <w:szCs w:val="24"/>
          <w:lang w:eastAsia="en-GB"/>
        </w:rPr>
        <w:t>al-</w:t>
      </w:r>
      <w:proofErr w:type="spellStart"/>
      <w:r w:rsidRPr="001152CE">
        <w:rPr>
          <w:rFonts w:asciiTheme="minorHAnsi" w:hAnsiTheme="minorHAnsi" w:cstheme="minorHAnsi"/>
          <w:i/>
          <w:iCs/>
          <w:kern w:val="0"/>
          <w:sz w:val="24"/>
          <w:szCs w:val="24"/>
          <w:lang w:eastAsia="en-GB"/>
        </w:rPr>
        <w:t>Ṭabaqāt</w:t>
      </w:r>
      <w:proofErr w:type="spellEnd"/>
      <w:r w:rsidRPr="001152CE">
        <w:rPr>
          <w:rFonts w:asciiTheme="minorHAnsi" w:hAnsiTheme="minorHAnsi" w:cstheme="minorHAnsi"/>
          <w:i/>
          <w:iCs/>
          <w:kern w:val="0"/>
          <w:sz w:val="24"/>
          <w:szCs w:val="24"/>
          <w:lang w:eastAsia="en-GB"/>
        </w:rPr>
        <w:t xml:space="preserve"> al-</w:t>
      </w:r>
      <w:proofErr w:type="spellStart"/>
      <w:r w:rsidRPr="001152CE">
        <w:rPr>
          <w:rFonts w:asciiTheme="minorHAnsi" w:hAnsiTheme="minorHAnsi" w:cstheme="minorHAnsi"/>
          <w:i/>
          <w:iCs/>
          <w:kern w:val="0"/>
          <w:sz w:val="24"/>
          <w:szCs w:val="24"/>
          <w:lang w:eastAsia="en-GB"/>
        </w:rPr>
        <w:t>kubrā</w:t>
      </w:r>
      <w:proofErr w:type="spellEnd"/>
      <w:r w:rsidRPr="001152CE">
        <w:rPr>
          <w:rFonts w:asciiTheme="minorHAnsi" w:hAnsiTheme="minorHAnsi" w:cstheme="minorHAnsi"/>
          <w:kern w:val="0"/>
          <w:sz w:val="24"/>
          <w:szCs w:val="24"/>
          <w:lang w:eastAsia="en-GB"/>
        </w:rPr>
        <w:t xml:space="preserve">, for example, features section headings containing the term. Still, the high frequency and variety of phrases using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seem to point to a wider phenomenon. The excerpting and continuation of lists over time makes sense within a transmission tradition focused practically on answering questions – such as who fought at Badr or settled in Damascus. And the way that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refers to what he is doing in citations such as this generally stresses the role of direct informants and transmitters over centuries. If in fact this citational pattern was meant to refer to a notebook by </w:t>
      </w:r>
      <w:proofErr w:type="spellStart"/>
      <w:r w:rsidRPr="001152CE">
        <w:rPr>
          <w:rFonts w:asciiTheme="minorHAnsi" w:hAnsiTheme="minorHAnsi" w:cstheme="minorHAnsi"/>
          <w:kern w:val="0"/>
          <w:sz w:val="24"/>
          <w:szCs w:val="24"/>
          <w:lang w:eastAsia="en-GB"/>
        </w:rPr>
        <w:t>ʿUqba</w:t>
      </w:r>
      <w:proofErr w:type="spellEnd"/>
      <w:r w:rsidRPr="001152CE">
        <w:rPr>
          <w:rFonts w:asciiTheme="minorHAnsi" w:hAnsiTheme="minorHAnsi" w:cstheme="minorHAnsi"/>
          <w:kern w:val="0"/>
          <w:sz w:val="24"/>
          <w:szCs w:val="24"/>
          <w:lang w:eastAsia="en-GB"/>
        </w:rPr>
        <w:t xml:space="preserve">, for example, he could have said so or at least identified </w:t>
      </w:r>
      <w:proofErr w:type="spellStart"/>
      <w:r w:rsidRPr="001152CE">
        <w:rPr>
          <w:rFonts w:asciiTheme="minorHAnsi" w:hAnsiTheme="minorHAnsi" w:cstheme="minorHAnsi"/>
          <w:kern w:val="0"/>
          <w:sz w:val="24"/>
          <w:szCs w:val="24"/>
          <w:lang w:eastAsia="en-GB"/>
        </w:rPr>
        <w:t>ʿUqba</w:t>
      </w:r>
      <w:proofErr w:type="spellEnd"/>
      <w:r w:rsidRPr="001152CE">
        <w:rPr>
          <w:rFonts w:asciiTheme="minorHAnsi" w:hAnsiTheme="minorHAnsi" w:cstheme="minorHAnsi"/>
          <w:kern w:val="0"/>
          <w:sz w:val="24"/>
          <w:szCs w:val="24"/>
          <w:lang w:eastAsia="en-GB"/>
        </w:rPr>
        <w:t xml:space="preserve"> as the common link for these materials.</w:t>
      </w:r>
      <w:r w:rsidRPr="001152CE">
        <w:rPr>
          <w:rStyle w:val="FootnoteReference"/>
          <w:rFonts w:asciiTheme="minorHAnsi" w:hAnsiTheme="minorHAnsi" w:cstheme="minorHAnsi"/>
          <w:sz w:val="24"/>
          <w:szCs w:val="24"/>
          <w:lang w:val="en-US" w:eastAsia="en-GB"/>
        </w:rPr>
        <w:footnoteReference w:id="8"/>
      </w:r>
      <w:r w:rsidRPr="001152CE">
        <w:rPr>
          <w:rFonts w:asciiTheme="minorHAnsi" w:hAnsiTheme="minorHAnsi" w:cstheme="minorHAnsi"/>
          <w:kern w:val="0"/>
          <w:sz w:val="24"/>
          <w:szCs w:val="24"/>
          <w:lang w:eastAsia="en-GB"/>
        </w:rPr>
        <w:t xml:space="preserve"> </w:t>
      </w:r>
    </w:p>
    <w:p w14:paraId="1971DF44"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lastRenderedPageBreak/>
        <w:t xml:space="preserve">We believe that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points to lists with long histories of being transmitted. Their power and authority derived from their portability and from the fact that they were vouchsafed by people whom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knew personally. This view stresses the agency and work that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himself likely did as a curator of past knowledge. </w:t>
      </w:r>
    </w:p>
    <w:p w14:paraId="408EF078"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As noted in an earlier post, the full title of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itself contains the word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Tārīkh</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madīnat</w:t>
      </w:r>
      <w:proofErr w:type="spellEnd"/>
      <w:r w:rsidRPr="001152CE">
        <w:rPr>
          <w:rFonts w:asciiTheme="minorHAnsi" w:hAnsiTheme="minorHAnsi" w:cstheme="minorHAnsi"/>
          <w:i/>
          <w:iCs/>
          <w:kern w:val="0"/>
          <w:sz w:val="24"/>
          <w:szCs w:val="24"/>
          <w:lang w:eastAsia="en-GB"/>
        </w:rPr>
        <w:t xml:space="preserve"> Dimashq </w:t>
      </w:r>
      <w:proofErr w:type="spellStart"/>
      <w:r w:rsidRPr="001152CE">
        <w:rPr>
          <w:rFonts w:asciiTheme="minorHAnsi" w:hAnsiTheme="minorHAnsi" w:cstheme="minorHAnsi"/>
          <w:i/>
          <w:iCs/>
          <w:kern w:val="0"/>
          <w:sz w:val="24"/>
          <w:szCs w:val="24"/>
          <w:lang w:eastAsia="en-GB"/>
        </w:rPr>
        <w:t>wa</w:t>
      </w:r>
      <w:proofErr w:type="spellEnd"/>
      <w:r w:rsidRPr="001152CE">
        <w:rPr>
          <w:rFonts w:asciiTheme="minorHAnsi" w:hAnsiTheme="minorHAnsi" w:cstheme="minorHAnsi"/>
          <w:i/>
          <w:iCs/>
          <w:kern w:val="0"/>
          <w:sz w:val="24"/>
          <w:szCs w:val="24"/>
          <w:lang w:eastAsia="en-GB"/>
        </w:rPr>
        <w:t xml:space="preserve">-dhikr </w:t>
      </w:r>
      <w:proofErr w:type="spellStart"/>
      <w:r w:rsidRPr="001152CE">
        <w:rPr>
          <w:rFonts w:asciiTheme="minorHAnsi" w:hAnsiTheme="minorHAnsi" w:cstheme="minorHAnsi"/>
          <w:i/>
          <w:iCs/>
          <w:kern w:val="0"/>
          <w:sz w:val="24"/>
          <w:szCs w:val="24"/>
          <w:lang w:eastAsia="en-GB"/>
        </w:rPr>
        <w:t>faḍlihā</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b/>
          <w:bCs/>
          <w:i/>
          <w:iCs/>
          <w:kern w:val="0"/>
          <w:sz w:val="24"/>
          <w:szCs w:val="24"/>
          <w:lang w:eastAsia="en-GB"/>
        </w:rPr>
        <w:t>wa-tasmiyat</w:t>
      </w:r>
      <w:proofErr w:type="spellEnd"/>
      <w:r w:rsidRPr="001152CE">
        <w:rPr>
          <w:rFonts w:asciiTheme="minorHAnsi" w:hAnsiTheme="minorHAnsi" w:cstheme="minorHAnsi"/>
          <w:i/>
          <w:iCs/>
          <w:kern w:val="0"/>
          <w:sz w:val="24"/>
          <w:szCs w:val="24"/>
          <w:lang w:eastAsia="en-GB"/>
        </w:rPr>
        <w:t xml:space="preserve"> man </w:t>
      </w:r>
      <w:proofErr w:type="spellStart"/>
      <w:r w:rsidRPr="001152CE">
        <w:rPr>
          <w:rFonts w:asciiTheme="minorHAnsi" w:hAnsiTheme="minorHAnsi" w:cstheme="minorHAnsi"/>
          <w:i/>
          <w:iCs/>
          <w:kern w:val="0"/>
          <w:sz w:val="24"/>
          <w:szCs w:val="24"/>
          <w:lang w:eastAsia="en-GB"/>
        </w:rPr>
        <w:t>ḥallahā</w:t>
      </w:r>
      <w:proofErr w:type="spellEnd"/>
      <w:r w:rsidRPr="001152CE">
        <w:rPr>
          <w:rFonts w:asciiTheme="minorHAnsi" w:hAnsiTheme="minorHAnsi" w:cstheme="minorHAnsi"/>
          <w:i/>
          <w:iCs/>
          <w:kern w:val="0"/>
          <w:sz w:val="24"/>
          <w:szCs w:val="24"/>
          <w:lang w:eastAsia="en-GB"/>
        </w:rPr>
        <w:t xml:space="preserve"> min al-</w:t>
      </w:r>
      <w:proofErr w:type="spellStart"/>
      <w:r w:rsidRPr="001152CE">
        <w:rPr>
          <w:rFonts w:asciiTheme="minorHAnsi" w:hAnsiTheme="minorHAnsi" w:cstheme="minorHAnsi"/>
          <w:i/>
          <w:iCs/>
          <w:kern w:val="0"/>
          <w:sz w:val="24"/>
          <w:szCs w:val="24"/>
          <w:lang w:eastAsia="en-GB"/>
        </w:rPr>
        <w:t>amāthil</w:t>
      </w:r>
      <w:proofErr w:type="spellEnd"/>
      <w:r w:rsidRPr="001152CE">
        <w:rPr>
          <w:rFonts w:asciiTheme="minorHAnsi" w:hAnsiTheme="minorHAnsi" w:cstheme="minorHAnsi"/>
          <w:kern w:val="0"/>
          <w:sz w:val="24"/>
          <w:szCs w:val="24"/>
          <w:lang w:eastAsia="en-GB"/>
        </w:rPr>
        <w:t xml:space="preserve"> </w:t>
      </w:r>
      <w:r w:rsidRPr="001152CE">
        <w:rPr>
          <w:rFonts w:asciiTheme="minorHAnsi" w:hAnsiTheme="minorHAnsi" w:cstheme="minorHAnsi"/>
          <w:i/>
          <w:iCs/>
          <w:kern w:val="0"/>
          <w:sz w:val="24"/>
          <w:szCs w:val="24"/>
          <w:lang w:eastAsia="en-GB"/>
        </w:rPr>
        <w:t xml:space="preserve">aw </w:t>
      </w:r>
      <w:proofErr w:type="spellStart"/>
      <w:r w:rsidRPr="001152CE">
        <w:rPr>
          <w:rFonts w:asciiTheme="minorHAnsi" w:hAnsiTheme="minorHAnsi" w:cstheme="minorHAnsi"/>
          <w:i/>
          <w:iCs/>
          <w:kern w:val="0"/>
          <w:sz w:val="24"/>
          <w:szCs w:val="24"/>
          <w:lang w:eastAsia="en-GB"/>
        </w:rPr>
        <w:t>ijtāza</w:t>
      </w:r>
      <w:proofErr w:type="spellEnd"/>
      <w:r w:rsidRPr="001152CE">
        <w:rPr>
          <w:rFonts w:asciiTheme="minorHAnsi" w:hAnsiTheme="minorHAnsi" w:cstheme="minorHAnsi"/>
          <w:i/>
          <w:iCs/>
          <w:kern w:val="0"/>
          <w:sz w:val="24"/>
          <w:szCs w:val="24"/>
          <w:lang w:eastAsia="en-GB"/>
        </w:rPr>
        <w:t xml:space="preserve"> bi-</w:t>
      </w:r>
      <w:proofErr w:type="spellStart"/>
      <w:r w:rsidRPr="001152CE">
        <w:rPr>
          <w:rFonts w:asciiTheme="minorHAnsi" w:hAnsiTheme="minorHAnsi" w:cstheme="minorHAnsi"/>
          <w:i/>
          <w:iCs/>
          <w:kern w:val="0"/>
          <w:sz w:val="24"/>
          <w:szCs w:val="24"/>
          <w:lang w:eastAsia="en-GB"/>
        </w:rPr>
        <w:t>nawāḥīhā</w:t>
      </w:r>
      <w:proofErr w:type="spellEnd"/>
      <w:r w:rsidRPr="001152CE">
        <w:rPr>
          <w:rFonts w:asciiTheme="minorHAnsi" w:hAnsiTheme="minorHAnsi" w:cstheme="minorHAnsi"/>
          <w:i/>
          <w:iCs/>
          <w:kern w:val="0"/>
          <w:sz w:val="24"/>
          <w:szCs w:val="24"/>
          <w:lang w:eastAsia="en-GB"/>
        </w:rPr>
        <w:t xml:space="preserve"> min </w:t>
      </w:r>
      <w:proofErr w:type="spellStart"/>
      <w:r w:rsidRPr="001152CE">
        <w:rPr>
          <w:rFonts w:asciiTheme="minorHAnsi" w:hAnsiTheme="minorHAnsi" w:cstheme="minorHAnsi"/>
          <w:i/>
          <w:iCs/>
          <w:kern w:val="0"/>
          <w:sz w:val="24"/>
          <w:szCs w:val="24"/>
          <w:lang w:eastAsia="en-GB"/>
        </w:rPr>
        <w:t>wāridīhā</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wa-ahlihā</w:t>
      </w:r>
      <w:proofErr w:type="spellEnd"/>
      <w:r w:rsidRPr="001152CE">
        <w:rPr>
          <w:rFonts w:asciiTheme="minorHAnsi" w:hAnsiTheme="minorHAnsi" w:cstheme="minorHAnsi"/>
          <w:kern w:val="0"/>
          <w:sz w:val="24"/>
          <w:szCs w:val="24"/>
          <w:lang w:eastAsia="en-GB"/>
        </w:rPr>
        <w:t xml:space="preserve">. Mourad has translated the full title as </w:t>
      </w:r>
      <w:r w:rsidRPr="001152CE">
        <w:rPr>
          <w:rFonts w:asciiTheme="minorHAnsi" w:hAnsiTheme="minorHAnsi" w:cstheme="minorHAnsi"/>
          <w:i/>
          <w:iCs/>
          <w:kern w:val="0"/>
          <w:sz w:val="24"/>
          <w:szCs w:val="24"/>
          <w:lang w:eastAsia="en-GB"/>
        </w:rPr>
        <w:t xml:space="preserve">History of the City of Damascus and the Mention of Its Merits, with </w:t>
      </w:r>
      <w:r w:rsidRPr="001152CE">
        <w:rPr>
          <w:rFonts w:asciiTheme="minorHAnsi" w:hAnsiTheme="minorHAnsi" w:cstheme="minorHAnsi"/>
          <w:b/>
          <w:bCs/>
          <w:i/>
          <w:iCs/>
          <w:kern w:val="0"/>
          <w:sz w:val="24"/>
          <w:szCs w:val="24"/>
          <w:lang w:eastAsia="en-GB"/>
        </w:rPr>
        <w:t>Identification</w:t>
      </w:r>
      <w:r w:rsidRPr="001152CE">
        <w:rPr>
          <w:rFonts w:asciiTheme="minorHAnsi" w:hAnsiTheme="minorHAnsi" w:cstheme="minorHAnsi"/>
          <w:i/>
          <w:iCs/>
          <w:kern w:val="0"/>
          <w:sz w:val="24"/>
          <w:szCs w:val="24"/>
          <w:lang w:eastAsia="en-GB"/>
        </w:rPr>
        <w:t xml:space="preserve"> of Those Who Lived in It from among the Exemplars or Those Who Passed by or Lived in Its Environs</w:t>
      </w:r>
      <w:r w:rsidRPr="001152CE">
        <w:rPr>
          <w:rFonts w:asciiTheme="minorHAnsi" w:hAnsiTheme="minorHAnsi" w:cstheme="minorHAnsi"/>
          <w:kern w:val="0"/>
          <w:sz w:val="24"/>
          <w:szCs w:val="24"/>
          <w:lang w:eastAsia="en-GB"/>
        </w:rPr>
        <w:t>.</w:t>
      </w:r>
      <w:r w:rsidRPr="001152CE">
        <w:rPr>
          <w:rStyle w:val="FootnoteReference"/>
          <w:rFonts w:asciiTheme="minorHAnsi" w:hAnsiTheme="minorHAnsi" w:cstheme="minorHAnsi"/>
          <w:sz w:val="24"/>
          <w:szCs w:val="24"/>
          <w:lang w:val="en-US" w:eastAsia="en-GB"/>
        </w:rPr>
        <w:footnoteReference w:id="9"/>
      </w:r>
      <w:r w:rsidRPr="001152CE">
        <w:rPr>
          <w:rFonts w:asciiTheme="minorHAnsi" w:hAnsiTheme="minorHAnsi" w:cstheme="minorHAnsi"/>
          <w:kern w:val="0"/>
          <w:sz w:val="24"/>
          <w:szCs w:val="24"/>
          <w:lang w:eastAsia="en-GB"/>
        </w:rPr>
        <w:t xml:space="preserve"> We propose that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in the title points to a specific aspect of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and also to its source base. Ibn </w:t>
      </w:r>
      <w:proofErr w:type="spellStart"/>
      <w:r w:rsidRPr="001152CE">
        <w:rPr>
          <w:rFonts w:asciiTheme="minorHAnsi" w:hAnsiTheme="minorHAnsi" w:cstheme="minorHAnsi"/>
          <w:kern w:val="0"/>
          <w:sz w:val="24"/>
          <w:szCs w:val="24"/>
          <w:lang w:eastAsia="en-GB"/>
        </w:rPr>
        <w:t>ʿAsākir’s</w:t>
      </w:r>
      <w:proofErr w:type="spellEnd"/>
      <w:r w:rsidRPr="001152CE">
        <w:rPr>
          <w:rFonts w:asciiTheme="minorHAnsi" w:hAnsiTheme="minorHAnsi" w:cstheme="minorHAnsi"/>
          <w:kern w:val="0"/>
          <w:sz w:val="24"/>
          <w:szCs w:val="24"/>
          <w:lang w:eastAsia="en-GB"/>
        </w:rPr>
        <w:t xml:space="preserve"> book lists people and their associations, and to do so it relies heavily on previous works of the same type, albeit not necessarily ones focused on Damascus or as extensive as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Such gathering and listing of information was important for the production of 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as well as for its subsequent usefulness and popularity among scholars who mined it for their own works much as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mined those of his predecessors.</w:t>
      </w:r>
    </w:p>
    <w:p w14:paraId="46AC1159"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The </w:t>
      </w:r>
      <w:r w:rsidRPr="001152CE">
        <w:rPr>
          <w:rFonts w:asciiTheme="minorHAnsi" w:hAnsiTheme="minorHAnsi" w:cstheme="minorHAnsi"/>
          <w:i/>
          <w:iCs/>
          <w:kern w:val="0"/>
          <w:sz w:val="24"/>
          <w:szCs w:val="24"/>
          <w:lang w:eastAsia="en-GB"/>
        </w:rPr>
        <w:t>TMD</w:t>
      </w:r>
      <w:r w:rsidRPr="001152CE">
        <w:rPr>
          <w:rFonts w:asciiTheme="minorHAnsi" w:hAnsiTheme="minorHAnsi" w:cstheme="minorHAnsi"/>
          <w:kern w:val="0"/>
          <w:sz w:val="24"/>
          <w:szCs w:val="24"/>
          <w:lang w:eastAsia="en-GB"/>
        </w:rPr>
        <w:t xml:space="preserve">, to be sure, represented a completed work, produced iteratively and in many copies, whereas many of the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works listed here are likely to have been more ephemeral. But perhaps the nature of a work such as ‘</w:t>
      </w:r>
      <w:r w:rsidRPr="001152CE">
        <w:rPr>
          <w:rFonts w:asciiTheme="minorHAnsi" w:eastAsia="Times New Roman" w:hAnsiTheme="minorHAnsi" w:cstheme="minorHAnsi"/>
          <w:kern w:val="0"/>
          <w:sz w:val="24"/>
          <w:szCs w:val="24"/>
          <w:lang w:eastAsia="en-GB"/>
        </w:rPr>
        <w:t xml:space="preserve">List of those from whom people copied in Damascus’ was defined not by the work’s author but by later generations: a </w:t>
      </w:r>
      <w:proofErr w:type="spellStart"/>
      <w:r w:rsidRPr="001152CE">
        <w:rPr>
          <w:rFonts w:asciiTheme="minorHAnsi" w:eastAsia="Times New Roman" w:hAnsiTheme="minorHAnsi" w:cstheme="minorHAnsi"/>
          <w:i/>
          <w:iCs/>
          <w:kern w:val="0"/>
          <w:sz w:val="24"/>
          <w:szCs w:val="24"/>
          <w:lang w:eastAsia="en-GB"/>
        </w:rPr>
        <w:t>tasmiya</w:t>
      </w:r>
      <w:proofErr w:type="spellEnd"/>
      <w:r w:rsidRPr="001152CE">
        <w:rPr>
          <w:rFonts w:asciiTheme="minorHAnsi" w:eastAsia="Times New Roman" w:hAnsiTheme="minorHAnsi" w:cstheme="minorHAnsi"/>
          <w:i/>
          <w:iCs/>
          <w:kern w:val="0"/>
          <w:sz w:val="24"/>
          <w:szCs w:val="24"/>
          <w:lang w:eastAsia="en-GB"/>
        </w:rPr>
        <w:t xml:space="preserve"> </w:t>
      </w:r>
      <w:r w:rsidRPr="001152CE">
        <w:rPr>
          <w:rFonts w:asciiTheme="minorHAnsi" w:eastAsia="Times New Roman" w:hAnsiTheme="minorHAnsi" w:cstheme="minorHAnsi"/>
          <w:kern w:val="0"/>
          <w:sz w:val="24"/>
          <w:szCs w:val="24"/>
          <w:lang w:eastAsia="en-GB"/>
        </w:rPr>
        <w:t xml:space="preserve">work lasted and circulated as long as it was useful. The creators of </w:t>
      </w:r>
      <w:proofErr w:type="spellStart"/>
      <w:r w:rsidRPr="001152CE">
        <w:rPr>
          <w:rFonts w:asciiTheme="minorHAnsi" w:eastAsia="Times New Roman" w:hAnsiTheme="minorHAnsi" w:cstheme="minorHAnsi"/>
          <w:i/>
          <w:iCs/>
          <w:kern w:val="0"/>
          <w:sz w:val="24"/>
          <w:szCs w:val="24"/>
          <w:lang w:eastAsia="en-GB"/>
        </w:rPr>
        <w:t>tasmiya</w:t>
      </w:r>
      <w:r w:rsidRPr="001152CE">
        <w:rPr>
          <w:rFonts w:asciiTheme="minorHAnsi" w:eastAsia="Times New Roman" w:hAnsiTheme="minorHAnsi" w:cstheme="minorHAnsi"/>
          <w:kern w:val="0"/>
          <w:sz w:val="24"/>
          <w:szCs w:val="24"/>
          <w:lang w:eastAsia="en-GB"/>
        </w:rPr>
        <w:t>s</w:t>
      </w:r>
      <w:proofErr w:type="spellEnd"/>
      <w:r w:rsidRPr="001152CE">
        <w:rPr>
          <w:rFonts w:asciiTheme="minorHAnsi" w:eastAsia="Times New Roman" w:hAnsiTheme="minorHAnsi" w:cstheme="minorHAnsi"/>
          <w:kern w:val="0"/>
          <w:sz w:val="24"/>
          <w:szCs w:val="24"/>
          <w:lang w:eastAsia="en-GB"/>
        </w:rPr>
        <w:t xml:space="preserve"> could be culturally well connected individuals whose works benefited from the resources and subsequent attention that the </w:t>
      </w:r>
      <w:r w:rsidRPr="001152CE">
        <w:rPr>
          <w:rFonts w:asciiTheme="minorHAnsi" w:eastAsia="Times New Roman" w:hAnsiTheme="minorHAnsi" w:cstheme="minorHAnsi"/>
          <w:i/>
          <w:iCs/>
          <w:kern w:val="0"/>
          <w:sz w:val="24"/>
          <w:szCs w:val="24"/>
          <w:lang w:eastAsia="en-GB"/>
        </w:rPr>
        <w:t>TMD</w:t>
      </w:r>
      <w:r w:rsidRPr="001152CE">
        <w:rPr>
          <w:rFonts w:asciiTheme="minorHAnsi" w:eastAsia="Times New Roman" w:hAnsiTheme="minorHAnsi" w:cstheme="minorHAnsi"/>
          <w:kern w:val="0"/>
          <w:sz w:val="24"/>
          <w:szCs w:val="24"/>
          <w:lang w:eastAsia="en-GB"/>
        </w:rPr>
        <w:t xml:space="preserve"> did, but that was not essential to the constitution of a </w:t>
      </w:r>
      <w:proofErr w:type="spellStart"/>
      <w:r w:rsidRPr="001152CE">
        <w:rPr>
          <w:rFonts w:asciiTheme="minorHAnsi" w:eastAsia="Times New Roman" w:hAnsiTheme="minorHAnsi" w:cstheme="minorHAnsi"/>
          <w:i/>
          <w:iCs/>
          <w:kern w:val="0"/>
          <w:sz w:val="24"/>
          <w:szCs w:val="24"/>
          <w:lang w:eastAsia="en-GB"/>
        </w:rPr>
        <w:t>tasmiya</w:t>
      </w:r>
      <w:proofErr w:type="spellEnd"/>
      <w:r w:rsidRPr="001152CE">
        <w:rPr>
          <w:rFonts w:asciiTheme="minorHAnsi" w:eastAsia="Times New Roman" w:hAnsiTheme="minorHAnsi" w:cstheme="minorHAnsi"/>
          <w:kern w:val="0"/>
          <w:sz w:val="24"/>
          <w:szCs w:val="24"/>
          <w:lang w:eastAsia="en-GB"/>
        </w:rPr>
        <w:t>.</w:t>
      </w:r>
    </w:p>
    <w:p w14:paraId="5222506F" w14:textId="77777777" w:rsidR="00C74DFA" w:rsidRPr="00930D4B" w:rsidRDefault="00000000" w:rsidP="00930D4B">
      <w:pPr>
        <w:pStyle w:val="Heading3"/>
        <w:rPr>
          <w:i/>
          <w:iCs/>
          <w:lang w:eastAsia="en-GB"/>
        </w:rPr>
      </w:pPr>
      <w:proofErr w:type="spellStart"/>
      <w:r w:rsidRPr="00930D4B">
        <w:rPr>
          <w:i/>
          <w:iCs/>
          <w:lang w:eastAsia="en-GB"/>
        </w:rPr>
        <w:t>Qaraʾtu</w:t>
      </w:r>
      <w:proofErr w:type="spellEnd"/>
      <w:r w:rsidRPr="00930D4B">
        <w:rPr>
          <w:i/>
          <w:iCs/>
          <w:lang w:eastAsia="en-GB"/>
        </w:rPr>
        <w:t xml:space="preserve"> bi-</w:t>
      </w:r>
      <w:proofErr w:type="spellStart"/>
      <w:r w:rsidRPr="00930D4B">
        <w:rPr>
          <w:i/>
          <w:iCs/>
          <w:lang w:eastAsia="en-GB"/>
        </w:rPr>
        <w:t>khaṭṭ</w:t>
      </w:r>
      <w:proofErr w:type="spellEnd"/>
    </w:p>
    <w:p w14:paraId="097488A5"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A second revealing phrase is </w:t>
      </w:r>
      <w:proofErr w:type="spellStart"/>
      <w:r w:rsidRPr="001152CE">
        <w:rPr>
          <w:rFonts w:asciiTheme="minorHAnsi" w:hAnsiTheme="minorHAnsi" w:cstheme="minorHAnsi"/>
          <w:i/>
          <w:kern w:val="0"/>
          <w:sz w:val="24"/>
          <w:szCs w:val="24"/>
          <w:lang w:eastAsia="en-GB"/>
        </w:rPr>
        <w:t>qaraʾtu</w:t>
      </w:r>
      <w:proofErr w:type="spellEnd"/>
      <w:r w:rsidRPr="001152CE">
        <w:rPr>
          <w:rFonts w:asciiTheme="minorHAnsi" w:hAnsiTheme="minorHAnsi" w:cstheme="minorHAnsi"/>
          <w:i/>
          <w:kern w:val="0"/>
          <w:sz w:val="24"/>
          <w:szCs w:val="24"/>
          <w:lang w:eastAsia="en-GB"/>
        </w:rPr>
        <w:t xml:space="preserve"> bi-</w:t>
      </w:r>
      <w:proofErr w:type="spellStart"/>
      <w:r w:rsidRPr="001152CE">
        <w:rPr>
          <w:rFonts w:asciiTheme="minorHAnsi" w:hAnsiTheme="minorHAnsi" w:cstheme="minorHAnsi"/>
          <w:i/>
          <w:kern w:val="0"/>
          <w:sz w:val="24"/>
          <w:szCs w:val="24"/>
          <w:lang w:eastAsia="en-GB"/>
        </w:rPr>
        <w:t>khaṭṭ</w:t>
      </w:r>
      <w:proofErr w:type="spellEnd"/>
      <w:r w:rsidRPr="001152CE">
        <w:rPr>
          <w:rFonts w:asciiTheme="minorHAnsi" w:hAnsiTheme="minorHAnsi" w:cstheme="minorHAnsi"/>
          <w:kern w:val="0"/>
          <w:sz w:val="24"/>
          <w:szCs w:val="24"/>
          <w:lang w:eastAsia="en-GB"/>
        </w:rPr>
        <w:t xml:space="preserve">, which we translate as ‘I read/recited in the handwriting’ of such-and-such a person. </w:t>
      </w:r>
    </w:p>
    <w:p w14:paraId="56AADF02"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For example, at the very beginning of the </w:t>
      </w:r>
      <w:r w:rsidRPr="001152CE">
        <w:rPr>
          <w:rFonts w:asciiTheme="minorHAnsi" w:hAnsiTheme="minorHAnsi" w:cstheme="minorHAnsi"/>
          <w:i/>
          <w:kern w:val="0"/>
          <w:sz w:val="24"/>
          <w:szCs w:val="24"/>
          <w:lang w:eastAsia="en-GB"/>
        </w:rPr>
        <w:t>TMD</w:t>
      </w:r>
      <w:r w:rsidRPr="001152CE">
        <w:rPr>
          <w:rFonts w:asciiTheme="minorHAnsi" w:hAnsiTheme="minorHAnsi" w:cstheme="minorHAnsi"/>
          <w:kern w:val="0"/>
          <w:sz w:val="24"/>
          <w:szCs w:val="24"/>
          <w:lang w:eastAsia="en-GB"/>
        </w:rPr>
        <w:t xml:space="preserve">, there is a section that discusses the philology of the term </w:t>
      </w:r>
      <w:r w:rsidRPr="001152CE">
        <w:rPr>
          <w:rFonts w:asciiTheme="minorHAnsi" w:hAnsiTheme="minorHAnsi" w:cstheme="minorHAnsi"/>
          <w:i/>
          <w:kern w:val="0"/>
          <w:sz w:val="24"/>
          <w:szCs w:val="24"/>
          <w:lang w:eastAsia="en-GB"/>
        </w:rPr>
        <w:t>al-</w:t>
      </w:r>
      <w:proofErr w:type="spellStart"/>
      <w:r w:rsidRPr="001152CE">
        <w:rPr>
          <w:rFonts w:asciiTheme="minorHAnsi" w:hAnsiTheme="minorHAnsi" w:cstheme="minorHAnsi"/>
          <w:i/>
          <w:kern w:val="0"/>
          <w:sz w:val="24"/>
          <w:szCs w:val="24"/>
          <w:lang w:eastAsia="en-GB"/>
        </w:rPr>
        <w:t>Shām</w:t>
      </w:r>
      <w:proofErr w:type="spellEnd"/>
      <w:r w:rsidRPr="001152CE">
        <w:rPr>
          <w:rFonts w:asciiTheme="minorHAnsi" w:hAnsiTheme="minorHAnsi" w:cstheme="minorHAnsi"/>
          <w:kern w:val="0"/>
          <w:sz w:val="24"/>
          <w:szCs w:val="24"/>
          <w:lang w:eastAsia="en-GB"/>
        </w:rPr>
        <w:t>.</w:t>
      </w:r>
      <w:r w:rsidRPr="001152CE">
        <w:rPr>
          <w:rStyle w:val="FootnoteReference"/>
          <w:rFonts w:asciiTheme="minorHAnsi" w:hAnsiTheme="minorHAnsi" w:cstheme="minorHAnsi"/>
          <w:sz w:val="24"/>
          <w:szCs w:val="24"/>
          <w:lang w:val="en-US" w:eastAsia="en-GB"/>
        </w:rPr>
        <w:footnoteReference w:id="10"/>
      </w:r>
      <w:r w:rsidRPr="001152CE">
        <w:rPr>
          <w:rFonts w:asciiTheme="minorHAnsi" w:hAnsiTheme="minorHAnsi" w:cstheme="minorHAnsi"/>
          <w:kern w:val="0"/>
          <w:sz w:val="24"/>
          <w:szCs w:val="24"/>
          <w:lang w:eastAsia="en-GB"/>
        </w:rPr>
        <w:t xml:space="preserve">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says:</w:t>
      </w:r>
    </w:p>
    <w:p w14:paraId="743A2AFD" w14:textId="77777777" w:rsidR="00C74DFA" w:rsidRPr="001152CE" w:rsidRDefault="00000000">
      <w:pPr>
        <w:spacing w:line="240" w:lineRule="auto"/>
        <w:jc w:val="right"/>
        <w:rPr>
          <w:rFonts w:asciiTheme="minorHAnsi" w:hAnsiTheme="minorHAnsi" w:cstheme="minorHAnsi"/>
          <w:sz w:val="24"/>
          <w:szCs w:val="24"/>
        </w:rPr>
      </w:pPr>
      <w:r w:rsidRPr="001152CE">
        <w:rPr>
          <w:rFonts w:asciiTheme="minorHAnsi" w:hAnsiTheme="minorHAnsi" w:cstheme="minorHAnsi"/>
          <w:kern w:val="0"/>
          <w:sz w:val="24"/>
          <w:szCs w:val="24"/>
          <w:rtl/>
          <w:lang w:eastAsia="en-GB"/>
        </w:rPr>
        <w:t xml:space="preserve">قرأت بخط شيخنا أبي الفرج غيث بن علي بن عبد السلام بن محمد بن جعفر </w:t>
      </w:r>
      <w:proofErr w:type="spellStart"/>
      <w:r w:rsidRPr="001152CE">
        <w:rPr>
          <w:rFonts w:asciiTheme="minorHAnsi" w:hAnsiTheme="minorHAnsi" w:cstheme="minorHAnsi"/>
          <w:kern w:val="0"/>
          <w:sz w:val="24"/>
          <w:szCs w:val="24"/>
          <w:rtl/>
          <w:lang w:eastAsia="en-GB"/>
        </w:rPr>
        <w:t>الشرخي</w:t>
      </w:r>
      <w:proofErr w:type="spellEnd"/>
      <w:r w:rsidRPr="001152CE">
        <w:rPr>
          <w:rFonts w:asciiTheme="minorHAnsi" w:hAnsiTheme="minorHAnsi" w:cstheme="minorHAnsi"/>
          <w:kern w:val="0"/>
          <w:sz w:val="24"/>
          <w:szCs w:val="24"/>
          <w:rtl/>
          <w:lang w:eastAsia="en-GB"/>
        </w:rPr>
        <w:t xml:space="preserve"> الصوري المعروف بابن </w:t>
      </w:r>
      <w:proofErr w:type="spellStart"/>
      <w:r w:rsidRPr="001152CE">
        <w:rPr>
          <w:rFonts w:asciiTheme="minorHAnsi" w:hAnsiTheme="minorHAnsi" w:cstheme="minorHAnsi"/>
          <w:kern w:val="0"/>
          <w:sz w:val="24"/>
          <w:szCs w:val="24"/>
          <w:rtl/>
          <w:lang w:eastAsia="en-GB"/>
        </w:rPr>
        <w:t>الأرمنازي</w:t>
      </w:r>
      <w:proofErr w:type="spellEnd"/>
      <w:r w:rsidRPr="001152CE">
        <w:rPr>
          <w:rFonts w:asciiTheme="minorHAnsi" w:hAnsiTheme="minorHAnsi" w:cstheme="minorHAnsi"/>
          <w:kern w:val="0"/>
          <w:sz w:val="24"/>
          <w:szCs w:val="24"/>
          <w:rtl/>
          <w:lang w:eastAsia="en-GB"/>
        </w:rPr>
        <w:t xml:space="preserve"> الخطيب قال نقلت من كتاب فيه أخبار الكعبة وفضائلها وأسماء المدن</w:t>
      </w:r>
    </w:p>
    <w:p w14:paraId="76900EE3" w14:textId="77777777" w:rsidR="00C74DFA" w:rsidRPr="001152CE" w:rsidRDefault="00000000">
      <w:pPr>
        <w:spacing w:line="240" w:lineRule="auto"/>
        <w:ind w:left="720"/>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I read in the handwriting of our teacher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al-Faraj </w:t>
      </w:r>
      <w:proofErr w:type="spellStart"/>
      <w:r w:rsidRPr="001152CE">
        <w:rPr>
          <w:rFonts w:asciiTheme="minorHAnsi" w:hAnsiTheme="minorHAnsi" w:cstheme="minorHAnsi"/>
          <w:kern w:val="0"/>
          <w:sz w:val="24"/>
          <w:szCs w:val="24"/>
          <w:lang w:eastAsia="en-GB"/>
        </w:rPr>
        <w:t>Ghayth</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ʿAlī</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ʿAbd</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Salām</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Muḥammad</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Jaʿfar</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Sharkhī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Ṣūrī</w:t>
      </w:r>
      <w:proofErr w:type="spellEnd"/>
      <w:r w:rsidRPr="001152CE">
        <w:rPr>
          <w:rFonts w:asciiTheme="minorHAnsi" w:hAnsiTheme="minorHAnsi" w:cstheme="minorHAnsi"/>
          <w:kern w:val="0"/>
          <w:sz w:val="24"/>
          <w:szCs w:val="24"/>
          <w:lang w:eastAsia="en-GB"/>
        </w:rPr>
        <w:t>, known as the preacher Ibn al-</w:t>
      </w:r>
      <w:proofErr w:type="spellStart"/>
      <w:r w:rsidRPr="001152CE">
        <w:rPr>
          <w:rFonts w:asciiTheme="minorHAnsi" w:hAnsiTheme="minorHAnsi" w:cstheme="minorHAnsi"/>
          <w:kern w:val="0"/>
          <w:sz w:val="24"/>
          <w:szCs w:val="24"/>
          <w:lang w:eastAsia="en-GB"/>
        </w:rPr>
        <w:t>Armināzī</w:t>
      </w:r>
      <w:proofErr w:type="spellEnd"/>
      <w:r w:rsidRPr="001152CE">
        <w:rPr>
          <w:rFonts w:asciiTheme="minorHAnsi" w:hAnsiTheme="minorHAnsi" w:cstheme="minorHAnsi"/>
          <w:kern w:val="0"/>
          <w:sz w:val="24"/>
          <w:szCs w:val="24"/>
          <w:lang w:eastAsia="en-GB"/>
        </w:rPr>
        <w:t xml:space="preserve">, who said: ‘I transmitted from a book in which there were reports about the </w:t>
      </w:r>
      <w:proofErr w:type="spellStart"/>
      <w:r w:rsidRPr="001152CE">
        <w:rPr>
          <w:rFonts w:asciiTheme="minorHAnsi" w:hAnsiTheme="minorHAnsi" w:cstheme="minorHAnsi"/>
          <w:kern w:val="0"/>
          <w:sz w:val="24"/>
          <w:szCs w:val="24"/>
          <w:lang w:eastAsia="en-GB"/>
        </w:rPr>
        <w:t>Kaʿba</w:t>
      </w:r>
      <w:proofErr w:type="spellEnd"/>
      <w:r w:rsidRPr="001152CE">
        <w:rPr>
          <w:rFonts w:asciiTheme="minorHAnsi" w:hAnsiTheme="minorHAnsi" w:cstheme="minorHAnsi"/>
          <w:kern w:val="0"/>
          <w:sz w:val="24"/>
          <w:szCs w:val="24"/>
          <w:lang w:eastAsia="en-GB"/>
        </w:rPr>
        <w:t>, its merits and the names of cities …’</w:t>
      </w:r>
    </w:p>
    <w:p w14:paraId="0F9818B9" w14:textId="77777777" w:rsidR="00C74DFA" w:rsidRPr="001152CE" w:rsidRDefault="00000000">
      <w:p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Through the phrase </w:t>
      </w:r>
      <w:proofErr w:type="spellStart"/>
      <w:r w:rsidRPr="001152CE">
        <w:rPr>
          <w:rFonts w:asciiTheme="minorHAnsi" w:hAnsiTheme="minorHAnsi" w:cstheme="minorHAnsi"/>
          <w:i/>
          <w:kern w:val="0"/>
          <w:sz w:val="24"/>
          <w:szCs w:val="24"/>
          <w:lang w:eastAsia="en-GB"/>
        </w:rPr>
        <w:t>qaraʾtu</w:t>
      </w:r>
      <w:proofErr w:type="spellEnd"/>
      <w:r w:rsidRPr="001152CE">
        <w:rPr>
          <w:rFonts w:asciiTheme="minorHAnsi" w:hAnsiTheme="minorHAnsi" w:cstheme="minorHAnsi"/>
          <w:i/>
          <w:kern w:val="0"/>
          <w:sz w:val="24"/>
          <w:szCs w:val="24"/>
          <w:lang w:eastAsia="en-GB"/>
        </w:rPr>
        <w:t xml:space="preserve"> bi-</w:t>
      </w:r>
      <w:proofErr w:type="spellStart"/>
      <w:r w:rsidRPr="001152CE">
        <w:rPr>
          <w:rFonts w:asciiTheme="minorHAnsi" w:hAnsiTheme="minorHAnsi" w:cstheme="minorHAnsi"/>
          <w:i/>
          <w:kern w:val="0"/>
          <w:sz w:val="24"/>
          <w:szCs w:val="24"/>
          <w:lang w:eastAsia="en-GB"/>
        </w:rPr>
        <w:t>khaṭṭ</w:t>
      </w:r>
      <w:proofErr w:type="spellEnd"/>
      <w:r w:rsidRPr="001152CE">
        <w:rPr>
          <w:rFonts w:asciiTheme="minorHAnsi" w:hAnsiTheme="minorHAnsi" w:cstheme="minorHAnsi"/>
          <w:kern w:val="0"/>
          <w:sz w:val="24"/>
          <w:szCs w:val="24"/>
          <w:lang w:eastAsia="en-GB"/>
        </w:rPr>
        <w:t xml:space="preserve">,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tells his readers that he read something in the handwriting of Abu al-Faraj </w:t>
      </w:r>
      <w:proofErr w:type="spellStart"/>
      <w:r w:rsidRPr="001152CE">
        <w:rPr>
          <w:rFonts w:asciiTheme="minorHAnsi" w:hAnsiTheme="minorHAnsi" w:cstheme="minorHAnsi"/>
          <w:kern w:val="0"/>
          <w:sz w:val="24"/>
          <w:szCs w:val="24"/>
          <w:lang w:eastAsia="en-GB"/>
        </w:rPr>
        <w:t>Ghayth</w:t>
      </w:r>
      <w:proofErr w:type="spellEnd"/>
      <w:r w:rsidRPr="001152CE">
        <w:rPr>
          <w:rFonts w:asciiTheme="minorHAnsi" w:hAnsiTheme="minorHAnsi" w:cstheme="minorHAnsi"/>
          <w:kern w:val="0"/>
          <w:sz w:val="24"/>
          <w:szCs w:val="24"/>
          <w:lang w:eastAsia="en-GB"/>
        </w:rPr>
        <w:t>, and that this person, known as Ibn al-</w:t>
      </w:r>
      <w:proofErr w:type="spellStart"/>
      <w:r w:rsidRPr="001152CE">
        <w:rPr>
          <w:rFonts w:asciiTheme="minorHAnsi" w:hAnsiTheme="minorHAnsi" w:cstheme="minorHAnsi"/>
          <w:kern w:val="0"/>
          <w:sz w:val="24"/>
          <w:szCs w:val="24"/>
          <w:lang w:eastAsia="en-GB"/>
        </w:rPr>
        <w:t>Armināzī</w:t>
      </w:r>
      <w:proofErr w:type="spellEnd"/>
      <w:r w:rsidRPr="001152CE">
        <w:rPr>
          <w:rFonts w:asciiTheme="minorHAnsi" w:hAnsiTheme="minorHAnsi" w:cstheme="minorHAnsi"/>
          <w:kern w:val="0"/>
          <w:sz w:val="24"/>
          <w:szCs w:val="24"/>
          <w:lang w:eastAsia="en-GB"/>
        </w:rPr>
        <w:t xml:space="preserve">, himself relied on a book as his source. Handwriting is a way of verifying the authenticity of </w:t>
      </w:r>
      <w:r w:rsidRPr="001152CE">
        <w:rPr>
          <w:rFonts w:asciiTheme="minorHAnsi" w:hAnsiTheme="minorHAnsi" w:cstheme="minorHAnsi"/>
          <w:kern w:val="0"/>
          <w:sz w:val="24"/>
          <w:szCs w:val="24"/>
          <w:lang w:eastAsia="en-GB"/>
        </w:rPr>
        <w:lastRenderedPageBreak/>
        <w:t>the connection to the purported writer, which could be in doubt with written transmission, as Ibn al-</w:t>
      </w:r>
      <w:proofErr w:type="spellStart"/>
      <w:r w:rsidRPr="001152CE">
        <w:rPr>
          <w:rFonts w:asciiTheme="minorHAnsi" w:hAnsiTheme="minorHAnsi" w:cstheme="minorHAnsi"/>
          <w:kern w:val="0"/>
          <w:sz w:val="24"/>
          <w:szCs w:val="24"/>
          <w:lang w:eastAsia="en-GB"/>
        </w:rPr>
        <w:t>Ṣalāḥ</w:t>
      </w:r>
      <w:proofErr w:type="spellEnd"/>
      <w:r w:rsidRPr="001152CE">
        <w:rPr>
          <w:rFonts w:asciiTheme="minorHAnsi" w:hAnsiTheme="minorHAnsi" w:cstheme="minorHAnsi"/>
          <w:kern w:val="0"/>
          <w:sz w:val="24"/>
          <w:szCs w:val="24"/>
          <w:lang w:eastAsia="en-GB"/>
        </w:rPr>
        <w:t xml:space="preserve"> explains when writing about Hadith transmission through correspondence.</w:t>
      </w:r>
      <w:r w:rsidRPr="001152CE">
        <w:rPr>
          <w:rStyle w:val="FootnoteReference"/>
          <w:rFonts w:asciiTheme="minorHAnsi" w:hAnsiTheme="minorHAnsi" w:cstheme="minorHAnsi"/>
          <w:sz w:val="24"/>
          <w:szCs w:val="24"/>
          <w:lang w:eastAsia="en-GB"/>
        </w:rPr>
        <w:footnoteReference w:id="11"/>
      </w:r>
      <w:r w:rsidRPr="001152CE">
        <w:rPr>
          <w:rFonts w:asciiTheme="minorHAnsi" w:hAnsiTheme="minorHAnsi" w:cstheme="minorHAnsi"/>
          <w:kern w:val="0"/>
          <w:sz w:val="24"/>
          <w:szCs w:val="24"/>
          <w:lang w:eastAsia="en-GB"/>
        </w:rPr>
        <w:t xml:space="preserve"> </w:t>
      </w:r>
    </w:p>
    <w:p w14:paraId="118D4BF8" w14:textId="74A82A21" w:rsidR="00A43083" w:rsidRDefault="00000000" w:rsidP="00A43083">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The phrase </w:t>
      </w:r>
      <w:proofErr w:type="spellStart"/>
      <w:r w:rsidRPr="001152CE">
        <w:rPr>
          <w:rFonts w:asciiTheme="minorHAnsi" w:hAnsiTheme="minorHAnsi" w:cstheme="minorHAnsi"/>
          <w:i/>
          <w:kern w:val="0"/>
          <w:sz w:val="24"/>
          <w:szCs w:val="24"/>
          <w:lang w:eastAsia="en-GB"/>
        </w:rPr>
        <w:t>qaraʾtu</w:t>
      </w:r>
      <w:proofErr w:type="spellEnd"/>
      <w:r w:rsidRPr="001152CE">
        <w:rPr>
          <w:rFonts w:asciiTheme="minorHAnsi" w:hAnsiTheme="minorHAnsi" w:cstheme="minorHAnsi"/>
          <w:i/>
          <w:kern w:val="0"/>
          <w:sz w:val="24"/>
          <w:szCs w:val="24"/>
          <w:lang w:eastAsia="en-GB"/>
        </w:rPr>
        <w:t xml:space="preserve"> bi-</w:t>
      </w:r>
      <w:proofErr w:type="spellStart"/>
      <w:r w:rsidRPr="001152CE">
        <w:rPr>
          <w:rFonts w:asciiTheme="minorHAnsi" w:hAnsiTheme="minorHAnsi" w:cstheme="minorHAnsi"/>
          <w:i/>
          <w:kern w:val="0"/>
          <w:sz w:val="24"/>
          <w:szCs w:val="24"/>
          <w:lang w:eastAsia="en-GB"/>
        </w:rPr>
        <w:t>khaṭṭ</w:t>
      </w:r>
      <w:proofErr w:type="spellEnd"/>
      <w:r w:rsidRPr="001152CE">
        <w:rPr>
          <w:rFonts w:asciiTheme="minorHAnsi" w:hAnsiTheme="minorHAnsi" w:cstheme="minorHAnsi"/>
          <w:kern w:val="0"/>
          <w:sz w:val="24"/>
          <w:szCs w:val="24"/>
          <w:lang w:eastAsia="en-GB"/>
        </w:rPr>
        <w:t xml:space="preserve"> occurs 1,342 times in our data set.</w:t>
      </w:r>
      <w:r w:rsidRPr="001152CE">
        <w:rPr>
          <w:rStyle w:val="FootnoteReference"/>
          <w:rFonts w:asciiTheme="minorHAnsi" w:hAnsiTheme="minorHAnsi" w:cstheme="minorHAnsi"/>
          <w:sz w:val="24"/>
          <w:szCs w:val="24"/>
          <w:lang w:val="en-US" w:eastAsia="en-GB"/>
        </w:rPr>
        <w:footnoteReference w:id="12"/>
      </w:r>
      <w:r w:rsidRPr="001152CE">
        <w:rPr>
          <w:rFonts w:asciiTheme="minorHAnsi" w:hAnsiTheme="minorHAnsi" w:cstheme="minorHAnsi"/>
          <w:kern w:val="0"/>
          <w:sz w:val="24"/>
          <w:szCs w:val="24"/>
          <w:lang w:eastAsia="en-GB"/>
        </w:rPr>
        <w:t xml:space="preserve"> Informants about whom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says on multiple occasions that he read material in their handwriting number about 100, and a further 300 or so informants are cited once each with this phrase. We have not disambiguated these single-occurrence names, but the scope of Ibn </w:t>
      </w:r>
      <w:proofErr w:type="spellStart"/>
      <w:r w:rsidRPr="001152CE">
        <w:rPr>
          <w:rFonts w:asciiTheme="minorHAnsi" w:hAnsiTheme="minorHAnsi" w:cstheme="minorHAnsi"/>
          <w:kern w:val="0"/>
          <w:sz w:val="24"/>
          <w:szCs w:val="24"/>
          <w:lang w:eastAsia="en-GB"/>
        </w:rPr>
        <w:t>ʿAsākir’s</w:t>
      </w:r>
      <w:proofErr w:type="spellEnd"/>
      <w:r w:rsidRPr="001152CE">
        <w:rPr>
          <w:rFonts w:asciiTheme="minorHAnsi" w:hAnsiTheme="minorHAnsi" w:cstheme="minorHAnsi"/>
          <w:kern w:val="0"/>
          <w:sz w:val="24"/>
          <w:szCs w:val="24"/>
          <w:lang w:eastAsia="en-GB"/>
        </w:rPr>
        <w:t xml:space="preserve"> use of the phrase is reasonably clear: he uses it to refer to a wide corpus of written texts.</w:t>
      </w:r>
    </w:p>
    <w:tbl>
      <w:tblPr>
        <w:tblW w:w="0" w:type="dxa"/>
        <w:tblCellMar>
          <w:left w:w="0" w:type="dxa"/>
          <w:right w:w="0" w:type="dxa"/>
        </w:tblCellMar>
        <w:tblLook w:val="04A0" w:firstRow="1" w:lastRow="0" w:firstColumn="1" w:lastColumn="0" w:noHBand="0" w:noVBand="1"/>
      </w:tblPr>
      <w:tblGrid>
        <w:gridCol w:w="2383"/>
        <w:gridCol w:w="1035"/>
        <w:gridCol w:w="2464"/>
        <w:gridCol w:w="3128"/>
      </w:tblGrid>
      <w:tr w:rsidR="00A43083" w:rsidRPr="00A43083" w14:paraId="18000C33" w14:textId="77777777" w:rsidTr="00A43083">
        <w:trPr>
          <w:trHeight w:val="315"/>
        </w:trPr>
        <w:tc>
          <w:tcPr>
            <w:tcW w:w="0" w:type="auto"/>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B350CD7"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Name</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3A743C"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Died</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68A23CB"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 xml:space="preserve"># of citations within </w:t>
            </w:r>
            <w:proofErr w:type="spellStart"/>
            <w:r w:rsidRPr="00A43083">
              <w:rPr>
                <w:rFonts w:eastAsia="Times New Roman" w:cs="Calibri"/>
                <w:b/>
                <w:bCs/>
                <w:i/>
                <w:iCs/>
                <w:kern w:val="0"/>
                <w:sz w:val="24"/>
                <w:szCs w:val="24"/>
                <w:lang w:eastAsia="en-GB"/>
              </w:rPr>
              <w:t>isnād</w:t>
            </w:r>
            <w:r w:rsidRPr="00A43083">
              <w:rPr>
                <w:rFonts w:eastAsia="Times New Roman" w:cs="Calibri"/>
                <w:b/>
                <w:bCs/>
                <w:kern w:val="0"/>
                <w:sz w:val="24"/>
                <w:szCs w:val="24"/>
                <w:lang w:eastAsia="en-GB"/>
              </w:rPr>
              <w:t>s</w:t>
            </w:r>
            <w:proofErr w:type="spellEnd"/>
          </w:p>
        </w:tc>
        <w:tc>
          <w:tcPr>
            <w:tcW w:w="0" w:type="auto"/>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2C8C28A5"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 xml:space="preserve"># of citations with </w:t>
            </w:r>
            <w:proofErr w:type="spellStart"/>
            <w:r w:rsidRPr="00A43083">
              <w:rPr>
                <w:rFonts w:eastAsia="Times New Roman" w:cs="Calibri"/>
                <w:b/>
                <w:bCs/>
                <w:i/>
                <w:iCs/>
                <w:kern w:val="0"/>
                <w:sz w:val="24"/>
                <w:szCs w:val="24"/>
                <w:lang w:eastAsia="en-GB"/>
              </w:rPr>
              <w:t>qaraʾtu</w:t>
            </w:r>
            <w:proofErr w:type="spellEnd"/>
            <w:r w:rsidRPr="00A43083">
              <w:rPr>
                <w:rFonts w:eastAsia="Times New Roman" w:cs="Calibri"/>
                <w:b/>
                <w:bCs/>
                <w:i/>
                <w:iCs/>
                <w:kern w:val="0"/>
                <w:sz w:val="24"/>
                <w:szCs w:val="24"/>
                <w:lang w:eastAsia="en-GB"/>
              </w:rPr>
              <w:t xml:space="preserve"> bi-</w:t>
            </w:r>
            <w:proofErr w:type="spellStart"/>
            <w:r w:rsidRPr="00A43083">
              <w:rPr>
                <w:rFonts w:eastAsia="Times New Roman" w:cs="Calibri"/>
                <w:b/>
                <w:bCs/>
                <w:i/>
                <w:iCs/>
                <w:kern w:val="0"/>
                <w:sz w:val="24"/>
                <w:szCs w:val="24"/>
                <w:lang w:eastAsia="en-GB"/>
              </w:rPr>
              <w:t>khaṭṭ</w:t>
            </w:r>
            <w:proofErr w:type="spellEnd"/>
          </w:p>
        </w:tc>
      </w:tr>
      <w:tr w:rsidR="00A43083" w:rsidRPr="00A43083" w14:paraId="00B630B3"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54E0B43A"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proofErr w:type="spellStart"/>
            <w:r w:rsidRPr="00A43083">
              <w:rPr>
                <w:rFonts w:eastAsia="Times New Roman" w:cs="Calibri"/>
                <w:kern w:val="0"/>
                <w:sz w:val="24"/>
                <w:szCs w:val="24"/>
                <w:lang w:eastAsia="en-GB"/>
              </w:rPr>
              <w:t>Rasha</w:t>
            </w:r>
            <w:proofErr w:type="spellEnd"/>
            <w:r w:rsidRPr="00A43083">
              <w:rPr>
                <w:rFonts w:eastAsia="Times New Roman" w:cs="Calibri"/>
                <w:kern w:val="0"/>
                <w:sz w:val="24"/>
                <w:szCs w:val="24"/>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6EFBA6"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444/1052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8DC54"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1,098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E97839"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147</w:t>
            </w:r>
          </w:p>
        </w:tc>
      </w:tr>
      <w:tr w:rsidR="00A43083" w:rsidRPr="00A43083" w14:paraId="23319A24"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876FE98"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val="it-IT" w:eastAsia="en-GB"/>
              </w:rPr>
            </w:pPr>
            <w:r w:rsidRPr="00A43083">
              <w:rPr>
                <w:rFonts w:eastAsia="Times New Roman" w:cs="Calibri"/>
                <w:kern w:val="0"/>
                <w:sz w:val="24"/>
                <w:szCs w:val="24"/>
                <w:lang w:val="it-IT" w:eastAsia="en-GB"/>
              </w:rPr>
              <w:t>Abu al-Husayn al-Razi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11F692"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347/958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2D0CD1"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20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51763B"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145</w:t>
            </w:r>
          </w:p>
        </w:tc>
      </w:tr>
      <w:tr w:rsidR="00A43083" w:rsidRPr="00A43083" w14:paraId="00F4E63F"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0F30F59"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proofErr w:type="spellStart"/>
            <w:r w:rsidRPr="00A43083">
              <w:rPr>
                <w:rFonts w:eastAsia="Times New Roman" w:cs="Calibri"/>
                <w:kern w:val="0"/>
                <w:sz w:val="24"/>
                <w:szCs w:val="24"/>
                <w:lang w:eastAsia="en-GB"/>
              </w:rPr>
              <w:t>Naja</w:t>
            </w:r>
            <w:proofErr w:type="spellEnd"/>
            <w:r w:rsidRPr="00A43083">
              <w:rPr>
                <w:rFonts w:eastAsia="Times New Roman" w:cs="Calibri"/>
                <w:kern w:val="0"/>
                <w:sz w:val="24"/>
                <w:szCs w:val="24"/>
                <w:lang w:eastAsia="en-GB"/>
              </w:rPr>
              <w:t>' b. Ahmad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B2FB"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FF255D"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9496D5A"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126</w:t>
            </w:r>
          </w:p>
        </w:tc>
      </w:tr>
      <w:tr w:rsidR="00A43083" w:rsidRPr="00A43083" w14:paraId="0EB133B6"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E31BC7A"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Abu Muhammad al-</w:t>
            </w:r>
            <w:proofErr w:type="spellStart"/>
            <w:r w:rsidRPr="00A43083">
              <w:rPr>
                <w:rFonts w:eastAsia="Times New Roman" w:cs="Calibri"/>
                <w:kern w:val="0"/>
                <w:sz w:val="24"/>
                <w:szCs w:val="24"/>
                <w:lang w:eastAsia="en-GB"/>
              </w:rPr>
              <w:t>Akfani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879FF"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524/1129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0D2398"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3,380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E1B7701"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66</w:t>
            </w:r>
          </w:p>
        </w:tc>
      </w:tr>
      <w:tr w:rsidR="00A43083" w:rsidRPr="00A43083" w14:paraId="484FD180" w14:textId="77777777" w:rsidTr="00A4308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3F19987F"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 xml:space="preserve">Abu al-Faraj </w:t>
            </w:r>
            <w:proofErr w:type="spellStart"/>
            <w:r w:rsidRPr="00A43083">
              <w:rPr>
                <w:rFonts w:eastAsia="Times New Roman" w:cs="Calibri"/>
                <w:kern w:val="0"/>
                <w:sz w:val="24"/>
                <w:szCs w:val="24"/>
                <w:lang w:eastAsia="en-GB"/>
              </w:rPr>
              <w:t>Ghayth</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3FC0FA2"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509/1115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7F0AF58"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36F41"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60</w:t>
            </w:r>
          </w:p>
        </w:tc>
      </w:tr>
    </w:tbl>
    <w:p w14:paraId="0C54EE26" w14:textId="057E58AE" w:rsidR="00C74DFA" w:rsidRPr="001152CE" w:rsidRDefault="00000000" w:rsidP="00A43083">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Table 6.3</w:t>
      </w:r>
      <w:r w:rsidR="00422803" w:rsidRPr="001152CE">
        <w:rPr>
          <w:rFonts w:asciiTheme="minorHAnsi" w:hAnsiTheme="minorHAnsi" w:cstheme="minorHAnsi"/>
          <w:kern w:val="0"/>
          <w:sz w:val="24"/>
          <w:szCs w:val="24"/>
          <w:lang w:eastAsia="en-GB"/>
        </w:rPr>
        <w:t>: T</w:t>
      </w:r>
      <w:r w:rsidRPr="001152CE">
        <w:rPr>
          <w:rFonts w:asciiTheme="minorHAnsi" w:hAnsiTheme="minorHAnsi" w:cstheme="minorHAnsi"/>
          <w:kern w:val="0"/>
          <w:sz w:val="24"/>
          <w:szCs w:val="24"/>
          <w:lang w:eastAsia="en-GB"/>
        </w:rPr>
        <w:t xml:space="preserve">he five informants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cites most frequently using this phrase.</w:t>
      </w:r>
      <w:r w:rsidR="00B305D3">
        <w:rPr>
          <w:rStyle w:val="FootnoteReference"/>
          <w:rFonts w:asciiTheme="minorHAnsi" w:hAnsiTheme="minorHAnsi" w:cstheme="minorHAnsi"/>
          <w:kern w:val="0"/>
          <w:sz w:val="24"/>
          <w:szCs w:val="24"/>
          <w:lang w:eastAsia="en-GB"/>
        </w:rPr>
        <w:footnoteReference w:id="13"/>
      </w:r>
    </w:p>
    <w:p w14:paraId="3140CD0C" w14:textId="77777777" w:rsidR="00C74DFA" w:rsidRPr="001152CE" w:rsidRDefault="00000000">
      <w:pPr>
        <w:numPr>
          <w:ilvl w:val="0"/>
          <w:numId w:val="1"/>
        </w:numPr>
        <w:spacing w:line="240" w:lineRule="auto"/>
        <w:rPr>
          <w:rFonts w:asciiTheme="minorHAnsi" w:hAnsiTheme="minorHAnsi" w:cstheme="minorHAnsi"/>
          <w:sz w:val="24"/>
          <w:szCs w:val="24"/>
        </w:rPr>
      </w:pP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identifies </w:t>
      </w:r>
      <w:proofErr w:type="spellStart"/>
      <w:r w:rsidRPr="001152CE">
        <w:rPr>
          <w:rFonts w:asciiTheme="minorHAnsi" w:hAnsiTheme="minorHAnsi" w:cstheme="minorHAnsi"/>
          <w:kern w:val="0"/>
          <w:sz w:val="24"/>
          <w:szCs w:val="24"/>
          <w:lang w:eastAsia="en-GB"/>
        </w:rPr>
        <w:t>Rasha</w:t>
      </w:r>
      <w:proofErr w:type="spellEnd"/>
      <w:r w:rsidRPr="001152CE">
        <w:rPr>
          <w:rFonts w:asciiTheme="minorHAnsi" w:hAnsiTheme="minorHAnsi" w:cstheme="minorHAnsi"/>
          <w:kern w:val="0"/>
          <w:sz w:val="24"/>
          <w:szCs w:val="24"/>
          <w:lang w:eastAsia="en-GB"/>
        </w:rPr>
        <w:t xml:space="preserve">' b. Nazif, the person whose handwriting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cites most often, as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Ḥasan</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Rashaʾ</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Naẓīf</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Mashāʾ</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Allāh</w:t>
      </w:r>
      <w:proofErr w:type="spellEnd"/>
      <w:r w:rsidRPr="001152CE">
        <w:rPr>
          <w:rFonts w:asciiTheme="minorHAnsi" w:hAnsiTheme="minorHAnsi" w:cstheme="minorHAnsi"/>
          <w:kern w:val="0"/>
          <w:sz w:val="24"/>
          <w:szCs w:val="24"/>
          <w:lang w:eastAsia="en-GB"/>
        </w:rPr>
        <w:t xml:space="preserve"> (d. 444/1052). According to </w:t>
      </w: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Rasha</w:t>
      </w:r>
      <w:proofErr w:type="spellEnd"/>
      <w:r w:rsidRPr="001152CE">
        <w:rPr>
          <w:rFonts w:asciiTheme="minorHAnsi" w:hAnsiTheme="minorHAnsi" w:cstheme="minorHAnsi"/>
          <w:kern w:val="0"/>
          <w:sz w:val="24"/>
          <w:szCs w:val="24"/>
          <w:lang w:eastAsia="en-GB"/>
        </w:rPr>
        <w:t xml:space="preserve">' is a transmitter of a ‘book’ by </w:t>
      </w:r>
      <w:proofErr w:type="spellStart"/>
      <w:r w:rsidRPr="001152CE">
        <w:rPr>
          <w:rFonts w:asciiTheme="minorHAnsi" w:hAnsiTheme="minorHAnsi" w:cstheme="minorHAnsi"/>
          <w:kern w:val="0"/>
          <w:sz w:val="24"/>
          <w:szCs w:val="24"/>
          <w:lang w:eastAsia="en-GB"/>
        </w:rPr>
        <w:t>Muḥammad</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Yusūf</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Kindī</w:t>
      </w:r>
      <w:proofErr w:type="spellEnd"/>
      <w:r w:rsidRPr="001152CE">
        <w:rPr>
          <w:rFonts w:asciiTheme="minorHAnsi" w:hAnsiTheme="minorHAnsi" w:cstheme="minorHAnsi"/>
          <w:kern w:val="0"/>
          <w:sz w:val="24"/>
          <w:szCs w:val="24"/>
          <w:lang w:eastAsia="en-GB"/>
        </w:rPr>
        <w:t xml:space="preserve"> (d. 360/971; author no. 64 in our data set, normalised as Muhammad b. Yusuf al-</w:t>
      </w:r>
      <w:proofErr w:type="spellStart"/>
      <w:r w:rsidRPr="001152CE">
        <w:rPr>
          <w:rFonts w:asciiTheme="minorHAnsi" w:hAnsiTheme="minorHAnsi" w:cstheme="minorHAnsi"/>
          <w:kern w:val="0"/>
          <w:sz w:val="24"/>
          <w:szCs w:val="24"/>
          <w:lang w:eastAsia="en-GB"/>
        </w:rPr>
        <w:t>Kindi</w:t>
      </w:r>
      <w:proofErr w:type="spellEnd"/>
      <w:r w:rsidRPr="001152CE">
        <w:rPr>
          <w:rFonts w:asciiTheme="minorHAnsi" w:hAnsiTheme="minorHAnsi" w:cstheme="minorHAnsi"/>
          <w:kern w:val="0"/>
          <w:sz w:val="24"/>
          <w:szCs w:val="24"/>
          <w:lang w:eastAsia="en-GB"/>
        </w:rPr>
        <w:t xml:space="preserve">) called </w:t>
      </w:r>
      <w:proofErr w:type="spellStart"/>
      <w:r w:rsidRPr="001152CE">
        <w:rPr>
          <w:rFonts w:asciiTheme="minorHAnsi" w:hAnsiTheme="minorHAnsi" w:cstheme="minorHAnsi"/>
          <w:i/>
          <w:kern w:val="0"/>
          <w:sz w:val="24"/>
          <w:szCs w:val="24"/>
          <w:lang w:eastAsia="en-GB"/>
        </w:rPr>
        <w:t>Tasmiyat</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mawālī</w:t>
      </w:r>
      <w:proofErr w:type="spellEnd"/>
      <w:r w:rsidRPr="001152CE">
        <w:rPr>
          <w:rFonts w:asciiTheme="minorHAnsi" w:hAnsiTheme="minorHAnsi" w:cstheme="minorHAnsi"/>
          <w:i/>
          <w:kern w:val="0"/>
          <w:sz w:val="24"/>
          <w:szCs w:val="24"/>
          <w:lang w:eastAsia="en-GB"/>
        </w:rPr>
        <w:t xml:space="preserve"> ahl al-</w:t>
      </w:r>
      <w:proofErr w:type="spellStart"/>
      <w:r w:rsidRPr="001152CE">
        <w:rPr>
          <w:rFonts w:asciiTheme="minorHAnsi" w:hAnsiTheme="minorHAnsi" w:cstheme="minorHAnsi"/>
          <w:i/>
          <w:kern w:val="0"/>
          <w:sz w:val="24"/>
          <w:szCs w:val="24"/>
          <w:lang w:eastAsia="en-GB"/>
        </w:rPr>
        <w:t>Miṣr</w:t>
      </w:r>
      <w:proofErr w:type="spellEnd"/>
      <w:r w:rsidRPr="001152CE">
        <w:rPr>
          <w:rFonts w:asciiTheme="minorHAnsi" w:hAnsiTheme="minorHAnsi" w:cstheme="minorHAnsi"/>
          <w:kern w:val="0"/>
          <w:sz w:val="24"/>
          <w:szCs w:val="24"/>
          <w:lang w:eastAsia="en-GB"/>
        </w:rPr>
        <w:t xml:space="preserve">, or ‘List of the </w:t>
      </w:r>
      <w:proofErr w:type="spellStart"/>
      <w:r w:rsidRPr="001152CE">
        <w:rPr>
          <w:rFonts w:asciiTheme="minorHAnsi" w:hAnsiTheme="minorHAnsi" w:cstheme="minorHAnsi"/>
          <w:i/>
          <w:kern w:val="0"/>
          <w:sz w:val="24"/>
          <w:szCs w:val="24"/>
          <w:lang w:eastAsia="en-GB"/>
        </w:rPr>
        <w:t>mawālī</w:t>
      </w:r>
      <w:proofErr w:type="spellEnd"/>
      <w:r w:rsidRPr="001152CE">
        <w:rPr>
          <w:rFonts w:asciiTheme="minorHAnsi" w:hAnsiTheme="minorHAnsi" w:cstheme="minorHAnsi"/>
          <w:kern w:val="0"/>
          <w:sz w:val="24"/>
          <w:szCs w:val="24"/>
          <w:lang w:eastAsia="en-GB"/>
        </w:rPr>
        <w:t xml:space="preserve"> among the people of Egypt’.</w:t>
      </w:r>
      <w:r w:rsidRPr="001152CE">
        <w:rPr>
          <w:rStyle w:val="FootnoteReference"/>
          <w:rFonts w:asciiTheme="minorHAnsi" w:hAnsiTheme="minorHAnsi" w:cstheme="minorHAnsi"/>
          <w:sz w:val="24"/>
          <w:szCs w:val="24"/>
          <w:lang w:val="en-US" w:eastAsia="en-GB"/>
        </w:rPr>
        <w:footnoteReference w:id="14"/>
      </w:r>
      <w:r w:rsidRPr="001152CE">
        <w:rPr>
          <w:rFonts w:asciiTheme="minorHAnsi" w:hAnsiTheme="minorHAnsi" w:cstheme="minorHAnsi"/>
          <w:kern w:val="0"/>
          <w:sz w:val="24"/>
          <w:szCs w:val="24"/>
          <w:lang w:eastAsia="en-GB"/>
        </w:rPr>
        <w:t xml:space="preserve"> This title appears three times in our search results for the term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and it also turned up in our author/title searches.</w:t>
      </w:r>
      <w:r w:rsidRPr="001152CE">
        <w:rPr>
          <w:rStyle w:val="FootnoteReference"/>
          <w:rFonts w:asciiTheme="minorHAnsi" w:hAnsiTheme="minorHAnsi" w:cstheme="minorHAnsi"/>
          <w:sz w:val="24"/>
          <w:szCs w:val="24"/>
          <w:lang w:val="en-US" w:eastAsia="en-GB"/>
        </w:rPr>
        <w:footnoteReference w:id="15"/>
      </w:r>
      <w:r w:rsidRPr="001152CE">
        <w:rPr>
          <w:rFonts w:asciiTheme="minorHAnsi" w:hAnsiTheme="minorHAnsi" w:cstheme="minorHAnsi"/>
          <w:kern w:val="0"/>
          <w:sz w:val="24"/>
          <w:szCs w:val="24"/>
          <w:lang w:eastAsia="en-GB"/>
        </w:rPr>
        <w:t xml:space="preserve"> Another search found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referring to al-</w:t>
      </w:r>
      <w:proofErr w:type="spellStart"/>
      <w:r w:rsidRPr="001152CE">
        <w:rPr>
          <w:rFonts w:asciiTheme="minorHAnsi" w:hAnsiTheme="minorHAnsi" w:cstheme="minorHAnsi"/>
          <w:kern w:val="0"/>
          <w:sz w:val="24"/>
          <w:szCs w:val="24"/>
          <w:lang w:eastAsia="en-GB"/>
        </w:rPr>
        <w:t>Kindi</w:t>
      </w:r>
      <w:proofErr w:type="spellEnd"/>
      <w:r w:rsidRPr="001152CE">
        <w:rPr>
          <w:rFonts w:asciiTheme="minorHAnsi" w:hAnsiTheme="minorHAnsi" w:cstheme="minorHAnsi"/>
          <w:kern w:val="0"/>
          <w:sz w:val="24"/>
          <w:szCs w:val="24"/>
          <w:lang w:eastAsia="en-GB"/>
        </w:rPr>
        <w:t xml:space="preserve"> and his </w:t>
      </w:r>
      <w:proofErr w:type="spellStart"/>
      <w:r w:rsidRPr="001152CE">
        <w:rPr>
          <w:rFonts w:asciiTheme="minorHAnsi" w:hAnsiTheme="minorHAnsi" w:cstheme="minorHAnsi"/>
          <w:i/>
          <w:iCs/>
          <w:kern w:val="0"/>
          <w:sz w:val="24"/>
          <w:szCs w:val="24"/>
          <w:lang w:eastAsia="en-GB"/>
        </w:rPr>
        <w:t>Kitāb</w:t>
      </w:r>
      <w:proofErr w:type="spellEnd"/>
      <w:r w:rsidRPr="001152CE">
        <w:rPr>
          <w:rFonts w:asciiTheme="minorHAnsi" w:hAnsiTheme="minorHAnsi" w:cstheme="minorHAnsi"/>
          <w:i/>
          <w:iCs/>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Mawālī</w:t>
      </w:r>
      <w:proofErr w:type="spellEnd"/>
      <w:r w:rsidRPr="001152CE">
        <w:rPr>
          <w:rFonts w:asciiTheme="minorHAnsi" w:hAnsiTheme="minorHAnsi" w:cstheme="minorHAnsi"/>
          <w:i/>
          <w:iCs/>
          <w:kern w:val="0"/>
          <w:sz w:val="24"/>
          <w:szCs w:val="24"/>
          <w:lang w:eastAsia="en-GB"/>
        </w:rPr>
        <w:t xml:space="preserve"> ahl </w:t>
      </w:r>
      <w:proofErr w:type="spellStart"/>
      <w:r w:rsidRPr="001152CE">
        <w:rPr>
          <w:rFonts w:asciiTheme="minorHAnsi" w:hAnsiTheme="minorHAnsi" w:cstheme="minorHAnsi"/>
          <w:i/>
          <w:iCs/>
          <w:kern w:val="0"/>
          <w:sz w:val="24"/>
          <w:szCs w:val="24"/>
          <w:lang w:eastAsia="en-GB"/>
        </w:rPr>
        <w:t>Miṣr</w:t>
      </w:r>
      <w:proofErr w:type="spellEnd"/>
      <w:r w:rsidRPr="001152CE">
        <w:rPr>
          <w:rFonts w:asciiTheme="minorHAnsi" w:hAnsiTheme="minorHAnsi" w:cstheme="minorHAnsi"/>
          <w:kern w:val="0"/>
          <w:sz w:val="24"/>
          <w:szCs w:val="24"/>
          <w:lang w:eastAsia="en-GB"/>
        </w:rPr>
        <w:t>.</w:t>
      </w:r>
      <w:r w:rsidRPr="001152CE">
        <w:rPr>
          <w:rStyle w:val="FootnoteReference"/>
          <w:rFonts w:asciiTheme="minorHAnsi" w:hAnsiTheme="minorHAnsi" w:cstheme="minorHAnsi"/>
          <w:sz w:val="24"/>
          <w:szCs w:val="24"/>
          <w:lang w:val="en-US" w:eastAsia="en-GB"/>
        </w:rPr>
        <w:footnoteReference w:id="16"/>
      </w:r>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Rasha</w:t>
      </w:r>
      <w:proofErr w:type="spellEnd"/>
      <w:r w:rsidRPr="001152CE">
        <w:rPr>
          <w:rFonts w:asciiTheme="minorHAnsi" w:hAnsiTheme="minorHAnsi" w:cstheme="minorHAnsi"/>
          <w:kern w:val="0"/>
          <w:sz w:val="24"/>
          <w:szCs w:val="24"/>
          <w:lang w:eastAsia="en-GB"/>
        </w:rPr>
        <w:t xml:space="preserve">'’s name appears within </w:t>
      </w:r>
      <w:proofErr w:type="spellStart"/>
      <w:r w:rsidRPr="001152CE">
        <w:rPr>
          <w:rFonts w:asciiTheme="minorHAnsi" w:hAnsiTheme="minorHAnsi" w:cstheme="minorHAnsi"/>
          <w:i/>
          <w:iCs/>
          <w:kern w:val="0"/>
          <w:sz w:val="24"/>
          <w:szCs w:val="24"/>
          <w:lang w:eastAsia="en-GB"/>
        </w:rPr>
        <w:t>isnād</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 xml:space="preserve"> that mention the title. Still, Ibn </w:t>
      </w:r>
      <w:proofErr w:type="spellStart"/>
      <w:r w:rsidRPr="001152CE">
        <w:rPr>
          <w:rFonts w:asciiTheme="minorHAnsi" w:hAnsiTheme="minorHAnsi" w:cstheme="minorHAnsi"/>
          <w:kern w:val="0"/>
          <w:sz w:val="24"/>
          <w:szCs w:val="24"/>
          <w:lang w:eastAsia="en-GB"/>
        </w:rPr>
        <w:t>ʿAsākir’s</w:t>
      </w:r>
      <w:proofErr w:type="spellEnd"/>
      <w:r w:rsidRPr="001152CE">
        <w:rPr>
          <w:rFonts w:asciiTheme="minorHAnsi" w:hAnsiTheme="minorHAnsi" w:cstheme="minorHAnsi"/>
          <w:kern w:val="0"/>
          <w:sz w:val="24"/>
          <w:szCs w:val="24"/>
          <w:lang w:eastAsia="en-GB"/>
        </w:rPr>
        <w:t xml:space="preserve"> citation establishes only a weak link between </w:t>
      </w:r>
      <w:proofErr w:type="spellStart"/>
      <w:r w:rsidRPr="001152CE">
        <w:rPr>
          <w:rFonts w:asciiTheme="minorHAnsi" w:hAnsiTheme="minorHAnsi" w:cstheme="minorHAnsi"/>
          <w:kern w:val="0"/>
          <w:sz w:val="24"/>
          <w:szCs w:val="24"/>
          <w:lang w:eastAsia="en-GB"/>
        </w:rPr>
        <w:t>Rasha</w:t>
      </w:r>
      <w:proofErr w:type="spellEnd"/>
      <w:r w:rsidRPr="001152CE">
        <w:rPr>
          <w:rFonts w:asciiTheme="minorHAnsi" w:hAnsiTheme="minorHAnsi" w:cstheme="minorHAnsi"/>
          <w:kern w:val="0"/>
          <w:sz w:val="24"/>
          <w:szCs w:val="24"/>
          <w:lang w:eastAsia="en-GB"/>
        </w:rPr>
        <w:t>', his handwriting and al-</w:t>
      </w:r>
      <w:proofErr w:type="spellStart"/>
      <w:r w:rsidRPr="001152CE">
        <w:rPr>
          <w:rFonts w:asciiTheme="minorHAnsi" w:hAnsiTheme="minorHAnsi" w:cstheme="minorHAnsi"/>
          <w:kern w:val="0"/>
          <w:sz w:val="24"/>
          <w:szCs w:val="24"/>
          <w:lang w:eastAsia="en-GB"/>
        </w:rPr>
        <w:t>Kindi’s</w:t>
      </w:r>
      <w:proofErr w:type="spellEnd"/>
      <w:r w:rsidRPr="001152CE">
        <w:rPr>
          <w:rFonts w:asciiTheme="minorHAnsi" w:hAnsiTheme="minorHAnsi" w:cstheme="minorHAnsi"/>
          <w:kern w:val="0"/>
          <w:sz w:val="24"/>
          <w:szCs w:val="24"/>
          <w:lang w:eastAsia="en-GB"/>
        </w:rPr>
        <w:t xml:space="preserve"> book given the infrequent mention of the book and the much more frequent mention of </w:t>
      </w:r>
      <w:proofErr w:type="spellStart"/>
      <w:r w:rsidRPr="001152CE">
        <w:rPr>
          <w:rFonts w:asciiTheme="minorHAnsi" w:hAnsiTheme="minorHAnsi" w:cstheme="minorHAnsi"/>
          <w:kern w:val="0"/>
          <w:sz w:val="24"/>
          <w:szCs w:val="24"/>
          <w:lang w:eastAsia="en-GB"/>
        </w:rPr>
        <w:t>Rasha</w:t>
      </w:r>
      <w:bookmarkStart w:id="9" w:name="_Hlk141011793"/>
      <w:proofErr w:type="spellEnd"/>
      <w:r w:rsidRPr="001152CE">
        <w:rPr>
          <w:rFonts w:asciiTheme="minorHAnsi" w:hAnsiTheme="minorHAnsi" w:cstheme="minorHAnsi"/>
          <w:kern w:val="0"/>
          <w:sz w:val="24"/>
          <w:szCs w:val="24"/>
          <w:lang w:eastAsia="en-GB"/>
        </w:rPr>
        <w:t>'</w:t>
      </w:r>
      <w:bookmarkEnd w:id="9"/>
      <w:r w:rsidRPr="001152CE">
        <w:rPr>
          <w:rFonts w:asciiTheme="minorHAnsi" w:hAnsiTheme="minorHAnsi" w:cstheme="minorHAnsi"/>
          <w:kern w:val="0"/>
          <w:sz w:val="24"/>
          <w:szCs w:val="24"/>
          <w:lang w:eastAsia="en-GB"/>
        </w:rPr>
        <w:t xml:space="preserve"> in </w:t>
      </w:r>
      <w:proofErr w:type="spellStart"/>
      <w:r w:rsidRPr="001152CE">
        <w:rPr>
          <w:rFonts w:asciiTheme="minorHAnsi" w:hAnsiTheme="minorHAnsi" w:cstheme="minorHAnsi"/>
          <w:i/>
          <w:iCs/>
          <w:kern w:val="0"/>
          <w:sz w:val="24"/>
          <w:szCs w:val="24"/>
          <w:lang w:eastAsia="en-GB"/>
        </w:rPr>
        <w:t>isnād</w:t>
      </w:r>
      <w:r w:rsidRPr="001152CE">
        <w:rPr>
          <w:rFonts w:asciiTheme="minorHAnsi" w:hAnsiTheme="minorHAnsi" w:cstheme="minorHAnsi"/>
          <w:kern w:val="0"/>
          <w:sz w:val="24"/>
          <w:szCs w:val="24"/>
          <w:lang w:eastAsia="en-GB"/>
        </w:rPr>
        <w:t>s</w:t>
      </w:r>
      <w:proofErr w:type="spellEnd"/>
      <w:r w:rsidRPr="001152CE">
        <w:rPr>
          <w:rFonts w:asciiTheme="minorHAnsi" w:hAnsiTheme="minorHAnsi" w:cstheme="minorHAnsi"/>
          <w:kern w:val="0"/>
          <w:sz w:val="24"/>
          <w:szCs w:val="24"/>
          <w:lang w:eastAsia="en-GB"/>
        </w:rPr>
        <w:t xml:space="preserve"> (as well as the more frequent references to his handwriting). </w:t>
      </w:r>
    </w:p>
    <w:p w14:paraId="1E070367" w14:textId="31C7512B" w:rsidR="00C74DFA" w:rsidRPr="001152CE" w:rsidRDefault="00000000">
      <w:pPr>
        <w:numPr>
          <w:ilvl w:val="0"/>
          <w:numId w:val="2"/>
        </w:num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cites Abu al-</w:t>
      </w:r>
      <w:proofErr w:type="spellStart"/>
      <w:r w:rsidRPr="001152CE">
        <w:rPr>
          <w:rFonts w:asciiTheme="minorHAnsi" w:hAnsiTheme="minorHAnsi" w:cstheme="minorHAnsi"/>
          <w:kern w:val="0"/>
          <w:sz w:val="24"/>
          <w:szCs w:val="24"/>
          <w:lang w:eastAsia="en-GB"/>
        </w:rPr>
        <w:t>Husayn</w:t>
      </w:r>
      <w:proofErr w:type="spellEnd"/>
      <w:r w:rsidRPr="001152CE">
        <w:rPr>
          <w:rFonts w:asciiTheme="minorHAnsi" w:hAnsiTheme="minorHAnsi" w:cstheme="minorHAnsi"/>
          <w:kern w:val="0"/>
          <w:sz w:val="24"/>
          <w:szCs w:val="24"/>
          <w:lang w:eastAsia="en-GB"/>
        </w:rPr>
        <w:t xml:space="preserve"> al-Razi and his handwriting 1</w:t>
      </w:r>
      <w:r w:rsidR="00981B24" w:rsidRPr="001152CE">
        <w:rPr>
          <w:rFonts w:asciiTheme="minorHAnsi" w:hAnsiTheme="minorHAnsi" w:cstheme="minorHAnsi"/>
          <w:kern w:val="0"/>
          <w:sz w:val="24"/>
          <w:szCs w:val="24"/>
          <w:lang w:eastAsia="en-GB"/>
        </w:rPr>
        <w:t>45</w:t>
      </w:r>
      <w:r w:rsidRPr="001152CE">
        <w:rPr>
          <w:rFonts w:asciiTheme="minorHAnsi" w:hAnsiTheme="minorHAnsi" w:cstheme="minorHAnsi"/>
          <w:kern w:val="0"/>
          <w:sz w:val="24"/>
          <w:szCs w:val="24"/>
          <w:lang w:eastAsia="en-GB"/>
        </w:rPr>
        <w:t xml:space="preserve"> times. He may well be the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Ḥusayn</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Rāzī</w:t>
      </w:r>
      <w:proofErr w:type="spellEnd"/>
      <w:r w:rsidRPr="001152CE">
        <w:rPr>
          <w:rFonts w:asciiTheme="minorHAnsi" w:hAnsiTheme="minorHAnsi" w:cstheme="minorHAnsi"/>
          <w:kern w:val="0"/>
          <w:sz w:val="24"/>
          <w:szCs w:val="24"/>
          <w:lang w:eastAsia="en-GB"/>
        </w:rPr>
        <w:t xml:space="preserve"> (d. 347/958) to whom </w:t>
      </w: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attributes three </w:t>
      </w:r>
      <w:proofErr w:type="spellStart"/>
      <w:r w:rsidRPr="001152CE">
        <w:rPr>
          <w:rFonts w:asciiTheme="minorHAnsi" w:hAnsiTheme="minorHAnsi" w:cstheme="minorHAnsi"/>
          <w:i/>
          <w:kern w:val="0"/>
          <w:sz w:val="24"/>
          <w:szCs w:val="24"/>
          <w:lang w:eastAsia="en-GB"/>
        </w:rPr>
        <w:t>tasmiya</w:t>
      </w:r>
      <w:proofErr w:type="spellEnd"/>
      <w:r w:rsidRPr="001152CE">
        <w:rPr>
          <w:rFonts w:asciiTheme="minorHAnsi" w:hAnsiTheme="minorHAnsi" w:cstheme="minorHAnsi"/>
          <w:kern w:val="0"/>
          <w:sz w:val="24"/>
          <w:szCs w:val="24"/>
          <w:lang w:eastAsia="en-GB"/>
        </w:rPr>
        <w:t xml:space="preserve"> works (and who thus appears as no. 59 in our list of authors). The three works are </w:t>
      </w:r>
      <w:proofErr w:type="spellStart"/>
      <w:r w:rsidRPr="001152CE">
        <w:rPr>
          <w:rFonts w:asciiTheme="minorHAnsi" w:hAnsiTheme="minorHAnsi" w:cstheme="minorHAnsi"/>
          <w:i/>
          <w:kern w:val="0"/>
          <w:sz w:val="24"/>
          <w:szCs w:val="24"/>
          <w:lang w:eastAsia="en-GB"/>
        </w:rPr>
        <w:t>Tasmiyat</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kuttāb</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umarāʾ</w:t>
      </w:r>
      <w:proofErr w:type="spellEnd"/>
      <w:r w:rsidRPr="001152CE">
        <w:rPr>
          <w:rFonts w:asciiTheme="minorHAnsi" w:hAnsiTheme="minorHAnsi" w:cstheme="minorHAnsi"/>
          <w:i/>
          <w:kern w:val="0"/>
          <w:sz w:val="24"/>
          <w:szCs w:val="24"/>
          <w:lang w:eastAsia="en-GB"/>
        </w:rPr>
        <w:t xml:space="preserve"> Dimashq </w:t>
      </w:r>
      <w:r w:rsidRPr="001152CE">
        <w:rPr>
          <w:rFonts w:asciiTheme="minorHAnsi" w:hAnsiTheme="minorHAnsi" w:cstheme="minorHAnsi"/>
          <w:kern w:val="0"/>
          <w:sz w:val="24"/>
          <w:szCs w:val="24"/>
          <w:lang w:eastAsia="en-GB"/>
        </w:rPr>
        <w:t>(‘List of the scribes of the emirs of Damascus’)</w:t>
      </w:r>
      <w:r w:rsidRPr="001152CE">
        <w:rPr>
          <w:rFonts w:asciiTheme="minorHAnsi" w:hAnsiTheme="minorHAnsi" w:cstheme="minorHAnsi"/>
          <w:i/>
          <w:kern w:val="0"/>
          <w:sz w:val="24"/>
          <w:szCs w:val="24"/>
          <w:lang w:eastAsia="en-GB"/>
        </w:rPr>
        <w:t xml:space="preserve"> </w:t>
      </w:r>
      <w:r w:rsidRPr="001152CE">
        <w:rPr>
          <w:rFonts w:asciiTheme="minorHAnsi" w:hAnsiTheme="minorHAnsi" w:cstheme="minorHAnsi"/>
          <w:kern w:val="0"/>
          <w:sz w:val="24"/>
          <w:szCs w:val="24"/>
          <w:lang w:eastAsia="en-GB"/>
        </w:rPr>
        <w:t>and</w:t>
      </w:r>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lastRenderedPageBreak/>
        <w:t>Tasmiyat</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umarāʾ</w:t>
      </w:r>
      <w:proofErr w:type="spellEnd"/>
      <w:r w:rsidRPr="001152CE">
        <w:rPr>
          <w:rFonts w:asciiTheme="minorHAnsi" w:hAnsiTheme="minorHAnsi" w:cstheme="minorHAnsi"/>
          <w:i/>
          <w:kern w:val="0"/>
          <w:sz w:val="24"/>
          <w:szCs w:val="24"/>
          <w:lang w:eastAsia="en-GB"/>
        </w:rPr>
        <w:t xml:space="preserve"> </w:t>
      </w:r>
      <w:r w:rsidRPr="001152CE">
        <w:rPr>
          <w:rFonts w:asciiTheme="minorHAnsi" w:hAnsiTheme="minorHAnsi" w:cstheme="minorHAnsi"/>
          <w:kern w:val="0"/>
          <w:sz w:val="24"/>
          <w:szCs w:val="24"/>
          <w:lang w:eastAsia="en-GB"/>
        </w:rPr>
        <w:t>(</w:t>
      </w:r>
      <w:r w:rsidRPr="001152CE">
        <w:rPr>
          <w:rFonts w:asciiTheme="minorHAnsi" w:hAnsiTheme="minorHAnsi" w:cstheme="minorHAnsi"/>
          <w:iCs/>
          <w:kern w:val="0"/>
          <w:sz w:val="24"/>
          <w:szCs w:val="24"/>
          <w:lang w:eastAsia="en-GB"/>
        </w:rPr>
        <w:t xml:space="preserve">or </w:t>
      </w:r>
      <w:proofErr w:type="spellStart"/>
      <w:r w:rsidRPr="001152CE">
        <w:rPr>
          <w:rFonts w:asciiTheme="minorHAnsi" w:hAnsiTheme="minorHAnsi" w:cstheme="minorHAnsi"/>
          <w:i/>
          <w:kern w:val="0"/>
          <w:sz w:val="24"/>
          <w:szCs w:val="24"/>
          <w:lang w:eastAsia="en-GB"/>
        </w:rPr>
        <w:t>wulāt</w:t>
      </w:r>
      <w:proofErr w:type="spellEnd"/>
      <w:r w:rsidRPr="001152CE">
        <w:rPr>
          <w:rFonts w:asciiTheme="minorHAnsi" w:hAnsiTheme="minorHAnsi" w:cstheme="minorHAnsi"/>
          <w:kern w:val="0"/>
          <w:sz w:val="24"/>
          <w:szCs w:val="24"/>
          <w:lang w:eastAsia="en-GB"/>
        </w:rPr>
        <w:t>)</w:t>
      </w:r>
      <w:r w:rsidRPr="001152CE">
        <w:rPr>
          <w:rFonts w:asciiTheme="minorHAnsi" w:hAnsiTheme="minorHAnsi" w:cstheme="minorHAnsi"/>
          <w:i/>
          <w:kern w:val="0"/>
          <w:sz w:val="24"/>
          <w:szCs w:val="24"/>
          <w:lang w:eastAsia="en-GB"/>
        </w:rPr>
        <w:t xml:space="preserve"> Dimashq </w:t>
      </w:r>
      <w:r w:rsidRPr="001152CE">
        <w:rPr>
          <w:rFonts w:asciiTheme="minorHAnsi" w:hAnsiTheme="minorHAnsi" w:cstheme="minorHAnsi"/>
          <w:kern w:val="0"/>
          <w:sz w:val="24"/>
          <w:szCs w:val="24"/>
          <w:lang w:eastAsia="en-GB"/>
        </w:rPr>
        <w:t>(‘List of the rulers of Damascus’)</w:t>
      </w:r>
      <w:r w:rsidRPr="001152CE">
        <w:rPr>
          <w:rFonts w:asciiTheme="minorHAnsi" w:hAnsiTheme="minorHAnsi" w:cstheme="minorHAnsi"/>
          <w:i/>
          <w:kern w:val="0"/>
          <w:sz w:val="24"/>
          <w:szCs w:val="24"/>
          <w:lang w:eastAsia="en-GB"/>
        </w:rPr>
        <w:t xml:space="preserve"> </w:t>
      </w:r>
      <w:r w:rsidRPr="001152CE">
        <w:rPr>
          <w:rFonts w:asciiTheme="minorHAnsi" w:hAnsiTheme="minorHAnsi" w:cstheme="minorHAnsi"/>
          <w:kern w:val="0"/>
          <w:sz w:val="24"/>
          <w:szCs w:val="24"/>
          <w:lang w:eastAsia="en-GB"/>
        </w:rPr>
        <w:t xml:space="preserve">– both via Ibn </w:t>
      </w:r>
      <w:proofErr w:type="spellStart"/>
      <w:r w:rsidRPr="001152CE">
        <w:rPr>
          <w:rFonts w:asciiTheme="minorHAnsi" w:hAnsiTheme="minorHAnsi" w:cstheme="minorHAnsi"/>
          <w:kern w:val="0"/>
          <w:sz w:val="24"/>
          <w:szCs w:val="24"/>
          <w:lang w:eastAsia="en-GB"/>
        </w:rPr>
        <w:t>Ṣābir</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Sulamī</w:t>
      </w:r>
      <w:proofErr w:type="spellEnd"/>
      <w:r w:rsidRPr="001152CE">
        <w:rPr>
          <w:rFonts w:asciiTheme="minorHAnsi" w:hAnsiTheme="minorHAnsi" w:cstheme="minorHAnsi"/>
          <w:kern w:val="0"/>
          <w:sz w:val="24"/>
          <w:szCs w:val="24"/>
          <w:lang w:eastAsia="en-GB"/>
        </w:rPr>
        <w:t xml:space="preserve"> (d. 511/1117–18) – and</w:t>
      </w:r>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Tasmiyat</w:t>
      </w:r>
      <w:proofErr w:type="spellEnd"/>
      <w:r w:rsidRPr="001152CE">
        <w:rPr>
          <w:rFonts w:asciiTheme="minorHAnsi" w:hAnsiTheme="minorHAnsi" w:cstheme="minorHAnsi"/>
          <w:i/>
          <w:kern w:val="0"/>
          <w:sz w:val="24"/>
          <w:szCs w:val="24"/>
          <w:lang w:eastAsia="en-GB"/>
        </w:rPr>
        <w:t xml:space="preserve"> man </w:t>
      </w:r>
      <w:proofErr w:type="spellStart"/>
      <w:r w:rsidRPr="001152CE">
        <w:rPr>
          <w:rFonts w:asciiTheme="minorHAnsi" w:hAnsiTheme="minorHAnsi" w:cstheme="minorHAnsi"/>
          <w:i/>
          <w:kern w:val="0"/>
          <w:sz w:val="24"/>
          <w:szCs w:val="24"/>
          <w:lang w:eastAsia="en-GB"/>
        </w:rPr>
        <w:t>kutiba</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ʿanhu</w:t>
      </w:r>
      <w:proofErr w:type="spellEnd"/>
      <w:r w:rsidRPr="001152CE">
        <w:rPr>
          <w:rFonts w:asciiTheme="minorHAnsi" w:hAnsiTheme="minorHAnsi" w:cstheme="minorHAnsi"/>
          <w:i/>
          <w:kern w:val="0"/>
          <w:sz w:val="24"/>
          <w:szCs w:val="24"/>
          <w:lang w:eastAsia="en-GB"/>
        </w:rPr>
        <w:t xml:space="preserve"> bi-Dimashq</w:t>
      </w:r>
      <w:r w:rsidRPr="001152CE">
        <w:rPr>
          <w:rFonts w:asciiTheme="minorHAnsi" w:hAnsiTheme="minorHAnsi" w:cstheme="minorHAnsi"/>
          <w:kern w:val="0"/>
          <w:sz w:val="24"/>
          <w:szCs w:val="24"/>
          <w:lang w:eastAsia="en-GB"/>
        </w:rPr>
        <w:t xml:space="preserve"> (‘List of those from whom people copied in Damascus’) via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Ḥasan</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Najā</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Naẓīf</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Aḥmad</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ʿAṭṭār</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Shāhid</w:t>
      </w:r>
      <w:proofErr w:type="spellEnd"/>
      <w:r w:rsidRPr="001152CE">
        <w:rPr>
          <w:rFonts w:asciiTheme="minorHAnsi" w:hAnsiTheme="minorHAnsi" w:cstheme="minorHAnsi"/>
          <w:kern w:val="0"/>
          <w:sz w:val="24"/>
          <w:szCs w:val="24"/>
          <w:lang w:eastAsia="en-GB"/>
        </w:rPr>
        <w:t xml:space="preserve"> (d. 469/1076–7).</w:t>
      </w:r>
      <w:r w:rsidRPr="001152CE">
        <w:rPr>
          <w:rStyle w:val="FootnoteReference"/>
          <w:rFonts w:asciiTheme="minorHAnsi" w:hAnsiTheme="minorHAnsi" w:cstheme="minorHAnsi"/>
          <w:sz w:val="24"/>
          <w:szCs w:val="24"/>
          <w:lang w:val="en-US" w:eastAsia="en-GB"/>
        </w:rPr>
        <w:footnoteReference w:id="17"/>
      </w:r>
      <w:r w:rsidRPr="001152CE">
        <w:rPr>
          <w:rFonts w:asciiTheme="minorHAnsi" w:hAnsiTheme="minorHAnsi" w:cstheme="minorHAnsi"/>
          <w:kern w:val="0"/>
          <w:sz w:val="24"/>
          <w:szCs w:val="24"/>
          <w:lang w:eastAsia="en-GB"/>
        </w:rPr>
        <w:t xml:space="preserve"> </w:t>
      </w:r>
    </w:p>
    <w:p w14:paraId="0E1A492F" w14:textId="77777777" w:rsidR="00C74DFA" w:rsidRPr="001152CE" w:rsidRDefault="00000000">
      <w:pPr>
        <w:numPr>
          <w:ilvl w:val="0"/>
          <w:numId w:val="2"/>
        </w:num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cites </w:t>
      </w:r>
      <w:proofErr w:type="spellStart"/>
      <w:r w:rsidRPr="001152CE">
        <w:rPr>
          <w:rFonts w:asciiTheme="minorHAnsi" w:hAnsiTheme="minorHAnsi" w:cstheme="minorHAnsi"/>
          <w:kern w:val="0"/>
          <w:sz w:val="24"/>
          <w:szCs w:val="24"/>
          <w:lang w:eastAsia="en-GB"/>
        </w:rPr>
        <w:t>Naja</w:t>
      </w:r>
      <w:proofErr w:type="spellEnd"/>
      <w:r w:rsidRPr="001152CE">
        <w:rPr>
          <w:rFonts w:asciiTheme="minorHAnsi" w:hAnsiTheme="minorHAnsi" w:cstheme="minorHAnsi"/>
          <w:kern w:val="0"/>
          <w:sz w:val="24"/>
          <w:szCs w:val="24"/>
          <w:lang w:eastAsia="en-GB"/>
        </w:rPr>
        <w:t>' b. Ahmad 126 times.</w:t>
      </w:r>
      <w:r w:rsidRPr="001152CE">
        <w:rPr>
          <w:rStyle w:val="FootnoteReference"/>
          <w:rFonts w:asciiTheme="minorHAnsi" w:hAnsiTheme="minorHAnsi" w:cstheme="minorHAnsi"/>
          <w:sz w:val="24"/>
          <w:szCs w:val="24"/>
          <w:lang w:val="en-US" w:eastAsia="en-GB"/>
        </w:rPr>
        <w:footnoteReference w:id="18"/>
      </w:r>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kern w:val="0"/>
          <w:sz w:val="24"/>
          <w:szCs w:val="24"/>
          <w:lang w:eastAsia="en-GB"/>
        </w:rPr>
        <w:t>Scheiner</w:t>
      </w:r>
      <w:proofErr w:type="spellEnd"/>
      <w:r w:rsidRPr="001152CE">
        <w:rPr>
          <w:rFonts w:asciiTheme="minorHAnsi" w:hAnsiTheme="minorHAnsi" w:cstheme="minorHAnsi"/>
          <w:kern w:val="0"/>
          <w:sz w:val="24"/>
          <w:szCs w:val="24"/>
          <w:lang w:eastAsia="en-GB"/>
        </w:rPr>
        <w:t xml:space="preserve"> identifies what appears to be the same person as a transmitter of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Ḥusayn</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Rāzī’s</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i/>
          <w:kern w:val="0"/>
          <w:sz w:val="24"/>
          <w:szCs w:val="24"/>
          <w:lang w:eastAsia="en-GB"/>
        </w:rPr>
        <w:t>Tasmiyat</w:t>
      </w:r>
      <w:proofErr w:type="spellEnd"/>
      <w:r w:rsidRPr="001152CE">
        <w:rPr>
          <w:rFonts w:asciiTheme="minorHAnsi" w:hAnsiTheme="minorHAnsi" w:cstheme="minorHAnsi"/>
          <w:i/>
          <w:kern w:val="0"/>
          <w:sz w:val="24"/>
          <w:szCs w:val="24"/>
          <w:lang w:eastAsia="en-GB"/>
        </w:rPr>
        <w:t xml:space="preserve"> man </w:t>
      </w:r>
      <w:proofErr w:type="spellStart"/>
      <w:r w:rsidRPr="001152CE">
        <w:rPr>
          <w:rFonts w:asciiTheme="minorHAnsi" w:hAnsiTheme="minorHAnsi" w:cstheme="minorHAnsi"/>
          <w:i/>
          <w:kern w:val="0"/>
          <w:sz w:val="24"/>
          <w:szCs w:val="24"/>
          <w:lang w:eastAsia="en-GB"/>
        </w:rPr>
        <w:t>kutiba</w:t>
      </w:r>
      <w:proofErr w:type="spellEnd"/>
      <w:r w:rsidRPr="001152CE">
        <w:rPr>
          <w:rFonts w:asciiTheme="minorHAnsi" w:hAnsiTheme="minorHAnsi" w:cstheme="minorHAnsi"/>
          <w:i/>
          <w:kern w:val="0"/>
          <w:sz w:val="24"/>
          <w:szCs w:val="24"/>
          <w:lang w:eastAsia="en-GB"/>
        </w:rPr>
        <w:t xml:space="preserve"> </w:t>
      </w:r>
      <w:proofErr w:type="spellStart"/>
      <w:r w:rsidRPr="001152CE">
        <w:rPr>
          <w:rFonts w:asciiTheme="minorHAnsi" w:hAnsiTheme="minorHAnsi" w:cstheme="minorHAnsi"/>
          <w:i/>
          <w:kern w:val="0"/>
          <w:sz w:val="24"/>
          <w:szCs w:val="24"/>
          <w:lang w:eastAsia="en-GB"/>
        </w:rPr>
        <w:t>ʿanhu</w:t>
      </w:r>
      <w:proofErr w:type="spellEnd"/>
      <w:r w:rsidRPr="001152CE">
        <w:rPr>
          <w:rFonts w:asciiTheme="minorHAnsi" w:hAnsiTheme="minorHAnsi" w:cstheme="minorHAnsi"/>
          <w:i/>
          <w:kern w:val="0"/>
          <w:sz w:val="24"/>
          <w:szCs w:val="24"/>
          <w:lang w:eastAsia="en-GB"/>
        </w:rPr>
        <w:t xml:space="preserve"> bi-Dimashq </w:t>
      </w:r>
      <w:r w:rsidRPr="001152CE">
        <w:rPr>
          <w:rFonts w:asciiTheme="minorHAnsi" w:hAnsiTheme="minorHAnsi" w:cstheme="minorHAnsi"/>
          <w:kern w:val="0"/>
          <w:sz w:val="24"/>
          <w:szCs w:val="24"/>
          <w:lang w:eastAsia="en-GB"/>
        </w:rPr>
        <w:t>(both mentioned above).</w:t>
      </w:r>
    </w:p>
    <w:p w14:paraId="21763D7C" w14:textId="77777777" w:rsidR="00C74DFA" w:rsidRPr="001152CE" w:rsidRDefault="00000000">
      <w:pPr>
        <w:pStyle w:val="ListParagraph"/>
        <w:numPr>
          <w:ilvl w:val="0"/>
          <w:numId w:val="2"/>
        </w:numPr>
        <w:rPr>
          <w:rFonts w:asciiTheme="minorHAnsi" w:hAnsiTheme="minorHAnsi" w:cstheme="minorHAnsi"/>
          <w:sz w:val="24"/>
          <w:szCs w:val="24"/>
        </w:rPr>
      </w:pPr>
      <w:r w:rsidRPr="001152CE">
        <w:rPr>
          <w:rFonts w:asciiTheme="minorHAnsi" w:hAnsiTheme="minorHAnsi" w:cstheme="minorHAnsi"/>
          <w:sz w:val="24"/>
          <w:szCs w:val="24"/>
        </w:rPr>
        <w:t>Quotations from Abu Muhammad al-</w:t>
      </w:r>
      <w:proofErr w:type="spellStart"/>
      <w:r w:rsidRPr="001152CE">
        <w:rPr>
          <w:rFonts w:asciiTheme="minorHAnsi" w:hAnsiTheme="minorHAnsi" w:cstheme="minorHAnsi"/>
          <w:sz w:val="24"/>
          <w:szCs w:val="24"/>
        </w:rPr>
        <w:t>Akfani</w:t>
      </w:r>
      <w:proofErr w:type="spellEnd"/>
      <w:r w:rsidRPr="001152CE">
        <w:rPr>
          <w:rFonts w:asciiTheme="minorHAnsi" w:hAnsiTheme="minorHAnsi" w:cstheme="minorHAnsi"/>
          <w:sz w:val="24"/>
          <w:szCs w:val="24"/>
        </w:rPr>
        <w:t xml:space="preserve"> constitute a significant portion of the </w:t>
      </w:r>
      <w:r w:rsidRPr="001152CE">
        <w:rPr>
          <w:rFonts w:asciiTheme="minorHAnsi" w:hAnsiTheme="minorHAnsi" w:cstheme="minorHAnsi"/>
          <w:i/>
          <w:iCs/>
          <w:sz w:val="24"/>
          <w:szCs w:val="24"/>
        </w:rPr>
        <w:t>TMD</w:t>
      </w:r>
      <w:r w:rsidRPr="001152CE">
        <w:rPr>
          <w:rFonts w:asciiTheme="minorHAnsi" w:hAnsiTheme="minorHAnsi" w:cstheme="minorHAnsi"/>
          <w:sz w:val="24"/>
          <w:szCs w:val="24"/>
        </w:rPr>
        <w:t xml:space="preserve"> overall. Ibn </w:t>
      </w:r>
      <w:proofErr w:type="spellStart"/>
      <w:r w:rsidRPr="001152CE">
        <w:rPr>
          <w:rFonts w:asciiTheme="minorHAnsi" w:hAnsiTheme="minorHAnsi" w:cstheme="minorHAnsi"/>
          <w:sz w:val="24"/>
          <w:szCs w:val="24"/>
        </w:rPr>
        <w:t>ʿAsākir</w:t>
      </w:r>
      <w:proofErr w:type="spellEnd"/>
      <w:r w:rsidRPr="001152CE">
        <w:rPr>
          <w:rFonts w:asciiTheme="minorHAnsi" w:hAnsiTheme="minorHAnsi" w:cstheme="minorHAnsi"/>
          <w:sz w:val="24"/>
          <w:szCs w:val="24"/>
        </w:rPr>
        <w:t xml:space="preserve"> cites him across the </w:t>
      </w:r>
      <w:r w:rsidRPr="001152CE">
        <w:rPr>
          <w:rFonts w:asciiTheme="minorHAnsi" w:hAnsiTheme="minorHAnsi" w:cstheme="minorHAnsi"/>
          <w:i/>
          <w:iCs/>
          <w:sz w:val="24"/>
          <w:szCs w:val="24"/>
        </w:rPr>
        <w:t>TMD</w:t>
      </w:r>
      <w:r w:rsidRPr="001152CE">
        <w:rPr>
          <w:rFonts w:asciiTheme="minorHAnsi" w:hAnsiTheme="minorHAnsi" w:cstheme="minorHAnsi"/>
          <w:sz w:val="24"/>
          <w:szCs w:val="24"/>
        </w:rPr>
        <w:t xml:space="preserve"> using a variety of transmission terms (see Post 3). </w:t>
      </w:r>
    </w:p>
    <w:p w14:paraId="5021745F" w14:textId="77777777" w:rsidR="00C74DFA" w:rsidRPr="001152CE" w:rsidRDefault="00000000">
      <w:pPr>
        <w:numPr>
          <w:ilvl w:val="0"/>
          <w:numId w:val="3"/>
        </w:numPr>
        <w:spacing w:line="240" w:lineRule="auto"/>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Mourad credits Abu al-Faraj </w:t>
      </w:r>
      <w:proofErr w:type="spellStart"/>
      <w:r w:rsidRPr="001152CE">
        <w:rPr>
          <w:rFonts w:asciiTheme="minorHAnsi" w:hAnsiTheme="minorHAnsi" w:cstheme="minorHAnsi"/>
          <w:kern w:val="0"/>
          <w:sz w:val="24"/>
          <w:szCs w:val="24"/>
          <w:lang w:eastAsia="en-GB"/>
        </w:rPr>
        <w:t>Ghayth</w:t>
      </w:r>
      <w:proofErr w:type="spellEnd"/>
      <w:r w:rsidRPr="001152CE">
        <w:rPr>
          <w:rFonts w:asciiTheme="minorHAnsi" w:hAnsiTheme="minorHAnsi" w:cstheme="minorHAnsi"/>
          <w:kern w:val="0"/>
          <w:sz w:val="24"/>
          <w:szCs w:val="24"/>
          <w:lang w:eastAsia="en-GB"/>
        </w:rPr>
        <w:t xml:space="preserve"> (d. 509/1115) with teaching </w:t>
      </w:r>
      <w:r w:rsidRPr="001152CE">
        <w:rPr>
          <w:rFonts w:asciiTheme="minorHAnsi" w:hAnsiTheme="minorHAnsi" w:cstheme="minorHAnsi"/>
          <w:kern w:val="0"/>
          <w:sz w:val="24"/>
          <w:szCs w:val="24"/>
          <w:shd w:val="clear" w:color="auto" w:fill="FFFFFF"/>
          <w:lang w:eastAsia="en-GB"/>
        </w:rPr>
        <w:t xml:space="preserve">three books </w:t>
      </w:r>
      <w:r w:rsidRPr="001152CE">
        <w:rPr>
          <w:rFonts w:asciiTheme="minorHAnsi" w:hAnsiTheme="minorHAnsi" w:cstheme="minorHAnsi"/>
          <w:kern w:val="0"/>
          <w:sz w:val="24"/>
          <w:szCs w:val="24"/>
          <w:lang w:eastAsia="en-GB"/>
        </w:rPr>
        <w:t xml:space="preserve">to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w:t>
      </w:r>
      <w:r w:rsidRPr="001152CE">
        <w:rPr>
          <w:rFonts w:asciiTheme="minorHAnsi" w:hAnsiTheme="minorHAnsi" w:cstheme="minorHAnsi"/>
          <w:kern w:val="0"/>
          <w:sz w:val="24"/>
          <w:szCs w:val="24"/>
          <w:shd w:val="clear" w:color="auto" w:fill="FFFFFF"/>
          <w:lang w:eastAsia="en-GB"/>
        </w:rPr>
        <w:t xml:space="preserve">the </w:t>
      </w:r>
      <w:proofErr w:type="spellStart"/>
      <w:r w:rsidRPr="001152CE">
        <w:rPr>
          <w:rFonts w:asciiTheme="minorHAnsi" w:hAnsiTheme="minorHAnsi" w:cstheme="minorHAnsi"/>
          <w:i/>
          <w:iCs/>
          <w:kern w:val="0"/>
          <w:sz w:val="24"/>
          <w:szCs w:val="24"/>
          <w:shd w:val="clear" w:color="auto" w:fill="FFFFFF"/>
          <w:lang w:eastAsia="en-GB"/>
        </w:rPr>
        <w:t>Kitāb</w:t>
      </w:r>
      <w:proofErr w:type="spellEnd"/>
      <w:r w:rsidRPr="001152CE">
        <w:rPr>
          <w:rFonts w:asciiTheme="minorHAnsi" w:hAnsiTheme="minorHAnsi" w:cstheme="minorHAnsi"/>
          <w:i/>
          <w:iCs/>
          <w:kern w:val="0"/>
          <w:sz w:val="24"/>
          <w:szCs w:val="24"/>
          <w:shd w:val="clear" w:color="auto" w:fill="FFFFFF"/>
          <w:lang w:eastAsia="en-GB"/>
        </w:rPr>
        <w:t xml:space="preserve"> al-</w:t>
      </w:r>
      <w:proofErr w:type="spellStart"/>
      <w:r w:rsidRPr="001152CE">
        <w:rPr>
          <w:rFonts w:asciiTheme="minorHAnsi" w:hAnsiTheme="minorHAnsi" w:cstheme="minorHAnsi"/>
          <w:i/>
          <w:iCs/>
          <w:kern w:val="0"/>
          <w:sz w:val="24"/>
          <w:szCs w:val="24"/>
          <w:shd w:val="clear" w:color="auto" w:fill="FFFFFF"/>
          <w:lang w:eastAsia="en-GB"/>
        </w:rPr>
        <w:t>Kharāj</w:t>
      </w:r>
      <w:proofErr w:type="spellEnd"/>
      <w:r w:rsidRPr="001152CE">
        <w:rPr>
          <w:rFonts w:asciiTheme="minorHAnsi" w:hAnsiTheme="minorHAnsi" w:cstheme="minorHAnsi"/>
          <w:kern w:val="0"/>
          <w:sz w:val="24"/>
          <w:szCs w:val="24"/>
          <w:shd w:val="clear" w:color="auto" w:fill="FFFFFF"/>
          <w:lang w:eastAsia="en-GB"/>
        </w:rPr>
        <w:t xml:space="preserve"> of </w:t>
      </w:r>
      <w:proofErr w:type="spellStart"/>
      <w:r w:rsidRPr="001152CE">
        <w:rPr>
          <w:rFonts w:asciiTheme="minorHAnsi" w:hAnsiTheme="minorHAnsi" w:cstheme="minorHAnsi"/>
          <w:kern w:val="0"/>
          <w:sz w:val="24"/>
          <w:szCs w:val="24"/>
          <w:shd w:val="clear" w:color="auto" w:fill="FFFFFF"/>
          <w:lang w:eastAsia="en-GB"/>
        </w:rPr>
        <w:t>Qudāma</w:t>
      </w:r>
      <w:proofErr w:type="spellEnd"/>
      <w:r w:rsidRPr="001152CE">
        <w:rPr>
          <w:rFonts w:asciiTheme="minorHAnsi" w:hAnsiTheme="minorHAnsi" w:cstheme="minorHAnsi"/>
          <w:kern w:val="0"/>
          <w:sz w:val="24"/>
          <w:szCs w:val="24"/>
          <w:shd w:val="clear" w:color="auto" w:fill="FFFFFF"/>
          <w:lang w:eastAsia="en-GB"/>
        </w:rPr>
        <w:t xml:space="preserve"> b. </w:t>
      </w:r>
      <w:proofErr w:type="spellStart"/>
      <w:r w:rsidRPr="001152CE">
        <w:rPr>
          <w:rFonts w:asciiTheme="minorHAnsi" w:hAnsiTheme="minorHAnsi" w:cstheme="minorHAnsi"/>
          <w:kern w:val="0"/>
          <w:sz w:val="24"/>
          <w:szCs w:val="24"/>
          <w:shd w:val="clear" w:color="auto" w:fill="FFFFFF"/>
          <w:lang w:eastAsia="en-GB"/>
        </w:rPr>
        <w:t>Jaʿfar</w:t>
      </w:r>
      <w:proofErr w:type="spellEnd"/>
      <w:r w:rsidRPr="001152CE">
        <w:rPr>
          <w:rFonts w:asciiTheme="minorHAnsi" w:hAnsiTheme="minorHAnsi" w:cstheme="minorHAnsi"/>
          <w:kern w:val="0"/>
          <w:sz w:val="24"/>
          <w:szCs w:val="24"/>
          <w:shd w:val="clear" w:color="auto" w:fill="FFFFFF"/>
          <w:lang w:eastAsia="en-GB"/>
        </w:rPr>
        <w:t xml:space="preserve"> (d. 337/948) plus two others whose authors Mourad does not name, </w:t>
      </w:r>
      <w:proofErr w:type="spellStart"/>
      <w:r w:rsidRPr="001152CE">
        <w:rPr>
          <w:rFonts w:asciiTheme="minorHAnsi" w:hAnsiTheme="minorHAnsi" w:cstheme="minorHAnsi"/>
          <w:i/>
          <w:kern w:val="0"/>
          <w:sz w:val="24"/>
          <w:szCs w:val="24"/>
          <w:shd w:val="clear" w:color="auto" w:fill="FFFFFF"/>
          <w:lang w:eastAsia="en-GB"/>
        </w:rPr>
        <w:t>Taʾrīkh</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Ṣūr</w:t>
      </w:r>
      <w:proofErr w:type="spellEnd"/>
      <w:r w:rsidRPr="001152CE">
        <w:rPr>
          <w:rFonts w:asciiTheme="minorHAnsi" w:hAnsiTheme="minorHAnsi" w:cstheme="minorHAnsi"/>
          <w:kern w:val="0"/>
          <w:sz w:val="24"/>
          <w:szCs w:val="24"/>
          <w:shd w:val="clear" w:color="auto" w:fill="FFFFFF"/>
          <w:lang w:eastAsia="en-GB"/>
        </w:rPr>
        <w:t xml:space="preserve"> and </w:t>
      </w:r>
      <w:proofErr w:type="spellStart"/>
      <w:r w:rsidRPr="001152CE">
        <w:rPr>
          <w:rFonts w:asciiTheme="minorHAnsi" w:hAnsiTheme="minorHAnsi" w:cstheme="minorHAnsi"/>
          <w:i/>
          <w:kern w:val="0"/>
          <w:sz w:val="24"/>
          <w:szCs w:val="24"/>
          <w:shd w:val="clear" w:color="auto" w:fill="FFFFFF"/>
          <w:lang w:eastAsia="en-GB"/>
        </w:rPr>
        <w:t>Kitāb</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fī</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akhbār</w:t>
      </w:r>
      <w:proofErr w:type="spellEnd"/>
      <w:r w:rsidRPr="001152CE">
        <w:rPr>
          <w:rFonts w:asciiTheme="minorHAnsi" w:hAnsiTheme="minorHAnsi" w:cstheme="minorHAnsi"/>
          <w:i/>
          <w:kern w:val="0"/>
          <w:sz w:val="24"/>
          <w:szCs w:val="24"/>
          <w:shd w:val="clear" w:color="auto" w:fill="FFFFFF"/>
          <w:lang w:eastAsia="en-GB"/>
        </w:rPr>
        <w:t xml:space="preserve"> al-</w:t>
      </w:r>
      <w:proofErr w:type="spellStart"/>
      <w:r w:rsidRPr="001152CE">
        <w:rPr>
          <w:rFonts w:asciiTheme="minorHAnsi" w:hAnsiTheme="minorHAnsi" w:cstheme="minorHAnsi"/>
          <w:i/>
          <w:kern w:val="0"/>
          <w:sz w:val="24"/>
          <w:szCs w:val="24"/>
          <w:shd w:val="clear" w:color="auto" w:fill="FFFFFF"/>
          <w:lang w:eastAsia="en-GB"/>
        </w:rPr>
        <w:t>Kaʿba</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wa-faḍāʾiluha</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wa-asmāʾ</w:t>
      </w:r>
      <w:proofErr w:type="spellEnd"/>
      <w:r w:rsidRPr="001152CE">
        <w:rPr>
          <w:rFonts w:asciiTheme="minorHAnsi" w:hAnsiTheme="minorHAnsi" w:cstheme="minorHAnsi"/>
          <w:i/>
          <w:kern w:val="0"/>
          <w:sz w:val="24"/>
          <w:szCs w:val="24"/>
          <w:shd w:val="clear" w:color="auto" w:fill="FFFFFF"/>
          <w:lang w:eastAsia="en-GB"/>
        </w:rPr>
        <w:t xml:space="preserve"> al-</w:t>
      </w:r>
      <w:proofErr w:type="spellStart"/>
      <w:r w:rsidRPr="001152CE">
        <w:rPr>
          <w:rFonts w:asciiTheme="minorHAnsi" w:hAnsiTheme="minorHAnsi" w:cstheme="minorHAnsi"/>
          <w:i/>
          <w:kern w:val="0"/>
          <w:sz w:val="24"/>
          <w:szCs w:val="24"/>
          <w:shd w:val="clear" w:color="auto" w:fill="FFFFFF"/>
          <w:lang w:eastAsia="en-GB"/>
        </w:rPr>
        <w:t>mudun</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wa</w:t>
      </w:r>
      <w:proofErr w:type="spellEnd"/>
      <w:r w:rsidRPr="001152CE">
        <w:rPr>
          <w:rFonts w:asciiTheme="minorHAnsi" w:hAnsiTheme="minorHAnsi" w:cstheme="minorHAnsi"/>
          <w:i/>
          <w:kern w:val="0"/>
          <w:sz w:val="24"/>
          <w:szCs w:val="24"/>
          <w:shd w:val="clear" w:color="auto" w:fill="FFFFFF"/>
          <w:lang w:eastAsia="en-GB"/>
        </w:rPr>
        <w:t>-l-</w:t>
      </w:r>
      <w:proofErr w:type="spellStart"/>
      <w:r w:rsidRPr="001152CE">
        <w:rPr>
          <w:rFonts w:asciiTheme="minorHAnsi" w:hAnsiTheme="minorHAnsi" w:cstheme="minorHAnsi"/>
          <w:i/>
          <w:kern w:val="0"/>
          <w:sz w:val="24"/>
          <w:szCs w:val="24"/>
          <w:shd w:val="clear" w:color="auto" w:fill="FFFFFF"/>
          <w:lang w:eastAsia="en-GB"/>
        </w:rPr>
        <w:t>buldān</w:t>
      </w:r>
      <w:proofErr w:type="spellEnd"/>
      <w:r w:rsidRPr="001152CE">
        <w:rPr>
          <w:rFonts w:asciiTheme="minorHAnsi" w:hAnsiTheme="minorHAnsi" w:cstheme="minorHAnsi"/>
          <w:i/>
          <w:kern w:val="0"/>
          <w:sz w:val="24"/>
          <w:szCs w:val="24"/>
          <w:shd w:val="clear" w:color="auto" w:fill="FFFFFF"/>
          <w:lang w:eastAsia="en-GB"/>
        </w:rPr>
        <w:t xml:space="preserve"> </w:t>
      </w:r>
      <w:proofErr w:type="spellStart"/>
      <w:r w:rsidRPr="001152CE">
        <w:rPr>
          <w:rFonts w:asciiTheme="minorHAnsi" w:hAnsiTheme="minorHAnsi" w:cstheme="minorHAnsi"/>
          <w:i/>
          <w:kern w:val="0"/>
          <w:sz w:val="24"/>
          <w:szCs w:val="24"/>
          <w:shd w:val="clear" w:color="auto" w:fill="FFFFFF"/>
          <w:lang w:eastAsia="en-GB"/>
        </w:rPr>
        <w:t>wa-akhbāruhā</w:t>
      </w:r>
      <w:proofErr w:type="spellEnd"/>
      <w:r w:rsidRPr="001152CE">
        <w:rPr>
          <w:rFonts w:asciiTheme="minorHAnsi" w:hAnsiTheme="minorHAnsi" w:cstheme="minorHAnsi"/>
          <w:kern w:val="0"/>
          <w:sz w:val="24"/>
          <w:szCs w:val="24"/>
          <w:shd w:val="clear" w:color="auto" w:fill="FFFFFF"/>
          <w:lang w:eastAsia="en-GB"/>
        </w:rPr>
        <w:t xml:space="preserve">. Ibn </w:t>
      </w:r>
      <w:proofErr w:type="spellStart"/>
      <w:r w:rsidRPr="001152CE">
        <w:rPr>
          <w:rFonts w:asciiTheme="minorHAnsi" w:hAnsiTheme="minorHAnsi" w:cstheme="minorHAnsi"/>
          <w:kern w:val="0"/>
          <w:sz w:val="24"/>
          <w:szCs w:val="24"/>
          <w:shd w:val="clear" w:color="auto" w:fill="FFFFFF"/>
          <w:lang w:eastAsia="en-GB"/>
        </w:rPr>
        <w:t>ʿAsākir</w:t>
      </w:r>
      <w:proofErr w:type="spellEnd"/>
      <w:r w:rsidRPr="001152CE">
        <w:rPr>
          <w:rFonts w:asciiTheme="minorHAnsi" w:hAnsiTheme="minorHAnsi" w:cstheme="minorHAnsi"/>
          <w:kern w:val="0"/>
          <w:sz w:val="24"/>
          <w:szCs w:val="24"/>
          <w:shd w:val="clear" w:color="auto" w:fill="FFFFFF"/>
          <w:lang w:eastAsia="en-GB"/>
        </w:rPr>
        <w:t xml:space="preserve"> says that Abu al-Faraj was a close friend of Ibn </w:t>
      </w:r>
      <w:proofErr w:type="spellStart"/>
      <w:r w:rsidRPr="001152CE">
        <w:rPr>
          <w:rFonts w:asciiTheme="minorHAnsi" w:hAnsiTheme="minorHAnsi" w:cstheme="minorHAnsi"/>
          <w:kern w:val="0"/>
          <w:sz w:val="24"/>
          <w:szCs w:val="24"/>
          <w:shd w:val="clear" w:color="auto" w:fill="FFFFFF"/>
          <w:lang w:eastAsia="en-GB"/>
        </w:rPr>
        <w:t>ʿAsākir’s</w:t>
      </w:r>
      <w:proofErr w:type="spellEnd"/>
      <w:r w:rsidRPr="001152CE">
        <w:rPr>
          <w:rFonts w:asciiTheme="minorHAnsi" w:hAnsiTheme="minorHAnsi" w:cstheme="minorHAnsi"/>
          <w:kern w:val="0"/>
          <w:sz w:val="24"/>
          <w:szCs w:val="24"/>
          <w:shd w:val="clear" w:color="auto" w:fill="FFFFFF"/>
          <w:lang w:eastAsia="en-GB"/>
        </w:rPr>
        <w:t xml:space="preserve"> father and lived with the </w:t>
      </w:r>
      <w:proofErr w:type="spellStart"/>
      <w:r w:rsidRPr="001152CE">
        <w:rPr>
          <w:rFonts w:asciiTheme="minorHAnsi" w:hAnsiTheme="minorHAnsi" w:cstheme="minorHAnsi"/>
          <w:kern w:val="0"/>
          <w:sz w:val="24"/>
          <w:szCs w:val="24"/>
          <w:shd w:val="clear" w:color="auto" w:fill="FFFFFF"/>
          <w:lang w:eastAsia="en-GB"/>
        </w:rPr>
        <w:t>ʿAsākir</w:t>
      </w:r>
      <w:proofErr w:type="spellEnd"/>
      <w:r w:rsidRPr="001152CE">
        <w:rPr>
          <w:rFonts w:asciiTheme="minorHAnsi" w:hAnsiTheme="minorHAnsi" w:cstheme="minorHAnsi"/>
          <w:kern w:val="0"/>
          <w:sz w:val="24"/>
          <w:szCs w:val="24"/>
          <w:shd w:val="clear" w:color="auto" w:fill="FFFFFF"/>
          <w:lang w:eastAsia="en-GB"/>
        </w:rPr>
        <w:t xml:space="preserve"> family until his death after leaving Tyre (</w:t>
      </w:r>
      <w:proofErr w:type="spellStart"/>
      <w:r w:rsidRPr="001152CE">
        <w:rPr>
          <w:rFonts w:asciiTheme="minorHAnsi" w:hAnsiTheme="minorHAnsi" w:cstheme="minorHAnsi"/>
          <w:kern w:val="0"/>
          <w:sz w:val="24"/>
          <w:szCs w:val="24"/>
          <w:shd w:val="clear" w:color="auto" w:fill="FFFFFF"/>
          <w:lang w:eastAsia="en-GB"/>
        </w:rPr>
        <w:t>Ṣūr</w:t>
      </w:r>
      <w:proofErr w:type="spellEnd"/>
      <w:r w:rsidRPr="001152CE">
        <w:rPr>
          <w:rFonts w:asciiTheme="minorHAnsi" w:hAnsiTheme="minorHAnsi" w:cstheme="minorHAnsi"/>
          <w:kern w:val="0"/>
          <w:sz w:val="24"/>
          <w:szCs w:val="24"/>
          <w:shd w:val="clear" w:color="auto" w:fill="FFFFFF"/>
          <w:lang w:eastAsia="en-GB"/>
        </w:rPr>
        <w:t xml:space="preserve">), where he had been chief preacher at the Friday mosque; he had fled the city out of fear of being captured by the Franks (Tyre fell to them in 518/1124). He taught Ibn </w:t>
      </w:r>
      <w:proofErr w:type="spellStart"/>
      <w:r w:rsidRPr="001152CE">
        <w:rPr>
          <w:rFonts w:asciiTheme="minorHAnsi" w:hAnsiTheme="minorHAnsi" w:cstheme="minorHAnsi"/>
          <w:kern w:val="0"/>
          <w:sz w:val="24"/>
          <w:szCs w:val="24"/>
          <w:shd w:val="clear" w:color="auto" w:fill="FFFFFF"/>
          <w:lang w:eastAsia="en-GB"/>
        </w:rPr>
        <w:t>ʿAsākir</w:t>
      </w:r>
      <w:proofErr w:type="spellEnd"/>
      <w:r w:rsidRPr="001152CE">
        <w:rPr>
          <w:rFonts w:asciiTheme="minorHAnsi" w:hAnsiTheme="minorHAnsi" w:cstheme="minorHAnsi"/>
          <w:kern w:val="0"/>
          <w:sz w:val="24"/>
          <w:szCs w:val="24"/>
          <w:shd w:val="clear" w:color="auto" w:fill="FFFFFF"/>
          <w:lang w:eastAsia="en-GB"/>
        </w:rPr>
        <w:t xml:space="preserve"> Hadiths on </w:t>
      </w:r>
      <w:proofErr w:type="spellStart"/>
      <w:r w:rsidRPr="001152CE">
        <w:rPr>
          <w:rFonts w:asciiTheme="minorHAnsi" w:hAnsiTheme="minorHAnsi" w:cstheme="minorHAnsi"/>
          <w:i/>
          <w:kern w:val="0"/>
          <w:sz w:val="24"/>
          <w:szCs w:val="24"/>
          <w:shd w:val="clear" w:color="auto" w:fill="FFFFFF"/>
          <w:lang w:eastAsia="en-GB"/>
        </w:rPr>
        <w:t>jihād</w:t>
      </w:r>
      <w:proofErr w:type="spellEnd"/>
      <w:r w:rsidRPr="001152CE">
        <w:rPr>
          <w:rFonts w:asciiTheme="minorHAnsi" w:hAnsiTheme="minorHAnsi" w:cstheme="minorHAnsi"/>
          <w:iCs/>
          <w:kern w:val="0"/>
          <w:sz w:val="24"/>
          <w:szCs w:val="24"/>
          <w:shd w:val="clear" w:color="auto" w:fill="FFFFFF"/>
          <w:lang w:eastAsia="en-GB"/>
        </w:rPr>
        <w:t>.</w:t>
      </w:r>
      <w:r w:rsidRPr="001152CE">
        <w:rPr>
          <w:rStyle w:val="FootnoteReference"/>
          <w:rFonts w:asciiTheme="minorHAnsi" w:hAnsiTheme="minorHAnsi" w:cstheme="minorHAnsi"/>
          <w:sz w:val="24"/>
          <w:szCs w:val="24"/>
          <w:lang w:val="en-US" w:eastAsia="en-GB"/>
        </w:rPr>
        <w:footnoteReference w:id="19"/>
      </w:r>
      <w:r w:rsidRPr="001152CE">
        <w:rPr>
          <w:rFonts w:asciiTheme="minorHAnsi" w:hAnsiTheme="minorHAnsi" w:cstheme="minorHAnsi"/>
          <w:iCs/>
          <w:kern w:val="0"/>
          <w:sz w:val="24"/>
          <w:szCs w:val="24"/>
          <w:lang w:eastAsia="en-GB"/>
        </w:rPr>
        <w:t xml:space="preserve"> </w:t>
      </w:r>
      <w:r w:rsidRPr="001152CE">
        <w:rPr>
          <w:rFonts w:asciiTheme="minorHAnsi" w:hAnsiTheme="minorHAnsi" w:cstheme="minorHAnsi"/>
          <w:kern w:val="0"/>
          <w:sz w:val="24"/>
          <w:szCs w:val="24"/>
          <w:lang w:eastAsia="en-GB"/>
        </w:rPr>
        <w:t xml:space="preserve">Of </w:t>
      </w:r>
      <w:proofErr w:type="spellStart"/>
      <w:r w:rsidRPr="001152CE">
        <w:rPr>
          <w:rFonts w:asciiTheme="minorHAnsi" w:hAnsiTheme="minorHAnsi" w:cstheme="minorHAnsi"/>
          <w:kern w:val="0"/>
          <w:sz w:val="24"/>
          <w:szCs w:val="24"/>
          <w:lang w:eastAsia="en-GB"/>
        </w:rPr>
        <w:t>Qudāma</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Jaʿfar’s</w:t>
      </w:r>
      <w:proofErr w:type="spellEnd"/>
      <w:r w:rsidRPr="001152CE">
        <w:rPr>
          <w:rFonts w:asciiTheme="minorHAnsi" w:hAnsiTheme="minorHAnsi" w:cstheme="minorHAnsi"/>
          <w:kern w:val="0"/>
          <w:sz w:val="24"/>
          <w:szCs w:val="24"/>
          <w:lang w:eastAsia="en-GB"/>
        </w:rPr>
        <w:t xml:space="preserve"> (d. 337/948) book,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says:</w:t>
      </w:r>
    </w:p>
    <w:p w14:paraId="2E7A2E70" w14:textId="77777777" w:rsidR="00C74DFA" w:rsidRPr="001152CE" w:rsidRDefault="00000000">
      <w:pPr>
        <w:spacing w:line="240" w:lineRule="auto"/>
        <w:ind w:left="1440"/>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I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read in the handwriting of our teacher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al-Faraj </w:t>
      </w:r>
      <w:proofErr w:type="spellStart"/>
      <w:r w:rsidRPr="001152CE">
        <w:rPr>
          <w:rFonts w:asciiTheme="minorHAnsi" w:hAnsiTheme="minorHAnsi" w:cstheme="minorHAnsi"/>
          <w:kern w:val="0"/>
          <w:sz w:val="24"/>
          <w:szCs w:val="24"/>
          <w:lang w:eastAsia="en-GB"/>
        </w:rPr>
        <w:t>Ghayth</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ʿAlī</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ʿAbd</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Sallām</w:t>
      </w:r>
      <w:proofErr w:type="spellEnd"/>
      <w:r w:rsidRPr="001152CE">
        <w:rPr>
          <w:rFonts w:asciiTheme="minorHAnsi" w:hAnsiTheme="minorHAnsi" w:cstheme="minorHAnsi"/>
          <w:kern w:val="0"/>
          <w:sz w:val="24"/>
          <w:szCs w:val="24"/>
          <w:lang w:eastAsia="en-GB"/>
        </w:rPr>
        <w:t xml:space="preserve"> al-</w:t>
      </w:r>
      <w:proofErr w:type="spellStart"/>
      <w:r w:rsidRPr="001152CE">
        <w:rPr>
          <w:rFonts w:asciiTheme="minorHAnsi" w:hAnsiTheme="minorHAnsi" w:cstheme="minorHAnsi"/>
          <w:kern w:val="0"/>
          <w:sz w:val="24"/>
          <w:szCs w:val="24"/>
          <w:lang w:eastAsia="en-GB"/>
        </w:rPr>
        <w:t>Ṣūrī</w:t>
      </w:r>
      <w:proofErr w:type="spellEnd"/>
      <w:r w:rsidRPr="001152CE">
        <w:rPr>
          <w:rFonts w:asciiTheme="minorHAnsi" w:hAnsiTheme="minorHAnsi" w:cstheme="minorHAnsi"/>
          <w:kern w:val="0"/>
          <w:sz w:val="24"/>
          <w:szCs w:val="24"/>
          <w:lang w:eastAsia="en-GB"/>
        </w:rPr>
        <w:t xml:space="preserve">, who said: ‘I read in </w:t>
      </w:r>
      <w:r w:rsidRPr="001152CE">
        <w:rPr>
          <w:rFonts w:asciiTheme="minorHAnsi" w:hAnsiTheme="minorHAnsi" w:cstheme="minorHAnsi"/>
          <w:iCs/>
          <w:kern w:val="0"/>
          <w:sz w:val="24"/>
          <w:szCs w:val="24"/>
          <w:lang w:eastAsia="en-GB"/>
        </w:rPr>
        <w:t>the</w:t>
      </w:r>
      <w:r w:rsidRPr="001152CE">
        <w:rPr>
          <w:rFonts w:asciiTheme="minorHAnsi" w:hAnsiTheme="minorHAnsi" w:cstheme="minorHAnsi"/>
          <w:i/>
          <w:kern w:val="0"/>
          <w:sz w:val="24"/>
          <w:szCs w:val="24"/>
          <w:lang w:eastAsia="en-GB"/>
        </w:rPr>
        <w:t xml:space="preserve"> Book on the </w:t>
      </w:r>
      <w:proofErr w:type="spellStart"/>
      <w:r w:rsidRPr="001152CE">
        <w:rPr>
          <w:rFonts w:asciiTheme="minorHAnsi" w:hAnsiTheme="minorHAnsi" w:cstheme="minorHAnsi"/>
          <w:i/>
          <w:kern w:val="0"/>
          <w:sz w:val="24"/>
          <w:szCs w:val="24"/>
          <w:lang w:eastAsia="en-GB"/>
        </w:rPr>
        <w:t>Kharāj</w:t>
      </w:r>
      <w:proofErr w:type="spellEnd"/>
      <w:r w:rsidRPr="001152CE">
        <w:rPr>
          <w:rFonts w:asciiTheme="minorHAnsi" w:hAnsiTheme="minorHAnsi" w:cstheme="minorHAnsi"/>
          <w:kern w:val="0"/>
          <w:sz w:val="24"/>
          <w:szCs w:val="24"/>
          <w:lang w:eastAsia="en-GB"/>
        </w:rPr>
        <w:t xml:space="preserve"> [land tax] composed by the scribe </w:t>
      </w:r>
      <w:proofErr w:type="spellStart"/>
      <w:r w:rsidRPr="001152CE">
        <w:rPr>
          <w:rFonts w:asciiTheme="minorHAnsi" w:hAnsiTheme="minorHAnsi" w:cstheme="minorHAnsi"/>
          <w:kern w:val="0"/>
          <w:sz w:val="24"/>
          <w:szCs w:val="24"/>
          <w:lang w:eastAsia="en-GB"/>
        </w:rPr>
        <w:t>Abū</w:t>
      </w:r>
      <w:proofErr w:type="spellEnd"/>
      <w:r w:rsidRPr="001152CE">
        <w:rPr>
          <w:rFonts w:asciiTheme="minorHAnsi" w:hAnsiTheme="minorHAnsi" w:cstheme="minorHAnsi"/>
          <w:kern w:val="0"/>
          <w:sz w:val="24"/>
          <w:szCs w:val="24"/>
          <w:lang w:eastAsia="en-GB"/>
        </w:rPr>
        <w:t xml:space="preserve"> al-Faraj </w:t>
      </w:r>
      <w:proofErr w:type="spellStart"/>
      <w:r w:rsidRPr="001152CE">
        <w:rPr>
          <w:rFonts w:asciiTheme="minorHAnsi" w:hAnsiTheme="minorHAnsi" w:cstheme="minorHAnsi"/>
          <w:kern w:val="0"/>
          <w:sz w:val="24"/>
          <w:szCs w:val="24"/>
          <w:lang w:eastAsia="en-GB"/>
        </w:rPr>
        <w:t>Qudāma</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Jaʿfar</w:t>
      </w:r>
      <w:proofErr w:type="spellEnd"/>
      <w:r w:rsidRPr="001152CE">
        <w:rPr>
          <w:rFonts w:asciiTheme="minorHAnsi" w:hAnsiTheme="minorHAnsi" w:cstheme="minorHAnsi"/>
          <w:kern w:val="0"/>
          <w:sz w:val="24"/>
          <w:szCs w:val="24"/>
          <w:lang w:eastAsia="en-GB"/>
        </w:rPr>
        <w:t xml:space="preserve"> that “The ‘date’ of anything should be reckoned as its final point …”.’</w:t>
      </w:r>
    </w:p>
    <w:p w14:paraId="205454EF" w14:textId="77777777" w:rsidR="00C74DFA" w:rsidRPr="001152CE" w:rsidRDefault="00000000">
      <w:pPr>
        <w:spacing w:line="240" w:lineRule="auto"/>
        <w:ind w:left="720"/>
        <w:rPr>
          <w:rFonts w:asciiTheme="minorHAnsi" w:hAnsiTheme="minorHAnsi" w:cstheme="minorHAnsi"/>
          <w:sz w:val="24"/>
          <w:szCs w:val="24"/>
        </w:rPr>
      </w:pPr>
      <w:r w:rsidRPr="001152CE">
        <w:rPr>
          <w:rFonts w:asciiTheme="minorHAnsi" w:hAnsiTheme="minorHAnsi" w:cstheme="minorHAnsi"/>
          <w:kern w:val="0"/>
          <w:sz w:val="24"/>
          <w:szCs w:val="24"/>
          <w:lang w:eastAsia="en-GB"/>
        </w:rPr>
        <w:t xml:space="preserve">This quotation, connected to the calculation of tax, reached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through two mediations: the writing of his teacher (whom he quotes 261 times throughout the </w:t>
      </w:r>
      <w:r w:rsidRPr="001152CE">
        <w:rPr>
          <w:rFonts w:asciiTheme="minorHAnsi" w:hAnsiTheme="minorHAnsi" w:cstheme="minorHAnsi"/>
          <w:i/>
          <w:kern w:val="0"/>
          <w:sz w:val="24"/>
          <w:szCs w:val="24"/>
          <w:lang w:eastAsia="en-GB"/>
        </w:rPr>
        <w:t>TMD</w:t>
      </w:r>
      <w:r w:rsidRPr="001152CE">
        <w:rPr>
          <w:rFonts w:asciiTheme="minorHAnsi" w:hAnsiTheme="minorHAnsi" w:cstheme="minorHAnsi"/>
          <w:kern w:val="0"/>
          <w:sz w:val="24"/>
          <w:szCs w:val="24"/>
          <w:lang w:eastAsia="en-GB"/>
        </w:rPr>
        <w:t xml:space="preserve">) and, through it, </w:t>
      </w:r>
      <w:proofErr w:type="spellStart"/>
      <w:r w:rsidRPr="001152CE">
        <w:rPr>
          <w:rFonts w:asciiTheme="minorHAnsi" w:hAnsiTheme="minorHAnsi" w:cstheme="minorHAnsi"/>
          <w:kern w:val="0"/>
          <w:sz w:val="24"/>
          <w:szCs w:val="24"/>
          <w:lang w:eastAsia="en-GB"/>
        </w:rPr>
        <w:t>Qudāma</w:t>
      </w:r>
      <w:proofErr w:type="spellEnd"/>
      <w:r w:rsidRPr="001152CE">
        <w:rPr>
          <w:rFonts w:asciiTheme="minorHAnsi" w:hAnsiTheme="minorHAnsi" w:cstheme="minorHAnsi"/>
          <w:kern w:val="0"/>
          <w:sz w:val="24"/>
          <w:szCs w:val="24"/>
          <w:lang w:eastAsia="en-GB"/>
        </w:rPr>
        <w:t xml:space="preserve"> b. </w:t>
      </w:r>
      <w:proofErr w:type="spellStart"/>
      <w:r w:rsidRPr="001152CE">
        <w:rPr>
          <w:rFonts w:asciiTheme="minorHAnsi" w:hAnsiTheme="minorHAnsi" w:cstheme="minorHAnsi"/>
          <w:kern w:val="0"/>
          <w:sz w:val="24"/>
          <w:szCs w:val="24"/>
          <w:lang w:eastAsia="en-GB"/>
        </w:rPr>
        <w:t>Jaʿfar’s</w:t>
      </w:r>
      <w:proofErr w:type="spellEnd"/>
      <w:r w:rsidRPr="001152CE">
        <w:rPr>
          <w:rFonts w:asciiTheme="minorHAnsi" w:hAnsiTheme="minorHAnsi" w:cstheme="minorHAnsi"/>
          <w:kern w:val="0"/>
          <w:sz w:val="24"/>
          <w:szCs w:val="24"/>
          <w:lang w:eastAsia="en-GB"/>
        </w:rPr>
        <w:t xml:space="preserve"> </w:t>
      </w:r>
      <w:proofErr w:type="spellStart"/>
      <w:r w:rsidRPr="001152CE">
        <w:rPr>
          <w:rFonts w:asciiTheme="minorHAnsi" w:hAnsiTheme="minorHAnsi" w:cstheme="minorHAnsi"/>
          <w:i/>
          <w:iCs/>
          <w:kern w:val="0"/>
          <w:sz w:val="24"/>
          <w:szCs w:val="24"/>
          <w:lang w:eastAsia="en-GB"/>
        </w:rPr>
        <w:t>Kitāb</w:t>
      </w:r>
      <w:proofErr w:type="spellEnd"/>
      <w:r w:rsidRPr="001152CE">
        <w:rPr>
          <w:rFonts w:asciiTheme="minorHAnsi" w:hAnsiTheme="minorHAnsi" w:cstheme="minorHAnsi"/>
          <w:i/>
          <w:iCs/>
          <w:kern w:val="0"/>
          <w:sz w:val="24"/>
          <w:szCs w:val="24"/>
          <w:lang w:eastAsia="en-GB"/>
        </w:rPr>
        <w:t xml:space="preserve"> al-</w:t>
      </w:r>
      <w:proofErr w:type="spellStart"/>
      <w:r w:rsidRPr="001152CE">
        <w:rPr>
          <w:rFonts w:asciiTheme="minorHAnsi" w:hAnsiTheme="minorHAnsi" w:cstheme="minorHAnsi"/>
          <w:i/>
          <w:kern w:val="0"/>
          <w:sz w:val="24"/>
          <w:szCs w:val="24"/>
          <w:lang w:eastAsia="en-GB"/>
        </w:rPr>
        <w:t>Kharāj</w:t>
      </w:r>
      <w:proofErr w:type="spellEnd"/>
      <w:r w:rsidRPr="001152CE">
        <w:rPr>
          <w:rFonts w:asciiTheme="minorHAnsi" w:hAnsiTheme="minorHAnsi" w:cstheme="minorHAnsi"/>
          <w:kern w:val="0"/>
          <w:sz w:val="24"/>
          <w:szCs w:val="24"/>
          <w:lang w:eastAsia="en-GB"/>
        </w:rPr>
        <w:t xml:space="preserve">.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does not claim direct access to this latter book itself. </w:t>
      </w:r>
    </w:p>
    <w:p w14:paraId="5E4B0AEC" w14:textId="77777777" w:rsidR="00C74DFA" w:rsidRPr="001152CE" w:rsidRDefault="00000000">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On 171 of the 1,342 occasions on which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says he read something in the handwriting of someone else, the term </w:t>
      </w:r>
      <w:proofErr w:type="spellStart"/>
      <w:r w:rsidRPr="001152CE">
        <w:rPr>
          <w:rFonts w:asciiTheme="minorHAnsi" w:hAnsiTheme="minorHAnsi" w:cstheme="minorHAnsi"/>
          <w:i/>
          <w:kern w:val="0"/>
          <w:sz w:val="24"/>
          <w:szCs w:val="24"/>
          <w:lang w:eastAsia="en-GB"/>
        </w:rPr>
        <w:t>tasmiya</w:t>
      </w:r>
      <w:proofErr w:type="spellEnd"/>
      <w:r w:rsidRPr="001152CE">
        <w:rPr>
          <w:rFonts w:asciiTheme="minorHAnsi" w:hAnsiTheme="minorHAnsi" w:cstheme="minorHAnsi"/>
          <w:i/>
          <w:kern w:val="0"/>
          <w:sz w:val="24"/>
          <w:szCs w:val="24"/>
          <w:lang w:eastAsia="en-GB"/>
        </w:rPr>
        <w:t xml:space="preserve"> </w:t>
      </w:r>
      <w:r w:rsidRPr="001152CE">
        <w:rPr>
          <w:rFonts w:asciiTheme="minorHAnsi" w:hAnsiTheme="minorHAnsi" w:cstheme="minorHAnsi"/>
          <w:iCs/>
          <w:kern w:val="0"/>
          <w:sz w:val="24"/>
          <w:szCs w:val="24"/>
          <w:lang w:eastAsia="en-GB"/>
        </w:rPr>
        <w:t xml:space="preserve">also appears </w:t>
      </w:r>
      <w:r w:rsidRPr="001152CE">
        <w:rPr>
          <w:rFonts w:asciiTheme="minorHAnsi" w:hAnsiTheme="minorHAnsi" w:cstheme="minorHAnsi"/>
          <w:kern w:val="0"/>
          <w:sz w:val="24"/>
          <w:szCs w:val="24"/>
          <w:lang w:eastAsia="en-GB"/>
        </w:rPr>
        <w:t xml:space="preserve">nearby. The two phrases occur together most often in citations involving </w:t>
      </w:r>
      <w:proofErr w:type="spellStart"/>
      <w:r w:rsidRPr="001152CE">
        <w:rPr>
          <w:rFonts w:asciiTheme="minorHAnsi" w:hAnsiTheme="minorHAnsi" w:cstheme="minorHAnsi"/>
          <w:kern w:val="0"/>
          <w:sz w:val="24"/>
          <w:szCs w:val="24"/>
          <w:lang w:eastAsia="en-GB"/>
        </w:rPr>
        <w:t>Naja</w:t>
      </w:r>
      <w:proofErr w:type="spellEnd"/>
      <w:r w:rsidRPr="001152CE">
        <w:rPr>
          <w:rFonts w:asciiTheme="minorHAnsi" w:hAnsiTheme="minorHAnsi" w:cstheme="minorHAnsi"/>
          <w:kern w:val="0"/>
          <w:sz w:val="24"/>
          <w:szCs w:val="24"/>
          <w:lang w:eastAsia="en-GB"/>
        </w:rPr>
        <w:t xml:space="preserve">' b. Ahmad. These </w:t>
      </w:r>
      <w:proofErr w:type="spellStart"/>
      <w:r w:rsidRPr="001152CE">
        <w:rPr>
          <w:rFonts w:asciiTheme="minorHAnsi" w:hAnsiTheme="minorHAnsi" w:cstheme="minorHAnsi"/>
          <w:i/>
          <w:iCs/>
          <w:kern w:val="0"/>
          <w:sz w:val="24"/>
          <w:szCs w:val="24"/>
          <w:lang w:eastAsia="en-GB"/>
        </w:rPr>
        <w:t>tasmiya</w:t>
      </w:r>
      <w:proofErr w:type="spellEnd"/>
      <w:r w:rsidRPr="001152CE">
        <w:rPr>
          <w:rFonts w:asciiTheme="minorHAnsi" w:hAnsiTheme="minorHAnsi" w:cstheme="minorHAnsi"/>
          <w:kern w:val="0"/>
          <w:sz w:val="24"/>
          <w:szCs w:val="24"/>
          <w:lang w:eastAsia="en-GB"/>
        </w:rPr>
        <w:t xml:space="preserve"> works seem to have been pre-existing compilations that 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could mine for the </w:t>
      </w:r>
      <w:r w:rsidRPr="001152CE">
        <w:rPr>
          <w:rFonts w:asciiTheme="minorHAnsi" w:hAnsiTheme="minorHAnsi" w:cstheme="minorHAnsi"/>
          <w:i/>
          <w:kern w:val="0"/>
          <w:sz w:val="24"/>
          <w:szCs w:val="24"/>
          <w:lang w:eastAsia="en-GB"/>
        </w:rPr>
        <w:t>TMD</w:t>
      </w:r>
      <w:r w:rsidRPr="001152CE">
        <w:rPr>
          <w:rFonts w:asciiTheme="minorHAnsi" w:hAnsiTheme="minorHAnsi" w:cstheme="minorHAnsi"/>
          <w:kern w:val="0"/>
          <w:sz w:val="24"/>
          <w:szCs w:val="24"/>
          <w:lang w:eastAsia="en-GB"/>
        </w:rPr>
        <w:t xml:space="preserve">. </w:t>
      </w:r>
      <w:bookmarkEnd w:id="5"/>
    </w:p>
    <w:p w14:paraId="6B6F34DE" w14:textId="77777777" w:rsidR="00255A0A" w:rsidRPr="001152CE" w:rsidRDefault="00255A0A" w:rsidP="00255A0A">
      <w:pPr>
        <w:spacing w:line="240" w:lineRule="auto"/>
        <w:rPr>
          <w:rFonts w:asciiTheme="minorHAnsi" w:hAnsiTheme="minorHAnsi" w:cstheme="minorHAnsi"/>
          <w:i/>
          <w:iCs/>
          <w:kern w:val="0"/>
          <w:sz w:val="24"/>
          <w:szCs w:val="24"/>
          <w:lang w:eastAsia="en-GB"/>
        </w:rPr>
      </w:pPr>
      <w:proofErr w:type="spellStart"/>
      <w:r w:rsidRPr="001152CE">
        <w:rPr>
          <w:rFonts w:asciiTheme="minorHAnsi" w:hAnsiTheme="minorHAnsi" w:cstheme="minorHAnsi"/>
          <w:i/>
          <w:iCs/>
          <w:kern w:val="0"/>
          <w:sz w:val="24"/>
          <w:szCs w:val="24"/>
          <w:lang w:eastAsia="en-GB"/>
        </w:rPr>
        <w:t>Dhakara</w:t>
      </w:r>
      <w:proofErr w:type="spellEnd"/>
    </w:p>
    <w:p w14:paraId="15E95C44" w14:textId="69FDD229" w:rsidR="00A43083" w:rsidRDefault="00255A0A" w:rsidP="00A43083">
      <w:pPr>
        <w:spacing w:line="240" w:lineRule="auto"/>
        <w:rPr>
          <w:rFonts w:asciiTheme="minorHAnsi" w:hAnsiTheme="minorHAnsi" w:cstheme="minorHAnsi"/>
          <w:kern w:val="0"/>
          <w:sz w:val="24"/>
          <w:szCs w:val="24"/>
          <w:lang w:eastAsia="en-GB"/>
        </w:rPr>
      </w:pPr>
      <w:r w:rsidRPr="001152CE">
        <w:rPr>
          <w:rFonts w:asciiTheme="minorHAnsi" w:hAnsiTheme="minorHAnsi" w:cstheme="minorHAnsi"/>
          <w:kern w:val="0"/>
          <w:sz w:val="24"/>
          <w:szCs w:val="24"/>
          <w:lang w:eastAsia="en-GB"/>
        </w:rPr>
        <w:t xml:space="preserve">Ibn </w:t>
      </w:r>
      <w:proofErr w:type="spellStart"/>
      <w:r w:rsidRPr="001152CE">
        <w:rPr>
          <w:rFonts w:asciiTheme="minorHAnsi" w:hAnsiTheme="minorHAnsi" w:cstheme="minorHAnsi"/>
          <w:kern w:val="0"/>
          <w:sz w:val="24"/>
          <w:szCs w:val="24"/>
          <w:lang w:eastAsia="en-GB"/>
        </w:rPr>
        <w:t>ʿAsākir</w:t>
      </w:r>
      <w:proofErr w:type="spellEnd"/>
      <w:r w:rsidRPr="001152CE">
        <w:rPr>
          <w:rFonts w:asciiTheme="minorHAnsi" w:hAnsiTheme="minorHAnsi" w:cstheme="minorHAnsi"/>
          <w:kern w:val="0"/>
          <w:sz w:val="24"/>
          <w:szCs w:val="24"/>
          <w:lang w:eastAsia="en-GB"/>
        </w:rPr>
        <w:t xml:space="preserve"> uses </w:t>
      </w:r>
      <w:proofErr w:type="spellStart"/>
      <w:r w:rsidRPr="001152CE">
        <w:rPr>
          <w:rFonts w:asciiTheme="minorHAnsi" w:hAnsiTheme="minorHAnsi" w:cstheme="minorHAnsi"/>
          <w:i/>
          <w:iCs/>
          <w:kern w:val="0"/>
          <w:sz w:val="24"/>
          <w:szCs w:val="24"/>
          <w:lang w:eastAsia="en-GB"/>
        </w:rPr>
        <w:t>dhakara</w:t>
      </w:r>
      <w:proofErr w:type="spellEnd"/>
      <w:r w:rsidRPr="001152CE">
        <w:rPr>
          <w:rFonts w:asciiTheme="minorHAnsi" w:hAnsiTheme="minorHAnsi" w:cstheme="minorHAnsi"/>
          <w:kern w:val="0"/>
          <w:sz w:val="24"/>
          <w:szCs w:val="24"/>
          <w:lang w:eastAsia="en-GB"/>
        </w:rPr>
        <w:t xml:space="preserve"> (so-and-so ‘stated’) 1,654 times</w:t>
      </w:r>
      <w:r w:rsidR="00981B24" w:rsidRPr="001152CE">
        <w:rPr>
          <w:rFonts w:asciiTheme="minorHAnsi" w:hAnsiTheme="minorHAnsi" w:cstheme="minorHAnsi"/>
          <w:kern w:val="0"/>
          <w:sz w:val="24"/>
          <w:szCs w:val="24"/>
          <w:lang w:eastAsia="en-GB"/>
        </w:rPr>
        <w:t xml:space="preserve"> at the start of a paragraph in our text</w:t>
      </w:r>
      <w:r w:rsidRPr="001152CE">
        <w:rPr>
          <w:rFonts w:asciiTheme="minorHAnsi" w:hAnsiTheme="minorHAnsi" w:cstheme="minorHAnsi"/>
          <w:kern w:val="0"/>
          <w:sz w:val="24"/>
          <w:szCs w:val="24"/>
          <w:lang w:eastAsia="en-GB"/>
        </w:rPr>
        <w:t>.</w:t>
      </w:r>
      <w:r w:rsidR="00B305D3">
        <w:rPr>
          <w:rStyle w:val="FootnoteReference"/>
          <w:rFonts w:asciiTheme="minorHAnsi" w:hAnsiTheme="minorHAnsi" w:cstheme="minorHAnsi"/>
          <w:kern w:val="0"/>
          <w:sz w:val="24"/>
          <w:szCs w:val="24"/>
          <w:lang w:eastAsia="en-GB"/>
        </w:rPr>
        <w:footnoteReference w:id="20"/>
      </w:r>
      <w:r w:rsidR="00981B24" w:rsidRPr="001152CE">
        <w:rPr>
          <w:rFonts w:asciiTheme="minorHAnsi" w:hAnsiTheme="minorHAnsi" w:cstheme="minorHAnsi"/>
          <w:kern w:val="0"/>
          <w:sz w:val="24"/>
          <w:szCs w:val="24"/>
          <w:lang w:eastAsia="en-GB"/>
        </w:rPr>
        <w:t xml:space="preserve"> This is an alternative to citing with an </w:t>
      </w:r>
      <w:proofErr w:type="spellStart"/>
      <w:r w:rsidR="00981B24" w:rsidRPr="001152CE">
        <w:rPr>
          <w:rFonts w:asciiTheme="minorHAnsi" w:hAnsiTheme="minorHAnsi" w:cstheme="minorHAnsi"/>
          <w:i/>
          <w:iCs/>
          <w:kern w:val="0"/>
          <w:sz w:val="24"/>
          <w:szCs w:val="24"/>
          <w:lang w:eastAsia="en-GB"/>
        </w:rPr>
        <w:t>isnād</w:t>
      </w:r>
      <w:proofErr w:type="spellEnd"/>
      <w:r w:rsidR="00981B24" w:rsidRPr="001152CE">
        <w:rPr>
          <w:rFonts w:asciiTheme="minorHAnsi" w:hAnsiTheme="minorHAnsi" w:cstheme="minorHAnsi"/>
          <w:kern w:val="0"/>
          <w:sz w:val="24"/>
          <w:szCs w:val="24"/>
          <w:lang w:eastAsia="en-GB"/>
        </w:rPr>
        <w:t xml:space="preserve"> and </w:t>
      </w:r>
      <w:r w:rsidR="00422803" w:rsidRPr="001152CE">
        <w:rPr>
          <w:rFonts w:asciiTheme="minorHAnsi" w:hAnsiTheme="minorHAnsi" w:cstheme="minorHAnsi"/>
          <w:kern w:val="0"/>
          <w:sz w:val="24"/>
          <w:szCs w:val="24"/>
          <w:lang w:eastAsia="en-GB"/>
        </w:rPr>
        <w:t>sometimes</w:t>
      </w:r>
      <w:r w:rsidR="00981B24" w:rsidRPr="001152CE">
        <w:rPr>
          <w:rFonts w:asciiTheme="minorHAnsi" w:hAnsiTheme="minorHAnsi" w:cstheme="minorHAnsi"/>
          <w:kern w:val="0"/>
          <w:sz w:val="24"/>
          <w:szCs w:val="24"/>
          <w:lang w:eastAsia="en-GB"/>
        </w:rPr>
        <w:t xml:space="preserve"> point</w:t>
      </w:r>
      <w:r w:rsidR="00422803" w:rsidRPr="001152CE">
        <w:rPr>
          <w:rFonts w:asciiTheme="minorHAnsi" w:hAnsiTheme="minorHAnsi" w:cstheme="minorHAnsi"/>
          <w:kern w:val="0"/>
          <w:sz w:val="24"/>
          <w:szCs w:val="24"/>
          <w:lang w:eastAsia="en-GB"/>
        </w:rPr>
        <w:t>s</w:t>
      </w:r>
      <w:r w:rsidR="00981B24" w:rsidRPr="001152CE">
        <w:rPr>
          <w:rFonts w:asciiTheme="minorHAnsi" w:hAnsiTheme="minorHAnsi" w:cstheme="minorHAnsi"/>
          <w:kern w:val="0"/>
          <w:sz w:val="24"/>
          <w:szCs w:val="24"/>
          <w:lang w:eastAsia="en-GB"/>
        </w:rPr>
        <w:t xml:space="preserve"> to a written work he consulted. </w:t>
      </w:r>
      <w:r w:rsidR="00A741D8" w:rsidRPr="001152CE">
        <w:rPr>
          <w:rFonts w:asciiTheme="minorHAnsi" w:hAnsiTheme="minorHAnsi" w:cstheme="minorHAnsi"/>
          <w:kern w:val="0"/>
          <w:sz w:val="24"/>
          <w:szCs w:val="24"/>
          <w:lang w:eastAsia="en-GB"/>
        </w:rPr>
        <w:t>In 1,057 cases, we were able to match the person cited to a name on our Name List. The other cases represented challenges to our method of splitting citations;</w:t>
      </w:r>
      <w:r w:rsidR="001152CE" w:rsidRPr="001152CE">
        <w:rPr>
          <w:rFonts w:asciiTheme="minorHAnsi" w:hAnsiTheme="minorHAnsi" w:cstheme="minorHAnsi"/>
          <w:kern w:val="0"/>
          <w:sz w:val="24"/>
          <w:szCs w:val="24"/>
          <w:rtl/>
          <w:lang w:eastAsia="en-GB"/>
        </w:rPr>
        <w:t xml:space="preserve"> </w:t>
      </w:r>
      <w:proofErr w:type="spellStart"/>
      <w:r w:rsidR="001152CE" w:rsidRPr="001152CE">
        <w:rPr>
          <w:rFonts w:asciiTheme="minorHAnsi" w:hAnsiTheme="minorHAnsi" w:cstheme="minorHAnsi"/>
          <w:i/>
          <w:iCs/>
          <w:kern w:val="0"/>
          <w:sz w:val="24"/>
          <w:szCs w:val="24"/>
          <w:lang w:eastAsia="en-GB"/>
        </w:rPr>
        <w:t>dhakara</w:t>
      </w:r>
      <w:proofErr w:type="spellEnd"/>
      <w:r w:rsidR="00A741D8" w:rsidRPr="001152CE">
        <w:rPr>
          <w:rFonts w:asciiTheme="minorHAnsi" w:hAnsiTheme="minorHAnsi" w:cstheme="minorHAnsi"/>
          <w:i/>
          <w:iCs/>
          <w:kern w:val="0"/>
          <w:sz w:val="24"/>
          <w:szCs w:val="24"/>
          <w:lang w:eastAsia="en-GB"/>
        </w:rPr>
        <w:t xml:space="preserve"> </w:t>
      </w:r>
      <w:r w:rsidR="00A741D8" w:rsidRPr="001152CE">
        <w:rPr>
          <w:rFonts w:asciiTheme="minorHAnsi" w:hAnsiTheme="minorHAnsi" w:cstheme="minorHAnsi"/>
          <w:kern w:val="0"/>
          <w:sz w:val="24"/>
          <w:szCs w:val="24"/>
          <w:lang w:eastAsia="en-GB"/>
        </w:rPr>
        <w:t xml:space="preserve">often </w:t>
      </w:r>
      <w:r w:rsidR="001152CE" w:rsidRPr="001152CE">
        <w:rPr>
          <w:rFonts w:asciiTheme="minorHAnsi" w:hAnsiTheme="minorHAnsi" w:cstheme="minorHAnsi"/>
          <w:kern w:val="0"/>
          <w:sz w:val="24"/>
          <w:szCs w:val="24"/>
          <w:lang w:eastAsia="en-GB"/>
        </w:rPr>
        <w:t>was not followed by a name but rather by a quote or other non-name material</w:t>
      </w:r>
      <w:r w:rsidR="00A741D8" w:rsidRPr="001152CE">
        <w:rPr>
          <w:rFonts w:asciiTheme="minorHAnsi" w:hAnsiTheme="minorHAnsi" w:cstheme="minorHAnsi"/>
          <w:kern w:val="0"/>
          <w:sz w:val="24"/>
          <w:szCs w:val="24"/>
          <w:lang w:eastAsia="en-GB"/>
        </w:rPr>
        <w:t>.</w:t>
      </w:r>
      <w:r w:rsidR="00422803" w:rsidRPr="001152CE">
        <w:rPr>
          <w:rFonts w:asciiTheme="minorHAnsi" w:hAnsiTheme="minorHAnsi" w:cstheme="minorHAnsi"/>
          <w:kern w:val="0"/>
          <w:sz w:val="24"/>
          <w:szCs w:val="24"/>
          <w:lang w:eastAsia="en-GB"/>
        </w:rPr>
        <w:t xml:space="preserve"> </w:t>
      </w:r>
    </w:p>
    <w:tbl>
      <w:tblPr>
        <w:tblW w:w="0" w:type="dxa"/>
        <w:tblCellMar>
          <w:left w:w="0" w:type="dxa"/>
          <w:right w:w="0" w:type="dxa"/>
        </w:tblCellMar>
        <w:tblLook w:val="04A0" w:firstRow="1" w:lastRow="0" w:firstColumn="1" w:lastColumn="0" w:noHBand="0" w:noVBand="1"/>
      </w:tblPr>
      <w:tblGrid>
        <w:gridCol w:w="3525"/>
        <w:gridCol w:w="1035"/>
        <w:gridCol w:w="2194"/>
        <w:gridCol w:w="2256"/>
      </w:tblGrid>
      <w:tr w:rsidR="00A43083" w:rsidRPr="00A43083" w14:paraId="081B66E8" w14:textId="77777777" w:rsidTr="00A43083">
        <w:trPr>
          <w:trHeight w:val="315"/>
        </w:trPr>
        <w:tc>
          <w:tcPr>
            <w:tcW w:w="0" w:type="auto"/>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AC35B08"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lastRenderedPageBreak/>
              <w:t>Name</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8830A6"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Died</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BF3BF9"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 xml:space="preserve"># of citations within </w:t>
            </w:r>
            <w:proofErr w:type="spellStart"/>
            <w:r w:rsidRPr="00A43083">
              <w:rPr>
                <w:rFonts w:eastAsia="Times New Roman" w:cs="Calibri"/>
                <w:b/>
                <w:bCs/>
                <w:i/>
                <w:iCs/>
                <w:kern w:val="0"/>
                <w:sz w:val="24"/>
                <w:szCs w:val="24"/>
                <w:lang w:eastAsia="en-GB"/>
              </w:rPr>
              <w:t>isnād</w:t>
            </w:r>
            <w:r w:rsidRPr="00A43083">
              <w:rPr>
                <w:rFonts w:eastAsia="Times New Roman" w:cs="Calibri"/>
                <w:b/>
                <w:bCs/>
                <w:kern w:val="0"/>
                <w:sz w:val="24"/>
                <w:szCs w:val="24"/>
                <w:lang w:eastAsia="en-GB"/>
              </w:rPr>
              <w:t>s</w:t>
            </w:r>
            <w:proofErr w:type="spellEnd"/>
          </w:p>
        </w:tc>
        <w:tc>
          <w:tcPr>
            <w:tcW w:w="0" w:type="auto"/>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156CC056"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 xml:space="preserve"># of citations with </w:t>
            </w:r>
            <w:proofErr w:type="spellStart"/>
            <w:r w:rsidRPr="00A43083">
              <w:rPr>
                <w:rFonts w:eastAsia="Times New Roman" w:cs="Calibri"/>
                <w:b/>
                <w:bCs/>
                <w:i/>
                <w:iCs/>
                <w:kern w:val="0"/>
                <w:sz w:val="24"/>
                <w:szCs w:val="24"/>
                <w:lang w:eastAsia="en-GB"/>
              </w:rPr>
              <w:t>dhakara</w:t>
            </w:r>
            <w:proofErr w:type="spellEnd"/>
          </w:p>
        </w:tc>
      </w:tr>
      <w:tr w:rsidR="00A43083" w:rsidRPr="00A43083" w14:paraId="31B2D124"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1E478695"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Abu al-Husayn al-Razi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02D3BA"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347/958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158FE"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20 (at position 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93FDA9F"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80</w:t>
            </w:r>
          </w:p>
        </w:tc>
      </w:tr>
      <w:tr w:rsidR="00A43083" w:rsidRPr="00A43083" w14:paraId="3BBD9DA2"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340E2194"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Abu Muhammad al-</w:t>
            </w:r>
            <w:proofErr w:type="spellStart"/>
            <w:r w:rsidRPr="00A43083">
              <w:rPr>
                <w:rFonts w:ascii="Arial" w:eastAsia="Times New Roman" w:hAnsi="Arial"/>
                <w:kern w:val="0"/>
                <w:sz w:val="20"/>
                <w:szCs w:val="20"/>
                <w:lang w:eastAsia="en-GB"/>
              </w:rPr>
              <w:t>Akfani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AF9E4"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524/1129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1727A"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3380 (at position 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517335"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65</w:t>
            </w:r>
          </w:p>
        </w:tc>
      </w:tr>
      <w:tr w:rsidR="00A43083" w:rsidRPr="00A43083" w14:paraId="43408A35"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74552079"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 xml:space="preserve">Ibn </w:t>
            </w:r>
            <w:proofErr w:type="spellStart"/>
            <w:r w:rsidRPr="00A43083">
              <w:rPr>
                <w:rFonts w:ascii="Arial" w:eastAsia="Times New Roman" w:hAnsi="Arial"/>
                <w:kern w:val="0"/>
                <w:sz w:val="20"/>
                <w:szCs w:val="20"/>
                <w:lang w:val="it-IT" w:eastAsia="en-GB"/>
              </w:rPr>
              <w:t>Abi</w:t>
            </w:r>
            <w:proofErr w:type="spellEnd"/>
            <w:r w:rsidRPr="00A43083">
              <w:rPr>
                <w:rFonts w:ascii="Arial" w:eastAsia="Times New Roman" w:hAnsi="Arial"/>
                <w:kern w:val="0"/>
                <w:sz w:val="20"/>
                <w:szCs w:val="20"/>
                <w:lang w:val="it-IT" w:eastAsia="en-GB"/>
              </w:rPr>
              <w:t xml:space="preserve"> al-'</w:t>
            </w:r>
            <w:proofErr w:type="spellStart"/>
            <w:r w:rsidRPr="00A43083">
              <w:rPr>
                <w:rFonts w:ascii="Arial" w:eastAsia="Times New Roman" w:hAnsi="Arial"/>
                <w:kern w:val="0"/>
                <w:sz w:val="20"/>
                <w:szCs w:val="20"/>
                <w:lang w:val="it-IT" w:eastAsia="en-GB"/>
              </w:rPr>
              <w:t>Aja`iz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CBACE2"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4155F"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A4AAFD"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53</w:t>
            </w:r>
          </w:p>
        </w:tc>
      </w:tr>
      <w:tr w:rsidR="00A43083" w:rsidRPr="00A43083" w14:paraId="01EB801E"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1E02F0C4"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al-</w:t>
            </w:r>
            <w:proofErr w:type="spellStart"/>
            <w:r w:rsidRPr="00A43083">
              <w:rPr>
                <w:rFonts w:ascii="Arial" w:eastAsia="Times New Roman" w:hAnsi="Arial"/>
                <w:kern w:val="0"/>
                <w:sz w:val="20"/>
                <w:szCs w:val="20"/>
                <w:lang w:eastAsia="en-GB"/>
              </w:rPr>
              <w:t>Maqdisi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B5D0D"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507/1113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DB15D"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87 (at position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1D9F727"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52</w:t>
            </w:r>
          </w:p>
        </w:tc>
      </w:tr>
      <w:tr w:rsidR="00A43083" w:rsidRPr="00A43083" w14:paraId="7E06F96E"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29EB66C"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Abu 'Abd Allah Muhammad b. Ibrahim al-</w:t>
            </w:r>
            <w:proofErr w:type="spellStart"/>
            <w:r w:rsidRPr="00A43083">
              <w:rPr>
                <w:rFonts w:ascii="Arial" w:eastAsia="Times New Roman" w:hAnsi="Arial"/>
                <w:kern w:val="0"/>
                <w:sz w:val="20"/>
                <w:szCs w:val="20"/>
                <w:lang w:eastAsia="en-GB"/>
              </w:rPr>
              <w:t>Kinani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91790"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99E75A"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94D1AB8"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37</w:t>
            </w:r>
          </w:p>
        </w:tc>
      </w:tr>
      <w:tr w:rsidR="00A43083" w:rsidRPr="00A43083" w14:paraId="4760A8B6"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C9BE313"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al-</w:t>
            </w:r>
            <w:proofErr w:type="spellStart"/>
            <w:r w:rsidRPr="00A43083">
              <w:rPr>
                <w:rFonts w:ascii="Arial" w:eastAsia="Times New Roman" w:hAnsi="Arial"/>
                <w:kern w:val="0"/>
                <w:sz w:val="20"/>
                <w:szCs w:val="20"/>
                <w:lang w:eastAsia="en-GB"/>
              </w:rPr>
              <w:t>Baladhuri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4252"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279/892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4055B"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97E2511"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33</w:t>
            </w:r>
          </w:p>
        </w:tc>
      </w:tr>
      <w:tr w:rsidR="00A43083" w:rsidRPr="00A43083" w14:paraId="1295FCD1"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2352D0A"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Abu al-Hasan Muhammad b. Ahmad b. al-</w:t>
            </w:r>
            <w:proofErr w:type="spellStart"/>
            <w:r w:rsidRPr="00A43083">
              <w:rPr>
                <w:rFonts w:ascii="Arial" w:eastAsia="Times New Roman" w:hAnsi="Arial"/>
                <w:kern w:val="0"/>
                <w:sz w:val="20"/>
                <w:szCs w:val="20"/>
                <w:lang w:val="it-IT" w:eastAsia="en-GB"/>
              </w:rPr>
              <w:t>Fawaris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DCEDF"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60C9E"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9DEC771"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30</w:t>
            </w:r>
          </w:p>
        </w:tc>
      </w:tr>
      <w:tr w:rsidR="00A43083" w:rsidRPr="00A43083" w14:paraId="16D74FE7"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1F108B56"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al-</w:t>
            </w:r>
            <w:proofErr w:type="spellStart"/>
            <w:r w:rsidRPr="00A43083">
              <w:rPr>
                <w:rFonts w:ascii="Arial" w:eastAsia="Times New Roman" w:hAnsi="Arial"/>
                <w:kern w:val="0"/>
                <w:sz w:val="20"/>
                <w:szCs w:val="20"/>
                <w:lang w:eastAsia="en-GB"/>
              </w:rPr>
              <w:t>Waqidi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E1890"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207/822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C1409B"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68 (across positions)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3D82A31"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28</w:t>
            </w:r>
          </w:p>
        </w:tc>
      </w:tr>
      <w:tr w:rsidR="00A43083" w:rsidRPr="00A43083" w14:paraId="12ABC99D"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5D2109F0"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Abu Muhammad b. Sabir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71ECB"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52D15"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81 (position 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28F6894"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26</w:t>
            </w:r>
          </w:p>
        </w:tc>
      </w:tr>
      <w:tr w:rsidR="00A43083" w:rsidRPr="00A43083" w14:paraId="294612FD"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3624953"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Abi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3E552"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519/1125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15168"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32 (position 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BCDBB9"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22</w:t>
            </w:r>
          </w:p>
        </w:tc>
      </w:tr>
      <w:tr w:rsidR="00A43083" w:rsidRPr="00A43083" w14:paraId="6E4EF136" w14:textId="77777777" w:rsidTr="00A4308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00533208"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al-Tabari</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2B30047"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310/923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1E4D14"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FE3B2"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18</w:t>
            </w:r>
          </w:p>
        </w:tc>
      </w:tr>
    </w:tbl>
    <w:p w14:paraId="7105ABBC" w14:textId="670806C1" w:rsidR="00422803" w:rsidRPr="009865FC" w:rsidRDefault="00422803" w:rsidP="00A43083">
      <w:pPr>
        <w:spacing w:line="240" w:lineRule="auto"/>
        <w:rPr>
          <w:rFonts w:asciiTheme="minorHAnsi" w:hAnsiTheme="minorHAnsi" w:cstheme="minorHAnsi"/>
          <w:kern w:val="0"/>
          <w:sz w:val="24"/>
          <w:szCs w:val="24"/>
          <w:lang w:eastAsia="en-GB"/>
        </w:rPr>
      </w:pPr>
      <w:r w:rsidRPr="009865FC">
        <w:rPr>
          <w:rFonts w:asciiTheme="minorHAnsi" w:hAnsiTheme="minorHAnsi" w:cstheme="minorHAnsi"/>
          <w:kern w:val="0"/>
          <w:sz w:val="24"/>
          <w:szCs w:val="24"/>
          <w:lang w:eastAsia="en-GB"/>
        </w:rPr>
        <w:t xml:space="preserve">Table 6.4: The names Ibn </w:t>
      </w:r>
      <w:proofErr w:type="spellStart"/>
      <w:r w:rsidRPr="009865FC">
        <w:rPr>
          <w:rFonts w:asciiTheme="minorHAnsi" w:hAnsiTheme="minorHAnsi" w:cstheme="minorHAnsi"/>
          <w:kern w:val="0"/>
          <w:sz w:val="24"/>
          <w:szCs w:val="24"/>
          <w:lang w:eastAsia="en-GB"/>
        </w:rPr>
        <w:t>ʿAsākir</w:t>
      </w:r>
      <w:proofErr w:type="spellEnd"/>
      <w:r w:rsidRPr="009865FC">
        <w:rPr>
          <w:rFonts w:asciiTheme="minorHAnsi" w:hAnsiTheme="minorHAnsi" w:cstheme="minorHAnsi"/>
          <w:kern w:val="0"/>
          <w:sz w:val="24"/>
          <w:szCs w:val="24"/>
          <w:lang w:eastAsia="en-GB"/>
        </w:rPr>
        <w:t xml:space="preserve"> cites most frequently using this phrase.</w:t>
      </w:r>
      <w:r w:rsidR="00B305D3">
        <w:rPr>
          <w:rStyle w:val="FootnoteReference"/>
          <w:rFonts w:asciiTheme="minorHAnsi" w:hAnsiTheme="minorHAnsi" w:cstheme="minorHAnsi"/>
          <w:kern w:val="0"/>
          <w:sz w:val="24"/>
          <w:szCs w:val="24"/>
          <w:lang w:eastAsia="en-GB"/>
        </w:rPr>
        <w:footnoteReference w:id="21"/>
      </w:r>
    </w:p>
    <w:p w14:paraId="11520FE9" w14:textId="1267DAE4" w:rsidR="009F0C2B" w:rsidRPr="009865FC" w:rsidRDefault="009F0C2B" w:rsidP="005A0289">
      <w:pPr>
        <w:spacing w:line="240" w:lineRule="auto"/>
        <w:rPr>
          <w:rFonts w:asciiTheme="minorHAnsi" w:hAnsiTheme="minorHAnsi" w:cstheme="minorHAnsi"/>
          <w:kern w:val="0"/>
          <w:sz w:val="24"/>
          <w:szCs w:val="24"/>
          <w:lang w:eastAsia="en-GB"/>
        </w:rPr>
      </w:pPr>
      <w:r w:rsidRPr="009865FC">
        <w:rPr>
          <w:rFonts w:asciiTheme="minorHAnsi" w:hAnsiTheme="minorHAnsi" w:cstheme="minorHAnsi"/>
          <w:kern w:val="0"/>
          <w:sz w:val="24"/>
          <w:szCs w:val="24"/>
          <w:lang w:eastAsia="en-GB"/>
        </w:rPr>
        <w:t>The list in Table 6.4 includes six persons from our author list: Abu al-</w:t>
      </w:r>
      <w:proofErr w:type="spellStart"/>
      <w:r w:rsidRPr="009865FC">
        <w:rPr>
          <w:rFonts w:asciiTheme="minorHAnsi" w:hAnsiTheme="minorHAnsi" w:cstheme="minorHAnsi"/>
          <w:kern w:val="0"/>
          <w:sz w:val="24"/>
          <w:szCs w:val="24"/>
          <w:lang w:eastAsia="en-GB"/>
        </w:rPr>
        <w:t>Husayn</w:t>
      </w:r>
      <w:proofErr w:type="spellEnd"/>
      <w:r w:rsidRPr="009865FC">
        <w:rPr>
          <w:rFonts w:asciiTheme="minorHAnsi" w:hAnsiTheme="minorHAnsi" w:cstheme="minorHAnsi"/>
          <w:kern w:val="0"/>
          <w:sz w:val="24"/>
          <w:szCs w:val="24"/>
          <w:lang w:eastAsia="en-GB"/>
        </w:rPr>
        <w:t xml:space="preserve"> al-Razi, Abu Muhammad al-</w:t>
      </w:r>
      <w:proofErr w:type="spellStart"/>
      <w:r w:rsidRPr="009865FC">
        <w:rPr>
          <w:rFonts w:asciiTheme="minorHAnsi" w:hAnsiTheme="minorHAnsi" w:cstheme="minorHAnsi"/>
          <w:kern w:val="0"/>
          <w:sz w:val="24"/>
          <w:szCs w:val="24"/>
          <w:lang w:eastAsia="en-GB"/>
        </w:rPr>
        <w:t>Akfani</w:t>
      </w:r>
      <w:proofErr w:type="spellEnd"/>
      <w:r w:rsidRPr="009865FC">
        <w:rPr>
          <w:rFonts w:asciiTheme="minorHAnsi" w:hAnsiTheme="minorHAnsi" w:cstheme="minorHAnsi"/>
          <w:kern w:val="0"/>
          <w:sz w:val="24"/>
          <w:szCs w:val="24"/>
          <w:lang w:eastAsia="en-GB"/>
        </w:rPr>
        <w:t>, al-</w:t>
      </w:r>
      <w:proofErr w:type="spellStart"/>
      <w:r w:rsidRPr="009865FC">
        <w:rPr>
          <w:rFonts w:asciiTheme="minorHAnsi" w:hAnsiTheme="minorHAnsi" w:cstheme="minorHAnsi"/>
          <w:kern w:val="0"/>
          <w:sz w:val="24"/>
          <w:szCs w:val="24"/>
          <w:lang w:eastAsia="en-GB"/>
        </w:rPr>
        <w:t>Maqdisi</w:t>
      </w:r>
      <w:proofErr w:type="spellEnd"/>
      <w:r w:rsidRPr="009865FC">
        <w:rPr>
          <w:rFonts w:asciiTheme="minorHAnsi" w:hAnsiTheme="minorHAnsi" w:cstheme="minorHAnsi"/>
          <w:kern w:val="0"/>
          <w:sz w:val="24"/>
          <w:szCs w:val="24"/>
          <w:lang w:eastAsia="en-GB"/>
        </w:rPr>
        <w:t>, al-</w:t>
      </w:r>
      <w:proofErr w:type="spellStart"/>
      <w:r w:rsidRPr="009865FC">
        <w:rPr>
          <w:rFonts w:asciiTheme="minorHAnsi" w:hAnsiTheme="minorHAnsi" w:cstheme="minorHAnsi"/>
          <w:kern w:val="0"/>
          <w:sz w:val="24"/>
          <w:szCs w:val="24"/>
          <w:lang w:eastAsia="en-GB"/>
        </w:rPr>
        <w:t>Baladhuri</w:t>
      </w:r>
      <w:proofErr w:type="spellEnd"/>
      <w:r w:rsidRPr="009865FC">
        <w:rPr>
          <w:rFonts w:asciiTheme="minorHAnsi" w:hAnsiTheme="minorHAnsi" w:cstheme="minorHAnsi"/>
          <w:kern w:val="0"/>
          <w:sz w:val="24"/>
          <w:szCs w:val="24"/>
          <w:lang w:eastAsia="en-GB"/>
        </w:rPr>
        <w:t>, al-</w:t>
      </w:r>
      <w:proofErr w:type="spellStart"/>
      <w:r w:rsidRPr="009865FC">
        <w:rPr>
          <w:rFonts w:asciiTheme="minorHAnsi" w:hAnsiTheme="minorHAnsi" w:cstheme="minorHAnsi"/>
          <w:kern w:val="0"/>
          <w:sz w:val="24"/>
          <w:szCs w:val="24"/>
          <w:lang w:eastAsia="en-GB"/>
        </w:rPr>
        <w:t>Waqidi</w:t>
      </w:r>
      <w:proofErr w:type="spellEnd"/>
      <w:r w:rsidRPr="009865FC">
        <w:rPr>
          <w:rFonts w:asciiTheme="minorHAnsi" w:hAnsiTheme="minorHAnsi" w:cstheme="minorHAnsi"/>
          <w:kern w:val="0"/>
          <w:sz w:val="24"/>
          <w:szCs w:val="24"/>
          <w:lang w:eastAsia="en-GB"/>
        </w:rPr>
        <w:t xml:space="preserve">, and al-Tabari. It also includes Ibn </w:t>
      </w:r>
      <w:proofErr w:type="spellStart"/>
      <w:r w:rsidRPr="009865FC">
        <w:rPr>
          <w:rFonts w:asciiTheme="minorHAnsi" w:hAnsiTheme="minorHAnsi" w:cstheme="minorHAnsi"/>
          <w:kern w:val="0"/>
          <w:sz w:val="24"/>
          <w:szCs w:val="24"/>
          <w:lang w:eastAsia="en-GB"/>
        </w:rPr>
        <w:t>ʿAsākir’s</w:t>
      </w:r>
      <w:proofErr w:type="spellEnd"/>
      <w:r w:rsidRPr="009865FC">
        <w:rPr>
          <w:rFonts w:asciiTheme="minorHAnsi" w:hAnsiTheme="minorHAnsi" w:cstheme="minorHAnsi"/>
          <w:kern w:val="0"/>
          <w:sz w:val="24"/>
          <w:szCs w:val="24"/>
          <w:lang w:eastAsia="en-GB"/>
        </w:rPr>
        <w:t xml:space="preserve"> father, as ‘Abi’.</w:t>
      </w:r>
    </w:p>
    <w:p w14:paraId="017115AD" w14:textId="77777777" w:rsidR="00A43083" w:rsidRDefault="00255A0A" w:rsidP="00A43083">
      <w:pPr>
        <w:spacing w:line="240" w:lineRule="auto"/>
        <w:rPr>
          <w:rFonts w:asciiTheme="minorHAnsi" w:hAnsiTheme="minorHAnsi" w:cstheme="minorHAnsi"/>
          <w:sz w:val="24"/>
          <w:szCs w:val="24"/>
        </w:rPr>
      </w:pPr>
      <w:r w:rsidRPr="009865FC">
        <w:rPr>
          <w:rFonts w:asciiTheme="minorHAnsi" w:hAnsiTheme="minorHAnsi" w:cstheme="minorHAnsi"/>
          <w:kern w:val="0"/>
          <w:sz w:val="24"/>
          <w:szCs w:val="24"/>
          <w:lang w:eastAsia="en-GB"/>
        </w:rPr>
        <w:t xml:space="preserve">In </w:t>
      </w:r>
      <w:r w:rsidR="009F0C2B" w:rsidRPr="009865FC">
        <w:rPr>
          <w:rFonts w:asciiTheme="minorHAnsi" w:hAnsiTheme="minorHAnsi" w:cstheme="minorHAnsi"/>
          <w:kern w:val="0"/>
          <w:sz w:val="24"/>
          <w:szCs w:val="24"/>
          <w:lang w:eastAsia="en-GB"/>
        </w:rPr>
        <w:t>198</w:t>
      </w:r>
      <w:r w:rsidRPr="009865FC">
        <w:rPr>
          <w:rFonts w:asciiTheme="minorHAnsi" w:hAnsiTheme="minorHAnsi" w:cstheme="minorHAnsi"/>
          <w:kern w:val="0"/>
          <w:sz w:val="24"/>
          <w:szCs w:val="24"/>
          <w:lang w:eastAsia="en-GB"/>
        </w:rPr>
        <w:t xml:space="preserve"> cases, </w:t>
      </w:r>
      <w:r w:rsidR="009F0C2B" w:rsidRPr="009865FC">
        <w:rPr>
          <w:rFonts w:asciiTheme="minorHAnsi" w:hAnsiTheme="minorHAnsi" w:cstheme="minorHAnsi"/>
          <w:kern w:val="0"/>
          <w:sz w:val="24"/>
          <w:szCs w:val="24"/>
          <w:lang w:eastAsia="en-GB"/>
        </w:rPr>
        <w:t xml:space="preserve">Ibn </w:t>
      </w:r>
      <w:proofErr w:type="spellStart"/>
      <w:r w:rsidR="009F0C2B" w:rsidRPr="009865FC">
        <w:rPr>
          <w:rFonts w:asciiTheme="minorHAnsi" w:hAnsiTheme="minorHAnsi" w:cstheme="minorHAnsi"/>
          <w:kern w:val="0"/>
          <w:sz w:val="24"/>
          <w:szCs w:val="24"/>
          <w:lang w:eastAsia="en-GB"/>
        </w:rPr>
        <w:t>ʿAsākir</w:t>
      </w:r>
      <w:proofErr w:type="spellEnd"/>
      <w:r w:rsidRPr="009865FC">
        <w:rPr>
          <w:rFonts w:asciiTheme="minorHAnsi" w:hAnsiTheme="minorHAnsi" w:cstheme="minorHAnsi"/>
          <w:kern w:val="0"/>
          <w:sz w:val="24"/>
          <w:szCs w:val="24"/>
          <w:lang w:eastAsia="en-GB"/>
        </w:rPr>
        <w:t xml:space="preserve"> uses </w:t>
      </w:r>
      <w:proofErr w:type="spellStart"/>
      <w:r w:rsidR="009F0C2B" w:rsidRPr="009865FC">
        <w:rPr>
          <w:rFonts w:asciiTheme="minorHAnsi" w:hAnsiTheme="minorHAnsi" w:cstheme="minorHAnsi"/>
          <w:i/>
          <w:iCs/>
          <w:kern w:val="0"/>
          <w:sz w:val="24"/>
          <w:szCs w:val="24"/>
          <w:lang w:eastAsia="en-GB"/>
        </w:rPr>
        <w:t>dhakara</w:t>
      </w:r>
      <w:proofErr w:type="spellEnd"/>
      <w:r w:rsidRPr="009865FC">
        <w:rPr>
          <w:rFonts w:asciiTheme="minorHAnsi" w:hAnsiTheme="minorHAnsi" w:cstheme="minorHAnsi"/>
          <w:kern w:val="0"/>
          <w:sz w:val="24"/>
          <w:szCs w:val="24"/>
          <w:lang w:eastAsia="en-GB"/>
        </w:rPr>
        <w:t xml:space="preserve"> to cite a book, as in ‘Ibn </w:t>
      </w:r>
      <w:proofErr w:type="spellStart"/>
      <w:r w:rsidRPr="009865FC">
        <w:rPr>
          <w:rFonts w:asciiTheme="minorHAnsi" w:hAnsiTheme="minorHAnsi" w:cstheme="minorHAnsi"/>
          <w:kern w:val="0"/>
          <w:sz w:val="24"/>
          <w:szCs w:val="24"/>
          <w:lang w:eastAsia="en-GB"/>
        </w:rPr>
        <w:t>Hibban</w:t>
      </w:r>
      <w:proofErr w:type="spellEnd"/>
      <w:r w:rsidRPr="009865FC">
        <w:rPr>
          <w:rFonts w:asciiTheme="minorHAnsi" w:hAnsiTheme="minorHAnsi" w:cstheme="minorHAnsi"/>
          <w:kern w:val="0"/>
          <w:sz w:val="24"/>
          <w:szCs w:val="24"/>
          <w:lang w:eastAsia="en-GB"/>
        </w:rPr>
        <w:t xml:space="preserve"> [d. 354/965] </w:t>
      </w:r>
      <w:r w:rsidR="009F0C2B" w:rsidRPr="009865FC">
        <w:rPr>
          <w:rFonts w:asciiTheme="minorHAnsi" w:hAnsiTheme="minorHAnsi" w:cstheme="minorHAnsi"/>
          <w:kern w:val="0"/>
          <w:sz w:val="24"/>
          <w:szCs w:val="24"/>
          <w:lang w:eastAsia="en-GB"/>
        </w:rPr>
        <w:t xml:space="preserve">stated </w:t>
      </w:r>
      <w:r w:rsidRPr="009865FC">
        <w:rPr>
          <w:rFonts w:asciiTheme="minorHAnsi" w:hAnsiTheme="minorHAnsi" w:cstheme="minorHAnsi"/>
          <w:kern w:val="0"/>
          <w:sz w:val="24"/>
          <w:szCs w:val="24"/>
          <w:lang w:eastAsia="en-GB"/>
        </w:rPr>
        <w:t xml:space="preserve">it in </w:t>
      </w:r>
      <w:proofErr w:type="spellStart"/>
      <w:r w:rsidRPr="009865FC">
        <w:rPr>
          <w:rFonts w:asciiTheme="minorHAnsi" w:hAnsiTheme="minorHAnsi" w:cstheme="minorHAnsi"/>
          <w:i/>
          <w:iCs/>
          <w:kern w:val="0"/>
          <w:sz w:val="24"/>
          <w:szCs w:val="24"/>
          <w:lang w:eastAsia="en-GB"/>
        </w:rPr>
        <w:t>Kitāb</w:t>
      </w:r>
      <w:proofErr w:type="spellEnd"/>
      <w:r w:rsidRPr="009865FC">
        <w:rPr>
          <w:rFonts w:asciiTheme="minorHAnsi" w:hAnsiTheme="minorHAnsi" w:cstheme="minorHAnsi"/>
          <w:i/>
          <w:iCs/>
          <w:kern w:val="0"/>
          <w:sz w:val="24"/>
          <w:szCs w:val="24"/>
          <w:lang w:eastAsia="en-GB"/>
        </w:rPr>
        <w:t xml:space="preserve"> al-</w:t>
      </w:r>
      <w:proofErr w:type="spellStart"/>
      <w:r w:rsidRPr="009865FC">
        <w:rPr>
          <w:rFonts w:asciiTheme="minorHAnsi" w:hAnsiTheme="minorHAnsi" w:cstheme="minorHAnsi"/>
          <w:i/>
          <w:iCs/>
          <w:kern w:val="0"/>
          <w:sz w:val="24"/>
          <w:szCs w:val="24"/>
          <w:lang w:eastAsia="en-GB"/>
        </w:rPr>
        <w:t>Thiqāt</w:t>
      </w:r>
      <w:proofErr w:type="spellEnd"/>
      <w:r w:rsidRPr="009865FC">
        <w:rPr>
          <w:rFonts w:asciiTheme="minorHAnsi" w:hAnsiTheme="minorHAnsi" w:cstheme="minorHAnsi"/>
          <w:kern w:val="0"/>
          <w:sz w:val="24"/>
          <w:szCs w:val="24"/>
          <w:lang w:eastAsia="en-GB"/>
        </w:rPr>
        <w:t xml:space="preserve">’. </w:t>
      </w:r>
      <w:r w:rsidR="00D02B53" w:rsidRPr="009865FC">
        <w:rPr>
          <w:rFonts w:asciiTheme="minorHAnsi" w:hAnsiTheme="minorHAnsi" w:cstheme="minorHAnsi"/>
          <w:kern w:val="0"/>
          <w:sz w:val="24"/>
          <w:szCs w:val="24"/>
          <w:lang w:eastAsia="en-GB"/>
        </w:rPr>
        <w:t xml:space="preserve">There are many titles cited only once or twice. Three of the five most frequently cited works are </w:t>
      </w:r>
      <w:proofErr w:type="spellStart"/>
      <w:r w:rsidR="00D02B53" w:rsidRPr="009865FC">
        <w:rPr>
          <w:rFonts w:asciiTheme="minorHAnsi" w:hAnsiTheme="minorHAnsi" w:cstheme="minorHAnsi"/>
          <w:i/>
          <w:iCs/>
          <w:kern w:val="0"/>
          <w:sz w:val="24"/>
          <w:szCs w:val="24"/>
          <w:lang w:eastAsia="en-GB"/>
        </w:rPr>
        <w:t>tasmiya</w:t>
      </w:r>
      <w:proofErr w:type="spellEnd"/>
      <w:r w:rsidR="00D02B53" w:rsidRPr="009865FC">
        <w:rPr>
          <w:rFonts w:asciiTheme="minorHAnsi" w:hAnsiTheme="minorHAnsi" w:cstheme="minorHAnsi"/>
          <w:kern w:val="0"/>
          <w:sz w:val="24"/>
          <w:szCs w:val="24"/>
          <w:lang w:eastAsia="en-GB"/>
        </w:rPr>
        <w:t xml:space="preserve"> works. Sixteen times Ibn </w:t>
      </w:r>
      <w:proofErr w:type="spellStart"/>
      <w:r w:rsidR="00D02B53" w:rsidRPr="009865FC">
        <w:rPr>
          <w:rFonts w:asciiTheme="minorHAnsi" w:hAnsiTheme="minorHAnsi" w:cstheme="minorHAnsi"/>
          <w:kern w:val="0"/>
          <w:sz w:val="24"/>
          <w:szCs w:val="24"/>
          <w:lang w:eastAsia="en-GB"/>
        </w:rPr>
        <w:t>ʿAsākir</w:t>
      </w:r>
      <w:proofErr w:type="spellEnd"/>
      <w:r w:rsidR="00D02B53" w:rsidRPr="009865FC">
        <w:rPr>
          <w:rFonts w:asciiTheme="minorHAnsi" w:hAnsiTheme="minorHAnsi" w:cstheme="minorHAnsi"/>
          <w:kern w:val="0"/>
          <w:sz w:val="24"/>
          <w:szCs w:val="24"/>
          <w:lang w:eastAsia="en-GB"/>
        </w:rPr>
        <w:t xml:space="preserve"> cites a person and his </w:t>
      </w:r>
      <w:proofErr w:type="spellStart"/>
      <w:r w:rsidR="00D02B53" w:rsidRPr="009865FC">
        <w:rPr>
          <w:rFonts w:asciiTheme="minorHAnsi" w:hAnsiTheme="minorHAnsi" w:cstheme="minorHAnsi"/>
          <w:i/>
          <w:iCs/>
          <w:kern w:val="0"/>
          <w:sz w:val="24"/>
          <w:szCs w:val="24"/>
          <w:lang w:eastAsia="en-GB"/>
        </w:rPr>
        <w:t>tārīkh</w:t>
      </w:r>
      <w:proofErr w:type="spellEnd"/>
      <w:r w:rsidR="00D02B53" w:rsidRPr="009865FC">
        <w:rPr>
          <w:rFonts w:asciiTheme="minorHAnsi" w:hAnsiTheme="minorHAnsi" w:cstheme="minorHAnsi"/>
          <w:kern w:val="0"/>
          <w:sz w:val="24"/>
          <w:szCs w:val="24"/>
          <w:lang w:eastAsia="en-GB"/>
        </w:rPr>
        <w:t xml:space="preserve"> (</w:t>
      </w:r>
      <w:proofErr w:type="spellStart"/>
      <w:r w:rsidR="00D02B53" w:rsidRPr="009865FC">
        <w:rPr>
          <w:rFonts w:asciiTheme="minorHAnsi" w:hAnsiTheme="minorHAnsi" w:cstheme="minorHAnsi"/>
          <w:i/>
          <w:iCs/>
          <w:kern w:val="0"/>
          <w:sz w:val="24"/>
          <w:szCs w:val="24"/>
          <w:lang w:eastAsia="en-GB"/>
        </w:rPr>
        <w:t>tārīkhihi</w:t>
      </w:r>
      <w:proofErr w:type="spellEnd"/>
      <w:r w:rsidR="00D02B53" w:rsidRPr="009865FC">
        <w:rPr>
          <w:rFonts w:asciiTheme="minorHAnsi" w:hAnsiTheme="minorHAnsi" w:cstheme="minorHAnsi"/>
          <w:kern w:val="0"/>
          <w:sz w:val="24"/>
          <w:szCs w:val="24"/>
          <w:lang w:eastAsia="en-GB"/>
        </w:rPr>
        <w:t xml:space="preserve">). </w:t>
      </w:r>
      <w:r w:rsidR="001152CE" w:rsidRPr="009865FC">
        <w:rPr>
          <w:rFonts w:asciiTheme="minorHAnsi" w:hAnsiTheme="minorHAnsi" w:cstheme="minorHAnsi"/>
          <w:kern w:val="0"/>
          <w:sz w:val="24"/>
          <w:szCs w:val="24"/>
          <w:lang w:eastAsia="en-GB"/>
        </w:rPr>
        <w:t>He cites</w:t>
      </w:r>
      <w:r w:rsidR="00D02B53" w:rsidRPr="009865FC">
        <w:rPr>
          <w:rFonts w:asciiTheme="minorHAnsi" w:hAnsiTheme="minorHAnsi" w:cstheme="minorHAnsi"/>
          <w:kern w:val="0"/>
          <w:sz w:val="24"/>
          <w:szCs w:val="24"/>
          <w:lang w:eastAsia="en-GB"/>
        </w:rPr>
        <w:t xml:space="preserve"> </w:t>
      </w:r>
      <w:r w:rsidR="001152CE" w:rsidRPr="009865FC">
        <w:rPr>
          <w:rFonts w:asciiTheme="minorHAnsi" w:hAnsiTheme="minorHAnsi" w:cstheme="minorHAnsi"/>
          <w:sz w:val="24"/>
          <w:szCs w:val="24"/>
        </w:rPr>
        <w:t>Abu 'Abd al-Rahman al-</w:t>
      </w:r>
      <w:proofErr w:type="spellStart"/>
      <w:r w:rsidR="001152CE" w:rsidRPr="009865FC">
        <w:rPr>
          <w:rFonts w:asciiTheme="minorHAnsi" w:hAnsiTheme="minorHAnsi" w:cstheme="minorHAnsi"/>
          <w:sz w:val="24"/>
          <w:szCs w:val="24"/>
        </w:rPr>
        <w:t>Sulami’s</w:t>
      </w:r>
      <w:proofErr w:type="spellEnd"/>
      <w:r w:rsidR="001152CE" w:rsidRPr="009865FC">
        <w:rPr>
          <w:rFonts w:asciiTheme="minorHAnsi" w:hAnsiTheme="minorHAnsi" w:cstheme="minorHAnsi"/>
          <w:sz w:val="24"/>
          <w:szCs w:val="24"/>
        </w:rPr>
        <w:t xml:space="preserve"> (</w:t>
      </w:r>
      <w:r w:rsidR="009865FC" w:rsidRPr="009865FC">
        <w:rPr>
          <w:rFonts w:asciiTheme="minorHAnsi" w:hAnsiTheme="minorHAnsi" w:cstheme="minorHAnsi"/>
          <w:sz w:val="24"/>
          <w:szCs w:val="24"/>
        </w:rPr>
        <w:t>d. 412/1021</w:t>
      </w:r>
      <w:r w:rsidR="001152CE" w:rsidRPr="009865FC">
        <w:rPr>
          <w:rFonts w:asciiTheme="minorHAnsi" w:hAnsiTheme="minorHAnsi" w:cstheme="minorHAnsi"/>
          <w:sz w:val="24"/>
          <w:szCs w:val="24"/>
        </w:rPr>
        <w:t xml:space="preserve">) </w:t>
      </w:r>
      <w:proofErr w:type="spellStart"/>
      <w:r w:rsidR="001152CE" w:rsidRPr="009865FC">
        <w:rPr>
          <w:rFonts w:asciiTheme="minorHAnsi" w:hAnsiTheme="minorHAnsi" w:cstheme="minorHAnsi"/>
          <w:i/>
          <w:iCs/>
          <w:sz w:val="24"/>
          <w:szCs w:val="24"/>
        </w:rPr>
        <w:t>Tārīkh</w:t>
      </w:r>
      <w:proofErr w:type="spellEnd"/>
      <w:r w:rsidR="001152CE" w:rsidRPr="009865FC">
        <w:rPr>
          <w:rFonts w:asciiTheme="minorHAnsi" w:hAnsiTheme="minorHAnsi" w:cstheme="minorHAnsi"/>
          <w:i/>
          <w:iCs/>
          <w:sz w:val="24"/>
          <w:szCs w:val="24"/>
        </w:rPr>
        <w:t xml:space="preserve"> al-</w:t>
      </w:r>
      <w:proofErr w:type="spellStart"/>
      <w:r w:rsidR="001152CE" w:rsidRPr="009865FC">
        <w:rPr>
          <w:rFonts w:asciiTheme="minorHAnsi" w:hAnsiTheme="minorHAnsi" w:cstheme="minorHAnsi"/>
          <w:i/>
          <w:iCs/>
          <w:sz w:val="24"/>
          <w:szCs w:val="24"/>
        </w:rPr>
        <w:t>Sūfiyya</w:t>
      </w:r>
      <w:proofErr w:type="spellEnd"/>
      <w:r w:rsidR="001152CE" w:rsidRPr="009865FC">
        <w:rPr>
          <w:rFonts w:asciiTheme="minorHAnsi" w:hAnsiTheme="minorHAnsi" w:cstheme="minorHAnsi"/>
          <w:i/>
          <w:iCs/>
          <w:sz w:val="24"/>
          <w:szCs w:val="24"/>
        </w:rPr>
        <w:t xml:space="preserve"> </w:t>
      </w:r>
      <w:r w:rsidR="001152CE" w:rsidRPr="009865FC">
        <w:rPr>
          <w:rFonts w:asciiTheme="minorHAnsi" w:hAnsiTheme="minorHAnsi" w:cstheme="minorHAnsi"/>
          <w:sz w:val="24"/>
          <w:szCs w:val="24"/>
        </w:rPr>
        <w:t>five times and also al-</w:t>
      </w:r>
      <w:proofErr w:type="spellStart"/>
      <w:r w:rsidR="001152CE" w:rsidRPr="009865FC">
        <w:rPr>
          <w:rFonts w:asciiTheme="minorHAnsi" w:hAnsiTheme="minorHAnsi" w:cstheme="minorHAnsi"/>
          <w:sz w:val="24"/>
          <w:szCs w:val="24"/>
        </w:rPr>
        <w:t>Maqdisi’s</w:t>
      </w:r>
      <w:proofErr w:type="spellEnd"/>
      <w:r w:rsidR="001152CE" w:rsidRPr="009865FC">
        <w:rPr>
          <w:rFonts w:asciiTheme="minorHAnsi" w:hAnsiTheme="minorHAnsi" w:cstheme="minorHAnsi"/>
          <w:sz w:val="24"/>
          <w:szCs w:val="24"/>
        </w:rPr>
        <w:t xml:space="preserve"> </w:t>
      </w:r>
      <w:proofErr w:type="spellStart"/>
      <w:r w:rsidR="001152CE" w:rsidRPr="009865FC">
        <w:rPr>
          <w:rFonts w:asciiTheme="minorHAnsi" w:hAnsiTheme="minorHAnsi" w:cstheme="minorHAnsi"/>
          <w:i/>
          <w:iCs/>
          <w:sz w:val="24"/>
          <w:szCs w:val="24"/>
        </w:rPr>
        <w:t>Kitāb</w:t>
      </w:r>
      <w:proofErr w:type="spellEnd"/>
      <w:r w:rsidR="001152CE" w:rsidRPr="009865FC">
        <w:rPr>
          <w:rFonts w:asciiTheme="minorHAnsi" w:hAnsiTheme="minorHAnsi" w:cstheme="minorHAnsi"/>
          <w:i/>
          <w:iCs/>
          <w:sz w:val="24"/>
          <w:szCs w:val="24"/>
        </w:rPr>
        <w:t xml:space="preserve"> </w:t>
      </w:r>
      <w:proofErr w:type="spellStart"/>
      <w:r w:rsidR="001152CE" w:rsidRPr="009865FC">
        <w:rPr>
          <w:rFonts w:asciiTheme="minorHAnsi" w:hAnsiTheme="minorHAnsi" w:cstheme="minorHAnsi"/>
          <w:i/>
          <w:iCs/>
          <w:sz w:val="24"/>
          <w:szCs w:val="24"/>
        </w:rPr>
        <w:t>Takmila</w:t>
      </w:r>
      <w:proofErr w:type="spellEnd"/>
      <w:r w:rsidR="001152CE" w:rsidRPr="009865FC">
        <w:rPr>
          <w:rFonts w:asciiTheme="minorHAnsi" w:hAnsiTheme="minorHAnsi" w:cstheme="minorHAnsi"/>
          <w:i/>
          <w:iCs/>
          <w:sz w:val="24"/>
          <w:szCs w:val="24"/>
        </w:rPr>
        <w:t xml:space="preserve"> al-</w:t>
      </w:r>
      <w:proofErr w:type="spellStart"/>
      <w:r w:rsidR="001152CE" w:rsidRPr="009865FC">
        <w:rPr>
          <w:rFonts w:asciiTheme="minorHAnsi" w:hAnsiTheme="minorHAnsi" w:cstheme="minorHAnsi"/>
          <w:i/>
          <w:iCs/>
          <w:sz w:val="24"/>
          <w:szCs w:val="24"/>
        </w:rPr>
        <w:t>Kāmil</w:t>
      </w:r>
      <w:proofErr w:type="spellEnd"/>
      <w:r w:rsidR="001152CE" w:rsidRPr="009865FC">
        <w:rPr>
          <w:rFonts w:asciiTheme="minorHAnsi" w:hAnsiTheme="minorHAnsi" w:cstheme="minorHAnsi"/>
          <w:i/>
          <w:iCs/>
          <w:sz w:val="24"/>
          <w:szCs w:val="24"/>
        </w:rPr>
        <w:t xml:space="preserve"> </w:t>
      </w:r>
      <w:proofErr w:type="spellStart"/>
      <w:r w:rsidR="001152CE" w:rsidRPr="009865FC">
        <w:rPr>
          <w:rFonts w:asciiTheme="minorHAnsi" w:hAnsiTheme="minorHAnsi" w:cstheme="minorHAnsi"/>
          <w:i/>
          <w:iCs/>
          <w:sz w:val="24"/>
          <w:szCs w:val="24"/>
        </w:rPr>
        <w:t>fī</w:t>
      </w:r>
      <w:proofErr w:type="spellEnd"/>
      <w:r w:rsidR="001152CE" w:rsidRPr="009865FC">
        <w:rPr>
          <w:rFonts w:asciiTheme="minorHAnsi" w:hAnsiTheme="minorHAnsi" w:cstheme="minorHAnsi"/>
          <w:i/>
          <w:iCs/>
          <w:sz w:val="24"/>
          <w:szCs w:val="24"/>
        </w:rPr>
        <w:t xml:space="preserve"> </w:t>
      </w:r>
      <w:proofErr w:type="spellStart"/>
      <w:r w:rsidR="001152CE" w:rsidRPr="009865FC">
        <w:rPr>
          <w:rFonts w:asciiTheme="minorHAnsi" w:hAnsiTheme="minorHAnsi" w:cstheme="minorHAnsi"/>
          <w:i/>
          <w:iCs/>
          <w:sz w:val="24"/>
          <w:szCs w:val="24"/>
        </w:rPr>
        <w:t>maʿrifa</w:t>
      </w:r>
      <w:proofErr w:type="spellEnd"/>
      <w:r w:rsidR="001152CE" w:rsidRPr="009865FC">
        <w:rPr>
          <w:rFonts w:asciiTheme="minorHAnsi" w:hAnsiTheme="minorHAnsi" w:cstheme="minorHAnsi"/>
          <w:i/>
          <w:iCs/>
          <w:sz w:val="24"/>
          <w:szCs w:val="24"/>
        </w:rPr>
        <w:t xml:space="preserve"> al-</w:t>
      </w:r>
      <w:proofErr w:type="spellStart"/>
      <w:r w:rsidR="001152CE" w:rsidRPr="009865FC">
        <w:rPr>
          <w:rFonts w:asciiTheme="minorHAnsi" w:hAnsiTheme="minorHAnsi" w:cstheme="minorHAnsi"/>
          <w:i/>
          <w:iCs/>
          <w:sz w:val="24"/>
          <w:szCs w:val="24"/>
        </w:rPr>
        <w:t>ḍuʿafāʾ</w:t>
      </w:r>
      <w:proofErr w:type="spellEnd"/>
      <w:r w:rsidR="001152CE" w:rsidRPr="009865FC">
        <w:rPr>
          <w:rFonts w:asciiTheme="minorHAnsi" w:hAnsiTheme="minorHAnsi" w:cstheme="minorHAnsi"/>
          <w:sz w:val="24"/>
          <w:szCs w:val="24"/>
        </w:rPr>
        <w:t xml:space="preserve"> five times.</w:t>
      </w:r>
    </w:p>
    <w:tbl>
      <w:tblPr>
        <w:tblW w:w="0" w:type="dxa"/>
        <w:tblCellMar>
          <w:left w:w="0" w:type="dxa"/>
          <w:right w:w="0" w:type="dxa"/>
        </w:tblCellMar>
        <w:tblLook w:val="04A0" w:firstRow="1" w:lastRow="0" w:firstColumn="1" w:lastColumn="0" w:noHBand="0" w:noVBand="1"/>
      </w:tblPr>
      <w:tblGrid>
        <w:gridCol w:w="2731"/>
        <w:gridCol w:w="2268"/>
        <w:gridCol w:w="1991"/>
        <w:gridCol w:w="1333"/>
        <w:gridCol w:w="687"/>
      </w:tblGrid>
      <w:tr w:rsidR="00A43083" w:rsidRPr="00A43083" w14:paraId="64736D86" w14:textId="77777777" w:rsidTr="00A43083">
        <w:trPr>
          <w:trHeight w:val="315"/>
        </w:trPr>
        <w:tc>
          <w:tcPr>
            <w:tcW w:w="0" w:type="auto"/>
            <w:tcBorders>
              <w:top w:val="single" w:sz="6" w:space="0" w:color="000000"/>
              <w:left w:val="single" w:sz="6" w:space="0" w:color="000000"/>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2146C113"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Title in translation</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269B106"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 xml:space="preserve">Title </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BB8F2B9"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Author</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4457E2"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Died</w:t>
            </w:r>
          </w:p>
        </w:tc>
        <w:tc>
          <w:tcPr>
            <w:tcW w:w="0" w:type="auto"/>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55EC472D" w14:textId="77777777" w:rsidR="00A43083" w:rsidRPr="00A43083" w:rsidRDefault="00A43083" w:rsidP="00A43083">
            <w:pPr>
              <w:suppressAutoHyphens w:val="0"/>
              <w:autoSpaceDN/>
              <w:spacing w:after="0" w:line="240" w:lineRule="auto"/>
              <w:jc w:val="center"/>
              <w:rPr>
                <w:rFonts w:eastAsia="Times New Roman" w:cs="Calibri"/>
                <w:b/>
                <w:bCs/>
                <w:kern w:val="0"/>
                <w:sz w:val="24"/>
                <w:szCs w:val="24"/>
                <w:lang w:eastAsia="en-GB"/>
              </w:rPr>
            </w:pPr>
            <w:r w:rsidRPr="00A43083">
              <w:rPr>
                <w:rFonts w:eastAsia="Times New Roman" w:cs="Calibri"/>
                <w:b/>
                <w:bCs/>
                <w:kern w:val="0"/>
                <w:sz w:val="24"/>
                <w:szCs w:val="24"/>
                <w:lang w:eastAsia="en-GB"/>
              </w:rPr>
              <w:t>Count</w:t>
            </w:r>
          </w:p>
        </w:tc>
      </w:tr>
      <w:tr w:rsidR="00A43083" w:rsidRPr="00A43083" w14:paraId="5CCE4D3F"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3B3DA843"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List of the scribes of the emirs of Damascus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CF279"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تسمية كتاب أمراء دمشق</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9EE785"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Abu al-Husayn al-Razi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4B1CF"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347/958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AC61988" w14:textId="77777777" w:rsidR="00A43083" w:rsidRPr="00A43083" w:rsidRDefault="00A43083" w:rsidP="00A43083">
            <w:pPr>
              <w:suppressAutoHyphens w:val="0"/>
              <w:autoSpaceDN/>
              <w:spacing w:after="0" w:line="240" w:lineRule="auto"/>
              <w:jc w:val="center"/>
              <w:rPr>
                <w:rFonts w:ascii="Liberation Sans" w:eastAsia="Times New Roman" w:hAnsi="Liberation Sans"/>
                <w:kern w:val="0"/>
                <w:sz w:val="20"/>
                <w:szCs w:val="20"/>
                <w:lang w:eastAsia="en-GB"/>
              </w:rPr>
            </w:pPr>
            <w:r w:rsidRPr="00A43083">
              <w:rPr>
                <w:rFonts w:ascii="Liberation Sans" w:eastAsia="Times New Roman" w:hAnsi="Liberation Sans"/>
                <w:kern w:val="0"/>
                <w:sz w:val="20"/>
                <w:szCs w:val="20"/>
                <w:lang w:eastAsia="en-GB"/>
              </w:rPr>
              <w:t>32</w:t>
            </w:r>
          </w:p>
        </w:tc>
      </w:tr>
      <w:tr w:rsidR="00A43083" w:rsidRPr="00A43083" w14:paraId="09F55880"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717657BB"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 xml:space="preserve">His </w:t>
            </w:r>
            <w:r w:rsidRPr="00A43083">
              <w:rPr>
                <w:rFonts w:ascii="Arial" w:eastAsia="Times New Roman" w:hAnsi="Arial"/>
                <w:i/>
                <w:iCs/>
                <w:kern w:val="0"/>
                <w:sz w:val="20"/>
                <w:szCs w:val="20"/>
                <w:lang w:eastAsia="en-GB"/>
              </w:rPr>
              <w:t>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085B6"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تاريخه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67CCB"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al-Bukhari, al-</w:t>
            </w:r>
            <w:proofErr w:type="spellStart"/>
            <w:r w:rsidRPr="00A43083">
              <w:rPr>
                <w:rFonts w:ascii="Arial" w:eastAsia="Times New Roman" w:hAnsi="Arial"/>
                <w:kern w:val="0"/>
                <w:sz w:val="20"/>
                <w:szCs w:val="20"/>
                <w:lang w:val="it-IT" w:eastAsia="en-GB"/>
              </w:rPr>
              <w:t>Farghani</w:t>
            </w:r>
            <w:proofErr w:type="spellEnd"/>
            <w:r w:rsidRPr="00A43083">
              <w:rPr>
                <w:rFonts w:ascii="Arial" w:eastAsia="Times New Roman" w:hAnsi="Arial"/>
                <w:kern w:val="0"/>
                <w:sz w:val="20"/>
                <w:szCs w:val="20"/>
                <w:lang w:val="it-IT" w:eastAsia="en-GB"/>
              </w:rPr>
              <w:t>, al-</w:t>
            </w:r>
            <w:proofErr w:type="spellStart"/>
            <w:r w:rsidRPr="00A43083">
              <w:rPr>
                <w:rFonts w:ascii="Arial" w:eastAsia="Times New Roman" w:hAnsi="Arial"/>
                <w:kern w:val="0"/>
                <w:sz w:val="20"/>
                <w:szCs w:val="20"/>
                <w:lang w:val="it-IT" w:eastAsia="en-GB"/>
              </w:rPr>
              <w:t>Tabari</w:t>
            </w:r>
            <w:proofErr w:type="spellEnd"/>
            <w:r w:rsidRPr="00A43083">
              <w:rPr>
                <w:rFonts w:ascii="Arial" w:eastAsia="Times New Roman" w:hAnsi="Arial"/>
                <w:kern w:val="0"/>
                <w:sz w:val="20"/>
                <w:szCs w:val="20"/>
                <w:lang w:val="it-IT" w:eastAsia="en-GB"/>
              </w:rPr>
              <w:t>, Ibn al-</w:t>
            </w:r>
            <w:proofErr w:type="spellStart"/>
            <w:r w:rsidRPr="00A43083">
              <w:rPr>
                <w:rFonts w:ascii="Arial" w:eastAsia="Times New Roman" w:hAnsi="Arial"/>
                <w:kern w:val="0"/>
                <w:sz w:val="20"/>
                <w:szCs w:val="20"/>
                <w:lang w:val="it-IT" w:eastAsia="en-GB"/>
              </w:rPr>
              <w:t>Faradi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4E643D"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256/870, ?, 310/923,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36878F6" w14:textId="77777777" w:rsidR="00A43083" w:rsidRPr="00A43083" w:rsidRDefault="00A43083" w:rsidP="00A43083">
            <w:pPr>
              <w:suppressAutoHyphens w:val="0"/>
              <w:autoSpaceDN/>
              <w:spacing w:after="0" w:line="240" w:lineRule="auto"/>
              <w:jc w:val="center"/>
              <w:rPr>
                <w:rFonts w:ascii="Liberation Sans" w:eastAsia="Times New Roman" w:hAnsi="Liberation Sans"/>
                <w:kern w:val="0"/>
                <w:sz w:val="20"/>
                <w:szCs w:val="20"/>
                <w:lang w:eastAsia="en-GB"/>
              </w:rPr>
            </w:pPr>
            <w:r w:rsidRPr="00A43083">
              <w:rPr>
                <w:rFonts w:ascii="Liberation Sans" w:eastAsia="Times New Roman" w:hAnsi="Liberation Sans"/>
                <w:kern w:val="0"/>
                <w:sz w:val="20"/>
                <w:szCs w:val="20"/>
                <w:lang w:eastAsia="en-GB"/>
              </w:rPr>
              <w:t>16</w:t>
            </w:r>
          </w:p>
        </w:tc>
      </w:tr>
      <w:tr w:rsidR="00A43083" w:rsidRPr="00A43083" w14:paraId="3E1F2A7B"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2450E5F7" w14:textId="77777777" w:rsidR="00A43083" w:rsidRPr="00A43083" w:rsidRDefault="00A43083" w:rsidP="00A43083">
            <w:pPr>
              <w:suppressAutoHyphens w:val="0"/>
              <w:autoSpaceDN/>
              <w:spacing w:after="0" w:line="240" w:lineRule="auto"/>
              <w:jc w:val="center"/>
              <w:rPr>
                <w:rFonts w:eastAsia="Times New Roman" w:cs="Calibri"/>
                <w:kern w:val="0"/>
                <w:sz w:val="24"/>
                <w:szCs w:val="24"/>
                <w:lang w:eastAsia="en-GB"/>
              </w:rPr>
            </w:pPr>
            <w:r w:rsidRPr="00A43083">
              <w:rPr>
                <w:rFonts w:eastAsia="Times New Roman" w:cs="Calibri"/>
                <w:kern w:val="0"/>
                <w:sz w:val="24"/>
                <w:szCs w:val="24"/>
                <w:lang w:eastAsia="en-GB"/>
              </w:rPr>
              <w:t>List of the [Umayyads] who were in Damascus [and its environs]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9308CD"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تسمية من كان بدمشق وغوطتها من بني أمية/تسمية من كان بدمشق من بني أمية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572AA"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 xml:space="preserve">Ibn </w:t>
            </w:r>
            <w:proofErr w:type="spellStart"/>
            <w:r w:rsidRPr="00A43083">
              <w:rPr>
                <w:rFonts w:ascii="Arial" w:eastAsia="Times New Roman" w:hAnsi="Arial"/>
                <w:kern w:val="0"/>
                <w:sz w:val="20"/>
                <w:szCs w:val="20"/>
                <w:lang w:val="it-IT" w:eastAsia="en-GB"/>
              </w:rPr>
              <w:t>Abi</w:t>
            </w:r>
            <w:proofErr w:type="spellEnd"/>
            <w:r w:rsidRPr="00A43083">
              <w:rPr>
                <w:rFonts w:ascii="Arial" w:eastAsia="Times New Roman" w:hAnsi="Arial"/>
                <w:kern w:val="0"/>
                <w:sz w:val="20"/>
                <w:szCs w:val="20"/>
                <w:lang w:val="it-IT" w:eastAsia="en-GB"/>
              </w:rPr>
              <w:t xml:space="preserve"> al-'</w:t>
            </w:r>
            <w:proofErr w:type="spellStart"/>
            <w:r w:rsidRPr="00A43083">
              <w:rPr>
                <w:rFonts w:ascii="Arial" w:eastAsia="Times New Roman" w:hAnsi="Arial"/>
                <w:kern w:val="0"/>
                <w:sz w:val="20"/>
                <w:szCs w:val="20"/>
                <w:lang w:val="it-IT" w:eastAsia="en-GB"/>
              </w:rPr>
              <w:t>Aja`iz</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EDED"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ED074D7"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23</w:t>
            </w:r>
          </w:p>
        </w:tc>
      </w:tr>
      <w:tr w:rsidR="00A43083" w:rsidRPr="00A43083" w14:paraId="6807153F"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CAD8A5F"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History of the Sufis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2489C"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تاريخ الصوفية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86A4E"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val="it-IT" w:eastAsia="en-GB"/>
              </w:rPr>
            </w:pPr>
            <w:r w:rsidRPr="00A43083">
              <w:rPr>
                <w:rFonts w:ascii="Arial" w:eastAsia="Times New Roman" w:hAnsi="Arial"/>
                <w:kern w:val="0"/>
                <w:sz w:val="20"/>
                <w:szCs w:val="20"/>
                <w:lang w:val="it-IT" w:eastAsia="en-GB"/>
              </w:rPr>
              <w:t>Abu 'Abd al-Rahman al-</w:t>
            </w:r>
            <w:proofErr w:type="spellStart"/>
            <w:r w:rsidRPr="00A43083">
              <w:rPr>
                <w:rFonts w:ascii="Arial" w:eastAsia="Times New Roman" w:hAnsi="Arial"/>
                <w:kern w:val="0"/>
                <w:sz w:val="20"/>
                <w:szCs w:val="20"/>
                <w:lang w:val="it-IT" w:eastAsia="en-GB"/>
              </w:rPr>
              <w:t>Sulami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2FFD0"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412/1021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33CA15C" w14:textId="77777777" w:rsidR="00A43083" w:rsidRPr="00A43083" w:rsidRDefault="00A43083" w:rsidP="00A43083">
            <w:pPr>
              <w:suppressAutoHyphens w:val="0"/>
              <w:autoSpaceDN/>
              <w:spacing w:after="0" w:line="240" w:lineRule="auto"/>
              <w:jc w:val="center"/>
              <w:rPr>
                <w:rFonts w:ascii="Liberation Sans" w:eastAsia="Times New Roman" w:hAnsi="Liberation Sans"/>
                <w:kern w:val="0"/>
                <w:sz w:val="20"/>
                <w:szCs w:val="20"/>
                <w:lang w:eastAsia="en-GB"/>
              </w:rPr>
            </w:pPr>
            <w:r w:rsidRPr="00A43083">
              <w:rPr>
                <w:rFonts w:ascii="Liberation Sans" w:eastAsia="Times New Roman" w:hAnsi="Liberation Sans"/>
                <w:kern w:val="0"/>
                <w:sz w:val="20"/>
                <w:szCs w:val="20"/>
                <w:lang w:eastAsia="en-GB"/>
              </w:rPr>
              <w:t>5</w:t>
            </w:r>
          </w:p>
        </w:tc>
      </w:tr>
      <w:tr w:rsidR="00A43083" w:rsidRPr="00A43083" w14:paraId="1F38E87E" w14:textId="77777777" w:rsidTr="00A4308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72C6EF05"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 xml:space="preserve">Supplement to the [book] </w:t>
            </w:r>
            <w:r w:rsidRPr="00A43083">
              <w:rPr>
                <w:rFonts w:ascii="Arial" w:eastAsia="Times New Roman" w:hAnsi="Arial"/>
                <w:i/>
                <w:iCs/>
                <w:kern w:val="0"/>
                <w:sz w:val="20"/>
                <w:szCs w:val="20"/>
                <w:lang w:eastAsia="en-GB"/>
              </w:rPr>
              <w:t>al-</w:t>
            </w:r>
            <w:proofErr w:type="spellStart"/>
            <w:r w:rsidRPr="00A43083">
              <w:rPr>
                <w:rFonts w:ascii="Arial" w:eastAsia="Times New Roman" w:hAnsi="Arial"/>
                <w:i/>
                <w:iCs/>
                <w:kern w:val="0"/>
                <w:sz w:val="20"/>
                <w:szCs w:val="20"/>
                <w:lang w:eastAsia="en-GB"/>
              </w:rPr>
              <w:t>Kāmil</w:t>
            </w:r>
            <w:proofErr w:type="spellEnd"/>
            <w:r w:rsidRPr="00A43083">
              <w:rPr>
                <w:rFonts w:ascii="Arial" w:eastAsia="Times New Roman" w:hAnsi="Arial"/>
                <w:i/>
                <w:iCs/>
                <w:kern w:val="0"/>
                <w:sz w:val="20"/>
                <w:szCs w:val="20"/>
                <w:lang w:eastAsia="en-GB"/>
              </w:rPr>
              <w:t xml:space="preserve"> </w:t>
            </w:r>
            <w:proofErr w:type="spellStart"/>
            <w:r w:rsidRPr="00A43083">
              <w:rPr>
                <w:rFonts w:ascii="Arial" w:eastAsia="Times New Roman" w:hAnsi="Arial"/>
                <w:i/>
                <w:iCs/>
                <w:kern w:val="0"/>
                <w:sz w:val="20"/>
                <w:szCs w:val="20"/>
                <w:lang w:eastAsia="en-GB"/>
              </w:rPr>
              <w:t>fī</w:t>
            </w:r>
            <w:proofErr w:type="spellEnd"/>
            <w:r w:rsidRPr="00A43083">
              <w:rPr>
                <w:rFonts w:ascii="Arial" w:eastAsia="Times New Roman" w:hAnsi="Arial"/>
                <w:i/>
                <w:iCs/>
                <w:kern w:val="0"/>
                <w:sz w:val="20"/>
                <w:szCs w:val="20"/>
                <w:lang w:eastAsia="en-GB"/>
              </w:rPr>
              <w:t xml:space="preserve"> </w:t>
            </w:r>
            <w:proofErr w:type="spellStart"/>
            <w:r w:rsidRPr="00A43083">
              <w:rPr>
                <w:rFonts w:ascii="Arial" w:eastAsia="Times New Roman" w:hAnsi="Arial"/>
                <w:i/>
                <w:iCs/>
                <w:kern w:val="0"/>
                <w:sz w:val="20"/>
                <w:szCs w:val="20"/>
                <w:lang w:eastAsia="en-GB"/>
              </w:rPr>
              <w:t>maʿrifa</w:t>
            </w:r>
            <w:proofErr w:type="spellEnd"/>
            <w:r w:rsidRPr="00A43083">
              <w:rPr>
                <w:rFonts w:ascii="Arial" w:eastAsia="Times New Roman" w:hAnsi="Arial"/>
                <w:i/>
                <w:iCs/>
                <w:kern w:val="0"/>
                <w:sz w:val="20"/>
                <w:szCs w:val="20"/>
                <w:lang w:eastAsia="en-GB"/>
              </w:rPr>
              <w:t xml:space="preserve"> al-</w:t>
            </w:r>
            <w:proofErr w:type="spellStart"/>
            <w:r w:rsidRPr="00A43083">
              <w:rPr>
                <w:rFonts w:ascii="Arial" w:eastAsia="Times New Roman" w:hAnsi="Arial"/>
                <w:i/>
                <w:iCs/>
                <w:kern w:val="0"/>
                <w:sz w:val="20"/>
                <w:szCs w:val="20"/>
                <w:lang w:eastAsia="en-GB"/>
              </w:rPr>
              <w:t>ḍuʿafāʾ</w:t>
            </w:r>
            <w:proofErr w:type="spellEnd"/>
            <w:r w:rsidRPr="00A43083">
              <w:rPr>
                <w:rFonts w:ascii="Arial" w:eastAsia="Times New Roman" w:hAnsi="Arial"/>
                <w:i/>
                <w:iCs/>
                <w:kern w:val="0"/>
                <w:sz w:val="20"/>
                <w:szCs w:val="20"/>
                <w:lang w:eastAsia="en-GB"/>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8A8D"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كتاب تكملة الكامل في معرفة الضعفاء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C2740"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al-</w:t>
            </w:r>
            <w:proofErr w:type="spellStart"/>
            <w:r w:rsidRPr="00A43083">
              <w:rPr>
                <w:rFonts w:ascii="Arial" w:eastAsia="Times New Roman" w:hAnsi="Arial"/>
                <w:kern w:val="0"/>
                <w:sz w:val="20"/>
                <w:szCs w:val="20"/>
                <w:lang w:eastAsia="en-GB"/>
              </w:rPr>
              <w:t>Maqdisi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AAAEE6"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507/1113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046F92" w14:textId="77777777" w:rsidR="00A43083" w:rsidRPr="00A43083" w:rsidRDefault="00A43083" w:rsidP="00A43083">
            <w:pPr>
              <w:suppressAutoHyphens w:val="0"/>
              <w:autoSpaceDN/>
              <w:spacing w:after="0" w:line="240" w:lineRule="auto"/>
              <w:jc w:val="center"/>
              <w:rPr>
                <w:rFonts w:ascii="Liberation Sans" w:eastAsia="Times New Roman" w:hAnsi="Liberation Sans"/>
                <w:kern w:val="0"/>
                <w:sz w:val="20"/>
                <w:szCs w:val="20"/>
                <w:lang w:eastAsia="en-GB"/>
              </w:rPr>
            </w:pPr>
            <w:r w:rsidRPr="00A43083">
              <w:rPr>
                <w:rFonts w:ascii="Liberation Sans" w:eastAsia="Times New Roman" w:hAnsi="Liberation Sans"/>
                <w:kern w:val="0"/>
                <w:sz w:val="20"/>
                <w:szCs w:val="20"/>
                <w:lang w:eastAsia="en-GB"/>
              </w:rPr>
              <w:t>5</w:t>
            </w:r>
          </w:p>
        </w:tc>
      </w:tr>
      <w:tr w:rsidR="00A43083" w:rsidRPr="00A43083" w14:paraId="2C1EA638" w14:textId="77777777" w:rsidTr="00A4308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653BE2F1"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 xml:space="preserve">History of </w:t>
            </w:r>
            <w:proofErr w:type="spellStart"/>
            <w:r w:rsidRPr="00A43083">
              <w:rPr>
                <w:rFonts w:ascii="Arial" w:eastAsia="Times New Roman" w:hAnsi="Arial"/>
                <w:kern w:val="0"/>
                <w:sz w:val="20"/>
                <w:szCs w:val="20"/>
                <w:lang w:eastAsia="en-GB"/>
              </w:rPr>
              <w:t>al-Andalus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57E2818" w14:textId="77777777" w:rsidR="00A43083" w:rsidRPr="00A43083" w:rsidRDefault="00A43083" w:rsidP="00A43083">
            <w:pPr>
              <w:suppressAutoHyphens w:val="0"/>
              <w:autoSpaceDN/>
              <w:spacing w:after="0" w:line="240" w:lineRule="auto"/>
              <w:jc w:val="center"/>
              <w:rPr>
                <w:rFonts w:ascii="Lohit Devanagari" w:eastAsia="Times New Roman" w:hAnsi="Lohit Devanagari"/>
                <w:kern w:val="0"/>
                <w:sz w:val="20"/>
                <w:szCs w:val="20"/>
                <w:lang w:eastAsia="en-GB"/>
              </w:rPr>
            </w:pPr>
            <w:r w:rsidRPr="00A43083">
              <w:rPr>
                <w:rFonts w:ascii="Lohit Devanagari" w:eastAsia="Times New Roman" w:hAnsi="Lohit Devanagari"/>
                <w:kern w:val="0"/>
                <w:sz w:val="20"/>
                <w:szCs w:val="20"/>
                <w:rtl/>
                <w:lang w:eastAsia="en-GB"/>
              </w:rPr>
              <w:t>تاريخ الأندلس</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D4F3D1"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Ibn al-</w:t>
            </w:r>
            <w:proofErr w:type="spellStart"/>
            <w:r w:rsidRPr="00A43083">
              <w:rPr>
                <w:rFonts w:ascii="Arial" w:eastAsia="Times New Roman" w:hAnsi="Arial"/>
                <w:kern w:val="0"/>
                <w:sz w:val="20"/>
                <w:szCs w:val="20"/>
                <w:lang w:eastAsia="en-GB"/>
              </w:rPr>
              <w:t>Faradi</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B9A5D42" w14:textId="77777777" w:rsidR="00A43083" w:rsidRPr="00A43083" w:rsidRDefault="00A43083" w:rsidP="00A43083">
            <w:pPr>
              <w:suppressAutoHyphens w:val="0"/>
              <w:autoSpaceDN/>
              <w:spacing w:after="0" w:line="240" w:lineRule="auto"/>
              <w:jc w:val="center"/>
              <w:rPr>
                <w:rFonts w:ascii="Arial" w:eastAsia="Times New Roman" w:hAnsi="Arial"/>
                <w:kern w:val="0"/>
                <w:sz w:val="20"/>
                <w:szCs w:val="20"/>
                <w:lang w:eastAsia="en-GB"/>
              </w:rPr>
            </w:pPr>
            <w:r w:rsidRPr="00A43083">
              <w:rPr>
                <w:rFonts w:ascii="Arial" w:eastAsia="Times New Roman" w:hAnsi="Arial"/>
                <w:kern w:val="0"/>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F89FFE" w14:textId="77777777" w:rsidR="00A43083" w:rsidRPr="00A43083" w:rsidRDefault="00A43083" w:rsidP="00A43083">
            <w:pPr>
              <w:suppressAutoHyphens w:val="0"/>
              <w:autoSpaceDN/>
              <w:spacing w:after="0" w:line="240" w:lineRule="auto"/>
              <w:jc w:val="center"/>
              <w:rPr>
                <w:rFonts w:ascii="Liberation Sans" w:eastAsia="Times New Roman" w:hAnsi="Liberation Sans"/>
                <w:kern w:val="0"/>
                <w:sz w:val="20"/>
                <w:szCs w:val="20"/>
                <w:lang w:eastAsia="en-GB"/>
              </w:rPr>
            </w:pPr>
            <w:r w:rsidRPr="00A43083">
              <w:rPr>
                <w:rFonts w:ascii="Liberation Sans" w:eastAsia="Times New Roman" w:hAnsi="Liberation Sans"/>
                <w:kern w:val="0"/>
                <w:sz w:val="20"/>
                <w:szCs w:val="20"/>
                <w:lang w:eastAsia="en-GB"/>
              </w:rPr>
              <w:t>4</w:t>
            </w:r>
          </w:p>
        </w:tc>
      </w:tr>
    </w:tbl>
    <w:p w14:paraId="5787DC0B" w14:textId="05F8DFC0" w:rsidR="009865FC" w:rsidRPr="009865FC" w:rsidRDefault="0010426C" w:rsidP="00A43083">
      <w:pPr>
        <w:spacing w:line="240" w:lineRule="auto"/>
        <w:rPr>
          <w:rFonts w:asciiTheme="minorHAnsi" w:hAnsiTheme="minorHAnsi" w:cstheme="minorHAnsi"/>
          <w:kern w:val="0"/>
          <w:sz w:val="24"/>
          <w:szCs w:val="24"/>
          <w:lang w:eastAsia="en-GB"/>
        </w:rPr>
      </w:pPr>
      <w:r>
        <w:rPr>
          <w:rFonts w:asciiTheme="minorHAnsi" w:hAnsiTheme="minorHAnsi" w:cstheme="minorHAnsi"/>
          <w:kern w:val="0"/>
          <w:sz w:val="24"/>
          <w:szCs w:val="24"/>
          <w:lang w:eastAsia="en-GB"/>
        </w:rPr>
        <w:lastRenderedPageBreak/>
        <w:t xml:space="preserve">Table 6.5: Titles Ibn </w:t>
      </w:r>
      <w:proofErr w:type="spellStart"/>
      <w:r>
        <w:rPr>
          <w:rFonts w:asciiTheme="minorHAnsi" w:hAnsiTheme="minorHAnsi" w:cstheme="minorHAnsi"/>
          <w:kern w:val="0"/>
          <w:sz w:val="24"/>
          <w:szCs w:val="24"/>
          <w:lang w:eastAsia="en-GB"/>
        </w:rPr>
        <w:t>ʿAsākir</w:t>
      </w:r>
      <w:proofErr w:type="spellEnd"/>
      <w:r>
        <w:rPr>
          <w:rFonts w:asciiTheme="minorHAnsi" w:hAnsiTheme="minorHAnsi" w:cstheme="minorHAnsi"/>
          <w:kern w:val="0"/>
          <w:sz w:val="24"/>
          <w:szCs w:val="24"/>
          <w:lang w:eastAsia="en-GB"/>
        </w:rPr>
        <w:t xml:space="preserve"> cites.</w:t>
      </w:r>
      <w:r w:rsidR="00B305D3">
        <w:rPr>
          <w:rStyle w:val="FootnoteReference"/>
          <w:rFonts w:asciiTheme="minorHAnsi" w:hAnsiTheme="minorHAnsi" w:cstheme="minorHAnsi"/>
          <w:kern w:val="0"/>
          <w:sz w:val="24"/>
          <w:szCs w:val="24"/>
          <w:lang w:eastAsia="en-GB"/>
        </w:rPr>
        <w:footnoteReference w:id="22"/>
      </w:r>
    </w:p>
    <w:p w14:paraId="06C5AEE4" w14:textId="77777777" w:rsidR="00B305D3" w:rsidRDefault="008B207E" w:rsidP="00B305D3">
      <w:pPr>
        <w:spacing w:line="240" w:lineRule="auto"/>
        <w:rPr>
          <w:rFonts w:asciiTheme="minorHAnsi" w:hAnsiTheme="minorHAnsi" w:cstheme="minorHAnsi"/>
          <w:kern w:val="0"/>
          <w:sz w:val="24"/>
          <w:szCs w:val="24"/>
          <w:lang w:eastAsia="en-GB"/>
        </w:rPr>
      </w:pPr>
      <w:r w:rsidRPr="009865FC">
        <w:rPr>
          <w:rFonts w:asciiTheme="minorHAnsi" w:hAnsiTheme="minorHAnsi" w:cstheme="minorHAnsi"/>
          <w:kern w:val="0"/>
          <w:sz w:val="24"/>
          <w:szCs w:val="24"/>
          <w:lang w:eastAsia="en-GB"/>
        </w:rPr>
        <w:t xml:space="preserve">Ibn </w:t>
      </w:r>
      <w:proofErr w:type="spellStart"/>
      <w:r w:rsidRPr="009865FC">
        <w:rPr>
          <w:rFonts w:asciiTheme="minorHAnsi" w:hAnsiTheme="minorHAnsi" w:cstheme="minorHAnsi"/>
          <w:kern w:val="0"/>
          <w:sz w:val="24"/>
          <w:szCs w:val="24"/>
          <w:lang w:eastAsia="en-GB"/>
        </w:rPr>
        <w:t>ʿAsākir</w:t>
      </w:r>
      <w:proofErr w:type="spellEnd"/>
      <w:r w:rsidRPr="009865FC">
        <w:rPr>
          <w:rFonts w:asciiTheme="minorHAnsi" w:hAnsiTheme="minorHAnsi" w:cstheme="minorHAnsi"/>
          <w:kern w:val="0"/>
          <w:sz w:val="24"/>
          <w:szCs w:val="24"/>
          <w:lang w:eastAsia="en-GB"/>
        </w:rPr>
        <w:t xml:space="preserve"> also refers to writings less directly.</w:t>
      </w:r>
    </w:p>
    <w:tbl>
      <w:tblPr>
        <w:tblW w:w="0" w:type="dxa"/>
        <w:tblCellMar>
          <w:left w:w="0" w:type="dxa"/>
          <w:right w:w="0" w:type="dxa"/>
        </w:tblCellMar>
        <w:tblLook w:val="04A0" w:firstRow="1" w:lastRow="0" w:firstColumn="1" w:lastColumn="0" w:noHBand="0" w:noVBand="1"/>
      </w:tblPr>
      <w:tblGrid>
        <w:gridCol w:w="868"/>
        <w:gridCol w:w="1687"/>
        <w:gridCol w:w="5787"/>
        <w:gridCol w:w="668"/>
      </w:tblGrid>
      <w:tr w:rsidR="00B305D3" w:rsidRPr="00B305D3" w14:paraId="69037D94" w14:textId="77777777" w:rsidTr="00B305D3">
        <w:trPr>
          <w:trHeight w:val="315"/>
        </w:trPr>
        <w:tc>
          <w:tcPr>
            <w:tcW w:w="0" w:type="auto"/>
            <w:tcBorders>
              <w:top w:val="single" w:sz="6" w:space="0" w:color="000000"/>
              <w:left w:val="single" w:sz="6" w:space="0" w:color="000000"/>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3CDEF12" w14:textId="77777777" w:rsidR="00B305D3" w:rsidRPr="00B305D3" w:rsidRDefault="00B305D3" w:rsidP="00B305D3">
            <w:pPr>
              <w:suppressAutoHyphens w:val="0"/>
              <w:autoSpaceDN/>
              <w:spacing w:after="0" w:line="240" w:lineRule="auto"/>
              <w:jc w:val="center"/>
              <w:rPr>
                <w:rFonts w:ascii="Arial" w:eastAsia="Times New Roman" w:hAnsi="Arial"/>
                <w:b/>
                <w:bCs/>
                <w:kern w:val="0"/>
                <w:sz w:val="20"/>
                <w:szCs w:val="20"/>
                <w:lang w:eastAsia="en-GB"/>
              </w:rPr>
            </w:pPr>
            <w:r w:rsidRPr="00B305D3">
              <w:rPr>
                <w:rFonts w:ascii="Arial" w:eastAsia="Times New Roman" w:hAnsi="Arial"/>
                <w:b/>
                <w:bCs/>
                <w:kern w:val="0"/>
                <w:sz w:val="20"/>
                <w:szCs w:val="20"/>
                <w:lang w:eastAsia="en-GB"/>
              </w:rPr>
              <w:t>Phrase</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E5946A6" w14:textId="77777777" w:rsidR="00B305D3" w:rsidRPr="00B305D3" w:rsidRDefault="00B305D3" w:rsidP="00B305D3">
            <w:pPr>
              <w:suppressAutoHyphens w:val="0"/>
              <w:autoSpaceDN/>
              <w:spacing w:after="0" w:line="240" w:lineRule="auto"/>
              <w:jc w:val="center"/>
              <w:rPr>
                <w:rFonts w:ascii="Arial" w:eastAsia="Times New Roman" w:hAnsi="Arial"/>
                <w:b/>
                <w:bCs/>
                <w:kern w:val="0"/>
                <w:sz w:val="20"/>
                <w:szCs w:val="20"/>
                <w:lang w:eastAsia="en-GB"/>
              </w:rPr>
            </w:pPr>
            <w:r w:rsidRPr="00B305D3">
              <w:rPr>
                <w:rFonts w:ascii="Arial" w:eastAsia="Times New Roman" w:hAnsi="Arial"/>
                <w:b/>
                <w:bCs/>
                <w:kern w:val="0"/>
                <w:sz w:val="20"/>
                <w:szCs w:val="20"/>
                <w:lang w:eastAsia="en-GB"/>
              </w:rPr>
              <w:t>Translation</w:t>
            </w:r>
          </w:p>
        </w:tc>
        <w:tc>
          <w:tcPr>
            <w:tcW w:w="0" w:type="auto"/>
            <w:tcBorders>
              <w:top w:val="single" w:sz="6" w:space="0" w:color="000000"/>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1F84897" w14:textId="77777777" w:rsidR="00B305D3" w:rsidRPr="00B305D3" w:rsidRDefault="00B305D3" w:rsidP="00B305D3">
            <w:pPr>
              <w:suppressAutoHyphens w:val="0"/>
              <w:autoSpaceDN/>
              <w:spacing w:after="0" w:line="240" w:lineRule="auto"/>
              <w:jc w:val="center"/>
              <w:rPr>
                <w:rFonts w:ascii="Arial" w:eastAsia="Times New Roman" w:hAnsi="Arial"/>
                <w:b/>
                <w:bCs/>
                <w:kern w:val="0"/>
                <w:sz w:val="20"/>
                <w:szCs w:val="20"/>
                <w:lang w:eastAsia="en-GB"/>
              </w:rPr>
            </w:pPr>
            <w:r w:rsidRPr="00B305D3">
              <w:rPr>
                <w:rFonts w:ascii="Arial" w:eastAsia="Times New Roman" w:hAnsi="Arial"/>
                <w:b/>
                <w:bCs/>
                <w:kern w:val="0"/>
                <w:sz w:val="20"/>
                <w:szCs w:val="20"/>
                <w:lang w:eastAsia="en-GB"/>
              </w:rPr>
              <w:t>Names</w:t>
            </w:r>
          </w:p>
        </w:tc>
        <w:tc>
          <w:tcPr>
            <w:tcW w:w="0" w:type="auto"/>
            <w:tcBorders>
              <w:top w:val="single" w:sz="6" w:space="0" w:color="000000"/>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center"/>
            <w:hideMark/>
          </w:tcPr>
          <w:p w14:paraId="4D058D1D" w14:textId="77777777" w:rsidR="00B305D3" w:rsidRPr="00B305D3" w:rsidRDefault="00B305D3" w:rsidP="00B305D3">
            <w:pPr>
              <w:suppressAutoHyphens w:val="0"/>
              <w:autoSpaceDN/>
              <w:spacing w:after="0" w:line="240" w:lineRule="auto"/>
              <w:jc w:val="center"/>
              <w:rPr>
                <w:rFonts w:ascii="Arial" w:eastAsia="Times New Roman" w:hAnsi="Arial"/>
                <w:b/>
                <w:bCs/>
                <w:kern w:val="0"/>
                <w:sz w:val="20"/>
                <w:szCs w:val="20"/>
                <w:lang w:eastAsia="en-GB"/>
              </w:rPr>
            </w:pPr>
            <w:r w:rsidRPr="00B305D3">
              <w:rPr>
                <w:rFonts w:ascii="Arial" w:eastAsia="Times New Roman" w:hAnsi="Arial"/>
                <w:b/>
                <w:bCs/>
                <w:kern w:val="0"/>
                <w:sz w:val="20"/>
                <w:szCs w:val="20"/>
                <w:lang w:eastAsia="en-GB"/>
              </w:rPr>
              <w:t>Count</w:t>
            </w:r>
          </w:p>
        </w:tc>
      </w:tr>
      <w:tr w:rsidR="00B305D3" w:rsidRPr="00B305D3" w14:paraId="2CB53F04" w14:textId="77777777" w:rsidTr="00B305D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5F5941F" w14:textId="77777777" w:rsidR="00B305D3" w:rsidRPr="00B305D3" w:rsidRDefault="00B305D3" w:rsidP="00B305D3">
            <w:pPr>
              <w:suppressAutoHyphens w:val="0"/>
              <w:autoSpaceDN/>
              <w:spacing w:after="0" w:line="240" w:lineRule="auto"/>
              <w:jc w:val="center"/>
              <w:rPr>
                <w:rFonts w:ascii="Lohit Devanagari" w:eastAsia="Times New Roman" w:hAnsi="Lohit Devanagari"/>
                <w:kern w:val="0"/>
                <w:sz w:val="20"/>
                <w:szCs w:val="20"/>
                <w:lang w:eastAsia="en-GB"/>
              </w:rPr>
            </w:pPr>
            <w:r w:rsidRPr="00B305D3">
              <w:rPr>
                <w:rFonts w:ascii="Lohit Devanagari" w:eastAsia="Times New Roman" w:hAnsi="Lohit Devanagari"/>
                <w:kern w:val="0"/>
                <w:sz w:val="20"/>
                <w:szCs w:val="20"/>
                <w:rtl/>
                <w:lang w:eastAsia="en-GB"/>
              </w:rPr>
              <w:t>فيما قرأته بخطه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03EAD"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'according to what I read in his handwriting'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B175C0"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Abd al-</w:t>
            </w:r>
            <w:proofErr w:type="spellStart"/>
            <w:r w:rsidRPr="00B305D3">
              <w:rPr>
                <w:rFonts w:ascii="Arial" w:eastAsia="Times New Roman" w:hAnsi="Arial"/>
                <w:kern w:val="0"/>
                <w:sz w:val="20"/>
                <w:szCs w:val="20"/>
                <w:lang w:eastAsia="en-GB"/>
              </w:rPr>
              <w:t>Mun'im</w:t>
            </w:r>
            <w:proofErr w:type="spellEnd"/>
            <w:r w:rsidRPr="00B305D3">
              <w:rPr>
                <w:rFonts w:ascii="Arial" w:eastAsia="Times New Roman" w:hAnsi="Arial"/>
                <w:kern w:val="0"/>
                <w:sz w:val="20"/>
                <w:szCs w:val="20"/>
                <w:lang w:eastAsia="en-GB"/>
              </w:rPr>
              <w:t xml:space="preserve"> b. 'Ali, 'Abd al-</w:t>
            </w:r>
            <w:proofErr w:type="spellStart"/>
            <w:r w:rsidRPr="00B305D3">
              <w:rPr>
                <w:rFonts w:ascii="Arial" w:eastAsia="Times New Roman" w:hAnsi="Arial"/>
                <w:kern w:val="0"/>
                <w:sz w:val="20"/>
                <w:szCs w:val="20"/>
                <w:lang w:eastAsia="en-GB"/>
              </w:rPr>
              <w:t>Wahhab</w:t>
            </w:r>
            <w:proofErr w:type="spellEnd"/>
            <w:r w:rsidRPr="00B305D3">
              <w:rPr>
                <w:rFonts w:ascii="Arial" w:eastAsia="Times New Roman" w:hAnsi="Arial"/>
                <w:kern w:val="0"/>
                <w:sz w:val="20"/>
                <w:szCs w:val="20"/>
                <w:lang w:eastAsia="en-GB"/>
              </w:rPr>
              <w:t xml:space="preserve"> b. </w:t>
            </w:r>
            <w:proofErr w:type="spellStart"/>
            <w:r w:rsidRPr="00B305D3">
              <w:rPr>
                <w:rFonts w:ascii="Arial" w:eastAsia="Times New Roman" w:hAnsi="Arial"/>
                <w:kern w:val="0"/>
                <w:sz w:val="20"/>
                <w:szCs w:val="20"/>
                <w:lang w:eastAsia="en-GB"/>
              </w:rPr>
              <w:t>Ja'far</w:t>
            </w:r>
            <w:proofErr w:type="spellEnd"/>
            <w:r w:rsidRPr="00B305D3">
              <w:rPr>
                <w:rFonts w:ascii="Arial" w:eastAsia="Times New Roman" w:hAnsi="Arial"/>
                <w:kern w:val="0"/>
                <w:sz w:val="20"/>
                <w:szCs w:val="20"/>
                <w:lang w:eastAsia="en-GB"/>
              </w:rPr>
              <w:t>, 'Abd al-</w:t>
            </w:r>
            <w:proofErr w:type="spellStart"/>
            <w:r w:rsidRPr="00B305D3">
              <w:rPr>
                <w:rFonts w:ascii="Arial" w:eastAsia="Times New Roman" w:hAnsi="Arial"/>
                <w:kern w:val="0"/>
                <w:sz w:val="20"/>
                <w:szCs w:val="20"/>
                <w:lang w:eastAsia="en-GB"/>
              </w:rPr>
              <w:t>Wahhab</w:t>
            </w:r>
            <w:proofErr w:type="spellEnd"/>
            <w:r w:rsidRPr="00B305D3">
              <w:rPr>
                <w:rFonts w:ascii="Arial" w:eastAsia="Times New Roman" w:hAnsi="Arial"/>
                <w:kern w:val="0"/>
                <w:sz w:val="20"/>
                <w:szCs w:val="20"/>
                <w:lang w:eastAsia="en-GB"/>
              </w:rPr>
              <w:t xml:space="preserve"> b. </w:t>
            </w:r>
            <w:proofErr w:type="spellStart"/>
            <w:r w:rsidRPr="00B305D3">
              <w:rPr>
                <w:rFonts w:ascii="Arial" w:eastAsia="Times New Roman" w:hAnsi="Arial"/>
                <w:kern w:val="0"/>
                <w:sz w:val="20"/>
                <w:szCs w:val="20"/>
                <w:lang w:eastAsia="en-GB"/>
              </w:rPr>
              <w:t>Ja'far</w:t>
            </w:r>
            <w:proofErr w:type="spellEnd"/>
            <w:r w:rsidRPr="00B305D3">
              <w:rPr>
                <w:rFonts w:ascii="Arial" w:eastAsia="Times New Roman" w:hAnsi="Arial"/>
                <w:kern w:val="0"/>
                <w:sz w:val="20"/>
                <w:szCs w:val="20"/>
                <w:lang w:eastAsia="en-GB"/>
              </w:rPr>
              <w:t xml:space="preserve">, Abu 'Ali Ahmad b. Muhammad b. Ahmad, Abu al-Faraj </w:t>
            </w:r>
            <w:proofErr w:type="spellStart"/>
            <w:r w:rsidRPr="00B305D3">
              <w:rPr>
                <w:rFonts w:ascii="Arial" w:eastAsia="Times New Roman" w:hAnsi="Arial"/>
                <w:kern w:val="0"/>
                <w:sz w:val="20"/>
                <w:szCs w:val="20"/>
                <w:lang w:eastAsia="en-GB"/>
              </w:rPr>
              <w:t>Ghayth</w:t>
            </w:r>
            <w:proofErr w:type="spellEnd"/>
            <w:r w:rsidRPr="00B305D3">
              <w:rPr>
                <w:rFonts w:ascii="Arial" w:eastAsia="Times New Roman" w:hAnsi="Arial"/>
                <w:kern w:val="0"/>
                <w:sz w:val="20"/>
                <w:szCs w:val="20"/>
                <w:lang w:eastAsia="en-GB"/>
              </w:rPr>
              <w:t>, Abu al-Hasan 'Ali b. Muhammad, Abu Muhammad b. al-</w:t>
            </w:r>
            <w:proofErr w:type="spellStart"/>
            <w:r w:rsidRPr="00B305D3">
              <w:rPr>
                <w:rFonts w:ascii="Arial" w:eastAsia="Times New Roman" w:hAnsi="Arial"/>
                <w:kern w:val="0"/>
                <w:sz w:val="20"/>
                <w:szCs w:val="20"/>
                <w:lang w:eastAsia="en-GB"/>
              </w:rPr>
              <w:t>Samarqandi</w:t>
            </w:r>
            <w:proofErr w:type="spellEnd"/>
            <w:r w:rsidRPr="00B305D3">
              <w:rPr>
                <w:rFonts w:ascii="Arial" w:eastAsia="Times New Roman" w:hAnsi="Arial"/>
                <w:kern w:val="0"/>
                <w:sz w:val="20"/>
                <w:szCs w:val="20"/>
                <w:lang w:eastAsia="en-GB"/>
              </w:rPr>
              <w:t>, Abu Muhammad b. Sabir, al-</w:t>
            </w:r>
            <w:proofErr w:type="spellStart"/>
            <w:r w:rsidRPr="00B305D3">
              <w:rPr>
                <w:rFonts w:ascii="Arial" w:eastAsia="Times New Roman" w:hAnsi="Arial"/>
                <w:kern w:val="0"/>
                <w:sz w:val="20"/>
                <w:szCs w:val="20"/>
                <w:lang w:eastAsia="en-GB"/>
              </w:rPr>
              <w:t>Qutrubali</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FF06D1" w14:textId="77777777" w:rsidR="00B305D3" w:rsidRPr="00B305D3" w:rsidRDefault="00B305D3" w:rsidP="00B305D3">
            <w:pPr>
              <w:suppressAutoHyphens w:val="0"/>
              <w:autoSpaceDN/>
              <w:spacing w:after="0" w:line="240" w:lineRule="auto"/>
              <w:jc w:val="center"/>
              <w:rPr>
                <w:rFonts w:ascii="Liberation Sans" w:eastAsia="Times New Roman" w:hAnsi="Liberation Sans"/>
                <w:kern w:val="0"/>
                <w:sz w:val="20"/>
                <w:szCs w:val="20"/>
                <w:lang w:eastAsia="en-GB"/>
              </w:rPr>
            </w:pPr>
            <w:r w:rsidRPr="00B305D3">
              <w:rPr>
                <w:rFonts w:ascii="Liberation Sans" w:eastAsia="Times New Roman" w:hAnsi="Liberation Sans"/>
                <w:kern w:val="0"/>
                <w:sz w:val="20"/>
                <w:szCs w:val="20"/>
                <w:lang w:eastAsia="en-GB"/>
              </w:rPr>
              <w:t>18</w:t>
            </w:r>
          </w:p>
        </w:tc>
      </w:tr>
      <w:tr w:rsidR="00B305D3" w:rsidRPr="00B305D3" w14:paraId="3FC8B202" w14:textId="77777777" w:rsidTr="00B305D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03F540B" w14:textId="77777777" w:rsidR="00B305D3" w:rsidRPr="00B305D3" w:rsidRDefault="00B305D3" w:rsidP="00B305D3">
            <w:pPr>
              <w:suppressAutoHyphens w:val="0"/>
              <w:autoSpaceDN/>
              <w:spacing w:after="0" w:line="240" w:lineRule="auto"/>
              <w:jc w:val="center"/>
              <w:rPr>
                <w:rFonts w:ascii="Lohit Devanagari" w:eastAsia="Times New Roman" w:hAnsi="Lohit Devanagari"/>
                <w:kern w:val="0"/>
                <w:sz w:val="20"/>
                <w:szCs w:val="20"/>
                <w:lang w:eastAsia="en-GB"/>
              </w:rPr>
            </w:pPr>
            <w:r w:rsidRPr="00B305D3">
              <w:rPr>
                <w:rFonts w:ascii="Lohit Devanagari" w:eastAsia="Times New Roman" w:hAnsi="Lohit Devanagari"/>
                <w:kern w:val="0"/>
                <w:sz w:val="20"/>
                <w:szCs w:val="20"/>
                <w:rtl/>
                <w:lang w:eastAsia="en-GB"/>
              </w:rPr>
              <w:t>في موضع آخر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810CC"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'in another place'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9440A"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Abu 'Abd al-Rahman al-</w:t>
            </w:r>
            <w:proofErr w:type="spellStart"/>
            <w:r w:rsidRPr="00B305D3">
              <w:rPr>
                <w:rFonts w:ascii="Arial" w:eastAsia="Times New Roman" w:hAnsi="Arial"/>
                <w:kern w:val="0"/>
                <w:sz w:val="20"/>
                <w:szCs w:val="20"/>
                <w:lang w:eastAsia="en-GB"/>
              </w:rPr>
              <w:t>Sulami</w:t>
            </w:r>
            <w:proofErr w:type="spellEnd"/>
            <w:r w:rsidRPr="00B305D3">
              <w:rPr>
                <w:rFonts w:ascii="Arial" w:eastAsia="Times New Roman" w:hAnsi="Arial"/>
                <w:kern w:val="0"/>
                <w:sz w:val="20"/>
                <w:szCs w:val="20"/>
                <w:lang w:eastAsia="en-GB"/>
              </w:rPr>
              <w:t>, Abu 'Abd Allah, Abu al-</w:t>
            </w:r>
            <w:proofErr w:type="spellStart"/>
            <w:r w:rsidRPr="00B305D3">
              <w:rPr>
                <w:rFonts w:ascii="Arial" w:eastAsia="Times New Roman" w:hAnsi="Arial"/>
                <w:kern w:val="0"/>
                <w:sz w:val="20"/>
                <w:szCs w:val="20"/>
                <w:lang w:eastAsia="en-GB"/>
              </w:rPr>
              <w:t>Husayn</w:t>
            </w:r>
            <w:proofErr w:type="spellEnd"/>
            <w:r w:rsidRPr="00B305D3">
              <w:rPr>
                <w:rFonts w:ascii="Arial" w:eastAsia="Times New Roman" w:hAnsi="Arial"/>
                <w:kern w:val="0"/>
                <w:sz w:val="20"/>
                <w:szCs w:val="20"/>
                <w:lang w:eastAsia="en-GB"/>
              </w:rPr>
              <w:t xml:space="preserve"> al-Razi, Abu al-</w:t>
            </w:r>
            <w:proofErr w:type="spellStart"/>
            <w:r w:rsidRPr="00B305D3">
              <w:rPr>
                <w:rFonts w:ascii="Arial" w:eastAsia="Times New Roman" w:hAnsi="Arial"/>
                <w:kern w:val="0"/>
                <w:sz w:val="20"/>
                <w:szCs w:val="20"/>
                <w:lang w:eastAsia="en-GB"/>
              </w:rPr>
              <w:t>Husayn</w:t>
            </w:r>
            <w:proofErr w:type="spellEnd"/>
            <w:r w:rsidRPr="00B305D3">
              <w:rPr>
                <w:rFonts w:ascii="Arial" w:eastAsia="Times New Roman" w:hAnsi="Arial"/>
                <w:kern w:val="0"/>
                <w:sz w:val="20"/>
                <w:szCs w:val="20"/>
                <w:lang w:eastAsia="en-GB"/>
              </w:rPr>
              <w:t xml:space="preserve"> b. al-</w:t>
            </w:r>
            <w:proofErr w:type="spellStart"/>
            <w:r w:rsidRPr="00B305D3">
              <w:rPr>
                <w:rFonts w:ascii="Arial" w:eastAsia="Times New Roman" w:hAnsi="Arial"/>
                <w:kern w:val="0"/>
                <w:sz w:val="20"/>
                <w:szCs w:val="20"/>
                <w:lang w:eastAsia="en-GB"/>
              </w:rPr>
              <w:t>Farra</w:t>
            </w:r>
            <w:proofErr w:type="spellEnd"/>
            <w:r w:rsidRPr="00B305D3">
              <w:rPr>
                <w:rFonts w:ascii="Arial" w:eastAsia="Times New Roman" w:hAnsi="Arial"/>
                <w:kern w:val="0"/>
                <w:sz w:val="20"/>
                <w:szCs w:val="20"/>
                <w:lang w:eastAsia="en-GB"/>
              </w:rPr>
              <w:t>', Abu Muhammad, Abu Muhammad al-</w:t>
            </w:r>
            <w:proofErr w:type="spellStart"/>
            <w:r w:rsidRPr="00B305D3">
              <w:rPr>
                <w:rFonts w:ascii="Arial" w:eastAsia="Times New Roman" w:hAnsi="Arial"/>
                <w:kern w:val="0"/>
                <w:sz w:val="20"/>
                <w:szCs w:val="20"/>
                <w:lang w:eastAsia="en-GB"/>
              </w:rPr>
              <w:t>Akfani</w:t>
            </w:r>
            <w:proofErr w:type="spellEnd"/>
            <w:r w:rsidRPr="00B305D3">
              <w:rPr>
                <w:rFonts w:ascii="Arial" w:eastAsia="Times New Roman" w:hAnsi="Arial"/>
                <w:kern w:val="0"/>
                <w:sz w:val="20"/>
                <w:szCs w:val="20"/>
                <w:lang w:eastAsia="en-GB"/>
              </w:rPr>
              <w:t xml:space="preserve">, Abu </w:t>
            </w:r>
            <w:proofErr w:type="spellStart"/>
            <w:r w:rsidRPr="00B305D3">
              <w:rPr>
                <w:rFonts w:ascii="Arial" w:eastAsia="Times New Roman" w:hAnsi="Arial"/>
                <w:kern w:val="0"/>
                <w:sz w:val="20"/>
                <w:szCs w:val="20"/>
                <w:lang w:eastAsia="en-GB"/>
              </w:rPr>
              <w:t>Sa'id</w:t>
            </w:r>
            <w:proofErr w:type="spellEnd"/>
            <w:r w:rsidRPr="00B305D3">
              <w:rPr>
                <w:rFonts w:ascii="Arial" w:eastAsia="Times New Roman" w:hAnsi="Arial"/>
                <w:kern w:val="0"/>
                <w:sz w:val="20"/>
                <w:szCs w:val="20"/>
                <w:lang w:eastAsia="en-GB"/>
              </w:rPr>
              <w:t>, al-</w:t>
            </w:r>
            <w:proofErr w:type="spellStart"/>
            <w:r w:rsidRPr="00B305D3">
              <w:rPr>
                <w:rFonts w:ascii="Arial" w:eastAsia="Times New Roman" w:hAnsi="Arial"/>
                <w:kern w:val="0"/>
                <w:sz w:val="20"/>
                <w:szCs w:val="20"/>
                <w:lang w:eastAsia="en-GB"/>
              </w:rPr>
              <w:t>Waqidi</w:t>
            </w:r>
            <w:proofErr w:type="spellEnd"/>
            <w:r w:rsidRPr="00B305D3">
              <w:rPr>
                <w:rFonts w:ascii="Arial" w:eastAsia="Times New Roman" w:hAnsi="Arial"/>
                <w:kern w:val="0"/>
                <w:sz w:val="20"/>
                <w:szCs w:val="20"/>
                <w:lang w:eastAsia="en-GB"/>
              </w:rPr>
              <w:t>, al-</w:t>
            </w:r>
            <w:proofErr w:type="spellStart"/>
            <w:r w:rsidRPr="00B305D3">
              <w:rPr>
                <w:rFonts w:ascii="Arial" w:eastAsia="Times New Roman" w:hAnsi="Arial"/>
                <w:kern w:val="0"/>
                <w:sz w:val="20"/>
                <w:szCs w:val="20"/>
                <w:lang w:eastAsia="en-GB"/>
              </w:rPr>
              <w:t>Zubayr</w:t>
            </w:r>
            <w:proofErr w:type="spellEnd"/>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3B41CFB" w14:textId="77777777" w:rsidR="00B305D3" w:rsidRPr="00B305D3" w:rsidRDefault="00B305D3" w:rsidP="00B305D3">
            <w:pPr>
              <w:suppressAutoHyphens w:val="0"/>
              <w:autoSpaceDN/>
              <w:spacing w:after="0" w:line="240" w:lineRule="auto"/>
              <w:jc w:val="center"/>
              <w:rPr>
                <w:rFonts w:ascii="Liberation Sans" w:eastAsia="Times New Roman" w:hAnsi="Liberation Sans"/>
                <w:kern w:val="0"/>
                <w:sz w:val="20"/>
                <w:szCs w:val="20"/>
                <w:lang w:eastAsia="en-GB"/>
              </w:rPr>
            </w:pPr>
            <w:r w:rsidRPr="00B305D3">
              <w:rPr>
                <w:rFonts w:ascii="Liberation Sans" w:eastAsia="Times New Roman" w:hAnsi="Liberation Sans"/>
                <w:kern w:val="0"/>
                <w:sz w:val="20"/>
                <w:szCs w:val="20"/>
                <w:lang w:eastAsia="en-GB"/>
              </w:rPr>
              <w:t>14</w:t>
            </w:r>
          </w:p>
        </w:tc>
      </w:tr>
      <w:tr w:rsidR="00B305D3" w:rsidRPr="00B305D3" w14:paraId="25CB8ED9" w14:textId="77777777" w:rsidTr="00B305D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1161D4FD" w14:textId="77777777" w:rsidR="00B305D3" w:rsidRPr="00B305D3" w:rsidRDefault="00B305D3" w:rsidP="00B305D3">
            <w:pPr>
              <w:suppressAutoHyphens w:val="0"/>
              <w:autoSpaceDN/>
              <w:spacing w:after="0" w:line="240" w:lineRule="auto"/>
              <w:jc w:val="center"/>
              <w:rPr>
                <w:rFonts w:ascii="Lohit Devanagari" w:eastAsia="Times New Roman" w:hAnsi="Lohit Devanagari"/>
                <w:kern w:val="0"/>
                <w:sz w:val="20"/>
                <w:szCs w:val="20"/>
                <w:lang w:eastAsia="en-GB"/>
              </w:rPr>
            </w:pPr>
            <w:r w:rsidRPr="00B305D3">
              <w:rPr>
                <w:rFonts w:ascii="Lohit Devanagari" w:eastAsia="Times New Roman" w:hAnsi="Lohit Devanagari"/>
                <w:kern w:val="0"/>
                <w:sz w:val="20"/>
                <w:szCs w:val="20"/>
                <w:rtl/>
                <w:lang w:eastAsia="en-GB"/>
              </w:rPr>
              <w:t>فيما نقلته من خطه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4B4B7"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'according to what he transmitted in his handwriting'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05C346"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val="it-IT" w:eastAsia="en-GB"/>
              </w:rPr>
            </w:pPr>
            <w:r w:rsidRPr="00B305D3">
              <w:rPr>
                <w:rFonts w:ascii="Arial" w:eastAsia="Times New Roman" w:hAnsi="Arial"/>
                <w:kern w:val="0"/>
                <w:sz w:val="20"/>
                <w:szCs w:val="20"/>
                <w:lang w:val="it-IT" w:eastAsia="en-GB"/>
              </w:rPr>
              <w:t>Abu al-Husayn al-Razi, Abu Muhammad b. Sabir, al-</w:t>
            </w:r>
            <w:proofErr w:type="spellStart"/>
            <w:r w:rsidRPr="00B305D3">
              <w:rPr>
                <w:rFonts w:ascii="Arial" w:eastAsia="Times New Roman" w:hAnsi="Arial"/>
                <w:kern w:val="0"/>
                <w:sz w:val="20"/>
                <w:szCs w:val="20"/>
                <w:lang w:val="it-IT" w:eastAsia="en-GB"/>
              </w:rPr>
              <w:t>Maqdisi</w:t>
            </w:r>
            <w:proofErr w:type="spellEnd"/>
            <w:r w:rsidRPr="00B305D3">
              <w:rPr>
                <w:rFonts w:ascii="Arial" w:eastAsia="Times New Roman" w:hAnsi="Arial"/>
                <w:kern w:val="0"/>
                <w:sz w:val="20"/>
                <w:szCs w:val="20"/>
                <w:lang w:val="it-IT" w:eastAsia="en-GB"/>
              </w:rPr>
              <w:t>, al-</w:t>
            </w:r>
            <w:proofErr w:type="spellStart"/>
            <w:r w:rsidRPr="00B305D3">
              <w:rPr>
                <w:rFonts w:ascii="Arial" w:eastAsia="Times New Roman" w:hAnsi="Arial"/>
                <w:kern w:val="0"/>
                <w:sz w:val="20"/>
                <w:szCs w:val="20"/>
                <w:lang w:val="it-IT" w:eastAsia="en-GB"/>
              </w:rPr>
              <w:t>Qutrabali</w:t>
            </w:r>
            <w:proofErr w:type="spellEnd"/>
            <w:r w:rsidRPr="00B305D3">
              <w:rPr>
                <w:rFonts w:ascii="Arial" w:eastAsia="Times New Roman" w:hAnsi="Arial"/>
                <w:kern w:val="0"/>
                <w:sz w:val="20"/>
                <w:szCs w:val="20"/>
                <w:lang w:val="it-IT" w:eastAsia="en-GB"/>
              </w:rPr>
              <w:t xml:space="preserve">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E211266" w14:textId="77777777" w:rsidR="00B305D3" w:rsidRPr="00B305D3" w:rsidRDefault="00B305D3" w:rsidP="00B305D3">
            <w:pPr>
              <w:suppressAutoHyphens w:val="0"/>
              <w:autoSpaceDN/>
              <w:spacing w:after="0" w:line="240" w:lineRule="auto"/>
              <w:jc w:val="center"/>
              <w:rPr>
                <w:rFonts w:ascii="Liberation Sans" w:eastAsia="Times New Roman" w:hAnsi="Liberation Sans"/>
                <w:kern w:val="0"/>
                <w:sz w:val="20"/>
                <w:szCs w:val="20"/>
                <w:lang w:eastAsia="en-GB"/>
              </w:rPr>
            </w:pPr>
            <w:r w:rsidRPr="00B305D3">
              <w:rPr>
                <w:rFonts w:ascii="Liberation Sans" w:eastAsia="Times New Roman" w:hAnsi="Liberation Sans"/>
                <w:kern w:val="0"/>
                <w:sz w:val="20"/>
                <w:szCs w:val="20"/>
                <w:lang w:eastAsia="en-GB"/>
              </w:rPr>
              <w:t>10</w:t>
            </w:r>
          </w:p>
        </w:tc>
      </w:tr>
      <w:tr w:rsidR="00B305D3" w:rsidRPr="00B305D3" w14:paraId="2E5A6387" w14:textId="77777777" w:rsidTr="00B305D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0D33F2BA" w14:textId="77777777" w:rsidR="00B305D3" w:rsidRPr="00B305D3" w:rsidRDefault="00B305D3" w:rsidP="00B305D3">
            <w:pPr>
              <w:suppressAutoHyphens w:val="0"/>
              <w:autoSpaceDN/>
              <w:spacing w:after="0" w:line="240" w:lineRule="auto"/>
              <w:jc w:val="center"/>
              <w:rPr>
                <w:rFonts w:ascii="Lohit Devanagari" w:eastAsia="Times New Roman" w:hAnsi="Lohit Devanagari"/>
                <w:kern w:val="0"/>
                <w:sz w:val="20"/>
                <w:szCs w:val="20"/>
                <w:lang w:eastAsia="en-GB"/>
              </w:rPr>
            </w:pPr>
            <w:r w:rsidRPr="00B305D3">
              <w:rPr>
                <w:rFonts w:ascii="Lohit Devanagari" w:eastAsia="Times New Roman" w:hAnsi="Lohit Devanagari"/>
                <w:kern w:val="0"/>
                <w:sz w:val="20"/>
                <w:szCs w:val="20"/>
                <w:rtl/>
                <w:lang w:eastAsia="en-GB"/>
              </w:rPr>
              <w:t>في كتابه</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F37F85"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'in his/their writing'</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46FE2C3"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Abu al-Faraj al-</w:t>
            </w:r>
            <w:proofErr w:type="spellStart"/>
            <w:r w:rsidRPr="00B305D3">
              <w:rPr>
                <w:rFonts w:ascii="Arial" w:eastAsia="Times New Roman" w:hAnsi="Arial"/>
                <w:kern w:val="0"/>
                <w:sz w:val="20"/>
                <w:szCs w:val="20"/>
                <w:lang w:eastAsia="en-GB"/>
              </w:rPr>
              <w:t>Isbahani</w:t>
            </w:r>
            <w:proofErr w:type="spellEnd"/>
            <w:r w:rsidRPr="00B305D3">
              <w:rPr>
                <w:rFonts w:ascii="Arial" w:eastAsia="Times New Roman" w:hAnsi="Arial"/>
                <w:kern w:val="0"/>
                <w:sz w:val="20"/>
                <w:szCs w:val="20"/>
                <w:lang w:eastAsia="en-GB"/>
              </w:rPr>
              <w:t>, Abu al-</w:t>
            </w:r>
            <w:proofErr w:type="spellStart"/>
            <w:r w:rsidRPr="00B305D3">
              <w:rPr>
                <w:rFonts w:ascii="Arial" w:eastAsia="Times New Roman" w:hAnsi="Arial"/>
                <w:kern w:val="0"/>
                <w:sz w:val="20"/>
                <w:szCs w:val="20"/>
                <w:lang w:eastAsia="en-GB"/>
              </w:rPr>
              <w:t>Husayn</w:t>
            </w:r>
            <w:proofErr w:type="spellEnd"/>
            <w:r w:rsidRPr="00B305D3">
              <w:rPr>
                <w:rFonts w:ascii="Arial" w:eastAsia="Times New Roman" w:hAnsi="Arial"/>
                <w:kern w:val="0"/>
                <w:sz w:val="20"/>
                <w:szCs w:val="20"/>
                <w:lang w:eastAsia="en-GB"/>
              </w:rPr>
              <w:t xml:space="preserve"> al-Razi, Abu al-</w:t>
            </w:r>
            <w:proofErr w:type="spellStart"/>
            <w:r w:rsidRPr="00B305D3">
              <w:rPr>
                <w:rFonts w:ascii="Arial" w:eastAsia="Times New Roman" w:hAnsi="Arial"/>
                <w:kern w:val="0"/>
                <w:sz w:val="20"/>
                <w:szCs w:val="20"/>
                <w:lang w:eastAsia="en-GB"/>
              </w:rPr>
              <w:t>Husayn</w:t>
            </w:r>
            <w:proofErr w:type="spellEnd"/>
            <w:r w:rsidRPr="00B305D3">
              <w:rPr>
                <w:rFonts w:ascii="Arial" w:eastAsia="Times New Roman" w:hAnsi="Arial"/>
                <w:kern w:val="0"/>
                <w:sz w:val="20"/>
                <w:szCs w:val="20"/>
                <w:lang w:eastAsia="en-GB"/>
              </w:rPr>
              <w:t xml:space="preserve"> b. al-</w:t>
            </w:r>
            <w:proofErr w:type="spellStart"/>
            <w:r w:rsidRPr="00B305D3">
              <w:rPr>
                <w:rFonts w:ascii="Arial" w:eastAsia="Times New Roman" w:hAnsi="Arial"/>
                <w:kern w:val="0"/>
                <w:sz w:val="20"/>
                <w:szCs w:val="20"/>
                <w:lang w:eastAsia="en-GB"/>
              </w:rPr>
              <w:t>Farra</w:t>
            </w:r>
            <w:proofErr w:type="spellEnd"/>
            <w:r w:rsidRPr="00B305D3">
              <w:rPr>
                <w:rFonts w:ascii="Arial" w:eastAsia="Times New Roman" w:hAnsi="Arial"/>
                <w:kern w:val="0"/>
                <w:sz w:val="20"/>
                <w:szCs w:val="20"/>
                <w:lang w:eastAsia="en-GB"/>
              </w:rPr>
              <w:t xml:space="preserve">', Abu Muhammad al-Hasan b. Ahmad b. </w:t>
            </w:r>
            <w:proofErr w:type="spellStart"/>
            <w:r w:rsidRPr="00B305D3">
              <w:rPr>
                <w:rFonts w:ascii="Arial" w:eastAsia="Times New Roman" w:hAnsi="Arial"/>
                <w:kern w:val="0"/>
                <w:sz w:val="20"/>
                <w:szCs w:val="20"/>
                <w:lang w:eastAsia="en-GB"/>
              </w:rPr>
              <w:t>Ya'qub</w:t>
            </w:r>
            <w:proofErr w:type="spellEnd"/>
            <w:r w:rsidRPr="00B305D3">
              <w:rPr>
                <w:rFonts w:ascii="Arial" w:eastAsia="Times New Roman" w:hAnsi="Arial"/>
                <w:kern w:val="0"/>
                <w:sz w:val="20"/>
                <w:szCs w:val="20"/>
                <w:lang w:eastAsia="en-GB"/>
              </w:rPr>
              <w:t>, al-</w:t>
            </w:r>
            <w:proofErr w:type="spellStart"/>
            <w:r w:rsidRPr="00B305D3">
              <w:rPr>
                <w:rFonts w:ascii="Arial" w:eastAsia="Times New Roman" w:hAnsi="Arial"/>
                <w:kern w:val="0"/>
                <w:sz w:val="20"/>
                <w:szCs w:val="20"/>
                <w:lang w:eastAsia="en-GB"/>
              </w:rPr>
              <w:t>Baladhuri</w:t>
            </w:r>
            <w:proofErr w:type="spellEnd"/>
            <w:r w:rsidRPr="00B305D3">
              <w:rPr>
                <w:rFonts w:ascii="Arial" w:eastAsia="Times New Roman" w:hAnsi="Arial"/>
                <w:kern w:val="0"/>
                <w:sz w:val="20"/>
                <w:szCs w:val="20"/>
                <w:lang w:eastAsia="en-GB"/>
              </w:rPr>
              <w:t>, Ibn Abi al-'</w:t>
            </w:r>
            <w:proofErr w:type="spellStart"/>
            <w:r w:rsidRPr="00B305D3">
              <w:rPr>
                <w:rFonts w:ascii="Arial" w:eastAsia="Times New Roman" w:hAnsi="Arial"/>
                <w:kern w:val="0"/>
                <w:sz w:val="20"/>
                <w:szCs w:val="20"/>
                <w:lang w:eastAsia="en-GB"/>
              </w:rPr>
              <w:t>Aja`iz</w:t>
            </w:r>
            <w:proofErr w:type="spellEnd"/>
            <w:r w:rsidRPr="00B305D3">
              <w:rPr>
                <w:rFonts w:ascii="Arial" w:eastAsia="Times New Roman" w:hAnsi="Arial"/>
                <w:kern w:val="0"/>
                <w:sz w:val="20"/>
                <w:szCs w:val="20"/>
                <w:lang w:eastAsia="en-GB"/>
              </w:rPr>
              <w:t>, Ibn Hazm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3DB1" w14:textId="77777777" w:rsidR="00B305D3" w:rsidRPr="00B305D3" w:rsidRDefault="00B305D3" w:rsidP="00B305D3">
            <w:pPr>
              <w:suppressAutoHyphens w:val="0"/>
              <w:autoSpaceDN/>
              <w:spacing w:after="0" w:line="240" w:lineRule="auto"/>
              <w:jc w:val="center"/>
              <w:rPr>
                <w:rFonts w:ascii="Arial" w:eastAsia="Times New Roman" w:hAnsi="Arial"/>
                <w:kern w:val="0"/>
                <w:sz w:val="20"/>
                <w:szCs w:val="20"/>
                <w:lang w:eastAsia="en-GB"/>
              </w:rPr>
            </w:pPr>
            <w:r w:rsidRPr="00B305D3">
              <w:rPr>
                <w:rFonts w:ascii="Arial" w:eastAsia="Times New Roman" w:hAnsi="Arial"/>
                <w:kern w:val="0"/>
                <w:sz w:val="20"/>
                <w:szCs w:val="20"/>
                <w:lang w:eastAsia="en-GB"/>
              </w:rPr>
              <w:t>11</w:t>
            </w:r>
          </w:p>
        </w:tc>
      </w:tr>
    </w:tbl>
    <w:p w14:paraId="7D049AD2" w14:textId="76CB648A" w:rsidR="00255A0A" w:rsidRDefault="007F65C4" w:rsidP="00B305D3">
      <w:pPr>
        <w:spacing w:line="240" w:lineRule="auto"/>
        <w:rPr>
          <w:rFonts w:asciiTheme="minorHAnsi" w:hAnsiTheme="minorHAnsi" w:cstheme="minorHAnsi"/>
          <w:sz w:val="24"/>
          <w:szCs w:val="24"/>
        </w:rPr>
      </w:pPr>
      <w:r>
        <w:rPr>
          <w:rFonts w:asciiTheme="minorHAnsi" w:hAnsiTheme="minorHAnsi" w:cstheme="minorHAnsi"/>
          <w:sz w:val="24"/>
          <w:szCs w:val="24"/>
        </w:rPr>
        <w:t>Table 6.</w:t>
      </w:r>
      <w:r w:rsidR="00234322">
        <w:rPr>
          <w:rFonts w:asciiTheme="minorHAnsi" w:hAnsiTheme="minorHAnsi" w:cstheme="minorHAnsi"/>
          <w:sz w:val="24"/>
          <w:szCs w:val="24"/>
        </w:rPr>
        <w:t>6</w:t>
      </w:r>
      <w:r>
        <w:rPr>
          <w:rFonts w:asciiTheme="minorHAnsi" w:hAnsiTheme="minorHAnsi" w:cstheme="minorHAnsi"/>
          <w:sz w:val="24"/>
          <w:szCs w:val="24"/>
        </w:rPr>
        <w:t xml:space="preserve">: Cases where Ibn </w:t>
      </w:r>
      <w:proofErr w:type="spellStart"/>
      <w:r>
        <w:rPr>
          <w:rFonts w:asciiTheme="minorHAnsi" w:hAnsiTheme="minorHAnsi" w:cstheme="minorHAnsi"/>
          <w:sz w:val="24"/>
          <w:szCs w:val="24"/>
        </w:rPr>
        <w:t>ʿAsākir</w:t>
      </w:r>
      <w:proofErr w:type="spellEnd"/>
      <w:r>
        <w:rPr>
          <w:rFonts w:asciiTheme="minorHAnsi" w:hAnsiTheme="minorHAnsi" w:cstheme="minorHAnsi"/>
          <w:sz w:val="24"/>
          <w:szCs w:val="24"/>
        </w:rPr>
        <w:t xml:space="preserve"> refers to writings less directly.</w:t>
      </w:r>
      <w:r w:rsidR="00B305D3">
        <w:rPr>
          <w:rStyle w:val="FootnoteReference"/>
          <w:rFonts w:asciiTheme="minorHAnsi" w:hAnsiTheme="minorHAnsi" w:cstheme="minorHAnsi"/>
          <w:sz w:val="24"/>
          <w:szCs w:val="24"/>
        </w:rPr>
        <w:footnoteReference w:id="23"/>
      </w:r>
    </w:p>
    <w:p w14:paraId="777723A9" w14:textId="66E2E7B6" w:rsidR="007F65C4" w:rsidRPr="001152CE" w:rsidRDefault="007F65C4">
      <w:pPr>
        <w:spacing w:line="240" w:lineRule="auto"/>
        <w:rPr>
          <w:rFonts w:asciiTheme="minorHAnsi" w:hAnsiTheme="minorHAnsi" w:cstheme="minorHAnsi"/>
          <w:sz w:val="24"/>
          <w:szCs w:val="24"/>
          <w:rtl/>
        </w:rPr>
      </w:pPr>
    </w:p>
    <w:sectPr w:rsidR="007F65C4" w:rsidRPr="001152C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C6602" w14:textId="77777777" w:rsidR="00DA3BB1" w:rsidRDefault="00DA3BB1">
      <w:pPr>
        <w:spacing w:after="0" w:line="240" w:lineRule="auto"/>
      </w:pPr>
      <w:r>
        <w:separator/>
      </w:r>
    </w:p>
  </w:endnote>
  <w:endnote w:type="continuationSeparator" w:id="0">
    <w:p w14:paraId="0FA26D4E" w14:textId="77777777" w:rsidR="00DA3BB1" w:rsidRDefault="00DA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696F" w14:textId="77777777" w:rsidR="00DA3BB1" w:rsidRDefault="00DA3BB1">
      <w:pPr>
        <w:spacing w:after="0" w:line="240" w:lineRule="auto"/>
      </w:pPr>
      <w:r>
        <w:rPr>
          <w:color w:val="000000"/>
        </w:rPr>
        <w:separator/>
      </w:r>
    </w:p>
  </w:footnote>
  <w:footnote w:type="continuationSeparator" w:id="0">
    <w:p w14:paraId="30AE5FD3" w14:textId="77777777" w:rsidR="00DA3BB1" w:rsidRDefault="00DA3BB1">
      <w:pPr>
        <w:spacing w:after="0" w:line="240" w:lineRule="auto"/>
      </w:pPr>
      <w:r>
        <w:continuationSeparator/>
      </w:r>
    </w:p>
  </w:footnote>
  <w:footnote w:id="1">
    <w:p w14:paraId="146DC4F8" w14:textId="1D7F4EEA" w:rsidR="00BE38B5" w:rsidRPr="00422803" w:rsidRDefault="00BE38B5">
      <w:pPr>
        <w:pStyle w:val="FootnoteText"/>
        <w:rPr>
          <w:rFonts w:asciiTheme="minorHAnsi" w:hAnsiTheme="minorHAnsi" w:cstheme="minorHAnsi"/>
        </w:rPr>
      </w:pPr>
      <w:r w:rsidRPr="00422803">
        <w:rPr>
          <w:rStyle w:val="FootnoteReference"/>
          <w:rFonts w:asciiTheme="minorHAnsi" w:hAnsiTheme="minorHAnsi" w:cstheme="minorHAnsi"/>
        </w:rPr>
        <w:footnoteRef/>
      </w:r>
      <w:r w:rsidRPr="00422803">
        <w:rPr>
          <w:rFonts w:asciiTheme="minorHAnsi" w:hAnsiTheme="minorHAnsi" w:cstheme="minorHAnsi"/>
        </w:rPr>
        <w:t xml:space="preserve"> We updated our Names List for this post, as we encountered new </w:t>
      </w:r>
      <w:r w:rsidR="00B305D3">
        <w:rPr>
          <w:rFonts w:asciiTheme="minorHAnsi" w:hAnsiTheme="minorHAnsi" w:cstheme="minorHAnsi"/>
        </w:rPr>
        <w:t>names and surface forms</w:t>
      </w:r>
      <w:r w:rsidRPr="00422803">
        <w:rPr>
          <w:rFonts w:asciiTheme="minorHAnsi" w:hAnsiTheme="minorHAnsi" w:cstheme="minorHAnsi"/>
        </w:rPr>
        <w:t xml:space="preserve"> when we searched outside of </w:t>
      </w:r>
      <w:proofErr w:type="spellStart"/>
      <w:r w:rsidRPr="00422803">
        <w:rPr>
          <w:rFonts w:asciiTheme="minorHAnsi" w:hAnsiTheme="minorHAnsi" w:cstheme="minorHAnsi"/>
          <w:i/>
          <w:iCs/>
        </w:rPr>
        <w:t>isnād</w:t>
      </w:r>
      <w:r w:rsidRPr="00422803">
        <w:rPr>
          <w:rFonts w:asciiTheme="minorHAnsi" w:hAnsiTheme="minorHAnsi" w:cstheme="minorHAnsi"/>
        </w:rPr>
        <w:t>s</w:t>
      </w:r>
      <w:proofErr w:type="spellEnd"/>
      <w:r w:rsidRPr="00422803">
        <w:rPr>
          <w:rFonts w:asciiTheme="minorHAnsi" w:hAnsiTheme="minorHAnsi" w:cstheme="minorHAnsi"/>
        </w:rPr>
        <w:t>.</w:t>
      </w:r>
      <w:r w:rsidR="00422803" w:rsidRPr="00422803">
        <w:rPr>
          <w:rFonts w:asciiTheme="minorHAnsi" w:hAnsiTheme="minorHAnsi" w:cstheme="minorHAnsi"/>
          <w:lang w:val="en-GB"/>
        </w:rPr>
        <w:t xml:space="preserve"> </w:t>
      </w:r>
      <w:bookmarkStart w:id="0" w:name="_Hlk142487338"/>
      <w:r w:rsidR="006035F3">
        <w:rPr>
          <w:rFonts w:asciiTheme="minorHAnsi" w:hAnsiTheme="minorHAnsi" w:cstheme="minorHAnsi"/>
          <w:lang w:val="en-GB"/>
        </w:rPr>
        <w:fldChar w:fldCharType="begin"/>
      </w:r>
      <w:r w:rsidR="006035F3">
        <w:rPr>
          <w:rFonts w:asciiTheme="minorHAnsi" w:hAnsiTheme="minorHAnsi" w:cstheme="minorHAnsi"/>
          <w:lang w:val="en-GB"/>
        </w:rPr>
        <w:instrText>HYPERLINK "https://zenodo.org/record/8233103"</w:instrText>
      </w:r>
      <w:r w:rsidR="006035F3">
        <w:rPr>
          <w:rFonts w:asciiTheme="minorHAnsi" w:hAnsiTheme="minorHAnsi" w:cstheme="minorHAnsi"/>
          <w:lang w:val="en-GB"/>
        </w:rPr>
      </w:r>
      <w:r w:rsidR="006035F3">
        <w:rPr>
          <w:rFonts w:asciiTheme="minorHAnsi" w:hAnsiTheme="minorHAnsi" w:cstheme="minorHAnsi"/>
          <w:lang w:val="en-GB"/>
        </w:rPr>
        <w:fldChar w:fldCharType="separate"/>
      </w:r>
      <w:r w:rsidR="00422803" w:rsidRPr="006035F3">
        <w:rPr>
          <w:rStyle w:val="Hyperlink"/>
          <w:rFonts w:asciiTheme="minorHAnsi" w:hAnsiTheme="minorHAnsi" w:cstheme="minorHAnsi"/>
          <w:lang w:val="en-GB"/>
        </w:rPr>
        <w:t xml:space="preserve">Savant and Seydi, ‘Ibn </w:t>
      </w:r>
      <w:proofErr w:type="spellStart"/>
      <w:r w:rsidR="00422803" w:rsidRPr="006035F3">
        <w:rPr>
          <w:rStyle w:val="Hyperlink"/>
          <w:rFonts w:asciiTheme="minorHAnsi" w:hAnsiTheme="minorHAnsi" w:cstheme="minorHAnsi"/>
          <w:lang w:val="en-GB"/>
        </w:rPr>
        <w:t>ʿAsākir</w:t>
      </w:r>
      <w:proofErr w:type="spellEnd"/>
      <w:r w:rsidR="00422803" w:rsidRPr="006035F3">
        <w:rPr>
          <w:rStyle w:val="Hyperlink"/>
          <w:rFonts w:asciiTheme="minorHAnsi" w:hAnsiTheme="minorHAnsi" w:cstheme="minorHAnsi"/>
          <w:lang w:val="en-GB"/>
        </w:rPr>
        <w:t xml:space="preserve"> and His History of Damascus’</w:t>
      </w:r>
      <w:r w:rsidR="006035F3">
        <w:rPr>
          <w:rFonts w:asciiTheme="minorHAnsi" w:hAnsiTheme="minorHAnsi" w:cstheme="minorHAnsi"/>
          <w:lang w:val="en-GB"/>
        </w:rPr>
        <w:fldChar w:fldCharType="end"/>
      </w:r>
      <w:r w:rsidR="00422803" w:rsidRPr="00422803">
        <w:rPr>
          <w:rFonts w:asciiTheme="minorHAnsi" w:hAnsiTheme="minorHAnsi" w:cstheme="minorHAnsi"/>
          <w:lang w:val="en-GB"/>
        </w:rPr>
        <w:t>, ‘</w:t>
      </w:r>
      <w:proofErr w:type="spellStart"/>
      <w:r w:rsidR="00422803" w:rsidRPr="00422803">
        <w:rPr>
          <w:rFonts w:asciiTheme="minorHAnsi" w:hAnsiTheme="minorHAnsi" w:cstheme="minorHAnsi"/>
          <w:lang w:val="en-GB"/>
        </w:rPr>
        <w:t>Search_in_Text</w:t>
      </w:r>
      <w:proofErr w:type="spellEnd"/>
      <w:r w:rsidR="00422803" w:rsidRPr="00422803">
        <w:rPr>
          <w:rFonts w:asciiTheme="minorHAnsi" w:hAnsiTheme="minorHAnsi" w:cstheme="minorHAnsi"/>
          <w:lang w:val="en-GB"/>
        </w:rPr>
        <w:t>’, table ‘</w:t>
      </w:r>
      <w:proofErr w:type="spellStart"/>
      <w:r w:rsidR="00422803" w:rsidRPr="00422803">
        <w:rPr>
          <w:rFonts w:asciiTheme="minorHAnsi" w:hAnsiTheme="minorHAnsi" w:cstheme="minorHAnsi"/>
        </w:rPr>
        <w:t>NameList_SearchResults</w:t>
      </w:r>
      <w:proofErr w:type="spellEnd"/>
      <w:r w:rsidR="00422803" w:rsidRPr="00422803">
        <w:rPr>
          <w:rFonts w:asciiTheme="minorHAnsi" w:hAnsiTheme="minorHAnsi" w:cstheme="minorHAnsi"/>
        </w:rPr>
        <w:t>’.</w:t>
      </w:r>
    </w:p>
    <w:bookmarkEnd w:id="0"/>
  </w:footnote>
  <w:footnote w:id="2">
    <w:p w14:paraId="40B9D260" w14:textId="229F00A3" w:rsidR="00B305D3" w:rsidRDefault="00B305D3" w:rsidP="00B305D3">
      <w:pPr>
        <w:pStyle w:val="FootnoteText"/>
      </w:pPr>
      <w:r w:rsidRPr="00944061">
        <w:rPr>
          <w:rStyle w:val="FootnoteReference"/>
        </w:rPr>
        <w:footnoteRef/>
      </w:r>
      <w:bookmarkStart w:id="2" w:name="_Hlk142487432"/>
      <w:r w:rsidRPr="00944061">
        <w:t xml:space="preserve"> </w:t>
      </w:r>
      <w:r w:rsidRPr="00944061">
        <w:rPr>
          <w:rFonts w:asciiTheme="minorHAnsi" w:hAnsiTheme="minorHAnsi" w:cstheme="minorHAnsi"/>
          <w:lang w:val="en-GB"/>
        </w:rPr>
        <w:t xml:space="preserve">Savant and Seydi, ‘Ibn </w:t>
      </w:r>
      <w:proofErr w:type="spellStart"/>
      <w:r w:rsidRPr="00944061">
        <w:rPr>
          <w:rFonts w:asciiTheme="minorHAnsi" w:hAnsiTheme="minorHAnsi" w:cstheme="minorHAnsi"/>
          <w:lang w:val="en-GB"/>
        </w:rPr>
        <w:t>ʿAsākir</w:t>
      </w:r>
      <w:proofErr w:type="spellEnd"/>
      <w:r w:rsidRPr="00944061">
        <w:rPr>
          <w:rFonts w:asciiTheme="minorHAnsi" w:hAnsiTheme="minorHAnsi" w:cstheme="minorHAnsi"/>
          <w:lang w:val="en-GB"/>
        </w:rPr>
        <w:t xml:space="preserve"> and His History of Damascus’, ‘</w:t>
      </w:r>
      <w:proofErr w:type="spellStart"/>
      <w:r w:rsidRPr="00944061">
        <w:rPr>
          <w:rFonts w:asciiTheme="minorHAnsi" w:hAnsiTheme="minorHAnsi" w:cstheme="minorHAnsi"/>
          <w:lang w:val="en-GB"/>
        </w:rPr>
        <w:t>Search_in_Text</w:t>
      </w:r>
      <w:proofErr w:type="spellEnd"/>
      <w:r w:rsidRPr="00944061">
        <w:rPr>
          <w:rFonts w:asciiTheme="minorHAnsi" w:hAnsiTheme="minorHAnsi" w:cstheme="minorHAnsi"/>
          <w:lang w:val="en-GB"/>
        </w:rPr>
        <w:t>’, tables ‘</w:t>
      </w:r>
      <w:proofErr w:type="spellStart"/>
      <w:r w:rsidR="00944061" w:rsidRPr="00944061">
        <w:rPr>
          <w:rFonts w:asciiTheme="minorHAnsi" w:hAnsiTheme="minorHAnsi" w:cstheme="minorHAnsi"/>
          <w:lang w:val="en-GB"/>
        </w:rPr>
        <w:t>SearchResults_Wajadtu_NameCount</w:t>
      </w:r>
      <w:proofErr w:type="spellEnd"/>
      <w:r w:rsidRPr="00944061">
        <w:rPr>
          <w:rFonts w:asciiTheme="minorHAnsi" w:hAnsiTheme="minorHAnsi" w:cstheme="minorHAnsi"/>
          <w:lang w:val="en-GB"/>
        </w:rPr>
        <w:t>’ and ‘</w:t>
      </w:r>
      <w:proofErr w:type="spellStart"/>
      <w:r w:rsidR="00944061" w:rsidRPr="00944061">
        <w:rPr>
          <w:rFonts w:asciiTheme="minorHAnsi" w:hAnsiTheme="minorHAnsi" w:cstheme="minorHAnsi"/>
          <w:lang w:val="en-GB"/>
        </w:rPr>
        <w:t>SearchResults_QaratuFiKitab_NameCount</w:t>
      </w:r>
      <w:proofErr w:type="spellEnd"/>
      <w:r w:rsidRPr="00944061">
        <w:rPr>
          <w:rFonts w:asciiTheme="minorHAnsi" w:hAnsiTheme="minorHAnsi" w:cstheme="minorHAnsi"/>
        </w:rPr>
        <w:t>’.</w:t>
      </w:r>
      <w:bookmarkEnd w:id="2"/>
    </w:p>
  </w:footnote>
  <w:footnote w:id="3">
    <w:p w14:paraId="03CD9F5F" w14:textId="77777777" w:rsidR="00C74DFA" w:rsidRPr="00422803" w:rsidRDefault="00000000">
      <w:pPr>
        <w:pStyle w:val="FootnoteText"/>
        <w:rPr>
          <w:rFonts w:asciiTheme="minorHAnsi" w:hAnsiTheme="minorHAnsi" w:cstheme="minorHAnsi"/>
        </w:rPr>
      </w:pPr>
      <w:r w:rsidRPr="00422803">
        <w:rPr>
          <w:rStyle w:val="FootnoteReference"/>
          <w:rFonts w:asciiTheme="minorHAnsi" w:hAnsiTheme="minorHAnsi" w:cstheme="minorHAnsi"/>
        </w:rPr>
        <w:footnoteRef/>
      </w:r>
      <w:r w:rsidRPr="00422803">
        <w:rPr>
          <w:rFonts w:asciiTheme="minorHAnsi" w:hAnsiTheme="minorHAnsi" w:cstheme="minorHAnsi"/>
          <w:lang w:val="en-GB"/>
        </w:rPr>
        <w:t xml:space="preserve"> Savant and Seydi, ‘Ibn </w:t>
      </w:r>
      <w:proofErr w:type="spellStart"/>
      <w:r w:rsidRPr="00422803">
        <w:rPr>
          <w:rFonts w:asciiTheme="minorHAnsi" w:hAnsiTheme="minorHAnsi" w:cstheme="minorHAnsi"/>
          <w:lang w:val="en-GB"/>
        </w:rPr>
        <w:t>ʿAsākir</w:t>
      </w:r>
      <w:proofErr w:type="spellEnd"/>
      <w:r w:rsidRPr="00422803">
        <w:rPr>
          <w:rFonts w:asciiTheme="minorHAnsi" w:hAnsiTheme="minorHAnsi" w:cstheme="minorHAnsi"/>
          <w:lang w:val="en-GB"/>
        </w:rPr>
        <w:t xml:space="preserve"> and His History of Damascus’, ‘Isnads’, table ‘</w:t>
      </w:r>
      <w:proofErr w:type="spellStart"/>
      <w:r w:rsidRPr="00422803">
        <w:rPr>
          <w:rFonts w:asciiTheme="minorHAnsi" w:hAnsiTheme="minorHAnsi" w:cstheme="minorHAnsi"/>
          <w:lang w:val="en-GB"/>
        </w:rPr>
        <w:t>TransmissionChains_All</w:t>
      </w:r>
      <w:proofErr w:type="spellEnd"/>
      <w:r w:rsidRPr="00422803">
        <w:rPr>
          <w:rFonts w:asciiTheme="minorHAnsi" w:hAnsiTheme="minorHAnsi" w:cstheme="minorHAnsi"/>
          <w:lang w:val="en-GB"/>
        </w:rPr>
        <w:t xml:space="preserve">’, ID 77203, </w:t>
      </w:r>
      <w:proofErr w:type="spellStart"/>
      <w:r w:rsidRPr="00422803">
        <w:rPr>
          <w:rFonts w:asciiTheme="minorHAnsi" w:hAnsiTheme="minorHAnsi" w:cstheme="minorHAnsi"/>
          <w:lang w:val="en-GB"/>
        </w:rPr>
        <w:t>ms</w:t>
      </w:r>
      <w:proofErr w:type="spellEnd"/>
      <w:r w:rsidRPr="00422803">
        <w:rPr>
          <w:rFonts w:asciiTheme="minorHAnsi" w:hAnsiTheme="minorHAnsi" w:cstheme="minorHAnsi"/>
          <w:lang w:val="en-GB"/>
        </w:rPr>
        <w:t>. 26162.</w:t>
      </w:r>
    </w:p>
  </w:footnote>
  <w:footnote w:id="4">
    <w:p w14:paraId="71818B00" w14:textId="14ED986C" w:rsidR="00B305D3" w:rsidRDefault="00B305D3">
      <w:pPr>
        <w:pStyle w:val="FootnoteText"/>
      </w:pPr>
      <w:r>
        <w:rPr>
          <w:rStyle w:val="FootnoteReference"/>
        </w:rPr>
        <w:footnoteRef/>
      </w:r>
      <w:r>
        <w:t xml:space="preserve"> </w:t>
      </w:r>
      <w:r w:rsidRPr="00581EA7">
        <w:rPr>
          <w:rFonts w:asciiTheme="minorHAnsi" w:hAnsiTheme="minorHAnsi" w:cstheme="minorHAnsi"/>
          <w:lang w:val="en-GB"/>
        </w:rPr>
        <w:t xml:space="preserve">Savant and Seydi, ‘Ibn </w:t>
      </w:r>
      <w:proofErr w:type="spellStart"/>
      <w:r w:rsidRPr="00581EA7">
        <w:rPr>
          <w:rFonts w:asciiTheme="minorHAnsi" w:hAnsiTheme="minorHAnsi" w:cstheme="minorHAnsi"/>
          <w:lang w:val="en-GB"/>
        </w:rPr>
        <w:t>ʿAsākir</w:t>
      </w:r>
      <w:proofErr w:type="spellEnd"/>
      <w:r w:rsidRPr="00581EA7">
        <w:rPr>
          <w:rFonts w:asciiTheme="minorHAnsi" w:hAnsiTheme="minorHAnsi" w:cstheme="minorHAnsi"/>
          <w:lang w:val="en-GB"/>
        </w:rPr>
        <w:t xml:space="preserve"> and His History of Damascus’, ‘</w:t>
      </w:r>
      <w:proofErr w:type="spellStart"/>
      <w:r w:rsidRPr="00581EA7">
        <w:rPr>
          <w:rFonts w:asciiTheme="minorHAnsi" w:hAnsiTheme="minorHAnsi" w:cstheme="minorHAnsi"/>
          <w:lang w:val="en-GB"/>
        </w:rPr>
        <w:t>Search_in_Text</w:t>
      </w:r>
      <w:proofErr w:type="spellEnd"/>
      <w:r w:rsidRPr="00581EA7">
        <w:rPr>
          <w:rFonts w:asciiTheme="minorHAnsi" w:hAnsiTheme="minorHAnsi" w:cstheme="minorHAnsi"/>
          <w:lang w:val="en-GB"/>
        </w:rPr>
        <w:t>’, table ‘</w:t>
      </w:r>
      <w:proofErr w:type="spellStart"/>
      <w:r w:rsidR="00581EA7" w:rsidRPr="00581EA7">
        <w:t>SearchResults_Tasmiya_PhraseCount</w:t>
      </w:r>
      <w:proofErr w:type="spellEnd"/>
      <w:r w:rsidRPr="00581EA7">
        <w:rPr>
          <w:rFonts w:asciiTheme="minorHAnsi" w:hAnsiTheme="minorHAnsi" w:cstheme="minorHAnsi"/>
          <w:lang w:val="en-GB"/>
        </w:rPr>
        <w:t>’</w:t>
      </w:r>
      <w:r w:rsidRPr="00581EA7">
        <w:rPr>
          <w:rFonts w:asciiTheme="minorHAnsi" w:hAnsiTheme="minorHAnsi" w:cstheme="minorHAnsi"/>
        </w:rPr>
        <w:t>.</w:t>
      </w:r>
    </w:p>
  </w:footnote>
  <w:footnote w:id="5">
    <w:p w14:paraId="0267A07C" w14:textId="03ECF903" w:rsidR="00C74DFA" w:rsidRDefault="00000000">
      <w:pPr>
        <w:pStyle w:val="FootnoteText"/>
      </w:pPr>
      <w:r>
        <w:rPr>
          <w:rStyle w:val="FootnoteReference"/>
        </w:rPr>
        <w:footnoteRef/>
      </w:r>
      <w:r>
        <w:rPr>
          <w:rFonts w:ascii="Times New Roman" w:hAnsi="Times New Roman" w:cs="Times New Roman"/>
          <w:lang w:val="en-GB"/>
        </w:rPr>
        <w:t xml:space="preserve"> </w:t>
      </w:r>
      <w:r w:rsidR="00BE38B5">
        <w:rPr>
          <w:rFonts w:ascii="Times New Roman" w:hAnsi="Times New Roman" w:cs="Times New Roman"/>
          <w:lang w:val="en-GB"/>
        </w:rPr>
        <w:t>Two</w:t>
      </w:r>
      <w:r>
        <w:rPr>
          <w:rFonts w:ascii="Times New Roman" w:hAnsi="Times New Roman" w:cs="Times New Roman"/>
          <w:lang w:val="en-GB"/>
        </w:rPr>
        <w:t xml:space="preserve"> works not pertaining to </w:t>
      </w:r>
      <w:proofErr w:type="spellStart"/>
      <w:r>
        <w:rPr>
          <w:rFonts w:ascii="Times New Roman" w:hAnsi="Times New Roman" w:cs="Times New Roman"/>
          <w:i/>
          <w:iCs/>
          <w:lang w:val="en-GB"/>
        </w:rPr>
        <w:t>isnād</w:t>
      </w:r>
      <w:r>
        <w:rPr>
          <w:rFonts w:ascii="Times New Roman" w:hAnsi="Times New Roman" w:cs="Times New Roman"/>
          <w:lang w:val="en-GB"/>
        </w:rPr>
        <w:t>s</w:t>
      </w:r>
      <w:proofErr w:type="spellEnd"/>
      <w:r>
        <w:rPr>
          <w:rFonts w:ascii="Times New Roman" w:hAnsi="Times New Roman" w:cs="Times New Roman"/>
          <w:lang w:val="en-GB"/>
        </w:rPr>
        <w:t xml:space="preserve"> are al-</w:t>
      </w:r>
      <w:proofErr w:type="spellStart"/>
      <w:r>
        <w:rPr>
          <w:rFonts w:ascii="Times New Roman" w:hAnsi="Times New Roman" w:cs="Times New Roman"/>
          <w:lang w:val="en-GB"/>
        </w:rPr>
        <w:t>Nasāʾī’s</w:t>
      </w:r>
      <w:proofErr w:type="spellEnd"/>
      <w:r>
        <w:rPr>
          <w:rFonts w:ascii="Times New Roman" w:hAnsi="Times New Roman" w:cs="Times New Roman"/>
          <w:lang w:val="en-GB"/>
        </w:rPr>
        <w:t xml:space="preserve"> (d. 303/915) </w:t>
      </w:r>
      <w:proofErr w:type="spellStart"/>
      <w:r>
        <w:rPr>
          <w:rFonts w:ascii="Times New Roman" w:hAnsi="Times New Roman" w:cs="Times New Roman"/>
          <w:i/>
          <w:iCs/>
          <w:lang w:val="en-GB"/>
        </w:rPr>
        <w:t>Tasmiyat</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fuqahāʾ</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amṣār</w:t>
      </w:r>
      <w:proofErr w:type="spellEnd"/>
      <w:r>
        <w:rPr>
          <w:rFonts w:ascii="Times New Roman" w:hAnsi="Times New Roman" w:cs="Times New Roman"/>
          <w:i/>
          <w:iCs/>
          <w:lang w:val="en-GB"/>
        </w:rPr>
        <w:t xml:space="preserve"> min </w:t>
      </w:r>
      <w:proofErr w:type="spellStart"/>
      <w:r>
        <w:rPr>
          <w:rFonts w:ascii="Times New Roman" w:hAnsi="Times New Roman" w:cs="Times New Roman"/>
          <w:i/>
          <w:iCs/>
          <w:lang w:val="en-GB"/>
        </w:rPr>
        <w:t>aṣḥāb</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Rasūl</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Allāḥ</w:t>
      </w:r>
      <w:proofErr w:type="spellEnd"/>
      <w:r>
        <w:rPr>
          <w:rFonts w:ascii="Times New Roman" w:hAnsi="Times New Roman" w:cs="Times New Roman"/>
          <w:lang w:val="en-GB"/>
        </w:rPr>
        <w:t xml:space="preserve"> and al-</w:t>
      </w:r>
      <w:proofErr w:type="spellStart"/>
      <w:r>
        <w:rPr>
          <w:rFonts w:ascii="Times New Roman" w:hAnsi="Times New Roman" w:cs="Times New Roman"/>
          <w:lang w:val="en-GB"/>
        </w:rPr>
        <w:t>Fattāl</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Naysābūrī’s</w:t>
      </w:r>
      <w:proofErr w:type="spellEnd"/>
      <w:r>
        <w:rPr>
          <w:rFonts w:ascii="Times New Roman" w:hAnsi="Times New Roman" w:cs="Times New Roman"/>
          <w:lang w:val="en-GB"/>
        </w:rPr>
        <w:t xml:space="preserve"> (d. 508/1114) </w:t>
      </w:r>
      <w:proofErr w:type="spellStart"/>
      <w:r>
        <w:rPr>
          <w:rFonts w:ascii="Times New Roman" w:hAnsi="Times New Roman" w:cs="Times New Roman"/>
          <w:i/>
          <w:iCs/>
          <w:lang w:val="en-GB"/>
        </w:rPr>
        <w:t>Tasmiyat</w:t>
      </w:r>
      <w:proofErr w:type="spellEnd"/>
      <w:r>
        <w:rPr>
          <w:rFonts w:ascii="Times New Roman" w:hAnsi="Times New Roman" w:cs="Times New Roman"/>
          <w:i/>
          <w:iCs/>
          <w:lang w:val="en-GB"/>
        </w:rPr>
        <w:t xml:space="preserve"> man </w:t>
      </w:r>
      <w:proofErr w:type="spellStart"/>
      <w:r>
        <w:rPr>
          <w:rFonts w:ascii="Times New Roman" w:hAnsi="Times New Roman" w:cs="Times New Roman"/>
          <w:i/>
          <w:iCs/>
          <w:lang w:val="en-GB"/>
        </w:rPr>
        <w:t>qutila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maʿa</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Ḥusayn</w:t>
      </w:r>
      <w:proofErr w:type="spellEnd"/>
      <w:r>
        <w:rPr>
          <w:rFonts w:ascii="Times New Roman" w:hAnsi="Times New Roman" w:cs="Times New Roman"/>
          <w:i/>
          <w:iCs/>
          <w:lang w:val="en-GB"/>
        </w:rPr>
        <w:t xml:space="preserve"> min </w:t>
      </w:r>
      <w:proofErr w:type="spellStart"/>
      <w:r>
        <w:rPr>
          <w:rFonts w:ascii="Times New Roman" w:hAnsi="Times New Roman" w:cs="Times New Roman"/>
          <w:i/>
          <w:iCs/>
          <w:lang w:val="en-GB"/>
        </w:rPr>
        <w:t>waladihi</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wa-ikhwātihi</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w:t>
      </w:r>
      <w:proofErr w:type="spellEnd"/>
      <w:r>
        <w:rPr>
          <w:rFonts w:ascii="Times New Roman" w:hAnsi="Times New Roman" w:cs="Times New Roman"/>
          <w:i/>
          <w:iCs/>
          <w:lang w:val="en-GB"/>
        </w:rPr>
        <w:t xml:space="preserve">-ahl </w:t>
      </w:r>
      <w:proofErr w:type="spellStart"/>
      <w:r>
        <w:rPr>
          <w:rFonts w:ascii="Times New Roman" w:hAnsi="Times New Roman" w:cs="Times New Roman"/>
          <w:i/>
          <w:iCs/>
          <w:lang w:val="en-GB"/>
        </w:rPr>
        <w:t>baytihi</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wa-shīʿatihi</w:t>
      </w:r>
      <w:proofErr w:type="spellEnd"/>
      <w:r>
        <w:rPr>
          <w:rFonts w:ascii="Times New Roman" w:hAnsi="Times New Roman" w:cs="Times New Roman"/>
          <w:lang w:val="en-GB"/>
        </w:rPr>
        <w:t xml:space="preserve">. One is a collection of reports from Abu </w:t>
      </w:r>
      <w:proofErr w:type="spellStart"/>
      <w:r>
        <w:rPr>
          <w:rFonts w:ascii="Times New Roman" w:hAnsi="Times New Roman" w:cs="Times New Roman"/>
          <w:lang w:val="en-GB"/>
        </w:rPr>
        <w:t>Nu'aym</w:t>
      </w:r>
      <w:proofErr w:type="spellEnd"/>
      <w:r>
        <w:rPr>
          <w:rFonts w:ascii="Times New Roman" w:hAnsi="Times New Roman" w:cs="Times New Roman"/>
          <w:lang w:val="en-GB"/>
        </w:rPr>
        <w:t xml:space="preserve"> (ID 82 in our Name List). The </w:t>
      </w:r>
      <w:proofErr w:type="spellStart"/>
      <w:r>
        <w:rPr>
          <w:rFonts w:ascii="Times New Roman" w:hAnsi="Times New Roman" w:cs="Times New Roman"/>
          <w:lang w:val="en-GB"/>
        </w:rPr>
        <w:t>OpenITI</w:t>
      </w:r>
      <w:proofErr w:type="spellEnd"/>
      <w:r>
        <w:rPr>
          <w:rFonts w:ascii="Times New Roman" w:hAnsi="Times New Roman" w:cs="Times New Roman"/>
          <w:lang w:val="en-GB"/>
        </w:rPr>
        <w:t xml:space="preserve"> metadata originally attributed this work to Abu </w:t>
      </w:r>
      <w:proofErr w:type="spellStart"/>
      <w:r>
        <w:rPr>
          <w:rFonts w:ascii="Times New Roman" w:hAnsi="Times New Roman" w:cs="Times New Roman"/>
          <w:lang w:val="en-GB"/>
        </w:rPr>
        <w:t>Nu'aym</w:t>
      </w:r>
      <w:proofErr w:type="spellEnd"/>
      <w:r>
        <w:rPr>
          <w:rFonts w:ascii="Times New Roman" w:hAnsi="Times New Roman" w:cs="Times New Roman"/>
          <w:lang w:val="en-GB"/>
        </w:rPr>
        <w:t xml:space="preserve"> himself instead of recognising it as a work featuring his reports created by a subsequent author. </w:t>
      </w:r>
    </w:p>
  </w:footnote>
  <w:footnote w:id="6">
    <w:p w14:paraId="5C846586" w14:textId="77777777" w:rsidR="00C74DFA" w:rsidRDefault="00000000">
      <w:pPr>
        <w:pStyle w:val="HTMLPreformatted"/>
      </w:pPr>
      <w:r>
        <w:rPr>
          <w:rStyle w:val="FootnoteReference"/>
        </w:rPr>
        <w:footnoteRef/>
      </w:r>
      <w:r>
        <w:rPr>
          <w:rFonts w:ascii="Times New Roman" w:hAnsi="Times New Roman" w:cs="Times New Roman"/>
          <w:lang w:val="en-GB"/>
        </w:rPr>
        <w:t xml:space="preserve"> Al-</w:t>
      </w:r>
      <w:proofErr w:type="spellStart"/>
      <w:r>
        <w:rPr>
          <w:rFonts w:ascii="Times New Roman" w:hAnsi="Times New Roman" w:cs="Times New Roman"/>
          <w:lang w:val="en-GB"/>
        </w:rPr>
        <w:t>Nasāʾī’s</w:t>
      </w:r>
      <w:proofErr w:type="spellEnd"/>
      <w:r>
        <w:rPr>
          <w:rFonts w:ascii="Times New Roman" w:hAnsi="Times New Roman" w:cs="Times New Roman"/>
          <w:lang w:val="en-GB"/>
        </w:rPr>
        <w:t xml:space="preserve"> </w:t>
      </w:r>
      <w:bookmarkStart w:id="7" w:name="_Hlk128773384"/>
      <w:proofErr w:type="spellStart"/>
      <w:r>
        <w:rPr>
          <w:rFonts w:ascii="Times New Roman" w:eastAsia="Times New Roman" w:hAnsi="Times New Roman" w:cs="Times New Roman"/>
          <w:i/>
          <w:iCs/>
          <w:color w:val="000000"/>
          <w:lang w:val="en-GB"/>
        </w:rPr>
        <w:t>Tasmiyat</w:t>
      </w:r>
      <w:proofErr w:type="spellEnd"/>
      <w:r>
        <w:rPr>
          <w:rFonts w:ascii="Times New Roman" w:eastAsia="Times New Roman" w:hAnsi="Times New Roman" w:cs="Times New Roman"/>
          <w:i/>
          <w:iCs/>
          <w:color w:val="000000"/>
          <w:lang w:val="en-GB"/>
        </w:rPr>
        <w:t xml:space="preserve"> </w:t>
      </w:r>
      <w:proofErr w:type="spellStart"/>
      <w:r>
        <w:rPr>
          <w:rFonts w:ascii="Times New Roman" w:eastAsia="Times New Roman" w:hAnsi="Times New Roman" w:cs="Times New Roman"/>
          <w:i/>
          <w:iCs/>
          <w:color w:val="000000"/>
          <w:lang w:val="en-GB"/>
        </w:rPr>
        <w:t>fuqah</w:t>
      </w:r>
      <w:bookmarkEnd w:id="7"/>
      <w:r>
        <w:rPr>
          <w:rFonts w:ascii="Times New Roman" w:eastAsia="Times New Roman" w:hAnsi="Times New Roman" w:cs="Times New Roman"/>
          <w:i/>
          <w:iCs/>
          <w:color w:val="000000"/>
          <w:lang w:val="en-GB"/>
        </w:rPr>
        <w:t>āʾ</w:t>
      </w:r>
      <w:proofErr w:type="spellEnd"/>
      <w:r>
        <w:rPr>
          <w:rFonts w:ascii="Times New Roman" w:eastAsia="Times New Roman" w:hAnsi="Times New Roman" w:cs="Times New Roman"/>
          <w:i/>
          <w:iCs/>
          <w:color w:val="000000"/>
          <w:lang w:val="en-GB"/>
        </w:rPr>
        <w:t xml:space="preserve"> al-</w:t>
      </w:r>
      <w:proofErr w:type="spellStart"/>
      <w:r>
        <w:rPr>
          <w:rFonts w:ascii="Times New Roman" w:eastAsia="Times New Roman" w:hAnsi="Times New Roman" w:cs="Times New Roman"/>
          <w:i/>
          <w:iCs/>
          <w:color w:val="000000"/>
          <w:lang w:val="en-GB"/>
        </w:rPr>
        <w:t>amṣār</w:t>
      </w:r>
      <w:proofErr w:type="spellEnd"/>
      <w:r>
        <w:rPr>
          <w:rFonts w:ascii="Times New Roman" w:eastAsia="Times New Roman" w:hAnsi="Times New Roman" w:cs="Times New Roman"/>
          <w:color w:val="000000"/>
          <w:lang w:val="en-GB"/>
        </w:rPr>
        <w:t xml:space="preserve"> and al-</w:t>
      </w:r>
      <w:proofErr w:type="spellStart"/>
      <w:r>
        <w:rPr>
          <w:rFonts w:ascii="Times New Roman" w:eastAsia="Times New Roman" w:hAnsi="Times New Roman" w:cs="Times New Roman"/>
          <w:color w:val="000000"/>
          <w:lang w:val="en-GB"/>
        </w:rPr>
        <w:t>Kindī’s</w:t>
      </w:r>
      <w:proofErr w:type="spellEnd"/>
      <w:r>
        <w:rPr>
          <w:rFonts w:ascii="Times New Roman" w:eastAsia="Times New Roman" w:hAnsi="Times New Roman" w:cs="Times New Roman"/>
          <w:color w:val="000000"/>
          <w:lang w:val="en-GB"/>
        </w:rPr>
        <w:t xml:space="preserve"> </w:t>
      </w:r>
      <w:proofErr w:type="spellStart"/>
      <w:r>
        <w:rPr>
          <w:rFonts w:ascii="Times New Roman" w:eastAsia="Times New Roman" w:hAnsi="Times New Roman" w:cs="Times New Roman"/>
          <w:i/>
          <w:iCs/>
          <w:color w:val="000000"/>
          <w:lang w:val="en-GB"/>
        </w:rPr>
        <w:t>Wulāt</w:t>
      </w:r>
      <w:proofErr w:type="spellEnd"/>
      <w:r>
        <w:rPr>
          <w:rFonts w:ascii="Times New Roman" w:eastAsia="Times New Roman" w:hAnsi="Times New Roman" w:cs="Times New Roman"/>
          <w:i/>
          <w:iCs/>
          <w:color w:val="000000"/>
          <w:lang w:val="en-GB"/>
        </w:rPr>
        <w:t xml:space="preserve"> </w:t>
      </w:r>
      <w:proofErr w:type="spellStart"/>
      <w:r>
        <w:rPr>
          <w:rFonts w:ascii="Times New Roman" w:eastAsia="Times New Roman" w:hAnsi="Times New Roman" w:cs="Times New Roman"/>
          <w:i/>
          <w:iCs/>
          <w:color w:val="000000"/>
          <w:lang w:val="en-GB"/>
        </w:rPr>
        <w:t>Miṣr</w:t>
      </w:r>
      <w:proofErr w:type="spellEnd"/>
      <w:r>
        <w:rPr>
          <w:rFonts w:ascii="Times New Roman" w:eastAsia="Times New Roman" w:hAnsi="Times New Roman" w:cs="Times New Roman"/>
          <w:color w:val="000000"/>
          <w:lang w:val="en-GB"/>
        </w:rPr>
        <w:t>.</w:t>
      </w:r>
    </w:p>
  </w:footnote>
  <w:footnote w:id="7">
    <w:p w14:paraId="5E37B386" w14:textId="77777777" w:rsidR="00C74DFA" w:rsidRDefault="00000000">
      <w:pPr>
        <w:pStyle w:val="FootnoteText"/>
      </w:pPr>
      <w:r>
        <w:rPr>
          <w:rStyle w:val="FootnoteReference"/>
        </w:rPr>
        <w:footnoteRef/>
      </w:r>
      <w:r>
        <w:t xml:space="preserve"> Some of these instances might represent the same list. That is because of the way we formulated our search, using the following four word tokens.</w:t>
      </w:r>
    </w:p>
  </w:footnote>
  <w:footnote w:id="8">
    <w:p w14:paraId="19EF1777" w14:textId="77777777" w:rsidR="00C74DFA" w:rsidRDefault="00000000">
      <w:pPr>
        <w:pStyle w:val="FootnoteText"/>
      </w:pPr>
      <w:r>
        <w:rPr>
          <w:rStyle w:val="FootnoteReference"/>
        </w:rPr>
        <w:footnoteRef/>
      </w:r>
      <w:r>
        <w:rPr>
          <w:rFonts w:ascii="Times New Roman" w:hAnsi="Times New Roman" w:cs="Times New Roman"/>
          <w:lang w:val="en-GB"/>
        </w:rPr>
        <w:t xml:space="preserve"> </w:t>
      </w:r>
      <w:proofErr w:type="spellStart"/>
      <w:r>
        <w:rPr>
          <w:rFonts w:ascii="Times New Roman" w:hAnsi="Times New Roman" w:cs="Times New Roman"/>
          <w:lang w:val="en-GB"/>
        </w:rPr>
        <w:t>Scheiner</w:t>
      </w:r>
      <w:proofErr w:type="spellEnd"/>
      <w:r>
        <w:rPr>
          <w:rFonts w:ascii="Times New Roman" w:hAnsi="Times New Roman" w:cs="Times New Roman"/>
          <w:lang w:val="en-GB"/>
        </w:rPr>
        <w:t xml:space="preserve">, ‘Ibn </w:t>
      </w:r>
      <w:proofErr w:type="spellStart"/>
      <w:r>
        <w:rPr>
          <w:rFonts w:ascii="Times New Roman" w:hAnsi="Times New Roman" w:cs="Times New Roman"/>
          <w:lang w:val="en-GB"/>
        </w:rPr>
        <w:t>ʿAsākirʼs</w:t>
      </w:r>
      <w:proofErr w:type="spellEnd"/>
      <w:r>
        <w:rPr>
          <w:rFonts w:ascii="Times New Roman" w:hAnsi="Times New Roman" w:cs="Times New Roman"/>
          <w:lang w:val="en-GB"/>
        </w:rPr>
        <w:t xml:space="preserve"> Virtual Library’, 170–4.</w:t>
      </w:r>
    </w:p>
  </w:footnote>
  <w:footnote w:id="9">
    <w:p w14:paraId="0463E668" w14:textId="77777777" w:rsidR="00C74DFA" w:rsidRDefault="00000000">
      <w:pPr>
        <w:pStyle w:val="FootnoteText"/>
      </w:pPr>
      <w:r>
        <w:rPr>
          <w:rStyle w:val="FootnoteReference"/>
        </w:rPr>
        <w:footnoteRef/>
      </w:r>
      <w:r>
        <w:rPr>
          <w:rFonts w:ascii="Times New Roman" w:hAnsi="Times New Roman" w:cs="Times New Roman"/>
          <w:lang w:val="en-GB"/>
        </w:rPr>
        <w:t xml:space="preserve"> Mourad, </w:t>
      </w:r>
      <w:r>
        <w:rPr>
          <w:rFonts w:ascii="Times New Roman" w:hAnsi="Times New Roman" w:cs="Times New Roman"/>
          <w:i/>
          <w:iCs/>
          <w:lang w:val="en-GB"/>
        </w:rPr>
        <w:t>Ibn ‘</w:t>
      </w:r>
      <w:proofErr w:type="spellStart"/>
      <w:r>
        <w:rPr>
          <w:rFonts w:ascii="Times New Roman" w:hAnsi="Times New Roman" w:cs="Times New Roman"/>
          <w:i/>
          <w:iCs/>
          <w:lang w:val="en-GB"/>
        </w:rPr>
        <w:t>Asakir</w:t>
      </w:r>
      <w:proofErr w:type="spellEnd"/>
      <w:r>
        <w:rPr>
          <w:rFonts w:ascii="Times New Roman" w:hAnsi="Times New Roman" w:cs="Times New Roman"/>
          <w:i/>
          <w:iCs/>
          <w:lang w:val="en-GB"/>
        </w:rPr>
        <w:t xml:space="preserve"> of Damascus</w:t>
      </w:r>
      <w:r>
        <w:rPr>
          <w:rFonts w:ascii="Times New Roman" w:hAnsi="Times New Roman" w:cs="Times New Roman"/>
          <w:lang w:val="en-GB"/>
        </w:rPr>
        <w:t>, 61.</w:t>
      </w:r>
    </w:p>
  </w:footnote>
  <w:footnote w:id="10">
    <w:p w14:paraId="078AE3C6" w14:textId="77777777" w:rsidR="00C74DFA" w:rsidRDefault="00000000">
      <w:pPr>
        <w:spacing w:after="0" w:line="240" w:lineRule="auto"/>
      </w:pPr>
      <w:r>
        <w:rPr>
          <w:rStyle w:val="FootnoteReference"/>
        </w:rPr>
        <w:footnoteRef/>
      </w:r>
      <w:r>
        <w:rPr>
          <w:rFonts w:ascii="Times New Roman" w:hAnsi="Times New Roman" w:cs="Times New Roman"/>
          <w:sz w:val="20"/>
          <w:szCs w:val="20"/>
        </w:rPr>
        <w:t xml:space="preserve"> </w:t>
      </w:r>
      <w:r>
        <w:rPr>
          <w:rFonts w:ascii="Times New Roman" w:hAnsi="Times New Roman" w:cs="Times New Roman"/>
          <w:sz w:val="20"/>
          <w:szCs w:val="20"/>
          <w:rtl/>
        </w:rPr>
        <w:t>باب في ذكر أصل اشتقاق تسمية الشام عن العالمين بالنقل والعارفين بأصول الكلام</w:t>
      </w:r>
    </w:p>
  </w:footnote>
  <w:footnote w:id="11">
    <w:p w14:paraId="7650DB0C" w14:textId="77777777" w:rsidR="00C74DFA" w:rsidRDefault="00000000">
      <w:pPr>
        <w:pStyle w:val="FootnoteText"/>
      </w:pPr>
      <w:r>
        <w:rPr>
          <w:rStyle w:val="FootnoteReference"/>
        </w:rPr>
        <w:footnoteRef/>
      </w:r>
      <w:r>
        <w:rPr>
          <w:rFonts w:ascii="Times New Roman" w:hAnsi="Times New Roman" w:cs="Times New Roman"/>
        </w:rPr>
        <w:t xml:space="preserve"> Ibn al-</w:t>
      </w:r>
      <w:proofErr w:type="spellStart"/>
      <w:r>
        <w:rPr>
          <w:rFonts w:ascii="Times New Roman" w:hAnsi="Times New Roman" w:cs="Times New Roman"/>
        </w:rPr>
        <w:t>Ṣalāḥ</w:t>
      </w:r>
      <w:proofErr w:type="spellEnd"/>
      <w:r>
        <w:rPr>
          <w:rFonts w:ascii="Times New Roman" w:hAnsi="Times New Roman" w:cs="Times New Roman"/>
        </w:rPr>
        <w:t xml:space="preserve">, </w:t>
      </w:r>
      <w:r>
        <w:rPr>
          <w:rFonts w:ascii="Times New Roman" w:hAnsi="Times New Roman" w:cs="Times New Roman"/>
          <w:i/>
          <w:iCs/>
        </w:rPr>
        <w:t>Introduction</w:t>
      </w:r>
      <w:r>
        <w:rPr>
          <w:rFonts w:ascii="Times New Roman" w:hAnsi="Times New Roman" w:cs="Times New Roman"/>
        </w:rPr>
        <w:t>, 122–3; Ibn al-</w:t>
      </w:r>
      <w:proofErr w:type="spellStart"/>
      <w:r>
        <w:rPr>
          <w:rFonts w:ascii="Times New Roman" w:hAnsi="Times New Roman" w:cs="Times New Roman"/>
        </w:rPr>
        <w:t>Ṣalāḥ</w:t>
      </w:r>
      <w:proofErr w:type="spellEnd"/>
      <w:r>
        <w:rPr>
          <w:rFonts w:ascii="Times New Roman" w:hAnsi="Times New Roman" w:cs="Times New Roman"/>
        </w:rPr>
        <w:t xml:space="preserve">, </w:t>
      </w:r>
      <w:proofErr w:type="spellStart"/>
      <w:r>
        <w:rPr>
          <w:rFonts w:ascii="Times New Roman" w:hAnsi="Times New Roman" w:cs="Times New Roman"/>
          <w:i/>
          <w:iCs/>
        </w:rPr>
        <w:t>Muqaddima</w:t>
      </w:r>
      <w:proofErr w:type="spellEnd"/>
      <w:r>
        <w:rPr>
          <w:rFonts w:ascii="Times New Roman" w:hAnsi="Times New Roman" w:cs="Times New Roman"/>
        </w:rPr>
        <w:t xml:space="preserve">, 173–4, </w:t>
      </w:r>
      <w:proofErr w:type="spellStart"/>
      <w:r>
        <w:rPr>
          <w:rFonts w:ascii="Times New Roman" w:hAnsi="Times New Roman" w:cs="Times New Roman"/>
        </w:rPr>
        <w:t>ms.</w:t>
      </w:r>
      <w:proofErr w:type="spellEnd"/>
      <w:r>
        <w:rPr>
          <w:rFonts w:ascii="Times New Roman" w:hAnsi="Times New Roman" w:cs="Times New Roman"/>
        </w:rPr>
        <w:t xml:space="preserve"> 076–7.</w:t>
      </w:r>
    </w:p>
  </w:footnote>
  <w:footnote w:id="12">
    <w:p w14:paraId="16F05D70" w14:textId="77777777" w:rsidR="00C74DFA" w:rsidRDefault="00000000">
      <w:pPr>
        <w:pStyle w:val="FootnoteText"/>
      </w:pPr>
      <w:r>
        <w:rPr>
          <w:rStyle w:val="FootnoteReference"/>
        </w:rPr>
        <w:footnoteRef/>
      </w:r>
      <w:r>
        <w:rPr>
          <w:rFonts w:ascii="Times New Roman" w:hAnsi="Times New Roman" w:cs="Times New Roman"/>
          <w:lang w:val="en-GB"/>
        </w:rPr>
        <w:t xml:space="preserve"> </w:t>
      </w:r>
      <w:bookmarkStart w:id="8" w:name="_Hlk142399794"/>
      <w:r>
        <w:rPr>
          <w:rFonts w:ascii="Times New Roman" w:hAnsi="Times New Roman" w:cs="Times New Roman"/>
          <w:lang w:val="en-GB"/>
        </w:rPr>
        <w:t xml:space="preserve">Savant and Seydi,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and His History of Damascus’, ‘</w:t>
      </w:r>
      <w:proofErr w:type="spellStart"/>
      <w:r>
        <w:rPr>
          <w:rFonts w:ascii="Times New Roman" w:hAnsi="Times New Roman" w:cs="Times New Roman"/>
          <w:lang w:val="en-GB"/>
        </w:rPr>
        <w:t>Search_in_Text</w:t>
      </w:r>
      <w:proofErr w:type="spellEnd"/>
      <w:r>
        <w:rPr>
          <w:rFonts w:ascii="Times New Roman" w:hAnsi="Times New Roman" w:cs="Times New Roman"/>
          <w:lang w:val="en-GB"/>
        </w:rPr>
        <w:t xml:space="preserve">’, table </w:t>
      </w:r>
      <w:bookmarkEnd w:id="8"/>
      <w:r>
        <w:rPr>
          <w:rFonts w:ascii="Times New Roman" w:hAnsi="Times New Roman" w:cs="Times New Roman"/>
          <w:lang w:val="en-GB"/>
        </w:rPr>
        <w:t>‘</w:t>
      </w:r>
      <w:proofErr w:type="spellStart"/>
      <w:r>
        <w:rPr>
          <w:rFonts w:ascii="Times New Roman" w:hAnsi="Times New Roman" w:cs="Times New Roman"/>
          <w:lang w:val="en-GB"/>
        </w:rPr>
        <w:t>SearchResults_QaratuBiKhatt</w:t>
      </w:r>
      <w:proofErr w:type="spellEnd"/>
      <w:r>
        <w:rPr>
          <w:rFonts w:ascii="Times New Roman" w:hAnsi="Times New Roman" w:cs="Times New Roman"/>
          <w:lang w:val="en-GB"/>
        </w:rPr>
        <w:t>’.</w:t>
      </w:r>
    </w:p>
  </w:footnote>
  <w:footnote w:id="13">
    <w:p w14:paraId="5B1CBE29" w14:textId="20DEB02B" w:rsidR="00B305D3" w:rsidRDefault="00B305D3" w:rsidP="00B305D3">
      <w:pPr>
        <w:pStyle w:val="FootnoteText"/>
      </w:pPr>
      <w:r w:rsidRPr="00581EA7">
        <w:rPr>
          <w:rStyle w:val="FootnoteReference"/>
        </w:rPr>
        <w:footnoteRef/>
      </w:r>
      <w:r w:rsidRPr="00581EA7">
        <w:t xml:space="preserve"> </w:t>
      </w:r>
      <w:r w:rsidRPr="00581EA7">
        <w:rPr>
          <w:rFonts w:asciiTheme="minorHAnsi" w:hAnsiTheme="minorHAnsi" w:cstheme="minorHAnsi"/>
          <w:lang w:val="en-GB"/>
        </w:rPr>
        <w:t xml:space="preserve">Savant and Seydi, ‘Ibn </w:t>
      </w:r>
      <w:proofErr w:type="spellStart"/>
      <w:r w:rsidRPr="00581EA7">
        <w:rPr>
          <w:rFonts w:asciiTheme="minorHAnsi" w:hAnsiTheme="minorHAnsi" w:cstheme="minorHAnsi"/>
          <w:lang w:val="en-GB"/>
        </w:rPr>
        <w:t>ʿAsākir</w:t>
      </w:r>
      <w:proofErr w:type="spellEnd"/>
      <w:r w:rsidRPr="00581EA7">
        <w:rPr>
          <w:rFonts w:asciiTheme="minorHAnsi" w:hAnsiTheme="minorHAnsi" w:cstheme="minorHAnsi"/>
          <w:lang w:val="en-GB"/>
        </w:rPr>
        <w:t xml:space="preserve"> and His History of Damascus’, ‘</w:t>
      </w:r>
      <w:proofErr w:type="spellStart"/>
      <w:r w:rsidRPr="00581EA7">
        <w:rPr>
          <w:rFonts w:asciiTheme="minorHAnsi" w:hAnsiTheme="minorHAnsi" w:cstheme="minorHAnsi"/>
          <w:lang w:val="en-GB"/>
        </w:rPr>
        <w:t>Search_in_Text</w:t>
      </w:r>
      <w:proofErr w:type="spellEnd"/>
      <w:r w:rsidRPr="00581EA7">
        <w:rPr>
          <w:rFonts w:asciiTheme="minorHAnsi" w:hAnsiTheme="minorHAnsi" w:cstheme="minorHAnsi"/>
          <w:lang w:val="en-GB"/>
        </w:rPr>
        <w:t>’, table ‘</w:t>
      </w:r>
      <w:proofErr w:type="spellStart"/>
      <w:r w:rsidR="00581EA7" w:rsidRPr="00581EA7">
        <w:rPr>
          <w:rFonts w:asciiTheme="minorHAnsi" w:hAnsiTheme="minorHAnsi" w:cstheme="minorHAnsi"/>
          <w:lang w:val="en-GB"/>
        </w:rPr>
        <w:t>SearchResults_QaratuBiKhatt_NameCount</w:t>
      </w:r>
      <w:proofErr w:type="spellEnd"/>
      <w:r w:rsidRPr="00581EA7">
        <w:rPr>
          <w:rFonts w:asciiTheme="minorHAnsi" w:hAnsiTheme="minorHAnsi" w:cstheme="minorHAnsi"/>
          <w:lang w:val="en-GB"/>
        </w:rPr>
        <w:t>’</w:t>
      </w:r>
      <w:r w:rsidRPr="00581EA7">
        <w:rPr>
          <w:rFonts w:asciiTheme="minorHAnsi" w:hAnsiTheme="minorHAnsi" w:cstheme="minorHAnsi"/>
        </w:rPr>
        <w:t>.</w:t>
      </w:r>
    </w:p>
  </w:footnote>
  <w:footnote w:id="14">
    <w:p w14:paraId="1E3D51C1" w14:textId="77777777" w:rsidR="00C74DFA" w:rsidRDefault="00000000">
      <w:pPr>
        <w:spacing w:after="0" w:line="240" w:lineRule="auto"/>
      </w:pPr>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Virtual Library’, 271–2; </w:t>
      </w:r>
      <w:proofErr w:type="spellStart"/>
      <w:r>
        <w:rPr>
          <w:rFonts w:ascii="Times New Roman" w:hAnsi="Times New Roman" w:cs="Times New Roman"/>
          <w:sz w:val="20"/>
          <w:szCs w:val="20"/>
        </w:rPr>
        <w:t>Aḥmad</w:t>
      </w:r>
      <w:proofErr w:type="spellEnd"/>
      <w:r>
        <w:rPr>
          <w:rFonts w:ascii="Times New Roman" w:hAnsi="Times New Roman" w:cs="Times New Roman"/>
          <w:sz w:val="20"/>
          <w:szCs w:val="20"/>
        </w:rPr>
        <w:t xml:space="preserve"> M. </w:t>
      </w:r>
      <w:proofErr w:type="spellStart"/>
      <w:r>
        <w:rPr>
          <w:rFonts w:ascii="Times New Roman" w:hAnsi="Times New Roman" w:cs="Times New Roman"/>
          <w:sz w:val="20"/>
          <w:szCs w:val="20"/>
        </w:rPr>
        <w:t>Nūr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Sayf</w:t>
      </w:r>
      <w:proofErr w:type="spellEnd"/>
      <w:r>
        <w:rPr>
          <w:rFonts w:ascii="Times New Roman" w:hAnsi="Times New Roman" w:cs="Times New Roman"/>
          <w:sz w:val="20"/>
          <w:szCs w:val="20"/>
        </w:rPr>
        <w:t>, ‘</w:t>
      </w:r>
      <w:proofErr w:type="spellStart"/>
      <w:r>
        <w:rPr>
          <w:rFonts w:ascii="Times New Roman" w:hAnsi="Times New Roman" w:cs="Times New Roman"/>
          <w:sz w:val="20"/>
          <w:szCs w:val="20"/>
        </w:rPr>
        <w:t>Maṣādir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tārīkh</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min </w:t>
      </w:r>
      <w:proofErr w:type="spellStart"/>
      <w:r>
        <w:rPr>
          <w:rFonts w:ascii="Times New Roman" w:hAnsi="Times New Roman" w:cs="Times New Roman"/>
          <w:sz w:val="20"/>
          <w:szCs w:val="20"/>
        </w:rPr>
        <w:t>kutub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ḥadīth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w:t>
      </w:r>
      <w:proofErr w:type="spellEnd"/>
      <w:r>
        <w:rPr>
          <w:rFonts w:ascii="Times New Roman" w:hAnsi="Times New Roman" w:cs="Times New Roman"/>
          <w:sz w:val="20"/>
          <w:szCs w:val="20"/>
        </w:rPr>
        <w:t>-l-</w:t>
      </w:r>
      <w:proofErr w:type="spellStart"/>
      <w:r>
        <w:rPr>
          <w:rFonts w:ascii="Times New Roman" w:hAnsi="Times New Roman" w:cs="Times New Roman"/>
          <w:sz w:val="20"/>
          <w:szCs w:val="20"/>
        </w:rPr>
        <w:t>rijāl</w:t>
      </w:r>
      <w:proofErr w:type="spellEnd"/>
      <w:r>
        <w:rPr>
          <w:rFonts w:ascii="Times New Roman" w:hAnsi="Times New Roman" w:cs="Times New Roman"/>
          <w:sz w:val="20"/>
          <w:szCs w:val="20"/>
        </w:rPr>
        <w:t xml:space="preserve">’, in </w:t>
      </w:r>
      <w:r>
        <w:rPr>
          <w:rFonts w:ascii="Times New Roman" w:hAnsi="Times New Roman" w:cs="Times New Roman"/>
          <w:i/>
          <w:iCs/>
          <w:sz w:val="20"/>
          <w:szCs w:val="20"/>
        </w:rPr>
        <w:t>al-</w:t>
      </w:r>
      <w:proofErr w:type="spellStart"/>
      <w:r>
        <w:rPr>
          <w:rFonts w:ascii="Times New Roman" w:hAnsi="Times New Roman" w:cs="Times New Roman"/>
          <w:i/>
          <w:iCs/>
          <w:sz w:val="20"/>
          <w:szCs w:val="20"/>
        </w:rPr>
        <w:t>Kalimāt</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wa</w:t>
      </w:r>
      <w:proofErr w:type="spellEnd"/>
      <w:r>
        <w:rPr>
          <w:rFonts w:ascii="Times New Roman" w:hAnsi="Times New Roman" w:cs="Times New Roman"/>
          <w:i/>
          <w:iCs/>
          <w:sz w:val="20"/>
          <w:szCs w:val="20"/>
        </w:rPr>
        <w:t>-l-</w:t>
      </w:r>
      <w:proofErr w:type="spellStart"/>
      <w:r>
        <w:rPr>
          <w:rFonts w:ascii="Times New Roman" w:hAnsi="Times New Roman" w:cs="Times New Roman"/>
          <w:i/>
          <w:iCs/>
          <w:sz w:val="20"/>
          <w:szCs w:val="20"/>
        </w:rPr>
        <w:t>buḥūth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wa</w:t>
      </w:r>
      <w:proofErr w:type="spellEnd"/>
      <w:r>
        <w:rPr>
          <w:rFonts w:ascii="Times New Roman" w:hAnsi="Times New Roman" w:cs="Times New Roman"/>
          <w:i/>
          <w:iCs/>
          <w:sz w:val="20"/>
          <w:szCs w:val="20"/>
        </w:rPr>
        <w:t>-l-</w:t>
      </w:r>
      <w:proofErr w:type="spellStart"/>
      <w:r>
        <w:rPr>
          <w:rFonts w:ascii="Times New Roman" w:hAnsi="Times New Roman" w:cs="Times New Roman"/>
          <w:i/>
          <w:iCs/>
          <w:sz w:val="20"/>
          <w:szCs w:val="20"/>
        </w:rPr>
        <w:t>qaṣāʾid</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mulqāt</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fī</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iḥtifāl</w:t>
      </w:r>
      <w:proofErr w:type="spellEnd"/>
      <w:r>
        <w:rPr>
          <w:rFonts w:ascii="Times New Roman" w:hAnsi="Times New Roman" w:cs="Times New Roman"/>
          <w:i/>
          <w:iCs/>
          <w:sz w:val="20"/>
          <w:szCs w:val="20"/>
        </w:rPr>
        <w:t xml:space="preserve"> bi-</w:t>
      </w:r>
      <w:proofErr w:type="spellStart"/>
      <w:r>
        <w:rPr>
          <w:rFonts w:ascii="Times New Roman" w:hAnsi="Times New Roman" w:cs="Times New Roman"/>
          <w:i/>
          <w:iCs/>
          <w:sz w:val="20"/>
          <w:szCs w:val="20"/>
        </w:rPr>
        <w:t>muʾarrikh</w:t>
      </w:r>
      <w:proofErr w:type="spellEnd"/>
      <w:r>
        <w:rPr>
          <w:rFonts w:ascii="Times New Roman" w:hAnsi="Times New Roman" w:cs="Times New Roman"/>
          <w:i/>
          <w:iCs/>
          <w:sz w:val="20"/>
          <w:szCs w:val="20"/>
        </w:rPr>
        <w:t xml:space="preserve"> Dimashq al-</w:t>
      </w:r>
      <w:proofErr w:type="spellStart"/>
      <w:r>
        <w:rPr>
          <w:rFonts w:ascii="Times New Roman" w:hAnsi="Times New Roman" w:cs="Times New Roman"/>
          <w:i/>
          <w:iCs/>
          <w:sz w:val="20"/>
          <w:szCs w:val="20"/>
        </w:rPr>
        <w:t>kabīr</w:t>
      </w:r>
      <w:proofErr w:type="spellEnd"/>
      <w:r>
        <w:rPr>
          <w:rFonts w:ascii="Times New Roman" w:hAnsi="Times New Roman" w:cs="Times New Roman"/>
          <w:i/>
          <w:iCs/>
          <w:sz w:val="20"/>
          <w:szCs w:val="20"/>
        </w:rPr>
        <w:t xml:space="preserve">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(Damascus: </w:t>
      </w:r>
      <w:proofErr w:type="spellStart"/>
      <w:r>
        <w:rPr>
          <w:rFonts w:ascii="Times New Roman" w:hAnsi="Times New Roman" w:cs="Times New Roman"/>
          <w:sz w:val="20"/>
          <w:szCs w:val="20"/>
        </w:rPr>
        <w:t>Wizārat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Taʿlīm</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ʿĀlī</w:t>
      </w:r>
      <w:proofErr w:type="spellEnd"/>
      <w:r>
        <w:rPr>
          <w:rFonts w:ascii="Times New Roman" w:hAnsi="Times New Roman" w:cs="Times New Roman"/>
          <w:sz w:val="20"/>
          <w:szCs w:val="20"/>
        </w:rPr>
        <w:t>, 1979), 503; al-</w:t>
      </w:r>
      <w:proofErr w:type="spellStart"/>
      <w:r>
        <w:rPr>
          <w:rFonts w:ascii="Times New Roman" w:hAnsi="Times New Roman" w:cs="Times New Roman"/>
          <w:sz w:val="20"/>
          <w:szCs w:val="20"/>
        </w:rPr>
        <w:t>Daʿjānī</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Mawārid</w:t>
      </w:r>
      <w:proofErr w:type="spellEnd"/>
      <w:r>
        <w:rPr>
          <w:rFonts w:ascii="Times New Roman" w:hAnsi="Times New Roman" w:cs="Times New Roman"/>
          <w:i/>
          <w:iCs/>
          <w:sz w:val="20"/>
          <w:szCs w:val="20"/>
        </w:rPr>
        <w:t xml:space="preserve">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1:299.</w:t>
      </w:r>
    </w:p>
  </w:footnote>
  <w:footnote w:id="15">
    <w:p w14:paraId="31761834" w14:textId="77777777" w:rsidR="00C74DFA" w:rsidRDefault="00000000">
      <w:pPr>
        <w:pStyle w:val="FootnoteText"/>
      </w:pPr>
      <w:r>
        <w:rPr>
          <w:rStyle w:val="FootnoteReference"/>
        </w:rPr>
        <w:footnoteRef/>
      </w:r>
      <w:r>
        <w:rPr>
          <w:rFonts w:ascii="Times New Roman" w:hAnsi="Times New Roman" w:cs="Times New Roman"/>
          <w:lang w:val="en-GB"/>
        </w:rPr>
        <w:t xml:space="preserve"> Savant and Seydi,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and His History of Damascus’, ‘</w:t>
      </w:r>
      <w:proofErr w:type="spellStart"/>
      <w:r>
        <w:rPr>
          <w:rFonts w:ascii="Times New Roman" w:hAnsi="Times New Roman" w:cs="Times New Roman"/>
          <w:lang w:val="en-GB"/>
        </w:rPr>
        <w:t>Search_in_Text</w:t>
      </w:r>
      <w:proofErr w:type="spellEnd"/>
      <w:r>
        <w:rPr>
          <w:rFonts w:ascii="Times New Roman" w:hAnsi="Times New Roman" w:cs="Times New Roman"/>
          <w:lang w:val="en-GB"/>
        </w:rPr>
        <w:t>’, table ‘</w:t>
      </w:r>
      <w:proofErr w:type="spellStart"/>
      <w:r>
        <w:rPr>
          <w:rFonts w:ascii="Times New Roman" w:hAnsi="Times New Roman" w:cs="Times New Roman"/>
          <w:lang w:val="en-GB"/>
        </w:rPr>
        <w:t>SearchResults_Tasmiya</w:t>
      </w:r>
      <w:proofErr w:type="spellEnd"/>
      <w:r>
        <w:rPr>
          <w:rFonts w:ascii="Times New Roman" w:hAnsi="Times New Roman" w:cs="Times New Roman"/>
          <w:lang w:val="en-GB"/>
        </w:rPr>
        <w:t>’.</w:t>
      </w:r>
    </w:p>
  </w:footnote>
  <w:footnote w:id="16">
    <w:p w14:paraId="1A8B5A7C" w14:textId="77777777" w:rsidR="00C74DFA" w:rsidRDefault="00000000">
      <w:pPr>
        <w:pStyle w:val="FootnoteText"/>
      </w:pPr>
      <w:r>
        <w:rPr>
          <w:rStyle w:val="FootnoteReference"/>
        </w:rPr>
        <w:footnoteRef/>
      </w:r>
      <w:r>
        <w:rPr>
          <w:rFonts w:ascii="Times New Roman" w:hAnsi="Times New Roman" w:cs="Times New Roman"/>
          <w:lang w:val="en-GB"/>
        </w:rPr>
        <w:t xml:space="preserve"> 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r>
        <w:rPr>
          <w:rFonts w:ascii="Times New Roman" w:hAnsi="Times New Roman" w:cs="Times New Roman"/>
          <w:i/>
          <w:iCs/>
          <w:lang w:val="en-GB"/>
        </w:rPr>
        <w:t>TMD</w:t>
      </w:r>
      <w:r>
        <w:rPr>
          <w:rFonts w:ascii="Times New Roman" w:hAnsi="Times New Roman" w:cs="Times New Roman"/>
          <w:lang w:val="en-GB"/>
        </w:rPr>
        <w:t xml:space="preserve">, 36:116, </w:t>
      </w:r>
      <w:proofErr w:type="spellStart"/>
      <w:r>
        <w:rPr>
          <w:rFonts w:ascii="Times New Roman" w:hAnsi="Times New Roman" w:cs="Times New Roman"/>
          <w:lang w:val="en-GB"/>
        </w:rPr>
        <w:t>ms</w:t>
      </w:r>
      <w:proofErr w:type="spellEnd"/>
      <w:r>
        <w:rPr>
          <w:rFonts w:ascii="Times New Roman" w:hAnsi="Times New Roman" w:cs="Times New Roman"/>
          <w:lang w:val="en-GB"/>
        </w:rPr>
        <w:t xml:space="preserve">. 13643; 12:39, </w:t>
      </w:r>
      <w:proofErr w:type="spellStart"/>
      <w:r>
        <w:rPr>
          <w:rFonts w:ascii="Times New Roman" w:hAnsi="Times New Roman" w:cs="Times New Roman"/>
          <w:lang w:val="en-GB"/>
        </w:rPr>
        <w:t>ms</w:t>
      </w:r>
      <w:proofErr w:type="spellEnd"/>
      <w:r>
        <w:rPr>
          <w:rFonts w:ascii="Times New Roman" w:hAnsi="Times New Roman" w:cs="Times New Roman"/>
          <w:lang w:val="en-GB"/>
        </w:rPr>
        <w:t xml:space="preserve">. 04269. See also (for three citations to the </w:t>
      </w:r>
      <w:r>
        <w:rPr>
          <w:rFonts w:ascii="Times New Roman" w:hAnsi="Times New Roman" w:cs="Times New Roman"/>
          <w:i/>
          <w:iCs/>
          <w:lang w:val="en-GB"/>
        </w:rPr>
        <w:t>TMD</w:t>
      </w:r>
      <w:r>
        <w:rPr>
          <w:rFonts w:ascii="Times New Roman" w:hAnsi="Times New Roman" w:cs="Times New Roman"/>
          <w:lang w:val="en-GB"/>
        </w:rPr>
        <w:t>) al-</w:t>
      </w:r>
      <w:proofErr w:type="spellStart"/>
      <w:r>
        <w:rPr>
          <w:rFonts w:ascii="Times New Roman" w:hAnsi="Times New Roman" w:cs="Times New Roman"/>
          <w:lang w:val="en-GB"/>
        </w:rPr>
        <w:t>Daʿjānī</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Mawārid</w:t>
      </w:r>
      <w:proofErr w:type="spellEnd"/>
      <w:r>
        <w:rPr>
          <w:rFonts w:ascii="Times New Roman" w:hAnsi="Times New Roman" w:cs="Times New Roman"/>
          <w:i/>
          <w:iCs/>
          <w:lang w:val="en-GB"/>
        </w:rPr>
        <w:t xml:space="preserve"> Ibn </w:t>
      </w:r>
      <w:proofErr w:type="spellStart"/>
      <w:r>
        <w:rPr>
          <w:rFonts w:ascii="Times New Roman" w:hAnsi="Times New Roman" w:cs="Times New Roman"/>
          <w:i/>
          <w:iCs/>
          <w:lang w:val="en-GB"/>
        </w:rPr>
        <w:t>ʿAsākir</w:t>
      </w:r>
      <w:proofErr w:type="spellEnd"/>
      <w:r>
        <w:rPr>
          <w:rFonts w:ascii="Times New Roman" w:hAnsi="Times New Roman" w:cs="Times New Roman"/>
          <w:lang w:val="en-GB"/>
        </w:rPr>
        <w:t>, 1:299.</w:t>
      </w:r>
    </w:p>
  </w:footnote>
  <w:footnote w:id="17">
    <w:p w14:paraId="6F1B077C" w14:textId="77777777" w:rsidR="00C74DFA" w:rsidRDefault="00000000">
      <w:pPr>
        <w:spacing w:after="0" w:line="240" w:lineRule="auto"/>
      </w:pPr>
      <w:r>
        <w:rPr>
          <w:rStyle w:val="FootnoteReference"/>
        </w:rPr>
        <w:footnoteRef/>
      </w:r>
      <w:r>
        <w:rPr>
          <w:rFonts w:ascii="Times New Roman" w:hAnsi="Times New Roman" w:cs="Times New Roman"/>
          <w:sz w:val="20"/>
          <w:szCs w:val="20"/>
          <w:vertAlign w:val="superscript"/>
        </w:rPr>
        <w:t xml:space="preserve"> </w:t>
      </w:r>
      <w:proofErr w:type="spellStart"/>
      <w:r>
        <w:rPr>
          <w:rFonts w:ascii="Times New Roman" w:hAnsi="Times New Roman" w:cs="Times New Roman"/>
          <w:sz w:val="20"/>
          <w:szCs w:val="20"/>
        </w:rPr>
        <w:t>Scheiner</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Virtual Library’, 260.</w:t>
      </w:r>
    </w:p>
  </w:footnote>
  <w:footnote w:id="18">
    <w:p w14:paraId="7AFB01FA" w14:textId="77777777" w:rsidR="00C74DFA" w:rsidRDefault="00000000">
      <w:pPr>
        <w:pStyle w:val="FootnoteText"/>
      </w:pPr>
      <w:r>
        <w:rPr>
          <w:rStyle w:val="FootnoteReference"/>
        </w:rPr>
        <w:footnoteRef/>
      </w:r>
      <w:r>
        <w:rPr>
          <w:rFonts w:ascii="Times New Roman" w:hAnsi="Times New Roman" w:cs="Times New Roman"/>
          <w:lang w:val="en-GB"/>
        </w:rPr>
        <w:t xml:space="preserve"> The count for </w:t>
      </w:r>
      <w:proofErr w:type="spellStart"/>
      <w:r>
        <w:rPr>
          <w:rFonts w:ascii="Times New Roman" w:hAnsi="Times New Roman" w:cs="Times New Roman"/>
          <w:lang w:val="en-GB"/>
        </w:rPr>
        <w:t>Naja</w:t>
      </w:r>
      <w:proofErr w:type="spellEnd"/>
      <w:r>
        <w:rPr>
          <w:rFonts w:ascii="Times New Roman" w:hAnsi="Times New Roman" w:cs="Times New Roman"/>
          <w:lang w:val="en-GB"/>
        </w:rPr>
        <w:t xml:space="preserve">' b. Ahmad uses the figure for </w:t>
      </w:r>
      <w:proofErr w:type="spellStart"/>
      <w:r>
        <w:rPr>
          <w:rFonts w:ascii="Times New Roman" w:hAnsi="Times New Roman" w:cs="Times New Roman"/>
          <w:lang w:val="en-GB"/>
        </w:rPr>
        <w:t>Najja</w:t>
      </w:r>
      <w:proofErr w:type="spellEnd"/>
      <w:r>
        <w:rPr>
          <w:rFonts w:ascii="Times New Roman" w:hAnsi="Times New Roman" w:cs="Times New Roman"/>
          <w:lang w:val="en-GB"/>
        </w:rPr>
        <w:t xml:space="preserve"> b. </w:t>
      </w:r>
      <w:proofErr w:type="spellStart"/>
      <w:r>
        <w:rPr>
          <w:rFonts w:ascii="Times New Roman" w:hAnsi="Times New Roman" w:cs="Times New Roman"/>
          <w:lang w:val="en-GB"/>
        </w:rPr>
        <w:t>Aḥmad</w:t>
      </w:r>
      <w:proofErr w:type="spellEnd"/>
      <w:r>
        <w:rPr>
          <w:rFonts w:ascii="Times New Roman" w:hAnsi="Times New Roman" w:cs="Times New Roman"/>
          <w:lang w:val="en-GB"/>
        </w:rPr>
        <w:t xml:space="preserve"> in our data.</w:t>
      </w:r>
    </w:p>
  </w:footnote>
  <w:footnote w:id="19">
    <w:p w14:paraId="0A87BD3F" w14:textId="77777777" w:rsidR="00C74DFA" w:rsidRDefault="00000000">
      <w:pPr>
        <w:spacing w:after="0" w:line="240" w:lineRule="auto"/>
      </w:pPr>
      <w:r>
        <w:rPr>
          <w:rStyle w:val="FootnoteReference"/>
        </w:rPr>
        <w:footnoteRef/>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19, 48.</w:t>
      </w:r>
    </w:p>
  </w:footnote>
  <w:footnote w:id="20">
    <w:p w14:paraId="4974595E" w14:textId="60F16DCB" w:rsidR="00B305D3" w:rsidRDefault="00B305D3" w:rsidP="00B305D3">
      <w:pPr>
        <w:pStyle w:val="FootnoteText"/>
      </w:pPr>
      <w:r w:rsidRPr="00581EA7">
        <w:rPr>
          <w:rStyle w:val="FootnoteReference"/>
        </w:rPr>
        <w:footnoteRef/>
      </w:r>
      <w:r w:rsidRPr="00581EA7">
        <w:t xml:space="preserve"> </w:t>
      </w:r>
      <w:r w:rsidRPr="00581EA7">
        <w:rPr>
          <w:rFonts w:asciiTheme="minorHAnsi" w:hAnsiTheme="minorHAnsi" w:cstheme="minorHAnsi"/>
          <w:lang w:val="en-GB"/>
        </w:rPr>
        <w:t xml:space="preserve">Savant and Seydi, ‘Ibn </w:t>
      </w:r>
      <w:proofErr w:type="spellStart"/>
      <w:r w:rsidRPr="00581EA7">
        <w:rPr>
          <w:rFonts w:asciiTheme="minorHAnsi" w:hAnsiTheme="minorHAnsi" w:cstheme="minorHAnsi"/>
          <w:lang w:val="en-GB"/>
        </w:rPr>
        <w:t>ʿAsākir</w:t>
      </w:r>
      <w:proofErr w:type="spellEnd"/>
      <w:r w:rsidRPr="00581EA7">
        <w:rPr>
          <w:rFonts w:asciiTheme="minorHAnsi" w:hAnsiTheme="minorHAnsi" w:cstheme="minorHAnsi"/>
          <w:lang w:val="en-GB"/>
        </w:rPr>
        <w:t xml:space="preserve"> and His History of Damascus’, ‘</w:t>
      </w:r>
      <w:proofErr w:type="spellStart"/>
      <w:r w:rsidRPr="00581EA7">
        <w:rPr>
          <w:rFonts w:asciiTheme="minorHAnsi" w:hAnsiTheme="minorHAnsi" w:cstheme="minorHAnsi"/>
          <w:lang w:val="en-GB"/>
        </w:rPr>
        <w:t>Search_in_Text</w:t>
      </w:r>
      <w:proofErr w:type="spellEnd"/>
      <w:r w:rsidRPr="00581EA7">
        <w:rPr>
          <w:rFonts w:asciiTheme="minorHAnsi" w:hAnsiTheme="minorHAnsi" w:cstheme="minorHAnsi"/>
          <w:lang w:val="en-GB"/>
        </w:rPr>
        <w:t>’, table ‘</w:t>
      </w:r>
      <w:proofErr w:type="spellStart"/>
      <w:r w:rsidR="00581EA7" w:rsidRPr="00581EA7">
        <w:rPr>
          <w:rFonts w:asciiTheme="minorHAnsi" w:hAnsiTheme="minorHAnsi" w:cstheme="minorHAnsi"/>
          <w:lang w:val="en-GB"/>
        </w:rPr>
        <w:t>SearchResults_Dhakara</w:t>
      </w:r>
      <w:proofErr w:type="spellEnd"/>
      <w:r w:rsidRPr="00581EA7">
        <w:rPr>
          <w:rFonts w:asciiTheme="minorHAnsi" w:hAnsiTheme="minorHAnsi" w:cstheme="minorHAnsi"/>
          <w:lang w:val="en-GB"/>
        </w:rPr>
        <w:t>’</w:t>
      </w:r>
      <w:r w:rsidRPr="00581EA7">
        <w:rPr>
          <w:rFonts w:asciiTheme="minorHAnsi" w:hAnsiTheme="minorHAnsi" w:cstheme="minorHAnsi"/>
        </w:rPr>
        <w:t>.</w:t>
      </w:r>
    </w:p>
  </w:footnote>
  <w:footnote w:id="21">
    <w:p w14:paraId="39F8161F" w14:textId="5217F537" w:rsidR="00B305D3" w:rsidRDefault="00B305D3" w:rsidP="00B305D3">
      <w:pPr>
        <w:pStyle w:val="FootnoteText"/>
      </w:pPr>
      <w:r w:rsidRPr="00AF5715">
        <w:rPr>
          <w:rStyle w:val="FootnoteReference"/>
        </w:rPr>
        <w:footnoteRef/>
      </w:r>
      <w:r w:rsidRPr="00AF5715">
        <w:t xml:space="preserve"> </w:t>
      </w:r>
      <w:r w:rsidRPr="00AF5715">
        <w:rPr>
          <w:rFonts w:asciiTheme="minorHAnsi" w:hAnsiTheme="minorHAnsi" w:cstheme="minorHAnsi"/>
          <w:lang w:val="en-GB"/>
        </w:rPr>
        <w:t xml:space="preserve">Savant and Seydi, ‘Ibn </w:t>
      </w:r>
      <w:proofErr w:type="spellStart"/>
      <w:r w:rsidRPr="00AF5715">
        <w:rPr>
          <w:rFonts w:asciiTheme="minorHAnsi" w:hAnsiTheme="minorHAnsi" w:cstheme="minorHAnsi"/>
          <w:lang w:val="en-GB"/>
        </w:rPr>
        <w:t>ʿAsākir</w:t>
      </w:r>
      <w:proofErr w:type="spellEnd"/>
      <w:r w:rsidRPr="00AF5715">
        <w:rPr>
          <w:rFonts w:asciiTheme="minorHAnsi" w:hAnsiTheme="minorHAnsi" w:cstheme="minorHAnsi"/>
          <w:lang w:val="en-GB"/>
        </w:rPr>
        <w:t xml:space="preserve"> and His History of Damascus’, ‘</w:t>
      </w:r>
      <w:proofErr w:type="spellStart"/>
      <w:r w:rsidRPr="00AF5715">
        <w:rPr>
          <w:rFonts w:asciiTheme="minorHAnsi" w:hAnsiTheme="minorHAnsi" w:cstheme="minorHAnsi"/>
          <w:lang w:val="en-GB"/>
        </w:rPr>
        <w:t>Search_in_Text</w:t>
      </w:r>
      <w:proofErr w:type="spellEnd"/>
      <w:r w:rsidRPr="00AF5715">
        <w:rPr>
          <w:rFonts w:asciiTheme="minorHAnsi" w:hAnsiTheme="minorHAnsi" w:cstheme="minorHAnsi"/>
          <w:lang w:val="en-GB"/>
        </w:rPr>
        <w:t>’, table ‘</w:t>
      </w:r>
      <w:proofErr w:type="spellStart"/>
      <w:r w:rsidR="00AF5715" w:rsidRPr="00AF5715">
        <w:rPr>
          <w:rFonts w:asciiTheme="minorHAnsi" w:hAnsiTheme="minorHAnsi" w:cstheme="minorHAnsi"/>
          <w:lang w:val="en-GB"/>
        </w:rPr>
        <w:t>SearchResults_Dhakara_NameCount</w:t>
      </w:r>
      <w:proofErr w:type="spellEnd"/>
      <w:r w:rsidRPr="00AF5715">
        <w:rPr>
          <w:rFonts w:asciiTheme="minorHAnsi" w:hAnsiTheme="minorHAnsi" w:cstheme="minorHAnsi"/>
          <w:lang w:val="en-GB"/>
        </w:rPr>
        <w:t>’</w:t>
      </w:r>
      <w:r w:rsidRPr="00AF5715">
        <w:rPr>
          <w:rFonts w:asciiTheme="minorHAnsi" w:hAnsiTheme="minorHAnsi" w:cstheme="minorHAnsi"/>
        </w:rPr>
        <w:t>.</w:t>
      </w:r>
    </w:p>
  </w:footnote>
  <w:footnote w:id="22">
    <w:p w14:paraId="37AC7662" w14:textId="6AF27890" w:rsidR="00B305D3" w:rsidRPr="00AF5715" w:rsidRDefault="00B305D3" w:rsidP="00B305D3">
      <w:pPr>
        <w:pStyle w:val="FootnoteText"/>
      </w:pPr>
      <w:r w:rsidRPr="00AF5715">
        <w:rPr>
          <w:rStyle w:val="FootnoteReference"/>
        </w:rPr>
        <w:footnoteRef/>
      </w:r>
      <w:r w:rsidRPr="00AF5715">
        <w:t xml:space="preserve"> </w:t>
      </w:r>
      <w:r w:rsidRPr="00AF5715">
        <w:rPr>
          <w:rFonts w:asciiTheme="minorHAnsi" w:hAnsiTheme="minorHAnsi" w:cstheme="minorHAnsi"/>
          <w:lang w:val="en-GB"/>
        </w:rPr>
        <w:t xml:space="preserve">Savant and Seydi, ‘Ibn </w:t>
      </w:r>
      <w:proofErr w:type="spellStart"/>
      <w:r w:rsidRPr="00AF5715">
        <w:rPr>
          <w:rFonts w:asciiTheme="minorHAnsi" w:hAnsiTheme="minorHAnsi" w:cstheme="minorHAnsi"/>
          <w:lang w:val="en-GB"/>
        </w:rPr>
        <w:t>ʿAsākir</w:t>
      </w:r>
      <w:proofErr w:type="spellEnd"/>
      <w:r w:rsidRPr="00AF5715">
        <w:rPr>
          <w:rFonts w:asciiTheme="minorHAnsi" w:hAnsiTheme="minorHAnsi" w:cstheme="minorHAnsi"/>
          <w:lang w:val="en-GB"/>
        </w:rPr>
        <w:t xml:space="preserve"> and His History of Damascus’, ‘</w:t>
      </w:r>
      <w:proofErr w:type="spellStart"/>
      <w:r w:rsidRPr="00AF5715">
        <w:rPr>
          <w:rFonts w:asciiTheme="minorHAnsi" w:hAnsiTheme="minorHAnsi" w:cstheme="minorHAnsi"/>
          <w:lang w:val="en-GB"/>
        </w:rPr>
        <w:t>Search_in_Text</w:t>
      </w:r>
      <w:proofErr w:type="spellEnd"/>
      <w:r w:rsidRPr="00AF5715">
        <w:rPr>
          <w:rFonts w:asciiTheme="minorHAnsi" w:hAnsiTheme="minorHAnsi" w:cstheme="minorHAnsi"/>
          <w:lang w:val="en-GB"/>
        </w:rPr>
        <w:t>’, table ‘</w:t>
      </w:r>
      <w:proofErr w:type="spellStart"/>
      <w:r w:rsidR="00AF5715" w:rsidRPr="00AF5715">
        <w:rPr>
          <w:rFonts w:asciiTheme="minorHAnsi" w:hAnsiTheme="minorHAnsi" w:cstheme="minorHAnsi"/>
          <w:lang w:val="en-GB"/>
        </w:rPr>
        <w:t>SearchResults_Dhakara_CitationTerms</w:t>
      </w:r>
      <w:proofErr w:type="spellEnd"/>
      <w:r w:rsidRPr="00AF5715">
        <w:rPr>
          <w:rFonts w:asciiTheme="minorHAnsi" w:hAnsiTheme="minorHAnsi" w:cstheme="minorHAnsi"/>
          <w:lang w:val="en-GB"/>
        </w:rPr>
        <w:t>’</w:t>
      </w:r>
      <w:r w:rsidRPr="00AF5715">
        <w:rPr>
          <w:rFonts w:asciiTheme="minorHAnsi" w:hAnsiTheme="minorHAnsi" w:cstheme="minorHAnsi"/>
        </w:rPr>
        <w:t>.</w:t>
      </w:r>
    </w:p>
  </w:footnote>
  <w:footnote w:id="23">
    <w:p w14:paraId="73DCF79E" w14:textId="78A660DE" w:rsidR="00B305D3" w:rsidRDefault="00B305D3" w:rsidP="00B305D3">
      <w:pPr>
        <w:pStyle w:val="FootnoteText"/>
      </w:pPr>
      <w:r w:rsidRPr="00AF5715">
        <w:rPr>
          <w:rStyle w:val="FootnoteReference"/>
        </w:rPr>
        <w:footnoteRef/>
      </w:r>
      <w:r w:rsidRPr="00AF5715">
        <w:t xml:space="preserve"> </w:t>
      </w:r>
      <w:r w:rsidRPr="00AF5715">
        <w:rPr>
          <w:rFonts w:asciiTheme="minorHAnsi" w:hAnsiTheme="minorHAnsi" w:cstheme="minorHAnsi"/>
          <w:lang w:val="en-GB"/>
        </w:rPr>
        <w:t xml:space="preserve">Savant and Seydi, ‘Ibn </w:t>
      </w:r>
      <w:proofErr w:type="spellStart"/>
      <w:r w:rsidRPr="00AF5715">
        <w:rPr>
          <w:rFonts w:asciiTheme="minorHAnsi" w:hAnsiTheme="minorHAnsi" w:cstheme="minorHAnsi"/>
          <w:lang w:val="en-GB"/>
        </w:rPr>
        <w:t>ʿAsākir</w:t>
      </w:r>
      <w:proofErr w:type="spellEnd"/>
      <w:r w:rsidRPr="00AF5715">
        <w:rPr>
          <w:rFonts w:asciiTheme="minorHAnsi" w:hAnsiTheme="minorHAnsi" w:cstheme="minorHAnsi"/>
          <w:lang w:val="en-GB"/>
        </w:rPr>
        <w:t xml:space="preserve"> and His History of Damascus’, ‘</w:t>
      </w:r>
      <w:proofErr w:type="spellStart"/>
      <w:r w:rsidRPr="00AF5715">
        <w:rPr>
          <w:rFonts w:asciiTheme="minorHAnsi" w:hAnsiTheme="minorHAnsi" w:cstheme="minorHAnsi"/>
          <w:lang w:val="en-GB"/>
        </w:rPr>
        <w:t>Search_in_Text</w:t>
      </w:r>
      <w:proofErr w:type="spellEnd"/>
      <w:r w:rsidRPr="00AF5715">
        <w:rPr>
          <w:rFonts w:asciiTheme="minorHAnsi" w:hAnsiTheme="minorHAnsi" w:cstheme="minorHAnsi"/>
          <w:lang w:val="en-GB"/>
        </w:rPr>
        <w:t>’, table ‘</w:t>
      </w:r>
      <w:proofErr w:type="spellStart"/>
      <w:r w:rsidR="00AF5715" w:rsidRPr="00AF5715">
        <w:rPr>
          <w:rFonts w:asciiTheme="minorHAnsi" w:hAnsiTheme="minorHAnsi" w:cstheme="minorHAnsi"/>
          <w:lang w:val="en-GB"/>
        </w:rPr>
        <w:t>SearchResults_Dhakara_CitationTerms</w:t>
      </w:r>
      <w:proofErr w:type="spellEnd"/>
      <w:r w:rsidRPr="00AF5715">
        <w:rPr>
          <w:rFonts w:asciiTheme="minorHAnsi" w:hAnsiTheme="minorHAnsi" w:cstheme="minorHAnsi"/>
          <w:lang w:val="en-GB"/>
        </w:rPr>
        <w:t>’</w:t>
      </w:r>
      <w:r w:rsidRPr="00AF5715">
        <w:rPr>
          <w:rFonts w:asciiTheme="minorHAnsi" w:hAnsiTheme="minorHAnsi" w:cstheme="min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3B8"/>
    <w:multiLevelType w:val="multilevel"/>
    <w:tmpl w:val="429CA76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D5205A8"/>
    <w:multiLevelType w:val="multilevel"/>
    <w:tmpl w:val="6C2666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0961C0"/>
    <w:multiLevelType w:val="multilevel"/>
    <w:tmpl w:val="A19A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64784031">
    <w:abstractNumId w:val="2"/>
  </w:num>
  <w:num w:numId="2" w16cid:durableId="476842620">
    <w:abstractNumId w:val="1"/>
  </w:num>
  <w:num w:numId="3" w16cid:durableId="165972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FA"/>
    <w:rsid w:val="00035437"/>
    <w:rsid w:val="000541C6"/>
    <w:rsid w:val="000840FD"/>
    <w:rsid w:val="0010426C"/>
    <w:rsid w:val="001152CE"/>
    <w:rsid w:val="001F556F"/>
    <w:rsid w:val="00234322"/>
    <w:rsid w:val="002414D4"/>
    <w:rsid w:val="00255A0A"/>
    <w:rsid w:val="002A70BF"/>
    <w:rsid w:val="002F2E3E"/>
    <w:rsid w:val="00380672"/>
    <w:rsid w:val="00406EFD"/>
    <w:rsid w:val="00422803"/>
    <w:rsid w:val="00427842"/>
    <w:rsid w:val="004810EE"/>
    <w:rsid w:val="004905AF"/>
    <w:rsid w:val="004A19E6"/>
    <w:rsid w:val="005026BD"/>
    <w:rsid w:val="00581EA7"/>
    <w:rsid w:val="005A0289"/>
    <w:rsid w:val="00600C42"/>
    <w:rsid w:val="006035F3"/>
    <w:rsid w:val="006177C3"/>
    <w:rsid w:val="0062160B"/>
    <w:rsid w:val="006D044C"/>
    <w:rsid w:val="00712EB3"/>
    <w:rsid w:val="00786100"/>
    <w:rsid w:val="00796FC9"/>
    <w:rsid w:val="007E7BAE"/>
    <w:rsid w:val="007F65C4"/>
    <w:rsid w:val="008006CA"/>
    <w:rsid w:val="008372D7"/>
    <w:rsid w:val="008A3AAD"/>
    <w:rsid w:val="008B207E"/>
    <w:rsid w:val="008B4E80"/>
    <w:rsid w:val="00930D4B"/>
    <w:rsid w:val="00944061"/>
    <w:rsid w:val="00964D95"/>
    <w:rsid w:val="00981B24"/>
    <w:rsid w:val="009865FC"/>
    <w:rsid w:val="009F0C2B"/>
    <w:rsid w:val="00A3523E"/>
    <w:rsid w:val="00A43083"/>
    <w:rsid w:val="00A457E0"/>
    <w:rsid w:val="00A741D8"/>
    <w:rsid w:val="00A92AD3"/>
    <w:rsid w:val="00AF5715"/>
    <w:rsid w:val="00B22947"/>
    <w:rsid w:val="00B305D3"/>
    <w:rsid w:val="00BD713C"/>
    <w:rsid w:val="00BE38B5"/>
    <w:rsid w:val="00C018F3"/>
    <w:rsid w:val="00C74DFA"/>
    <w:rsid w:val="00CB5E49"/>
    <w:rsid w:val="00D02B53"/>
    <w:rsid w:val="00D12301"/>
    <w:rsid w:val="00D450CE"/>
    <w:rsid w:val="00D4640B"/>
    <w:rsid w:val="00D97F8E"/>
    <w:rsid w:val="00DA3BB1"/>
    <w:rsid w:val="00E20AB6"/>
    <w:rsid w:val="00F66F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3BF8"/>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next w:val="Normal"/>
    <w:link w:val="Heading2Char"/>
    <w:uiPriority w:val="9"/>
    <w:unhideWhenUsed/>
    <w:qFormat/>
    <w:rsid w:val="00930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HTMLPreformatted">
    <w:name w:val="HTML Preformatted"/>
    <w:basedOn w:val="Normal"/>
    <w:pPr>
      <w:spacing w:after="0" w:line="240" w:lineRule="auto"/>
    </w:pPr>
    <w:rPr>
      <w:rFonts w:ascii="Consolas" w:hAnsi="Consolas" w:cs="Calibri"/>
      <w:kern w:val="0"/>
      <w:sz w:val="20"/>
      <w:szCs w:val="20"/>
      <w:lang w:val="en-US" w:eastAsia="en-GB"/>
    </w:rPr>
  </w:style>
  <w:style w:type="character" w:customStyle="1" w:styleId="HTMLPreformattedChar">
    <w:name w:val="HTML Preformatted Char"/>
    <w:basedOn w:val="DefaultParagraphFont"/>
    <w:rPr>
      <w:rFonts w:ascii="Consolas" w:eastAsia="Calibri" w:hAnsi="Consolas" w:cs="Calibri"/>
      <w:kern w:val="0"/>
      <w:sz w:val="20"/>
      <w:szCs w:val="20"/>
      <w:lang w:val="en-US" w:eastAsia="en-GB"/>
    </w:rPr>
  </w:style>
  <w:style w:type="paragraph" w:styleId="Revision">
    <w:name w:val="Revision"/>
    <w:pPr>
      <w:suppressAutoHyphens/>
      <w:spacing w:after="0" w:line="240" w:lineRule="auto"/>
    </w:pPr>
  </w:style>
  <w:style w:type="paragraph" w:styleId="ListParagraph">
    <w:name w:val="List Paragraph"/>
    <w:basedOn w:val="Normal"/>
    <w:pPr>
      <w:ind w:left="720"/>
      <w:contextualSpacing/>
    </w:pPr>
  </w:style>
  <w:style w:type="paragraph" w:styleId="CommentSubject">
    <w:name w:val="annotation subject"/>
    <w:basedOn w:val="CommentText"/>
    <w:next w:val="CommentText"/>
    <w:rPr>
      <w:rFonts w:cs="Arial"/>
      <w:b/>
      <w:bCs/>
      <w:kern w:val="3"/>
      <w:lang w:val="en-GB" w:eastAsia="en-US"/>
    </w:rPr>
  </w:style>
  <w:style w:type="character" w:customStyle="1" w:styleId="CommentTextChar1">
    <w:name w:val="Comment Text Char1"/>
    <w:basedOn w:val="DefaultParagraphFont"/>
    <w:rPr>
      <w:rFonts w:cs="Calibri"/>
      <w:kern w:val="0"/>
      <w:sz w:val="20"/>
      <w:szCs w:val="20"/>
      <w:lang w:val="en-US" w:eastAsia="en-GB"/>
    </w:rPr>
  </w:style>
  <w:style w:type="character" w:customStyle="1" w:styleId="CommentSubjectChar">
    <w:name w:val="Comment Subject Char"/>
    <w:basedOn w:val="CommentTextChar1"/>
    <w:rPr>
      <w:rFonts w:cs="Calibri"/>
      <w:b/>
      <w:bCs/>
      <w:kern w:val="0"/>
      <w:sz w:val="20"/>
      <w:szCs w:val="20"/>
      <w:lang w:val="en-US" w:eastAsia="en-GB"/>
    </w:rPr>
  </w:style>
  <w:style w:type="character" w:styleId="EndnoteReference">
    <w:name w:val="endnote reference"/>
    <w:basedOn w:val="DefaultParagraphFont"/>
    <w:rPr>
      <w:position w:val="0"/>
      <w:vertAlign w:val="superscript"/>
    </w:rPr>
  </w:style>
  <w:style w:type="character" w:styleId="Hyperlink">
    <w:name w:val="Hyperlink"/>
    <w:basedOn w:val="DefaultParagraphFont"/>
    <w:uiPriority w:val="99"/>
    <w:unhideWhenUsed/>
    <w:rsid w:val="006035F3"/>
    <w:rPr>
      <w:color w:val="0563C1" w:themeColor="hyperlink"/>
      <w:u w:val="single"/>
    </w:rPr>
  </w:style>
  <w:style w:type="character" w:styleId="UnresolvedMention">
    <w:name w:val="Unresolved Mention"/>
    <w:basedOn w:val="DefaultParagraphFont"/>
    <w:uiPriority w:val="99"/>
    <w:semiHidden/>
    <w:unhideWhenUsed/>
    <w:rsid w:val="006035F3"/>
    <w:rPr>
      <w:color w:val="605E5C"/>
      <w:shd w:val="clear" w:color="auto" w:fill="E1DFDD"/>
    </w:rPr>
  </w:style>
  <w:style w:type="character" w:customStyle="1" w:styleId="Heading2Char">
    <w:name w:val="Heading 2 Char"/>
    <w:basedOn w:val="DefaultParagraphFont"/>
    <w:link w:val="Heading2"/>
    <w:uiPriority w:val="9"/>
    <w:rsid w:val="00930D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0D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507">
      <w:bodyDiv w:val="1"/>
      <w:marLeft w:val="0"/>
      <w:marRight w:val="0"/>
      <w:marTop w:val="0"/>
      <w:marBottom w:val="0"/>
      <w:divBdr>
        <w:top w:val="none" w:sz="0" w:space="0" w:color="auto"/>
        <w:left w:val="none" w:sz="0" w:space="0" w:color="auto"/>
        <w:bottom w:val="none" w:sz="0" w:space="0" w:color="auto"/>
        <w:right w:val="none" w:sz="0" w:space="0" w:color="auto"/>
      </w:divBdr>
    </w:div>
    <w:div w:id="152141243">
      <w:bodyDiv w:val="1"/>
      <w:marLeft w:val="0"/>
      <w:marRight w:val="0"/>
      <w:marTop w:val="0"/>
      <w:marBottom w:val="0"/>
      <w:divBdr>
        <w:top w:val="none" w:sz="0" w:space="0" w:color="auto"/>
        <w:left w:val="none" w:sz="0" w:space="0" w:color="auto"/>
        <w:bottom w:val="none" w:sz="0" w:space="0" w:color="auto"/>
        <w:right w:val="none" w:sz="0" w:space="0" w:color="auto"/>
      </w:divBdr>
    </w:div>
    <w:div w:id="209153890">
      <w:bodyDiv w:val="1"/>
      <w:marLeft w:val="0"/>
      <w:marRight w:val="0"/>
      <w:marTop w:val="0"/>
      <w:marBottom w:val="0"/>
      <w:divBdr>
        <w:top w:val="none" w:sz="0" w:space="0" w:color="auto"/>
        <w:left w:val="none" w:sz="0" w:space="0" w:color="auto"/>
        <w:bottom w:val="none" w:sz="0" w:space="0" w:color="auto"/>
        <w:right w:val="none" w:sz="0" w:space="0" w:color="auto"/>
      </w:divBdr>
    </w:div>
    <w:div w:id="260529682">
      <w:bodyDiv w:val="1"/>
      <w:marLeft w:val="0"/>
      <w:marRight w:val="0"/>
      <w:marTop w:val="0"/>
      <w:marBottom w:val="0"/>
      <w:divBdr>
        <w:top w:val="none" w:sz="0" w:space="0" w:color="auto"/>
        <w:left w:val="none" w:sz="0" w:space="0" w:color="auto"/>
        <w:bottom w:val="none" w:sz="0" w:space="0" w:color="auto"/>
        <w:right w:val="none" w:sz="0" w:space="0" w:color="auto"/>
      </w:divBdr>
    </w:div>
    <w:div w:id="275333426">
      <w:bodyDiv w:val="1"/>
      <w:marLeft w:val="0"/>
      <w:marRight w:val="0"/>
      <w:marTop w:val="0"/>
      <w:marBottom w:val="0"/>
      <w:divBdr>
        <w:top w:val="none" w:sz="0" w:space="0" w:color="auto"/>
        <w:left w:val="none" w:sz="0" w:space="0" w:color="auto"/>
        <w:bottom w:val="none" w:sz="0" w:space="0" w:color="auto"/>
        <w:right w:val="none" w:sz="0" w:space="0" w:color="auto"/>
      </w:divBdr>
    </w:div>
    <w:div w:id="359428973">
      <w:bodyDiv w:val="1"/>
      <w:marLeft w:val="0"/>
      <w:marRight w:val="0"/>
      <w:marTop w:val="0"/>
      <w:marBottom w:val="0"/>
      <w:divBdr>
        <w:top w:val="none" w:sz="0" w:space="0" w:color="auto"/>
        <w:left w:val="none" w:sz="0" w:space="0" w:color="auto"/>
        <w:bottom w:val="none" w:sz="0" w:space="0" w:color="auto"/>
        <w:right w:val="none" w:sz="0" w:space="0" w:color="auto"/>
      </w:divBdr>
    </w:div>
    <w:div w:id="740105604">
      <w:bodyDiv w:val="1"/>
      <w:marLeft w:val="0"/>
      <w:marRight w:val="0"/>
      <w:marTop w:val="0"/>
      <w:marBottom w:val="0"/>
      <w:divBdr>
        <w:top w:val="none" w:sz="0" w:space="0" w:color="auto"/>
        <w:left w:val="none" w:sz="0" w:space="0" w:color="auto"/>
        <w:bottom w:val="none" w:sz="0" w:space="0" w:color="auto"/>
        <w:right w:val="none" w:sz="0" w:space="0" w:color="auto"/>
      </w:divBdr>
    </w:div>
    <w:div w:id="1133790828">
      <w:bodyDiv w:val="1"/>
      <w:marLeft w:val="0"/>
      <w:marRight w:val="0"/>
      <w:marTop w:val="0"/>
      <w:marBottom w:val="0"/>
      <w:divBdr>
        <w:top w:val="none" w:sz="0" w:space="0" w:color="auto"/>
        <w:left w:val="none" w:sz="0" w:space="0" w:color="auto"/>
        <w:bottom w:val="none" w:sz="0" w:space="0" w:color="auto"/>
        <w:right w:val="none" w:sz="0" w:space="0" w:color="auto"/>
      </w:divBdr>
    </w:div>
    <w:div w:id="1170946219">
      <w:bodyDiv w:val="1"/>
      <w:marLeft w:val="0"/>
      <w:marRight w:val="0"/>
      <w:marTop w:val="0"/>
      <w:marBottom w:val="0"/>
      <w:divBdr>
        <w:top w:val="none" w:sz="0" w:space="0" w:color="auto"/>
        <w:left w:val="none" w:sz="0" w:space="0" w:color="auto"/>
        <w:bottom w:val="none" w:sz="0" w:space="0" w:color="auto"/>
        <w:right w:val="none" w:sz="0" w:space="0" w:color="auto"/>
      </w:divBdr>
    </w:div>
    <w:div w:id="1272006152">
      <w:bodyDiv w:val="1"/>
      <w:marLeft w:val="0"/>
      <w:marRight w:val="0"/>
      <w:marTop w:val="0"/>
      <w:marBottom w:val="0"/>
      <w:divBdr>
        <w:top w:val="none" w:sz="0" w:space="0" w:color="auto"/>
        <w:left w:val="none" w:sz="0" w:space="0" w:color="auto"/>
        <w:bottom w:val="none" w:sz="0" w:space="0" w:color="auto"/>
        <w:right w:val="none" w:sz="0" w:space="0" w:color="auto"/>
      </w:divBdr>
    </w:div>
    <w:div w:id="1460371261">
      <w:bodyDiv w:val="1"/>
      <w:marLeft w:val="0"/>
      <w:marRight w:val="0"/>
      <w:marTop w:val="0"/>
      <w:marBottom w:val="0"/>
      <w:divBdr>
        <w:top w:val="none" w:sz="0" w:space="0" w:color="auto"/>
        <w:left w:val="none" w:sz="0" w:space="0" w:color="auto"/>
        <w:bottom w:val="none" w:sz="0" w:space="0" w:color="auto"/>
        <w:right w:val="none" w:sz="0" w:space="0" w:color="auto"/>
      </w:divBdr>
    </w:div>
    <w:div w:id="1512065725">
      <w:bodyDiv w:val="1"/>
      <w:marLeft w:val="0"/>
      <w:marRight w:val="0"/>
      <w:marTop w:val="0"/>
      <w:marBottom w:val="0"/>
      <w:divBdr>
        <w:top w:val="none" w:sz="0" w:space="0" w:color="auto"/>
        <w:left w:val="none" w:sz="0" w:space="0" w:color="auto"/>
        <w:bottom w:val="none" w:sz="0" w:space="0" w:color="auto"/>
        <w:right w:val="none" w:sz="0" w:space="0" w:color="auto"/>
      </w:divBdr>
    </w:div>
    <w:div w:id="1615096049">
      <w:bodyDiv w:val="1"/>
      <w:marLeft w:val="0"/>
      <w:marRight w:val="0"/>
      <w:marTop w:val="0"/>
      <w:marBottom w:val="0"/>
      <w:divBdr>
        <w:top w:val="none" w:sz="0" w:space="0" w:color="auto"/>
        <w:left w:val="none" w:sz="0" w:space="0" w:color="auto"/>
        <w:bottom w:val="none" w:sz="0" w:space="0" w:color="auto"/>
        <w:right w:val="none" w:sz="0" w:space="0" w:color="auto"/>
      </w:divBdr>
    </w:div>
    <w:div w:id="1911454132">
      <w:bodyDiv w:val="1"/>
      <w:marLeft w:val="0"/>
      <w:marRight w:val="0"/>
      <w:marTop w:val="0"/>
      <w:marBottom w:val="0"/>
      <w:divBdr>
        <w:top w:val="none" w:sz="0" w:space="0" w:color="auto"/>
        <w:left w:val="none" w:sz="0" w:space="0" w:color="auto"/>
        <w:bottom w:val="none" w:sz="0" w:space="0" w:color="auto"/>
        <w:right w:val="none" w:sz="0" w:space="0" w:color="auto"/>
      </w:divBdr>
    </w:div>
    <w:div w:id="1965694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26CF-3539-4B71-A486-950E54D5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sarah savant</cp:lastModifiedBy>
  <cp:revision>17</cp:revision>
  <dcterms:created xsi:type="dcterms:W3CDTF">2023-08-01T14:02:00Z</dcterms:created>
  <dcterms:modified xsi:type="dcterms:W3CDTF">2023-08-21T16:25:00Z</dcterms:modified>
</cp:coreProperties>
</file>