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4F03D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Antrim, Zayde, ‘Nostalgia for the Future: A Comparison between the Introductions to 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Madīnat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Dimashq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and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Khaṭīb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Baghdādī’s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Baghdād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Steven Judd and Jens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Scheiner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(eds),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New Perspectives on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in Islamic Historiography </w:t>
      </w:r>
      <w:r>
        <w:rPr>
          <w:rFonts w:cs="Calibri"/>
          <w:kern w:val="0"/>
          <w:sz w:val="24"/>
          <w:szCs w:val="24"/>
          <w:lang w:val="en-US" w:eastAsia="en-GB"/>
        </w:rPr>
        <w:t>(Leiden: Brill, 2017), 9–29.</w:t>
      </w:r>
    </w:p>
    <w:p w14:paraId="5AB10370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Berkey, Jonathan,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The Transmission of Knowledge in Medieval Cairo: A Social History of Islamic Education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(Princeton: Princeton University Press, 1992).</w:t>
      </w:r>
    </w:p>
    <w:p w14:paraId="53DDD121" w14:textId="06D1C4E6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Daʿjānī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Ṭalāl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b.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Saʿūd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Mawārid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r w:rsidR="00E2674F">
        <w:rPr>
          <w:rFonts w:cs="Calibri"/>
          <w:kern w:val="0"/>
          <w:sz w:val="24"/>
          <w:szCs w:val="24"/>
          <w:lang w:val="en-US" w:eastAsia="en-GB"/>
        </w:rPr>
        <w:t>3 vols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(Medina: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Wizārat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Taʿlīm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ʿĀlī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Jāmiʿa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Islāmiyya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bi-l-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Madīna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al-Munawwara,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ʿImādat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Baḥth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ʿIlmī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1425/2004).</w:t>
      </w:r>
      <w:r w:rsidR="00E2674F">
        <w:rPr>
          <w:rFonts w:cs="Calibri"/>
          <w:kern w:val="0"/>
          <w:sz w:val="24"/>
          <w:szCs w:val="24"/>
          <w:lang w:val="en-US" w:eastAsia="en-GB"/>
        </w:rPr>
        <w:t xml:space="preserve"> We </w:t>
      </w:r>
      <w:proofErr w:type="spellStart"/>
      <w:r w:rsidR="00E2674F">
        <w:rPr>
          <w:rFonts w:cs="Calibri"/>
          <w:kern w:val="0"/>
          <w:sz w:val="24"/>
          <w:szCs w:val="24"/>
          <w:lang w:val="en-US" w:eastAsia="en-GB"/>
        </w:rPr>
        <w:t>OCR’ed</w:t>
      </w:r>
      <w:proofErr w:type="spellEnd"/>
      <w:r w:rsidR="00E2674F">
        <w:rPr>
          <w:rFonts w:cs="Calibri"/>
          <w:kern w:val="0"/>
          <w:sz w:val="24"/>
          <w:szCs w:val="24"/>
          <w:lang w:val="en-US" w:eastAsia="en-GB"/>
        </w:rPr>
        <w:t xml:space="preserve"> volume 1</w:t>
      </w:r>
      <w:r w:rsidR="00A97CE4">
        <w:rPr>
          <w:rFonts w:cs="Calibri"/>
          <w:kern w:val="0"/>
          <w:sz w:val="24"/>
          <w:szCs w:val="24"/>
          <w:lang w:val="en-US" w:eastAsia="en-GB"/>
        </w:rPr>
        <w:t xml:space="preserve"> only.</w:t>
      </w:r>
    </w:p>
    <w:p w14:paraId="7FACB8F9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Davidson, Garrett,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Carrying On the Tradition: A Social and Intellectual History of Hadith Transmission across a Thousand Years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(Leiden: Brill, 2019).</w:t>
      </w:r>
    </w:p>
    <w:p w14:paraId="20412E6E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Dhahabī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Siyar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aʿlām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nubalāʾ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Shuʿayb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Arnāʾūṭ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and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Ḥusayn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Asad, 25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vols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Muʾassasat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Risāla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1985), 0748Dhahabi.SiyarAclamNubala.Shamela0010906.</w:t>
      </w:r>
    </w:p>
    <w:p w14:paraId="7F9F031B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Ḥākim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Naysābūrī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ʿAbd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Allāh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Muḥammad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b.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ʿAbd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Allāh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Maʿrifat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ʿulūm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Kutub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ʿIlmiyya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1977), 0405HakimNaysaburi.MacrifatCulumHadith.Shia002093.</w:t>
      </w:r>
    </w:p>
    <w:p w14:paraId="12471826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Ibn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ʿAlī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b.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Ḥasan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r>
        <w:rPr>
          <w:rFonts w:cs="Calibri"/>
          <w:i/>
          <w:iCs/>
          <w:kern w:val="0"/>
          <w:sz w:val="24"/>
          <w:szCs w:val="24"/>
          <w:lang w:val="it-IT" w:eastAsia="en-GB"/>
        </w:rPr>
        <w:t>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Fawāʾid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muntakhaba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ṣiḥāḥ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gharāʾib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n.p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.: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Maktabat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Aḥmad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Khadarī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2014), 0508NasibAbuQasim.Fawaid.ShamAY0032970.</w:t>
      </w:r>
    </w:p>
    <w:p w14:paraId="4C762EAA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Muʿjam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shuyūkh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Shākir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Faḥḥām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and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Wafāʾ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Taqī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Dīn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3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vols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Damascus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Bashāʾir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2000), 0571IbnCasakir.MucjamShuyukh.Shamela0012750.</w:t>
      </w:r>
    </w:p>
    <w:p w14:paraId="6CE906D2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madīnat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Dimashq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>: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dhikr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faḍlihā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tasmiyat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man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ḥallahā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min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amāthil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aw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ijtāza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bi-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nawāḥīhā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min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wāridīhā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ahlihā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Muḥibb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Dīn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Abī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Saʿīd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ʿUmar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b.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Gharāma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ʿAmrawī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80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vols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Fikr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1995–2001), 0571IbnCasakir.TarikhDimashq.JK000916.</w:t>
      </w:r>
    </w:p>
    <w:p w14:paraId="42B7A90A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Tartīb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asmāʾ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ṣaḥāba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alladhīna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akhraja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ḥadīthahum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Aḥmad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b.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Ḥanbal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fī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Musnad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ʿAmīr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Ḥasan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Ṣabrī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Bashāʾir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Islāmiyya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1409/1989).</w:t>
      </w:r>
    </w:p>
    <w:p w14:paraId="1ADCBD20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>Ibn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Ṣalāḥ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Shahrazūrī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An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Introduction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to the Science of the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(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Kitāb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Maʿrifat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anwāʿ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ʿilm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>)</w:t>
      </w:r>
      <w:r>
        <w:rPr>
          <w:rFonts w:cs="Calibri"/>
          <w:kern w:val="0"/>
          <w:sz w:val="24"/>
          <w:szCs w:val="24"/>
          <w:lang w:val="it-IT" w:eastAsia="en-GB"/>
        </w:rPr>
        <w:t xml:space="preserve">, trans.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Eerik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Dickinson (Reading: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Garnet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2005).</w:t>
      </w:r>
    </w:p>
    <w:p w14:paraId="21503BF5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Muqaddimat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ʿulūm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Nūr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Dīn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ʿItr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Fikr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Maʿāṣir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1397/1977), 06430643IbnSalahShahrazuri.MuqaddimatCulumHadith.JK000537.</w:t>
      </w:r>
    </w:p>
    <w:p w14:paraId="1E18FCD9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Muqaddimat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ʿulūm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ʿĀʾisha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ʿAbd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Raḥmān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(Cairo: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Maʿārif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1989), 0643IbnSalahShahrazuri.MuqaddimatCulumHadith.Shamela0029878BK1.</w:t>
      </w:r>
    </w:p>
    <w:p w14:paraId="3FA8D850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———,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ʿUlūm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Nūr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Dīn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ʿItr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Fikr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1425/2004).</w:t>
      </w:r>
    </w:p>
    <w:p w14:paraId="4B7F59D7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 xml:space="preserve">Judd, Steven, and Jens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Scheiner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‘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Introduction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’, in Steven Judd and Jens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Scheiner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eds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), </w:t>
      </w:r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New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Perspectives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on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in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Islamic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Historiography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(Leiden: Brill, 2017), 1–3.</w:t>
      </w:r>
    </w:p>
    <w:p w14:paraId="6FA672B5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lastRenderedPageBreak/>
        <w:t>Khalek, Nancy, ‘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Prologue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: The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Publication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of the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Fikr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Edition of </w:t>
      </w:r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ʿAsākir’s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Madīnat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Dimashq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’, in Steven Judd and Jens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Scheiner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eds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), </w:t>
      </w:r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New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Perspectives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on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in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Islamic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Historiography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(Leiden: Brill, 2017), 4–8.</w:t>
      </w:r>
    </w:p>
    <w:p w14:paraId="5F8B6F48" w14:textId="77777777" w:rsidR="00690B3E" w:rsidRPr="00556219" w:rsidRDefault="00000000">
      <w:pPr>
        <w:spacing w:line="240" w:lineRule="auto"/>
        <w:rPr>
          <w:lang w:val="it-IT"/>
        </w:rPr>
      </w:pPr>
      <w:r>
        <w:rPr>
          <w:rFonts w:cs="Calibri"/>
          <w:kern w:val="0"/>
          <w:sz w:val="24"/>
          <w:szCs w:val="24"/>
          <w:lang w:val="it-IT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Khaṭīb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Baghdādī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Bakr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Aḥmad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b.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ʿAlī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Madīnat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Salām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akhbār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muḥaddithīhā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dhikr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quṭṭānihā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ʿulamāʾ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min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ghayr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ahlihā</w:t>
      </w:r>
      <w:proofErr w:type="spellEnd"/>
      <w:r>
        <w:rPr>
          <w:rFonts w:cs="Calibri"/>
          <w:i/>
          <w:iCs/>
          <w:kern w:val="0"/>
          <w:sz w:val="24"/>
          <w:szCs w:val="24"/>
          <w:lang w:val="it-IT" w:eastAsia="en-GB"/>
        </w:rPr>
        <w:t xml:space="preserve"> wa-</w:t>
      </w:r>
      <w:proofErr w:type="spellStart"/>
      <w:r>
        <w:rPr>
          <w:rFonts w:cs="Calibri"/>
          <w:i/>
          <w:iCs/>
          <w:kern w:val="0"/>
          <w:sz w:val="24"/>
          <w:szCs w:val="24"/>
          <w:lang w:val="it-IT" w:eastAsia="en-GB"/>
        </w:rPr>
        <w:t>wāridīhā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Bashshār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ʿAwwād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Maʿrūf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Gharb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it-IT" w:eastAsia="en-GB"/>
        </w:rPr>
        <w:t>Islāmī</w:t>
      </w:r>
      <w:proofErr w:type="spellEnd"/>
      <w:r>
        <w:rPr>
          <w:rFonts w:cs="Calibri"/>
          <w:kern w:val="0"/>
          <w:sz w:val="24"/>
          <w:szCs w:val="24"/>
          <w:lang w:val="it-IT" w:eastAsia="en-GB"/>
        </w:rPr>
        <w:t>, 2001), 0463KhatibBaghdadi.TarikhBaghdad.Shamela0000736.</w:t>
      </w:r>
    </w:p>
    <w:p w14:paraId="0338FBCB" w14:textId="77777777" w:rsidR="00690B3E" w:rsidRDefault="00000000">
      <w:pPr>
        <w:spacing w:line="240" w:lineRule="auto"/>
      </w:pP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Leder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S., ‘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Riwāya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Encyclopaedia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of Islam</w:t>
      </w:r>
      <w:r>
        <w:rPr>
          <w:rFonts w:cs="Calibri"/>
          <w:kern w:val="0"/>
          <w:sz w:val="24"/>
          <w:szCs w:val="24"/>
          <w:lang w:val="en-US" w:eastAsia="en-GB"/>
        </w:rPr>
        <w:t>, 2</w:t>
      </w:r>
      <w:r>
        <w:rPr>
          <w:rFonts w:cs="Calibri"/>
          <w:kern w:val="0"/>
          <w:sz w:val="24"/>
          <w:szCs w:val="24"/>
          <w:vertAlign w:val="superscript"/>
          <w:lang w:val="en-US" w:eastAsia="en-GB"/>
        </w:rPr>
        <w:t>nd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ed., http://dx.doi.org/10.1163/1573-3912_islam_COM_0927.</w:t>
      </w:r>
    </w:p>
    <w:p w14:paraId="3C205E08" w14:textId="77777777" w:rsidR="00690B3E" w:rsidRDefault="00000000">
      <w:pPr>
        <w:spacing w:line="240" w:lineRule="auto"/>
      </w:pP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Librande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Leonard, ‘The Supposed Homogeneity of Technical Terms in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Muslim World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72 (1982), 34–50.</w:t>
      </w:r>
    </w:p>
    <w:p w14:paraId="40C43718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Lindsay, James E., ‘Appendix C: Major Lacunae in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TMD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’,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and Early Islamic History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(Princeton: Darwin Press, 2001),</w:t>
      </w:r>
      <w:r>
        <w:rPr>
          <w:rFonts w:ascii="Times New Roman" w:hAnsi="Times New Roman" w:cs="Times New Roman"/>
          <w:sz w:val="24"/>
          <w:szCs w:val="24"/>
        </w:rPr>
        <w:t xml:space="preserve"> 141–43</w:t>
      </w:r>
      <w:r>
        <w:rPr>
          <w:rFonts w:cs="Calibri"/>
          <w:kern w:val="0"/>
          <w:sz w:val="24"/>
          <w:szCs w:val="24"/>
          <w:lang w:val="en-US" w:eastAsia="en-GB"/>
        </w:rPr>
        <w:t>.</w:t>
      </w:r>
    </w:p>
    <w:p w14:paraId="42826A90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‘Ibn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His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madīnat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Dimashq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and Its Usefulness for Understanding Early Islamic History’, in James E. Lindsay (ed.),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and Early Islamic History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(Princeton: Darwin Press, 2001), 1–23.</w:t>
      </w:r>
    </w:p>
    <w:p w14:paraId="203EDDCC" w14:textId="77777777" w:rsidR="00690B3E" w:rsidRDefault="00000000">
      <w:pPr>
        <w:spacing w:line="240" w:lineRule="auto"/>
        <w:rPr>
          <w:rFonts w:cs="Calibri"/>
          <w:kern w:val="0"/>
          <w:sz w:val="24"/>
          <w:szCs w:val="24"/>
          <w:lang w:val="en-US" w:eastAsia="en-GB"/>
        </w:rPr>
      </w:pPr>
      <w:r>
        <w:rPr>
          <w:rFonts w:cs="Calibri"/>
          <w:kern w:val="0"/>
          <w:sz w:val="24"/>
          <w:szCs w:val="24"/>
          <w:lang w:val="en-US" w:eastAsia="en-GB"/>
        </w:rPr>
        <w:t xml:space="preserve">Manstetten, Paula Caroline, ‘Ibn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History of Damascus and the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Institutionalisation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of Education in the Medieval Islamic World’ (unpublished PhD, Department of the Languages and Cultures of the Near and Middle East, SOAS, University of London, 2018).</w:t>
      </w:r>
    </w:p>
    <w:p w14:paraId="26CF9987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Montgomery, James E.,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Jāḥiẓ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>: In Praise of Books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(Edinburgh: Edinburgh University Press, 2013).</w:t>
      </w:r>
    </w:p>
    <w:p w14:paraId="05418F49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Mourad, Suleiman A, ‘Appendix A: Publication History of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TMD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’, in James E. Lindsay (ed.),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and Early Islamic History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(Princeton: Darwin Press, 2001), 127–33.</w:t>
      </w:r>
    </w:p>
    <w:p w14:paraId="3F22A2AF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‘Ibn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Family’, in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Encyclopaedia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of Islam</w:t>
      </w:r>
      <w:r>
        <w:rPr>
          <w:rFonts w:cs="Calibri"/>
          <w:kern w:val="0"/>
          <w:sz w:val="24"/>
          <w:szCs w:val="24"/>
          <w:lang w:val="en-US" w:eastAsia="en-GB"/>
        </w:rPr>
        <w:t>, 3</w:t>
      </w:r>
      <w:r>
        <w:rPr>
          <w:rFonts w:cs="Calibri"/>
          <w:kern w:val="0"/>
          <w:sz w:val="24"/>
          <w:szCs w:val="24"/>
          <w:vertAlign w:val="superscript"/>
          <w:lang w:val="en-US" w:eastAsia="en-GB"/>
        </w:rPr>
        <w:t>rd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ed., http://dx.doi.org/10.1163/1573-3912_ei3_COM_30705.</w:t>
      </w:r>
    </w:p>
    <w:p w14:paraId="2EC7F223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Ibn ‘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Asakir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of Damascus: Champion of Sunni Islam in the Time of the Crusades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(London: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Oneworld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2021).</w:t>
      </w:r>
    </w:p>
    <w:p w14:paraId="47A0E508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Mourad, Suleiman, and James Lindsay,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The Intensification and Reorientation of Sunni Jihad Ideology in the Crusader Period: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of Damascus (1105–1176) and His Age, with an Edition and Translation of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ʿAsākir’s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r>
        <w:rPr>
          <w:rFonts w:cs="Calibri"/>
          <w:kern w:val="0"/>
          <w:sz w:val="24"/>
          <w:szCs w:val="24"/>
          <w:lang w:val="en-US" w:eastAsia="en-GB"/>
        </w:rPr>
        <w:t>The Forty Hadiths for Inciting Jihad (Leiden: Brill, 2012).</w:t>
      </w:r>
    </w:p>
    <w:p w14:paraId="027F4637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Mukhalliṣ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Ṭāḥir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Mukhalliṣiyyāt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wa-ajzāʾ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ukhrā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li-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Abī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Ṭāhir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Mukhalliṣ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Nabīl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Saʿd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Dīn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Jarrār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4 vols ([Doha]: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Wizārat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Awqāf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wa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-l-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Shuʾūn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Islamiyya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li-Dawlat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Qaṭar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1429/2008).</w:t>
      </w:r>
    </w:p>
    <w:p w14:paraId="67B56B71" w14:textId="77777777" w:rsidR="00690B3E" w:rsidRDefault="00000000">
      <w:pPr>
        <w:spacing w:line="240" w:lineRule="auto"/>
      </w:pPr>
      <w:proofErr w:type="spellStart"/>
      <w:r>
        <w:rPr>
          <w:rFonts w:cs="Calibri"/>
          <w:kern w:val="0"/>
          <w:sz w:val="24"/>
          <w:szCs w:val="24"/>
          <w:lang w:val="en-US" w:eastAsia="en-GB"/>
        </w:rPr>
        <w:lastRenderedPageBreak/>
        <w:t>Nūr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Sayf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Aḥmad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M., ‘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Maṣādir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taʾrīkh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min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kutub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wa’l-rijāl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Kalimāt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wa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>-l-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buḥūth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wa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>-l-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qaṣāʾid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mulqāt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fī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iḥtifāl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bi-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muʾarrikh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Dimashq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kabīr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(Damascus: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Wizārat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Taʿlīm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ʿĀlī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1979), 475–504.</w:t>
      </w:r>
    </w:p>
    <w:p w14:paraId="35E7C87D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Piketty, Thomas,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Capital in the Twenty-First Century: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(Cambridge, MA: Belknap Press, 2014).</w:t>
      </w:r>
    </w:p>
    <w:p w14:paraId="18032640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Robson, J., ‘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Ḥadīth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Encyclopaedia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of Islam</w:t>
      </w:r>
      <w:r>
        <w:rPr>
          <w:rFonts w:cs="Calibri"/>
          <w:kern w:val="0"/>
          <w:sz w:val="24"/>
          <w:szCs w:val="24"/>
          <w:lang w:val="en-US" w:eastAsia="en-GB"/>
        </w:rPr>
        <w:t>, 2</w:t>
      </w:r>
      <w:r>
        <w:rPr>
          <w:rFonts w:cs="Calibri"/>
          <w:kern w:val="0"/>
          <w:sz w:val="24"/>
          <w:szCs w:val="24"/>
          <w:vertAlign w:val="superscript"/>
          <w:lang w:val="en-US" w:eastAsia="en-GB"/>
        </w:rPr>
        <w:t>nd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ed.</w:t>
      </w:r>
      <w:r>
        <w:rPr>
          <w:rFonts w:cs="Calibri"/>
          <w:kern w:val="0"/>
          <w:sz w:val="24"/>
          <w:szCs w:val="24"/>
          <w:lang w:eastAsia="en-GB"/>
        </w:rPr>
        <w:t>, http://dx.doi.org/10.1163/1573-3912_islam_COM_0248.</w:t>
      </w:r>
    </w:p>
    <w:p w14:paraId="4BDF19A0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Rosenthal, Franz,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A History of Muslim Historiography</w:t>
      </w:r>
      <w:r>
        <w:rPr>
          <w:rFonts w:cs="Calibri"/>
          <w:kern w:val="0"/>
          <w:sz w:val="24"/>
          <w:szCs w:val="24"/>
          <w:lang w:val="en-US" w:eastAsia="en-GB"/>
        </w:rPr>
        <w:t>, 2</w:t>
      </w:r>
      <w:r>
        <w:rPr>
          <w:rFonts w:cs="Calibri"/>
          <w:kern w:val="0"/>
          <w:sz w:val="24"/>
          <w:szCs w:val="24"/>
          <w:vertAlign w:val="superscript"/>
          <w:lang w:val="en-US" w:eastAsia="en-GB"/>
        </w:rPr>
        <w:t>nd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ed. (Leiden: E. J. Brill, 1968).</w:t>
      </w:r>
    </w:p>
    <w:p w14:paraId="48E6E7B1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The Technique and Approach of Muslim Scholarship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(Rome: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Pontificium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Institutum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Biblicum, 1947).</w:t>
      </w:r>
    </w:p>
    <w:p w14:paraId="5D533F99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Sahmī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Qāsim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Ḥamza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b.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Yūsuf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Taʾrīkh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Jurjān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Muḥammad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ʿAbd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Muʿīd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Khān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ʿĀlam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Kutub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1407/1987), 0427Sahmi.TarikhJurjan.Shamela0011077.</w:t>
      </w:r>
    </w:p>
    <w:p w14:paraId="5DBBC9AA" w14:textId="77777777" w:rsidR="00690B3E" w:rsidRDefault="00000000">
      <w:pPr>
        <w:spacing w:line="240" w:lineRule="auto"/>
      </w:pP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Sajdi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Dana, ‘Ibn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Children: Monumental Representations of Damascus until the 12th/18th Century’, in Steven Judd and Jens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Scheiner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(eds),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New Perspectives on Ibn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in Islamic Historiography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(Leiden: Brill, 2017), 30–63.</w:t>
      </w:r>
    </w:p>
    <w:p w14:paraId="08346CFB" w14:textId="77777777" w:rsidR="00690B3E" w:rsidRPr="002E3C47" w:rsidRDefault="00000000">
      <w:pPr>
        <w:spacing w:line="240" w:lineRule="auto"/>
        <w:rPr>
          <w:sz w:val="24"/>
          <w:szCs w:val="24"/>
        </w:rPr>
      </w:pPr>
      <w:r>
        <w:rPr>
          <w:rFonts w:cs="Calibri"/>
          <w:kern w:val="0"/>
          <w:sz w:val="24"/>
          <w:szCs w:val="24"/>
          <w:lang w:val="en-US" w:eastAsia="en-GB"/>
        </w:rPr>
        <w:t xml:space="preserve">Savant, Sarah Bowen, ‘People versus Books’, in Bruce Fudge, Kambiz GhaneaBassiri, Christian Lange and Sarah Bowen Savant (eds),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Non Sola </w:t>
      </w:r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>Scriptura</w:t>
      </w:r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 (London: Routledge, 2022), http://dx.doi.org/10.4324/9781003252221-18.</w:t>
      </w:r>
    </w:p>
    <w:p w14:paraId="5E459413" w14:textId="4E889ADB" w:rsidR="00690B3E" w:rsidRPr="002E3C47" w:rsidRDefault="00000000">
      <w:pPr>
        <w:spacing w:line="240" w:lineRule="auto"/>
        <w:rPr>
          <w:sz w:val="24"/>
          <w:szCs w:val="24"/>
        </w:rPr>
      </w:pPr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Savant, Sarah Bowen, and Masoumeh Seydi, ‘Ibn </w:t>
      </w:r>
      <w:proofErr w:type="spellStart"/>
      <w:r w:rsidRPr="002E3C47">
        <w:rPr>
          <w:rFonts w:cs="Calibri"/>
          <w:kern w:val="0"/>
          <w:sz w:val="24"/>
          <w:szCs w:val="24"/>
          <w:lang w:val="en-US" w:eastAsia="en-GB"/>
        </w:rPr>
        <w:t>ʿAsākir</w:t>
      </w:r>
      <w:proofErr w:type="spellEnd"/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 and His History of Damascus’ (data set).</w:t>
      </w:r>
      <w:r w:rsidR="002E3C47" w:rsidRPr="002E3C47">
        <w:rPr>
          <w:sz w:val="24"/>
          <w:szCs w:val="24"/>
        </w:rPr>
        <w:t xml:space="preserve"> </w:t>
      </w:r>
      <w:r w:rsidR="002E3C47" w:rsidRPr="002E3C47">
        <w:rPr>
          <w:sz w:val="24"/>
          <w:szCs w:val="24"/>
        </w:rPr>
        <w:t>https://zenodo.org/record/8233103</w:t>
      </w:r>
      <w:r w:rsidR="002E3C47" w:rsidRPr="002E3C47">
        <w:rPr>
          <w:sz w:val="24"/>
          <w:szCs w:val="24"/>
        </w:rPr>
        <w:t>.</w:t>
      </w:r>
    </w:p>
    <w:p w14:paraId="2E4E9444" w14:textId="77777777" w:rsidR="00690B3E" w:rsidRDefault="00000000">
      <w:pPr>
        <w:spacing w:line="240" w:lineRule="auto"/>
      </w:pPr>
      <w:proofErr w:type="spellStart"/>
      <w:r w:rsidRPr="002E3C47">
        <w:rPr>
          <w:rFonts w:cs="Calibri"/>
          <w:kern w:val="0"/>
          <w:sz w:val="24"/>
          <w:szCs w:val="24"/>
          <w:lang w:val="en-US" w:eastAsia="en-GB"/>
        </w:rPr>
        <w:t>Scheiner</w:t>
      </w:r>
      <w:proofErr w:type="spellEnd"/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, Jens, ‘Ibn </w:t>
      </w:r>
      <w:proofErr w:type="spellStart"/>
      <w:r w:rsidRPr="002E3C47">
        <w:rPr>
          <w:rFonts w:cs="Calibri"/>
          <w:kern w:val="0"/>
          <w:sz w:val="24"/>
          <w:szCs w:val="24"/>
          <w:lang w:val="en-US" w:eastAsia="en-GB"/>
        </w:rPr>
        <w:t>ʿAsākirʼs</w:t>
      </w:r>
      <w:proofErr w:type="spellEnd"/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 Virtual Library as Reflected in His </w:t>
      </w:r>
      <w:proofErr w:type="spellStart"/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>Taʾrīkh</w:t>
      </w:r>
      <w:proofErr w:type="spellEnd"/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>Madīnat</w:t>
      </w:r>
      <w:proofErr w:type="spellEnd"/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Dimashq</w:t>
      </w:r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’, in Steven Judd and Jens </w:t>
      </w:r>
      <w:proofErr w:type="spellStart"/>
      <w:r w:rsidRPr="002E3C47">
        <w:rPr>
          <w:rFonts w:cs="Calibri"/>
          <w:kern w:val="0"/>
          <w:sz w:val="24"/>
          <w:szCs w:val="24"/>
          <w:lang w:val="en-US" w:eastAsia="en-GB"/>
        </w:rPr>
        <w:t>Scheiner</w:t>
      </w:r>
      <w:proofErr w:type="spellEnd"/>
      <w:r w:rsidRPr="002E3C47">
        <w:rPr>
          <w:rFonts w:cs="Calibri"/>
          <w:kern w:val="0"/>
          <w:sz w:val="24"/>
          <w:szCs w:val="24"/>
          <w:lang w:val="en-US" w:eastAsia="en-GB"/>
        </w:rPr>
        <w:t xml:space="preserve"> (eds), </w:t>
      </w:r>
      <w:r w:rsidRPr="002E3C47">
        <w:rPr>
          <w:rFonts w:cs="Calibri"/>
          <w:i/>
          <w:iCs/>
          <w:kern w:val="0"/>
          <w:sz w:val="24"/>
          <w:szCs w:val="24"/>
          <w:lang w:val="en-US" w:eastAsia="en-GB"/>
        </w:rPr>
        <w:t>New Perspectives on Ibn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ʿAsākir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in Islamic Historiography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(Leiden: Brill, 2017), 156–257.</w:t>
      </w:r>
    </w:p>
    <w:p w14:paraId="179AB5BE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‘Single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Isnāds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or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Riwāyas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? Quoted Books in Ibn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ʿAsākir’s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Tarjama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of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Tamīm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Dārī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</w:t>
      </w:r>
      <w:r>
        <w:rPr>
          <w:rFonts w:cs="Calibri"/>
          <w:kern w:val="0"/>
          <w:sz w:val="24"/>
          <w:szCs w:val="24"/>
          <w:lang w:eastAsia="en-GB"/>
        </w:rPr>
        <w:t xml:space="preserve">Maurice A. Pomerantz and Aram Shahin (eds),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The Heritage of Arabo-Islamic Learning: Studies Presented to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Wadad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Kadi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(Leiden: Brill, 2016), 42–72.</w:t>
      </w:r>
    </w:p>
    <w:p w14:paraId="253B06FA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Shīrāzī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Isḥāq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Ṭabaqāt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fuqahāʾ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Iḥsān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ʿAbbās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(Beirut: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Rāʾid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ʿArabī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1970), 0476AbuIshaqShirazi.TabaqatFuqaha.Shamela0001031-ara1.mARkdown.</w:t>
      </w:r>
    </w:p>
    <w:p w14:paraId="64876D33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>Stewart, Devin, ‘On Rhetoric, Reason, and Revelation: Ibn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Jawzī’s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Maqāmāt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as an Anti-Parody and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Sefer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Taḥkemoni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of Yehudah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Ḥarīzī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Middle Eastern Literatures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19/2 (2016), 206–33.</w:t>
      </w:r>
    </w:p>
    <w:p w14:paraId="3A752933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t xml:space="preserve">———, ‘Women’s Biographies in Islamic Societies: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Mīrzā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ʿAbd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Allāh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Iṣfahānī’s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Riyāḍ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ʿUlamāʾ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’, in Louise Marlow (ed.),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The Rhetoric of Biography: Narrating Lives in Persianate Societies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(Cambridge, MA: Harvard University Press, 2011), 106–39.</w:t>
      </w:r>
    </w:p>
    <w:p w14:paraId="3BBA640B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eastAsia="en-GB"/>
        </w:rPr>
        <w:t>al-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Suyūṭī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Tadrīb</w:t>
      </w:r>
      <w:proofErr w:type="spellEnd"/>
      <w:r>
        <w:rPr>
          <w:rFonts w:cs="Calibri"/>
          <w:i/>
          <w:iCs/>
          <w:kern w:val="0"/>
          <w:sz w:val="24"/>
          <w:szCs w:val="24"/>
          <w:lang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rāwī</w:t>
      </w:r>
      <w:proofErr w:type="spellEnd"/>
      <w:r>
        <w:rPr>
          <w:rFonts w:cs="Calibri"/>
          <w:i/>
          <w:iCs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fī</w:t>
      </w:r>
      <w:proofErr w:type="spellEnd"/>
      <w:r>
        <w:rPr>
          <w:rFonts w:cs="Calibri"/>
          <w:i/>
          <w:iCs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sharḥ</w:t>
      </w:r>
      <w:proofErr w:type="spellEnd"/>
      <w:r>
        <w:rPr>
          <w:rFonts w:cs="Calibri"/>
          <w:i/>
          <w:iCs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Taqrīb</w:t>
      </w:r>
      <w:proofErr w:type="spellEnd"/>
      <w:r>
        <w:rPr>
          <w:rFonts w:cs="Calibri"/>
          <w:i/>
          <w:iCs/>
          <w:kern w:val="0"/>
          <w:sz w:val="24"/>
          <w:szCs w:val="24"/>
          <w:lang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eastAsia="en-GB"/>
        </w:rPr>
        <w:t>Nawāwī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Abū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Qutayba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Naẓar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Muḥammad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Fārayābī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, 2 vols ([Beirut: 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 xml:space="preserve"> al-Kalim al-</w:t>
      </w:r>
      <w:proofErr w:type="spellStart"/>
      <w:r>
        <w:rPr>
          <w:rFonts w:cs="Calibri"/>
          <w:kern w:val="0"/>
          <w:sz w:val="24"/>
          <w:szCs w:val="24"/>
          <w:lang w:eastAsia="en-GB"/>
        </w:rPr>
        <w:t>Ṭayyib</w:t>
      </w:r>
      <w:proofErr w:type="spellEnd"/>
      <w:r>
        <w:rPr>
          <w:rFonts w:cs="Calibri"/>
          <w:kern w:val="0"/>
          <w:sz w:val="24"/>
          <w:szCs w:val="24"/>
          <w:lang w:eastAsia="en-GB"/>
        </w:rPr>
        <w:t>], [1996]), 1:29–30.</w:t>
      </w:r>
    </w:p>
    <w:p w14:paraId="789CBDA7" w14:textId="77777777" w:rsidR="00690B3E" w:rsidRDefault="00000000">
      <w:pPr>
        <w:spacing w:line="240" w:lineRule="auto"/>
      </w:pPr>
      <w:r>
        <w:rPr>
          <w:rFonts w:cs="Calibri"/>
          <w:kern w:val="0"/>
          <w:sz w:val="24"/>
          <w:szCs w:val="24"/>
          <w:lang w:val="en-US" w:eastAsia="en-GB"/>
        </w:rPr>
        <w:lastRenderedPageBreak/>
        <w:t xml:space="preserve">Underwood, Ted, ‘Theorizing Research Practices We Forgot to Theorize Twenty Years Ago’, </w:t>
      </w:r>
      <w:r>
        <w:rPr>
          <w:rFonts w:cs="Calibri"/>
          <w:i/>
          <w:iCs/>
          <w:kern w:val="0"/>
          <w:sz w:val="24"/>
          <w:szCs w:val="24"/>
          <w:lang w:val="en-US" w:eastAsia="en-GB"/>
        </w:rPr>
        <w:t>Representations</w:t>
      </w:r>
      <w:r>
        <w:rPr>
          <w:rFonts w:cs="Calibri"/>
          <w:kern w:val="0"/>
          <w:sz w:val="24"/>
          <w:szCs w:val="24"/>
          <w:lang w:val="en-US" w:eastAsia="en-GB"/>
        </w:rPr>
        <w:t xml:space="preserve"> 127/1 (2014), 64–72.</w:t>
      </w:r>
    </w:p>
    <w:p w14:paraId="3024B0B2" w14:textId="77777777" w:rsidR="00690B3E" w:rsidRDefault="00000000">
      <w:pPr>
        <w:spacing w:line="240" w:lineRule="auto"/>
      </w:pP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Yāqūt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Muʿjam</w:t>
      </w:r>
      <w:proofErr w:type="spellEnd"/>
      <w:r>
        <w:rPr>
          <w:rFonts w:cs="Calibri"/>
          <w:i/>
          <w:iCs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i/>
          <w:iCs/>
          <w:kern w:val="0"/>
          <w:sz w:val="24"/>
          <w:szCs w:val="24"/>
          <w:lang w:val="en-US" w:eastAsia="en-GB"/>
        </w:rPr>
        <w:t>udabāʾ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ed.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Iḥsān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ʿAbbās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, 7 vols (Beirut: 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Dār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Gharb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 xml:space="preserve"> al-</w:t>
      </w:r>
      <w:proofErr w:type="spellStart"/>
      <w:r>
        <w:rPr>
          <w:rFonts w:cs="Calibri"/>
          <w:kern w:val="0"/>
          <w:sz w:val="24"/>
          <w:szCs w:val="24"/>
          <w:lang w:val="en-US" w:eastAsia="en-GB"/>
        </w:rPr>
        <w:t>Islāmī</w:t>
      </w:r>
      <w:proofErr w:type="spellEnd"/>
      <w:r>
        <w:rPr>
          <w:rFonts w:cs="Calibri"/>
          <w:kern w:val="0"/>
          <w:sz w:val="24"/>
          <w:szCs w:val="24"/>
          <w:lang w:val="en-US" w:eastAsia="en-GB"/>
        </w:rPr>
        <w:t>, 1414/1993–4), 0626YaqutHamawi.MucjamUdaba.Shamela0009788.</w:t>
      </w:r>
    </w:p>
    <w:sectPr w:rsidR="00690B3E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28D36" w14:textId="77777777" w:rsidR="003A1B3A" w:rsidRDefault="003A1B3A">
      <w:pPr>
        <w:spacing w:after="0" w:line="240" w:lineRule="auto"/>
      </w:pPr>
      <w:r>
        <w:separator/>
      </w:r>
    </w:p>
  </w:endnote>
  <w:endnote w:type="continuationSeparator" w:id="0">
    <w:p w14:paraId="3E551142" w14:textId="77777777" w:rsidR="003A1B3A" w:rsidRDefault="003A1B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803BBD" w14:textId="77777777" w:rsidR="00880817" w:rsidRDefault="00000000"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tabs>
        <w:tab w:val="center" w:pos="4513"/>
        <w:tab w:val="right" w:pos="9026"/>
      </w:tabs>
      <w:spacing w:after="0" w:line="240" w:lineRule="auto"/>
      <w:jc w:val="right"/>
    </w:pPr>
    <w:r>
      <w:rPr>
        <w:color w:val="000000"/>
      </w:rPr>
      <w:fldChar w:fldCharType="begin"/>
    </w:r>
    <w:r>
      <w:rPr>
        <w:color w:val="000000"/>
      </w:rPr>
      <w:instrText xml:space="preserve"> PAGE 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  <w:p w14:paraId="1C80AC23" w14:textId="77777777" w:rsidR="00880817" w:rsidRDefault="00000000">
    <w:pPr>
      <w:pBdr>
        <w:top w:val="single" w:sz="2" w:space="31" w:color="FFFFFF" w:shadow="1"/>
        <w:left w:val="single" w:sz="2" w:space="31" w:color="FFFFFF" w:shadow="1"/>
        <w:bottom w:val="single" w:sz="2" w:space="31" w:color="FFFFFF" w:shadow="1"/>
        <w:right w:val="single" w:sz="2" w:space="31" w:color="FFFFFF" w:shadow="1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C58E90" w14:textId="77777777" w:rsidR="003A1B3A" w:rsidRDefault="003A1B3A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4E3D04F4" w14:textId="77777777" w:rsidR="003A1B3A" w:rsidRDefault="003A1B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015" w:type="dxa"/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3005"/>
      <w:gridCol w:w="3005"/>
      <w:gridCol w:w="3005"/>
    </w:tblGrid>
    <w:tr w:rsidR="00880817" w14:paraId="66D5929E" w14:textId="77777777">
      <w:trPr>
        <w:trHeight w:val="300"/>
      </w:trPr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0753163" w14:textId="77777777" w:rsidR="00880817" w:rsidRDefault="00000000">
          <w:pPr>
            <w:pStyle w:val="Header"/>
            <w:ind w:left="-115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AF48665" w14:textId="77777777" w:rsidR="00880817" w:rsidRDefault="00000000">
          <w:pPr>
            <w:pStyle w:val="Header"/>
            <w:jc w:val="center"/>
          </w:pPr>
        </w:p>
      </w:tc>
      <w:tc>
        <w:tcPr>
          <w:tcW w:w="3005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1D4ABF4" w14:textId="77777777" w:rsidR="00880817" w:rsidRDefault="00000000">
          <w:pPr>
            <w:pStyle w:val="Header"/>
            <w:ind w:right="-115"/>
            <w:jc w:val="right"/>
          </w:pPr>
        </w:p>
      </w:tc>
    </w:tr>
  </w:tbl>
  <w:p w14:paraId="2A66B594" w14:textId="77777777" w:rsidR="00880817" w:rsidRDefault="000000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B3E"/>
    <w:rsid w:val="002216BF"/>
    <w:rsid w:val="002E3C47"/>
    <w:rsid w:val="003A1B3A"/>
    <w:rsid w:val="0049142C"/>
    <w:rsid w:val="00556219"/>
    <w:rsid w:val="00690B3E"/>
    <w:rsid w:val="009404E8"/>
    <w:rsid w:val="00A97CE4"/>
    <w:rsid w:val="00D65270"/>
    <w:rsid w:val="00E26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5E861E"/>
  <w15:docId w15:val="{C804C4D2-0606-4992-8B99-F1B3E8D36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kern w:val="3"/>
        <w:sz w:val="22"/>
        <w:szCs w:val="22"/>
        <w:lang w:val="en-GB" w:eastAsia="en-US" w:bidi="ar-SA"/>
      </w:rPr>
    </w:rPrDefault>
    <w:pPrDefault>
      <w:pPr>
        <w:autoSpaceDN w:val="0"/>
        <w:spacing w:after="160" w:line="24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</w:style>
  <w:style w:type="paragraph" w:styleId="Footer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</w:style>
  <w:style w:type="paragraph" w:styleId="Revision">
    <w:name w:val="Revision"/>
    <w:pPr>
      <w:spacing w:after="0" w:line="240" w:lineRule="auto"/>
    </w:pPr>
  </w:style>
  <w:style w:type="character" w:styleId="CommentReference">
    <w:name w:val="annotation reference"/>
    <w:basedOn w:val="DefaultParagraphFont"/>
    <w:rPr>
      <w:sz w:val="16"/>
      <w:szCs w:val="16"/>
    </w:rPr>
  </w:style>
  <w:style w:type="paragraph" w:styleId="CommentText">
    <w:name w:val="annotation text"/>
    <w:basedOn w:val="Normal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rPr>
      <w:sz w:val="20"/>
      <w:szCs w:val="20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basedOn w:val="CommentTextChar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1159</Words>
  <Characters>6611</Characters>
  <Application>Microsoft Office Word</Application>
  <DocSecurity>0</DocSecurity>
  <Lines>55</Lines>
  <Paragraphs>15</Paragraphs>
  <ScaleCrop>false</ScaleCrop>
  <Company/>
  <LinksUpToDate>false</LinksUpToDate>
  <CharactersWithSpaces>7755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 savant</dc:creator>
  <dc:description/>
  <cp:lastModifiedBy>sarah savant</cp:lastModifiedBy>
  <cp:revision>7</cp:revision>
  <dcterms:created xsi:type="dcterms:W3CDTF">2023-07-28T17:11:00Z</dcterms:created>
  <dcterms:modified xsi:type="dcterms:W3CDTF">2023-08-10T16:45:00Z</dcterms:modified>
</cp:coreProperties>
</file>