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rPr/>
      </w:pPr>
      <w:bookmarkStart w:colFirst="0" w:colLast="0" w:name="_5x891mqdzz55" w:id="0"/>
      <w:bookmarkEnd w:id="0"/>
      <w:r w:rsidDel="00000000" w:rsidR="00000000" w:rsidRPr="00000000">
        <w:rPr>
          <w:rtl w:val="0"/>
        </w:rPr>
        <w:t xml:space="preserve">OpenITI release 2022.2.7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The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KITAB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team has released a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new version (2022.2.7) of the </w:t>
      </w:r>
      <w:hyperlink r:id="rId6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OpenITI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corpus at </w:t>
      </w:r>
      <w:hyperlink r:id="rId7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Zenodo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The release is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open access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It is our seventh release (second release in 2022). You can also access the release through our </w:t>
      </w:r>
      <w:hyperlink r:id="rId8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This release features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6,858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unique books written by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2,854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authors. For some of these books, multiple versions are in the corpus (representing different print editions and/or digitizations); including all these versions, the corpus now comprises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11,296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text files (containing a total of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2,262,096,158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words). </w:t>
      </w:r>
    </w:p>
    <w:p w:rsidR="00000000" w:rsidDel="00000000" w:rsidP="00000000" w:rsidRDefault="00000000" w:rsidRPr="00000000" w14:paraId="00000006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Major additions to the corpus: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ind w:left="720" w:hanging="360"/>
        <w:jc w:val="left"/>
        <w:rPr>
          <w:rFonts w:ascii="Old Standard TT" w:cs="Old Standard TT" w:eastAsia="Old Standard TT" w:hAnsi="Old Standard TT"/>
          <w:sz w:val="25"/>
          <w:szCs w:val="25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The KITAB team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have OCRed 75 new texts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using the improved </w:t>
      </w:r>
      <w:hyperlink r:id="rId9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OCR models for Arabic script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developed by the </w:t>
      </w:r>
      <w:hyperlink r:id="rId10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OpenITI-AOCP project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For OCR’ing these texts, the team uses the command-line OCR software </w:t>
      </w:r>
      <w:hyperlink r:id="rId11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Kraken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(these texts have an ID that starts with `Kraken`, followed by a date), sometimes through the graphical user interface of the open-source OCR platform </w:t>
      </w:r>
      <w:hyperlink r:id="rId12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eScriptorium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(these texts have an ID that starts with `EScr`). Most of these OCR’ed texts have not been post-corrected and still contain a significant number of transcription errors (in the metadata files accompanying these texts, you’ll find an “UNCORRECTED_OCR” tag). </w:t>
        <w:br w:type="textWrapping"/>
      </w:r>
      <w:r w:rsidDel="00000000" w:rsidR="00000000" w:rsidRPr="00000000">
        <w:rPr>
          <w:rFonts w:ascii="Old Standard TT" w:cs="Old Standard TT" w:eastAsia="Old Standard TT" w:hAnsi="Old Standard TT"/>
          <w:b w:val="1"/>
          <w:i w:val="1"/>
          <w:sz w:val="25"/>
          <w:szCs w:val="25"/>
          <w:rtl w:val="0"/>
        </w:rPr>
        <w:t xml:space="preserve">Note: These texts should be used only for types of analysis that are not affected by small transcription errors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(for example, our text reuse algorithm </w:t>
      </w:r>
      <w:hyperlink r:id="rId13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passim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has no problem with small transcription errors).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ind w:left="720" w:hanging="360"/>
        <w:jc w:val="left"/>
        <w:rPr>
          <w:rFonts w:ascii="Old Standard TT" w:cs="Old Standard TT" w:eastAsia="Old Standard TT" w:hAnsi="Old Standard TT"/>
          <w:sz w:val="25"/>
          <w:szCs w:val="25"/>
          <w:u w:val="none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The </w:t>
      </w:r>
      <w:hyperlink r:id="rId14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Library of Arabic Literature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has generously provided 13 texts (IDs start with `LAL`)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; more texts from this wonderful collection will be added in future corpus releases. Some of these texts are entirely new additions to the corpus, such as </w:t>
      </w:r>
      <w:hyperlink r:id="rId15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al-Quḍāʿī’s </w:t>
        </w:r>
      </w:hyperlink>
      <w:hyperlink r:id="rId16">
        <w:r w:rsidDel="00000000" w:rsidR="00000000" w:rsidRPr="00000000">
          <w:rPr>
            <w:rFonts w:ascii="Old Standard TT" w:cs="Old Standard TT" w:eastAsia="Old Standard TT" w:hAnsi="Old Standard TT"/>
            <w:i w:val="1"/>
            <w:color w:val="1155cc"/>
            <w:sz w:val="25"/>
            <w:szCs w:val="25"/>
            <w:u w:val="single"/>
            <w:rtl w:val="0"/>
          </w:rPr>
          <w:t xml:space="preserve">Kitāb al-Shihāb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, Ḥannā Diyāb’s </w:t>
      </w:r>
      <w:hyperlink r:id="rId17">
        <w:r w:rsidDel="00000000" w:rsidR="00000000" w:rsidRPr="00000000">
          <w:rPr>
            <w:rFonts w:ascii="Old Standard TT" w:cs="Old Standard TT" w:eastAsia="Old Standard TT" w:hAnsi="Old Standard TT"/>
            <w:i w:val="1"/>
            <w:color w:val="1155cc"/>
            <w:sz w:val="25"/>
            <w:szCs w:val="25"/>
            <w:u w:val="single"/>
            <w:rtl w:val="0"/>
          </w:rPr>
          <w:t xml:space="preserve">Book of Travels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and the anonymous story collection </w:t>
      </w:r>
      <w:hyperlink r:id="rId18">
        <w:r w:rsidDel="00000000" w:rsidR="00000000" w:rsidRPr="00000000">
          <w:rPr>
            <w:rFonts w:ascii="Old Standard TT" w:cs="Old Standard TT" w:eastAsia="Old Standard TT" w:hAnsi="Old Standard TT"/>
            <w:i w:val="1"/>
            <w:color w:val="1155cc"/>
            <w:sz w:val="25"/>
            <w:szCs w:val="25"/>
            <w:u w:val="single"/>
            <w:rtl w:val="0"/>
          </w:rPr>
          <w:t xml:space="preserve">A Hundred and One Nights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A full list of the new additions can be found in the `ids.csv` file in the </w:t>
      </w:r>
      <w:hyperlink r:id="rId19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accompanying the corpus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In addition to the new texts, annotation work has been carried out: structural annotation (section headers) was added to 50 texts, and 62 previously annotated texts were vetted by a second annotator. For a full list of the new annotation work, see the `annotation_update.csv` file in the </w:t>
      </w:r>
      <w:hyperlink r:id="rId20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accompanying the corpus release. Currently, the corpus contains </w:t>
      </w:r>
      <w:r w:rsidDel="00000000" w:rsidR="00000000" w:rsidRPr="00000000">
        <w:rPr>
          <w:rFonts w:ascii="Old Standard TT" w:cs="Old Standard TT" w:eastAsia="Old Standard TT" w:hAnsi="Old Standard TT"/>
          <w:sz w:val="24"/>
          <w:szCs w:val="24"/>
          <w:rtl w:val="0"/>
        </w:rPr>
        <w:t xml:space="preserve">552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books that have been annotated and vetted (extension: `.mARkdown`), and 647 books that have gone through one round of annotation (extension: `.completed`).</w:t>
      </w:r>
    </w:p>
    <w:p w:rsidR="00000000" w:rsidDel="00000000" w:rsidP="00000000" w:rsidRDefault="00000000" w:rsidRPr="00000000" w14:paraId="0000000D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Finally, some URIs were updated to correct mistakes. For an overview of these URI changes as well as the statistics on the corpus, please see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the release notes and the corresponding csv files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in the </w:t>
      </w:r>
      <w:hyperlink r:id="rId21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and the </w:t>
      </w:r>
      <w:hyperlink r:id="rId22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To cite this version please include the following information (the bibliographical export is available at the </w:t>
      </w:r>
      <w:hyperlink r:id="rId23">
        <w:r w:rsidDel="00000000" w:rsidR="00000000" w:rsidRPr="00000000">
          <w:rPr>
            <w:rFonts w:ascii="Old Standard TT" w:cs="Old Standard TT" w:eastAsia="Old Standard TT" w:hAnsi="Old Standard TT"/>
            <w:color w:val="1155cc"/>
            <w:sz w:val="25"/>
            <w:szCs w:val="25"/>
            <w:u w:val="single"/>
            <w:rtl w:val="0"/>
          </w:rPr>
          <w:t xml:space="preserve">publication page</w:t>
        </w:r>
      </w:hyperlink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)</w:t>
      </w: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: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jc w:val="left"/>
        <w:rPr>
          <w:rFonts w:ascii="Old Standard TT" w:cs="Old Standard TT" w:eastAsia="Old Standard TT" w:hAnsi="Old Standard TT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hd w:fill="ffffff" w:val="clear"/>
        <w:spacing w:after="0" w:lineRule="auto"/>
        <w:rPr>
          <w:rFonts w:ascii="Old Standard TT" w:cs="Old Standard TT" w:eastAsia="Old Standard TT" w:hAnsi="Old Standard TT"/>
          <w:sz w:val="26"/>
          <w:szCs w:val="26"/>
        </w:rPr>
      </w:pPr>
      <w:r w:rsidDel="00000000" w:rsidR="00000000" w:rsidRPr="00000000">
        <w:rPr>
          <w:rFonts w:ascii="Old Standard TT" w:cs="Old Standard TT" w:eastAsia="Old Standard TT" w:hAnsi="Old Standard TT"/>
          <w:sz w:val="25"/>
          <w:szCs w:val="25"/>
          <w:rtl w:val="0"/>
        </w:rPr>
        <w:t xml:space="preserve">Nigst, Lorenz, Romanov, Maxim, Savant, Sarah Bowen, Seydi, Masoumeh, &amp; Verkinderen, Peter. (2023). OpenITI: a Machine-Readable Corpus of Islamicate Texts (2022.2.7) [Data set]. Zenodo. https://doi.org/10.5281/zenodo.7687795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Old Standard T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480" w:lineRule="auto"/>
      <w:ind w:left="432" w:hanging="432"/>
    </w:pPr>
    <w:rPr>
      <w:rFonts w:ascii="Cambria" w:cs="Cambria" w:eastAsia="Cambria" w:hAnsi="Cambria"/>
      <w:b w:val="1"/>
      <w:smallCaps w:val="0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  <w:ind w:left="1440" w:hanging="36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200" w:lineRule="auto"/>
      <w:ind w:left="720" w:hanging="720"/>
    </w:pPr>
    <w:rPr>
      <w:rFonts w:ascii="Cambria" w:cs="Cambria" w:eastAsia="Cambria" w:hAnsi="Cambria"/>
      <w:b w:val="1"/>
      <w:smallCaps w:val="0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smallCaps w:val="0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200" w:lineRule="auto"/>
      <w:ind w:left="1008" w:hanging="1008"/>
    </w:pPr>
    <w:rPr>
      <w:rFonts w:ascii="Cambria" w:cs="Cambria" w:eastAsia="Cambria" w:hAnsi="Cambria"/>
      <w:smallCaps w:val="0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200" w:lineRule="auto"/>
      <w:ind w:left="1152" w:hanging="1152"/>
    </w:pPr>
    <w:rPr>
      <w:rFonts w:ascii="Cambria" w:cs="Cambria" w:eastAsia="Cambria" w:hAnsi="Cambria"/>
      <w:i w:val="1"/>
      <w:smallCaps w:val="0"/>
      <w:color w:val="243f6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300" w:line="240" w:lineRule="auto"/>
    </w:pPr>
    <w:rPr>
      <w:rFonts w:ascii="Cambria" w:cs="Cambria" w:eastAsia="Cambria" w:hAnsi="Cambria"/>
      <w:smallCaps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zenodo.org/record/7687795/files/release_notes.zip?download=1" TargetMode="External"/><Relationship Id="rId11" Type="http://schemas.openxmlformats.org/officeDocument/2006/relationships/hyperlink" Target="https://kraken.re/master/index.html" TargetMode="External"/><Relationship Id="rId22" Type="http://schemas.openxmlformats.org/officeDocument/2006/relationships/hyperlink" Target="https://github.com/OpenITI/RELEASE/tree/master/release_notes" TargetMode="External"/><Relationship Id="rId10" Type="http://schemas.openxmlformats.org/officeDocument/2006/relationships/hyperlink" Target="https://openiti.org/projects/OpenITI%20AOCP%20Phase%20One.html" TargetMode="External"/><Relationship Id="rId21" Type="http://schemas.openxmlformats.org/officeDocument/2006/relationships/hyperlink" Target="https://zenodo.org/record/7687795/files/release_notes.zip?download=1" TargetMode="External"/><Relationship Id="rId13" Type="http://schemas.openxmlformats.org/officeDocument/2006/relationships/hyperlink" Target="https://github.com/dasmiq/passim" TargetMode="External"/><Relationship Id="rId12" Type="http://schemas.openxmlformats.org/officeDocument/2006/relationships/hyperlink" Target="https://escriptorium.openiti.org/" TargetMode="External"/><Relationship Id="rId23" Type="http://schemas.openxmlformats.org/officeDocument/2006/relationships/hyperlink" Target="https://zenodo.org/record/768779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OpenITI/AOCP_print_models" TargetMode="External"/><Relationship Id="rId15" Type="http://schemas.openxmlformats.org/officeDocument/2006/relationships/hyperlink" Target="https://github.com/OpenITI/0475AH/tree/master/data/0454Qudaci/0454Qudaci.Shihab" TargetMode="External"/><Relationship Id="rId14" Type="http://schemas.openxmlformats.org/officeDocument/2006/relationships/hyperlink" Target="https://www.libraryofarabicliterature.org/" TargetMode="External"/><Relationship Id="rId17" Type="http://schemas.openxmlformats.org/officeDocument/2006/relationships/hyperlink" Target="https://github.com/OpenITI/1200AH/tree/master/data/1200HannaDiyab/1200HannaDiyab.Siyaha" TargetMode="External"/><Relationship Id="rId16" Type="http://schemas.openxmlformats.org/officeDocument/2006/relationships/hyperlink" Target="https://github.com/OpenITI/0475AH/tree/master/data/0454Qudaci/0454Qudaci.Shihab" TargetMode="External"/><Relationship Id="rId5" Type="http://schemas.openxmlformats.org/officeDocument/2006/relationships/styles" Target="styles.xml"/><Relationship Id="rId19" Type="http://schemas.openxmlformats.org/officeDocument/2006/relationships/hyperlink" Target="https://zenodo.org/record/7687795/files/release_notes.zip?download=1" TargetMode="External"/><Relationship Id="rId6" Type="http://schemas.openxmlformats.org/officeDocument/2006/relationships/hyperlink" Target="https://github.com/OpenITI" TargetMode="External"/><Relationship Id="rId18" Type="http://schemas.openxmlformats.org/officeDocument/2006/relationships/hyperlink" Target="https://github.com/OpenITI/1000AH/tree/master/data/1000Anonymous/1000Anonymous.MiatLaylaWaLayla" TargetMode="External"/><Relationship Id="rId7" Type="http://schemas.openxmlformats.org/officeDocument/2006/relationships/hyperlink" Target="https://zenodo.org/record/7687795" TargetMode="External"/><Relationship Id="rId8" Type="http://schemas.openxmlformats.org/officeDocument/2006/relationships/hyperlink" Target="https://github.com/OpenITI/RELE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ldStandardTT-regular.ttf"/><Relationship Id="rId2" Type="http://schemas.openxmlformats.org/officeDocument/2006/relationships/font" Target="fonts/OldStandardTT-bold.ttf"/><Relationship Id="rId3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