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563EB"/>
        </w:rPr>
        <w:t>vLLM Inference Benchmark Report</w:t>
      </w:r>
    </w:p>
    <w:p>
      <w:pPr>
        <w:jc w:val="left"/>
      </w:pPr>
      <w:r>
        <w:rPr>
          <w:i/>
          <w:color w:val="6B7280"/>
          <w:sz w:val="22"/>
        </w:rPr>
        <w:t>H200 GPU · vLLM 0.28.0 · Qwen/Qwen3.8-27B · 2026-09-04</w:t>
      </w:r>
    </w:p>
    <w:p/>
    <w:p>
      <w:pPr>
        <w:pStyle w:val="Heading1"/>
      </w:pPr>
      <w:r>
        <w:rPr>
          <w:color w:val="111827"/>
        </w:rPr>
        <w:t>1. Overview</w:t>
      </w:r>
    </w:p>
    <w:p>
      <w:r>
        <w:t>This report summarizes inference benchmarks run against a self-hosted vLLM server on a single NVIDIA H200 GPU (143,771 MiB / ~140 GiB VRAM). The server ran vLLM 0.28.0, serving Qwen/Qwen3.8-27B — a Qwen3.5-architecture hybrid Mamba/attention multimodal reasoning model (~27B parameters, bf16) — through an OpenAI-compatible API. Two test dimensions were measured: single-request (sequential) generation across 10 open-ended system design prompts, and aggregate throughput under increasing concurrent load (1 to 96 simultaneous requests).</w:t>
      </w:r>
    </w:p>
    <w:p>
      <w:pPr>
        <w:pStyle w:val="Heading1"/>
      </w:pPr>
      <w:r>
        <w:rPr>
          <w:color w:val="111827"/>
        </w:rPr>
        <w:t>2. First-time provisioning timeline</w:t>
      </w:r>
    </w:p>
    <w:p>
      <w:r>
        <w:t>Before any benchmark could run, the server had to be provisioned from a bare Ubuntu 24.04 box to a live vLLM endpoint. This section summarizes that one-time setup, from initial SSH access through system dependencies, the vLLM install, the model download, and GPU load, to the first successful inference response.</w:t>
      </w:r>
    </w:p>
    <w:tbl>
      <w:tblPr>
        <w:tblStyle w:val="LightGrid-Accent1"/>
        <w:tblW w:type="auto" w:w="0"/>
        <w:jc w:val="center"/>
        <w:tblLook w:firstColumn="1" w:firstRow="1" w:lastColumn="0" w:lastRow="0" w:noHBand="0" w:noVBand="1" w:val="04A0"/>
      </w:tblPr>
      <w:tblGrid>
        <w:gridCol w:w="4320"/>
        <w:gridCol w:w="4320"/>
      </w:tblGrid>
      <w:tr>
        <w:tc>
          <w:tcPr>
            <w:tcW w:type="dxa" w:w="6624"/>
            <w:shd w:fill="2563EB"/>
          </w:tcPr>
          <w:p>
            <w:pPr>
              <w:jc w:val="center"/>
            </w:pPr>
            <w:r>
              <w:rPr>
                <w:b/>
                <w:color w:val="FFFFFF"/>
                <w:sz w:val="19"/>
              </w:rPr>
              <w:t>Step</w:t>
            </w:r>
          </w:p>
        </w:tc>
        <w:tc>
          <w:tcPr>
            <w:tcW w:type="dxa" w:w="2304"/>
            <w:shd w:fill="2563EB"/>
          </w:tcPr>
          <w:p>
            <w:pPr>
              <w:jc w:val="center"/>
            </w:pPr>
            <w:r>
              <w:rPr>
                <w:b/>
                <w:color w:val="FFFFFF"/>
                <w:sz w:val="19"/>
              </w:rPr>
              <w:t>Duration</w:t>
            </w:r>
          </w:p>
        </w:tc>
      </w:tr>
      <w:tr>
        <w:tc>
          <w:tcPr>
            <w:tcW w:type="dxa" w:w="6624"/>
          </w:tcPr>
          <w:p>
            <w:pPr>
              <w:jc w:val="center"/>
            </w:pPr>
            <w:r>
              <w:rPr>
                <w:sz w:val="19"/>
              </w:rPr>
              <w:t>System package install (python3-venv, pip, git, curl)</w:t>
            </w:r>
          </w:p>
        </w:tc>
        <w:tc>
          <w:tcPr>
            <w:tcW w:type="dxa" w:w="2304"/>
          </w:tcPr>
          <w:p>
            <w:pPr>
              <w:jc w:val="center"/>
            </w:pPr>
            <w:r>
              <w:rPr>
                <w:sz w:val="19"/>
              </w:rPr>
              <w:t>~1 min</w:t>
            </w:r>
          </w:p>
        </w:tc>
      </w:tr>
      <w:tr>
        <w:tc>
          <w:tcPr>
            <w:tcW w:type="dxa" w:w="6624"/>
          </w:tcPr>
          <w:p>
            <w:pPr>
              <w:jc w:val="center"/>
            </w:pPr>
            <w:r>
              <w:rPr>
                <w:sz w:val="19"/>
              </w:rPr>
              <w:t>pip install vllm (torch + CUDA deps + vLLM wheel)</w:t>
            </w:r>
          </w:p>
        </w:tc>
        <w:tc>
          <w:tcPr>
            <w:tcW w:type="dxa" w:w="2304"/>
          </w:tcPr>
          <w:p>
            <w:pPr>
              <w:jc w:val="center"/>
            </w:pPr>
            <w:r>
              <w:rPr>
                <w:sz w:val="19"/>
              </w:rPr>
              <w:t>~6 min</w:t>
            </w:r>
          </w:p>
        </w:tc>
      </w:tr>
      <w:tr>
        <w:tc>
          <w:tcPr>
            <w:tcW w:type="dxa" w:w="6624"/>
          </w:tcPr>
          <w:p>
            <w:pPr>
              <w:jc w:val="center"/>
            </w:pPr>
            <w:r>
              <w:rPr>
                <w:sz w:val="19"/>
              </w:rPr>
              <w:t>Model download (18 shards, ~54 GB from Hugging Face)</w:t>
            </w:r>
          </w:p>
        </w:tc>
        <w:tc>
          <w:tcPr>
            <w:tcW w:type="dxa" w:w="2304"/>
          </w:tcPr>
          <w:p>
            <w:pPr>
              <w:jc w:val="center"/>
            </w:pPr>
            <w:r>
              <w:rPr>
                <w:sz w:val="19"/>
              </w:rPr>
              <w:t>~6 min</w:t>
            </w:r>
          </w:p>
        </w:tc>
      </w:tr>
      <w:tr>
        <w:tc>
          <w:tcPr>
            <w:tcW w:type="dxa" w:w="6624"/>
          </w:tcPr>
          <w:p>
            <w:pPr>
              <w:jc w:val="center"/>
            </w:pPr>
            <w:r>
              <w:rPr>
                <w:sz w:val="19"/>
              </w:rPr>
              <w:t>Model load onto GPU + multimodal warmup + CUDA graph capture</w:t>
            </w:r>
          </w:p>
        </w:tc>
        <w:tc>
          <w:tcPr>
            <w:tcW w:type="dxa" w:w="2304"/>
          </w:tcPr>
          <w:p>
            <w:pPr>
              <w:jc w:val="center"/>
            </w:pPr>
            <w:r>
              <w:rPr>
                <w:sz w:val="19"/>
              </w:rPr>
              <w:t>~1 min</w:t>
            </w:r>
          </w:p>
        </w:tc>
      </w:tr>
      <w:tr>
        <w:tc>
          <w:tcPr>
            <w:tcW w:type="dxa" w:w="6624"/>
          </w:tcPr>
          <w:p>
            <w:pPr>
              <w:jc w:val="center"/>
            </w:pPr>
            <w:r>
              <w:rPr>
                <w:sz w:val="19"/>
              </w:rPr>
              <w:t>Total: bare box → live, serving endpoint</w:t>
            </w:r>
          </w:p>
        </w:tc>
        <w:tc>
          <w:tcPr>
            <w:tcW w:type="dxa" w:w="2304"/>
          </w:tcPr>
          <w:p>
            <w:pPr>
              <w:jc w:val="center"/>
            </w:pPr>
            <w:r>
              <w:rPr>
                <w:sz w:val="19"/>
              </w:rPr>
              <w:t>~15 min</w:t>
            </w:r>
          </w:p>
        </w:tc>
      </w:tr>
    </w:tbl>
    <w:p/>
    <w:p>
      <w:r>
        <w:t>The two dominant costs — installing vLLM and downloading the model — are both one-time or cacheable on a given host. Swapping to a different model on the same box skips the pip install entirely, and only the model download time would repeat, scaling with that model's size rather than the ~54 GB used here.</w:t>
      </w:r>
    </w:p>
    <w:p>
      <w:r>
        <w:br w:type="page"/>
      </w:r>
    </w:p>
    <w:p>
      <w:pPr>
        <w:pStyle w:val="Heading1"/>
      </w:pPr>
      <w:r>
        <w:rPr>
          <w:color w:val="111827"/>
        </w:rPr>
        <w:t>3. Sequential (single-request) benchmark</w:t>
      </w:r>
    </w:p>
    <w:p>
      <w:r>
        <w:t>10 system design prompts were sent one at a time with max_tokens=12,000. Throughput per request was remarkably constant across every prompt regardless of topic or output length.</w:t>
      </w:r>
    </w:p>
    <w:p>
      <w:pPr>
        <w:jc w:val="center"/>
      </w:pPr>
      <w:r>
        <w:drawing>
          <wp:inline xmlns:a="http://schemas.openxmlformats.org/drawingml/2006/main" xmlns:pic="http://schemas.openxmlformats.org/drawingml/2006/picture">
            <wp:extent cx="5760720" cy="3328416"/>
            <wp:docPr id="1" name="Picture 1"/>
            <wp:cNvGraphicFramePr>
              <a:graphicFrameLocks noChangeAspect="1"/>
            </wp:cNvGraphicFramePr>
            <a:graphic>
              <a:graphicData uri="http://schemas.openxmlformats.org/drawingml/2006/picture">
                <pic:pic>
                  <pic:nvPicPr>
                    <pic:cNvPr id="0" name="seq_time_tokens.png"/>
                    <pic:cNvPicPr/>
                  </pic:nvPicPr>
                  <pic:blipFill>
                    <a:blip r:embed="rId9"/>
                    <a:stretch>
                      <a:fillRect/>
                    </a:stretch>
                  </pic:blipFill>
                  <pic:spPr>
                    <a:xfrm>
                      <a:off x="0" y="0"/>
                      <a:ext cx="5760720" cy="3328416"/>
                    </a:xfrm>
                    <a:prstGeom prst="rect"/>
                  </pic:spPr>
                </pic:pic>
              </a:graphicData>
            </a:graphic>
          </wp:inline>
        </w:drawing>
      </w:r>
    </w:p>
    <w:tbl>
      <w:tblPr>
        <w:tblStyle w:val="LightGrid-Accent1"/>
        <w:tblW w:type="auto" w:w="0"/>
        <w:jc w:val="center"/>
        <w:tblLook w:firstColumn="1" w:firstRow="1" w:lastColumn="0" w:lastRow="0" w:noHBand="0" w:noVBand="1" w:val="04A0"/>
      </w:tblPr>
      <w:tblGrid>
        <w:gridCol w:w="4320"/>
        <w:gridCol w:w="4320"/>
      </w:tblGrid>
      <w:tr>
        <w:tc>
          <w:tcPr>
            <w:tcW w:type="dxa" w:w="4608"/>
            <w:shd w:fill="2563EB"/>
          </w:tcPr>
          <w:p>
            <w:pPr>
              <w:jc w:val="center"/>
            </w:pPr>
            <w:r>
              <w:rPr>
                <w:b/>
                <w:color w:val="FFFFFF"/>
                <w:sz w:val="19"/>
              </w:rPr>
              <w:t>Metric</w:t>
            </w:r>
          </w:p>
        </w:tc>
        <w:tc>
          <w:tcPr>
            <w:tcW w:type="dxa" w:w="4464"/>
            <w:shd w:fill="2563EB"/>
          </w:tcPr>
          <w:p>
            <w:pPr>
              <w:jc w:val="center"/>
            </w:pPr>
            <w:r>
              <w:rPr>
                <w:b/>
                <w:color w:val="FFFFFF"/>
                <w:sz w:val="19"/>
              </w:rPr>
              <w:t>Value</w:t>
            </w:r>
          </w:p>
        </w:tc>
      </w:tr>
      <w:tr>
        <w:tc>
          <w:tcPr>
            <w:tcW w:type="dxa" w:w="4608"/>
          </w:tcPr>
          <w:p>
            <w:pPr>
              <w:jc w:val="center"/>
            </w:pPr>
            <w:r>
              <w:rPr>
                <w:sz w:val="19"/>
              </w:rPr>
              <w:t>Cases run</w:t>
            </w:r>
          </w:p>
        </w:tc>
        <w:tc>
          <w:tcPr>
            <w:tcW w:type="dxa" w:w="4464"/>
          </w:tcPr>
          <w:p>
            <w:pPr>
              <w:jc w:val="center"/>
            </w:pPr>
            <w:r>
              <w:rPr>
                <w:sz w:val="19"/>
              </w:rPr>
              <w:t>10</w:t>
            </w:r>
          </w:p>
        </w:tc>
      </w:tr>
      <w:tr>
        <w:tc>
          <w:tcPr>
            <w:tcW w:type="dxa" w:w="4608"/>
          </w:tcPr>
          <w:p>
            <w:pPr>
              <w:jc w:val="center"/>
            </w:pPr>
            <w:r>
              <w:rPr>
                <w:sz w:val="19"/>
              </w:rPr>
              <w:t>Reached natural stop</w:t>
            </w:r>
          </w:p>
        </w:tc>
        <w:tc>
          <w:tcPr>
            <w:tcW w:type="dxa" w:w="4464"/>
          </w:tcPr>
          <w:p>
            <w:pPr>
              <w:jc w:val="center"/>
            </w:pPr>
            <w:r>
              <w:rPr>
                <w:sz w:val="19"/>
              </w:rPr>
              <w:t>9 / 10</w:t>
            </w:r>
          </w:p>
        </w:tc>
      </w:tr>
      <w:tr>
        <w:tc>
          <w:tcPr>
            <w:tcW w:type="dxa" w:w="4608"/>
          </w:tcPr>
          <w:p>
            <w:pPr>
              <w:jc w:val="center"/>
            </w:pPr>
            <w:r>
              <w:rPr>
                <w:sz w:val="19"/>
              </w:rPr>
              <w:t>Hit token cap (length)</w:t>
            </w:r>
          </w:p>
        </w:tc>
        <w:tc>
          <w:tcPr>
            <w:tcW w:type="dxa" w:w="4464"/>
          </w:tcPr>
          <w:p>
            <w:pPr>
              <w:jc w:val="center"/>
            </w:pPr>
            <w:r>
              <w:rPr>
                <w:sz w:val="19"/>
              </w:rPr>
              <w:t>1 / 10</w:t>
            </w:r>
          </w:p>
        </w:tc>
      </w:tr>
      <w:tr>
        <w:tc>
          <w:tcPr>
            <w:tcW w:type="dxa" w:w="4608"/>
          </w:tcPr>
          <w:p>
            <w:pPr>
              <w:jc w:val="center"/>
            </w:pPr>
            <w:r>
              <w:rPr>
                <w:sz w:val="19"/>
              </w:rPr>
              <w:t>Total wall time</w:t>
            </w:r>
          </w:p>
        </w:tc>
        <w:tc>
          <w:tcPr>
            <w:tcW w:type="dxa" w:w="4464"/>
          </w:tcPr>
          <w:p>
            <w:pPr>
              <w:jc w:val="center"/>
            </w:pPr>
            <w:r>
              <w:rPr>
                <w:sz w:val="19"/>
              </w:rPr>
              <w:t>1369.6 s (22.8 min)</w:t>
            </w:r>
          </w:p>
        </w:tc>
      </w:tr>
      <w:tr>
        <w:tc>
          <w:tcPr>
            <w:tcW w:type="dxa" w:w="4608"/>
          </w:tcPr>
          <w:p>
            <w:pPr>
              <w:jc w:val="center"/>
            </w:pPr>
            <w:r>
              <w:rPr>
                <w:sz w:val="19"/>
              </w:rPr>
              <w:t>Total completion tokens</w:t>
            </w:r>
          </w:p>
        </w:tc>
        <w:tc>
          <w:tcPr>
            <w:tcW w:type="dxa" w:w="4464"/>
          </w:tcPr>
          <w:p>
            <w:pPr>
              <w:jc w:val="center"/>
            </w:pPr>
            <w:r>
              <w:rPr>
                <w:sz w:val="19"/>
              </w:rPr>
              <w:t>88,129</w:t>
            </w:r>
          </w:p>
        </w:tc>
      </w:tr>
      <w:tr>
        <w:tc>
          <w:tcPr>
            <w:tcW w:type="dxa" w:w="4608"/>
          </w:tcPr>
          <w:p>
            <w:pPr>
              <w:jc w:val="center"/>
            </w:pPr>
            <w:r>
              <w:rPr>
                <w:sz w:val="19"/>
              </w:rPr>
              <w:t>Avg tokens per case</w:t>
            </w:r>
          </w:p>
        </w:tc>
        <w:tc>
          <w:tcPr>
            <w:tcW w:type="dxa" w:w="4464"/>
          </w:tcPr>
          <w:p>
            <w:pPr>
              <w:jc w:val="center"/>
            </w:pPr>
            <w:r>
              <w:rPr>
                <w:sz w:val="19"/>
              </w:rPr>
              <w:t>8,813</w:t>
            </w:r>
          </w:p>
        </w:tc>
      </w:tr>
      <w:tr>
        <w:tc>
          <w:tcPr>
            <w:tcW w:type="dxa" w:w="4608"/>
          </w:tcPr>
          <w:p>
            <w:pPr>
              <w:jc w:val="center"/>
            </w:pPr>
            <w:r>
              <w:rPr>
                <w:sz w:val="19"/>
              </w:rPr>
              <w:t>Avg throughput per request</w:t>
            </w:r>
          </w:p>
        </w:tc>
        <w:tc>
          <w:tcPr>
            <w:tcW w:type="dxa" w:w="4464"/>
          </w:tcPr>
          <w:p>
            <w:pPr>
              <w:jc w:val="center"/>
            </w:pPr>
            <w:r>
              <w:rPr>
                <w:sz w:val="19"/>
              </w:rPr>
              <w:t>64.4 tok/s</w:t>
            </w:r>
          </w:p>
        </w:tc>
      </w:tr>
      <w:tr>
        <w:tc>
          <w:tcPr>
            <w:tcW w:type="dxa" w:w="4608"/>
          </w:tcPr>
          <w:p>
            <w:pPr>
              <w:jc w:val="center"/>
            </w:pPr>
            <w:r>
              <w:rPr>
                <w:sz w:val="19"/>
              </w:rPr>
              <w:t>Time per case (min / avg / max)</w:t>
            </w:r>
          </w:p>
        </w:tc>
        <w:tc>
          <w:tcPr>
            <w:tcW w:type="dxa" w:w="4464"/>
          </w:tcPr>
          <w:p>
            <w:pPr>
              <w:jc w:val="center"/>
            </w:pPr>
            <w:r>
              <w:rPr>
                <w:sz w:val="19"/>
              </w:rPr>
              <w:t>45.8s / 136.9s / 186.6s</w:t>
            </w:r>
          </w:p>
        </w:tc>
      </w:tr>
      <w:tr>
        <w:tc>
          <w:tcPr>
            <w:tcW w:type="dxa" w:w="4608"/>
          </w:tcPr>
          <w:p>
            <w:pPr>
              <w:jc w:val="center"/>
            </w:pPr>
            <w:r>
              <w:rPr>
                <w:sz w:val="19"/>
              </w:rPr>
              <w:t>VRAM used (constant)</w:t>
            </w:r>
          </w:p>
        </w:tc>
        <w:tc>
          <w:tcPr>
            <w:tcW w:type="dxa" w:w="4464"/>
          </w:tcPr>
          <w:p>
            <w:pPr>
              <w:jc w:val="center"/>
            </w:pPr>
            <w:r>
              <w:rPr>
                <w:sz w:val="19"/>
              </w:rPr>
              <w:t>128.9 GiB</w:t>
            </w:r>
          </w:p>
        </w:tc>
      </w:tr>
    </w:tbl>
    <w:p/>
    <w:p>
      <w:r>
        <w:rPr>
          <w:b/>
        </w:rPr>
        <w:t>Per-case detail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432"/>
            <w:shd w:fill="2563EB"/>
          </w:tcPr>
          <w:p>
            <w:pPr>
              <w:jc w:val="center"/>
            </w:pPr>
            <w:r>
              <w:rPr>
                <w:b/>
                <w:color w:val="FFFFFF"/>
                <w:sz w:val="19"/>
              </w:rPr>
              <w:t>#</w:t>
            </w:r>
          </w:p>
        </w:tc>
        <w:tc>
          <w:tcPr>
            <w:tcW w:type="dxa" w:w="3024"/>
            <w:shd w:fill="2563EB"/>
          </w:tcPr>
          <w:p>
            <w:pPr>
              <w:jc w:val="center"/>
            </w:pPr>
            <w:r>
              <w:rPr>
                <w:b/>
                <w:color w:val="FFFFFF"/>
                <w:sz w:val="19"/>
              </w:rPr>
              <w:t>Case</w:t>
            </w:r>
          </w:p>
        </w:tc>
        <w:tc>
          <w:tcPr>
            <w:tcW w:type="dxa" w:w="1152"/>
            <w:shd w:fill="2563EB"/>
          </w:tcPr>
          <w:p>
            <w:pPr>
              <w:jc w:val="center"/>
            </w:pPr>
            <w:r>
              <w:rPr>
                <w:b/>
                <w:color w:val="FFFFFF"/>
                <w:sz w:val="19"/>
              </w:rPr>
              <w:t>Time (s)</w:t>
            </w:r>
          </w:p>
        </w:tc>
        <w:tc>
          <w:tcPr>
            <w:tcW w:type="dxa" w:w="1296"/>
            <w:shd w:fill="2563EB"/>
          </w:tcPr>
          <w:p>
            <w:pPr>
              <w:jc w:val="center"/>
            </w:pPr>
            <w:r>
              <w:rPr>
                <w:b/>
                <w:color w:val="FFFFFF"/>
                <w:sz w:val="19"/>
              </w:rPr>
              <w:t>Tokens</w:t>
            </w:r>
          </w:p>
        </w:tc>
        <w:tc>
          <w:tcPr>
            <w:tcW w:type="dxa" w:w="1008"/>
            <w:shd w:fill="2563EB"/>
          </w:tcPr>
          <w:p>
            <w:pPr>
              <w:jc w:val="center"/>
            </w:pPr>
            <w:r>
              <w:rPr>
                <w:b/>
                <w:color w:val="FFFFFF"/>
                <w:sz w:val="19"/>
              </w:rPr>
              <w:t>Tok/s</w:t>
            </w:r>
          </w:p>
        </w:tc>
        <w:tc>
          <w:tcPr>
            <w:tcW w:type="dxa" w:w="1296"/>
            <w:shd w:fill="2563EB"/>
          </w:tcPr>
          <w:p>
            <w:pPr>
              <w:jc w:val="center"/>
            </w:pPr>
            <w:r>
              <w:rPr>
                <w:b/>
                <w:color w:val="FFFFFF"/>
                <w:sz w:val="19"/>
              </w:rPr>
              <w:t>Finish</w:t>
            </w:r>
          </w:p>
        </w:tc>
      </w:tr>
      <w:tr>
        <w:tc>
          <w:tcPr>
            <w:tcW w:type="dxa" w:w="432"/>
          </w:tcPr>
          <w:p>
            <w:pPr>
              <w:jc w:val="center"/>
            </w:pPr>
            <w:r>
              <w:rPr>
                <w:sz w:val="19"/>
              </w:rPr>
              <w:t>1</w:t>
            </w:r>
          </w:p>
        </w:tc>
        <w:tc>
          <w:tcPr>
            <w:tcW w:type="dxa" w:w="3024"/>
          </w:tcPr>
          <w:p>
            <w:pPr>
              <w:jc w:val="center"/>
            </w:pPr>
            <w:r>
              <w:rPr>
                <w:sz w:val="19"/>
              </w:rPr>
              <w:t>URL Shortener</w:t>
            </w:r>
          </w:p>
        </w:tc>
        <w:tc>
          <w:tcPr>
            <w:tcW w:type="dxa" w:w="1152"/>
          </w:tcPr>
          <w:p>
            <w:pPr>
              <w:jc w:val="center"/>
            </w:pPr>
            <w:r>
              <w:rPr>
                <w:sz w:val="19"/>
              </w:rPr>
              <w:t>124.2</w:t>
            </w:r>
          </w:p>
        </w:tc>
        <w:tc>
          <w:tcPr>
            <w:tcW w:type="dxa" w:w="1296"/>
          </w:tcPr>
          <w:p>
            <w:pPr>
              <w:jc w:val="center"/>
            </w:pPr>
            <w:r>
              <w:rPr>
                <w:sz w:val="19"/>
              </w:rPr>
              <w:t>7,984</w:t>
            </w:r>
          </w:p>
        </w:tc>
        <w:tc>
          <w:tcPr>
            <w:tcW w:type="dxa" w:w="1008"/>
          </w:tcPr>
          <w:p>
            <w:pPr>
              <w:jc w:val="center"/>
            </w:pPr>
            <w:r>
              <w:rPr>
                <w:sz w:val="19"/>
              </w:rPr>
              <w:t>64.3</w:t>
            </w:r>
          </w:p>
        </w:tc>
        <w:tc>
          <w:tcPr>
            <w:tcW w:type="dxa" w:w="1296"/>
          </w:tcPr>
          <w:p>
            <w:pPr>
              <w:jc w:val="center"/>
            </w:pPr>
            <w:r>
              <w:rPr>
                <w:sz w:val="19"/>
              </w:rPr>
              <w:t>stop</w:t>
            </w:r>
          </w:p>
        </w:tc>
      </w:tr>
      <w:tr>
        <w:tc>
          <w:tcPr>
            <w:tcW w:type="dxa" w:w="432"/>
          </w:tcPr>
          <w:p>
            <w:pPr>
              <w:jc w:val="center"/>
            </w:pPr>
            <w:r>
              <w:rPr>
                <w:sz w:val="19"/>
              </w:rPr>
              <w:t>2</w:t>
            </w:r>
          </w:p>
        </w:tc>
        <w:tc>
          <w:tcPr>
            <w:tcW w:type="dxa" w:w="3024"/>
          </w:tcPr>
          <w:p>
            <w:pPr>
              <w:jc w:val="center"/>
            </w:pPr>
            <w:r>
              <w:rPr>
                <w:sz w:val="19"/>
              </w:rPr>
              <w:t>Rate Limiter</w:t>
            </w:r>
          </w:p>
        </w:tc>
        <w:tc>
          <w:tcPr>
            <w:tcW w:type="dxa" w:w="1152"/>
          </w:tcPr>
          <w:p>
            <w:pPr>
              <w:jc w:val="center"/>
            </w:pPr>
            <w:r>
              <w:rPr>
                <w:sz w:val="19"/>
              </w:rPr>
              <w:t>174.8</w:t>
            </w:r>
          </w:p>
        </w:tc>
        <w:tc>
          <w:tcPr>
            <w:tcW w:type="dxa" w:w="1296"/>
          </w:tcPr>
          <w:p>
            <w:pPr>
              <w:jc w:val="center"/>
            </w:pPr>
            <w:r>
              <w:rPr>
                <w:sz w:val="19"/>
              </w:rPr>
              <w:t>11,248</w:t>
            </w:r>
          </w:p>
        </w:tc>
        <w:tc>
          <w:tcPr>
            <w:tcW w:type="dxa" w:w="1008"/>
          </w:tcPr>
          <w:p>
            <w:pPr>
              <w:jc w:val="center"/>
            </w:pPr>
            <w:r>
              <w:rPr>
                <w:sz w:val="19"/>
              </w:rPr>
              <w:t>64.3</w:t>
            </w:r>
          </w:p>
        </w:tc>
        <w:tc>
          <w:tcPr>
            <w:tcW w:type="dxa" w:w="1296"/>
          </w:tcPr>
          <w:p>
            <w:pPr>
              <w:jc w:val="center"/>
            </w:pPr>
            <w:r>
              <w:rPr>
                <w:sz w:val="19"/>
              </w:rPr>
              <w:t>stop</w:t>
            </w:r>
          </w:p>
        </w:tc>
      </w:tr>
      <w:tr>
        <w:tc>
          <w:tcPr>
            <w:tcW w:type="dxa" w:w="432"/>
          </w:tcPr>
          <w:p>
            <w:pPr>
              <w:jc w:val="center"/>
            </w:pPr>
            <w:r>
              <w:rPr>
                <w:sz w:val="19"/>
              </w:rPr>
              <w:t>3</w:t>
            </w:r>
          </w:p>
        </w:tc>
        <w:tc>
          <w:tcPr>
            <w:tcW w:type="dxa" w:w="3024"/>
          </w:tcPr>
          <w:p>
            <w:pPr>
              <w:jc w:val="center"/>
            </w:pPr>
            <w:r>
              <w:rPr>
                <w:sz w:val="19"/>
              </w:rPr>
              <w:t>News Feed System</w:t>
            </w:r>
          </w:p>
        </w:tc>
        <w:tc>
          <w:tcPr>
            <w:tcW w:type="dxa" w:w="1152"/>
          </w:tcPr>
          <w:p>
            <w:pPr>
              <w:jc w:val="center"/>
            </w:pPr>
            <w:r>
              <w:rPr>
                <w:sz w:val="19"/>
              </w:rPr>
              <w:t>110.7</w:t>
            </w:r>
          </w:p>
        </w:tc>
        <w:tc>
          <w:tcPr>
            <w:tcW w:type="dxa" w:w="1296"/>
          </w:tcPr>
          <w:p>
            <w:pPr>
              <w:jc w:val="center"/>
            </w:pPr>
            <w:r>
              <w:rPr>
                <w:sz w:val="19"/>
              </w:rPr>
              <w:t>7,133</w:t>
            </w:r>
          </w:p>
        </w:tc>
        <w:tc>
          <w:tcPr>
            <w:tcW w:type="dxa" w:w="1008"/>
          </w:tcPr>
          <w:p>
            <w:pPr>
              <w:jc w:val="center"/>
            </w:pPr>
            <w:r>
              <w:rPr>
                <w:sz w:val="19"/>
              </w:rPr>
              <w:t>64.5</w:t>
            </w:r>
          </w:p>
        </w:tc>
        <w:tc>
          <w:tcPr>
            <w:tcW w:type="dxa" w:w="1296"/>
          </w:tcPr>
          <w:p>
            <w:pPr>
              <w:jc w:val="center"/>
            </w:pPr>
            <w:r>
              <w:rPr>
                <w:sz w:val="19"/>
              </w:rPr>
              <w:t>stop</w:t>
            </w:r>
          </w:p>
        </w:tc>
      </w:tr>
      <w:tr>
        <w:tc>
          <w:tcPr>
            <w:tcW w:type="dxa" w:w="432"/>
          </w:tcPr>
          <w:p>
            <w:pPr>
              <w:jc w:val="center"/>
            </w:pPr>
            <w:r>
              <w:rPr>
                <w:sz w:val="19"/>
              </w:rPr>
              <w:t>4</w:t>
            </w:r>
          </w:p>
        </w:tc>
        <w:tc>
          <w:tcPr>
            <w:tcW w:type="dxa" w:w="3024"/>
          </w:tcPr>
          <w:p>
            <w:pPr>
              <w:jc w:val="center"/>
            </w:pPr>
            <w:r>
              <w:rPr>
                <w:sz w:val="19"/>
              </w:rPr>
              <w:t>Distributed Cache</w:t>
            </w:r>
          </w:p>
        </w:tc>
        <w:tc>
          <w:tcPr>
            <w:tcW w:type="dxa" w:w="1152"/>
          </w:tcPr>
          <w:p>
            <w:pPr>
              <w:jc w:val="center"/>
            </w:pPr>
            <w:r>
              <w:rPr>
                <w:sz w:val="19"/>
              </w:rPr>
              <w:t>45.8</w:t>
            </w:r>
          </w:p>
        </w:tc>
        <w:tc>
          <w:tcPr>
            <w:tcW w:type="dxa" w:w="1296"/>
          </w:tcPr>
          <w:p>
            <w:pPr>
              <w:jc w:val="center"/>
            </w:pPr>
            <w:r>
              <w:rPr>
                <w:sz w:val="19"/>
              </w:rPr>
              <w:t>2,955</w:t>
            </w:r>
          </w:p>
        </w:tc>
        <w:tc>
          <w:tcPr>
            <w:tcW w:type="dxa" w:w="1008"/>
          </w:tcPr>
          <w:p>
            <w:pPr>
              <w:jc w:val="center"/>
            </w:pPr>
            <w:r>
              <w:rPr>
                <w:sz w:val="19"/>
              </w:rPr>
              <w:t>64.5</w:t>
            </w:r>
          </w:p>
        </w:tc>
        <w:tc>
          <w:tcPr>
            <w:tcW w:type="dxa" w:w="1296"/>
          </w:tcPr>
          <w:p>
            <w:pPr>
              <w:jc w:val="center"/>
            </w:pPr>
            <w:r>
              <w:rPr>
                <w:sz w:val="19"/>
              </w:rPr>
              <w:t>stop</w:t>
            </w:r>
          </w:p>
        </w:tc>
      </w:tr>
      <w:tr>
        <w:tc>
          <w:tcPr>
            <w:tcW w:type="dxa" w:w="432"/>
          </w:tcPr>
          <w:p>
            <w:pPr>
              <w:jc w:val="center"/>
            </w:pPr>
            <w:r>
              <w:rPr>
                <w:sz w:val="19"/>
              </w:rPr>
              <w:t>5</w:t>
            </w:r>
          </w:p>
        </w:tc>
        <w:tc>
          <w:tcPr>
            <w:tcW w:type="dxa" w:w="3024"/>
          </w:tcPr>
          <w:p>
            <w:pPr>
              <w:jc w:val="center"/>
            </w:pPr>
            <w:r>
              <w:rPr>
                <w:sz w:val="19"/>
              </w:rPr>
              <w:t>Chat Application</w:t>
            </w:r>
          </w:p>
        </w:tc>
        <w:tc>
          <w:tcPr>
            <w:tcW w:type="dxa" w:w="1152"/>
          </w:tcPr>
          <w:p>
            <w:pPr>
              <w:jc w:val="center"/>
            </w:pPr>
            <w:r>
              <w:rPr>
                <w:sz w:val="19"/>
              </w:rPr>
              <w:t>183.8</w:t>
            </w:r>
          </w:p>
        </w:tc>
        <w:tc>
          <w:tcPr>
            <w:tcW w:type="dxa" w:w="1296"/>
          </w:tcPr>
          <w:p>
            <w:pPr>
              <w:jc w:val="center"/>
            </w:pPr>
            <w:r>
              <w:rPr>
                <w:sz w:val="19"/>
              </w:rPr>
              <w:t>11,824</w:t>
            </w:r>
          </w:p>
        </w:tc>
        <w:tc>
          <w:tcPr>
            <w:tcW w:type="dxa" w:w="1008"/>
          </w:tcPr>
          <w:p>
            <w:pPr>
              <w:jc w:val="center"/>
            </w:pPr>
            <w:r>
              <w:rPr>
                <w:sz w:val="19"/>
              </w:rPr>
              <w:t>64.3</w:t>
            </w:r>
          </w:p>
        </w:tc>
        <w:tc>
          <w:tcPr>
            <w:tcW w:type="dxa" w:w="1296"/>
          </w:tcPr>
          <w:p>
            <w:pPr>
              <w:jc w:val="center"/>
            </w:pPr>
            <w:r>
              <w:rPr>
                <w:sz w:val="19"/>
              </w:rPr>
              <w:t>stop</w:t>
            </w:r>
          </w:p>
        </w:tc>
      </w:tr>
      <w:tr>
        <w:tc>
          <w:tcPr>
            <w:tcW w:type="dxa" w:w="432"/>
          </w:tcPr>
          <w:p>
            <w:pPr>
              <w:jc w:val="center"/>
            </w:pPr>
            <w:r>
              <w:rPr>
                <w:sz w:val="19"/>
              </w:rPr>
              <w:t>6</w:t>
            </w:r>
          </w:p>
        </w:tc>
        <w:tc>
          <w:tcPr>
            <w:tcW w:type="dxa" w:w="3024"/>
          </w:tcPr>
          <w:p>
            <w:pPr>
              <w:jc w:val="center"/>
            </w:pPr>
            <w:r>
              <w:rPr>
                <w:sz w:val="19"/>
              </w:rPr>
              <w:t>Payment Processing System</w:t>
            </w:r>
          </w:p>
        </w:tc>
        <w:tc>
          <w:tcPr>
            <w:tcW w:type="dxa" w:w="1152"/>
          </w:tcPr>
          <w:p>
            <w:pPr>
              <w:jc w:val="center"/>
            </w:pPr>
            <w:r>
              <w:rPr>
                <w:sz w:val="19"/>
              </w:rPr>
              <w:t>152.2</w:t>
            </w:r>
          </w:p>
        </w:tc>
        <w:tc>
          <w:tcPr>
            <w:tcW w:type="dxa" w:w="1296"/>
          </w:tcPr>
          <w:p>
            <w:pPr>
              <w:jc w:val="center"/>
            </w:pPr>
            <w:r>
              <w:rPr>
                <w:sz w:val="19"/>
              </w:rPr>
              <w:t>9,794</w:t>
            </w:r>
          </w:p>
        </w:tc>
        <w:tc>
          <w:tcPr>
            <w:tcW w:type="dxa" w:w="1008"/>
          </w:tcPr>
          <w:p>
            <w:pPr>
              <w:jc w:val="center"/>
            </w:pPr>
            <w:r>
              <w:rPr>
                <w:sz w:val="19"/>
              </w:rPr>
              <w:t>64.4</w:t>
            </w:r>
          </w:p>
        </w:tc>
        <w:tc>
          <w:tcPr>
            <w:tcW w:type="dxa" w:w="1296"/>
          </w:tcPr>
          <w:p>
            <w:pPr>
              <w:jc w:val="center"/>
            </w:pPr>
            <w:r>
              <w:rPr>
                <w:sz w:val="19"/>
              </w:rPr>
              <w:t>stop</w:t>
            </w:r>
          </w:p>
        </w:tc>
      </w:tr>
      <w:tr>
        <w:tc>
          <w:tcPr>
            <w:tcW w:type="dxa" w:w="432"/>
          </w:tcPr>
          <w:p>
            <w:pPr>
              <w:jc w:val="center"/>
            </w:pPr>
            <w:r>
              <w:rPr>
                <w:sz w:val="19"/>
              </w:rPr>
              <w:t>7</w:t>
            </w:r>
          </w:p>
        </w:tc>
        <w:tc>
          <w:tcPr>
            <w:tcW w:type="dxa" w:w="3024"/>
          </w:tcPr>
          <w:p>
            <w:pPr>
              <w:jc w:val="center"/>
            </w:pPr>
            <w:r>
              <w:rPr>
                <w:sz w:val="19"/>
              </w:rPr>
              <w:t>Ride-Hailing Dispatch</w:t>
            </w:r>
          </w:p>
        </w:tc>
        <w:tc>
          <w:tcPr>
            <w:tcW w:type="dxa" w:w="1152"/>
          </w:tcPr>
          <w:p>
            <w:pPr>
              <w:jc w:val="center"/>
            </w:pPr>
            <w:r>
              <w:rPr>
                <w:sz w:val="19"/>
              </w:rPr>
              <w:t>117.9</w:t>
            </w:r>
          </w:p>
        </w:tc>
        <w:tc>
          <w:tcPr>
            <w:tcW w:type="dxa" w:w="1296"/>
          </w:tcPr>
          <w:p>
            <w:pPr>
              <w:jc w:val="center"/>
            </w:pPr>
            <w:r>
              <w:rPr>
                <w:sz w:val="19"/>
              </w:rPr>
              <w:t>7,593</w:t>
            </w:r>
          </w:p>
        </w:tc>
        <w:tc>
          <w:tcPr>
            <w:tcW w:type="dxa" w:w="1008"/>
          </w:tcPr>
          <w:p>
            <w:pPr>
              <w:jc w:val="center"/>
            </w:pPr>
            <w:r>
              <w:rPr>
                <w:sz w:val="19"/>
              </w:rPr>
              <w:t>64.4</w:t>
            </w:r>
          </w:p>
        </w:tc>
        <w:tc>
          <w:tcPr>
            <w:tcW w:type="dxa" w:w="1296"/>
          </w:tcPr>
          <w:p>
            <w:pPr>
              <w:jc w:val="center"/>
            </w:pPr>
            <w:r>
              <w:rPr>
                <w:sz w:val="19"/>
              </w:rPr>
              <w:t>stop</w:t>
            </w:r>
          </w:p>
        </w:tc>
      </w:tr>
      <w:tr>
        <w:tc>
          <w:tcPr>
            <w:tcW w:type="dxa" w:w="432"/>
          </w:tcPr>
          <w:p>
            <w:pPr>
              <w:jc w:val="center"/>
            </w:pPr>
            <w:r>
              <w:rPr>
                <w:sz w:val="19"/>
              </w:rPr>
              <w:t>8</w:t>
            </w:r>
          </w:p>
        </w:tc>
        <w:tc>
          <w:tcPr>
            <w:tcW w:type="dxa" w:w="3024"/>
          </w:tcPr>
          <w:p>
            <w:pPr>
              <w:jc w:val="center"/>
            </w:pPr>
            <w:r>
              <w:rPr>
                <w:sz w:val="19"/>
              </w:rPr>
              <w:t>Video Streaming Platform</w:t>
            </w:r>
          </w:p>
        </w:tc>
        <w:tc>
          <w:tcPr>
            <w:tcW w:type="dxa" w:w="1152"/>
          </w:tcPr>
          <w:p>
            <w:pPr>
              <w:jc w:val="center"/>
            </w:pPr>
            <w:r>
              <w:rPr>
                <w:sz w:val="19"/>
              </w:rPr>
              <w:t>104.9</w:t>
            </w:r>
          </w:p>
        </w:tc>
        <w:tc>
          <w:tcPr>
            <w:tcW w:type="dxa" w:w="1296"/>
          </w:tcPr>
          <w:p>
            <w:pPr>
              <w:jc w:val="center"/>
            </w:pPr>
            <w:r>
              <w:rPr>
                <w:sz w:val="19"/>
              </w:rPr>
              <w:t>6,762</w:t>
            </w:r>
          </w:p>
        </w:tc>
        <w:tc>
          <w:tcPr>
            <w:tcW w:type="dxa" w:w="1008"/>
          </w:tcPr>
          <w:p>
            <w:pPr>
              <w:jc w:val="center"/>
            </w:pPr>
            <w:r>
              <w:rPr>
                <w:sz w:val="19"/>
              </w:rPr>
              <w:t>64.5</w:t>
            </w:r>
          </w:p>
        </w:tc>
        <w:tc>
          <w:tcPr>
            <w:tcW w:type="dxa" w:w="1296"/>
          </w:tcPr>
          <w:p>
            <w:pPr>
              <w:jc w:val="center"/>
            </w:pPr>
            <w:r>
              <w:rPr>
                <w:sz w:val="19"/>
              </w:rPr>
              <w:t>stop</w:t>
            </w:r>
          </w:p>
        </w:tc>
      </w:tr>
      <w:tr>
        <w:tc>
          <w:tcPr>
            <w:tcW w:type="dxa" w:w="432"/>
          </w:tcPr>
          <w:p>
            <w:pPr>
              <w:jc w:val="center"/>
            </w:pPr>
            <w:r>
              <w:rPr>
                <w:sz w:val="19"/>
              </w:rPr>
              <w:t>9</w:t>
            </w:r>
          </w:p>
        </w:tc>
        <w:tc>
          <w:tcPr>
            <w:tcW w:type="dxa" w:w="3024"/>
          </w:tcPr>
          <w:p>
            <w:pPr>
              <w:jc w:val="center"/>
            </w:pPr>
            <w:r>
              <w:rPr>
                <w:sz w:val="19"/>
              </w:rPr>
              <w:t>Distributed Job Scheduler</w:t>
            </w:r>
          </w:p>
        </w:tc>
        <w:tc>
          <w:tcPr>
            <w:tcW w:type="dxa" w:w="1152"/>
          </w:tcPr>
          <w:p>
            <w:pPr>
              <w:jc w:val="center"/>
            </w:pPr>
            <w:r>
              <w:rPr>
                <w:sz w:val="19"/>
              </w:rPr>
              <w:t>168.4</w:t>
            </w:r>
          </w:p>
        </w:tc>
        <w:tc>
          <w:tcPr>
            <w:tcW w:type="dxa" w:w="1296"/>
          </w:tcPr>
          <w:p>
            <w:pPr>
              <w:jc w:val="center"/>
            </w:pPr>
            <w:r>
              <w:rPr>
                <w:sz w:val="19"/>
              </w:rPr>
              <w:t>10,836</w:t>
            </w:r>
          </w:p>
        </w:tc>
        <w:tc>
          <w:tcPr>
            <w:tcW w:type="dxa" w:w="1008"/>
          </w:tcPr>
          <w:p>
            <w:pPr>
              <w:jc w:val="center"/>
            </w:pPr>
            <w:r>
              <w:rPr>
                <w:sz w:val="19"/>
              </w:rPr>
              <w:t>64.4</w:t>
            </w:r>
          </w:p>
        </w:tc>
        <w:tc>
          <w:tcPr>
            <w:tcW w:type="dxa" w:w="1296"/>
          </w:tcPr>
          <w:p>
            <w:pPr>
              <w:jc w:val="center"/>
            </w:pPr>
            <w:r>
              <w:rPr>
                <w:sz w:val="19"/>
              </w:rPr>
              <w:t>stop</w:t>
            </w:r>
          </w:p>
        </w:tc>
      </w:tr>
      <w:tr>
        <w:tc>
          <w:tcPr>
            <w:tcW w:type="dxa" w:w="432"/>
          </w:tcPr>
          <w:p>
            <w:pPr>
              <w:jc w:val="center"/>
            </w:pPr>
            <w:r>
              <w:rPr>
                <w:sz w:val="19"/>
              </w:rPr>
              <w:t>10</w:t>
            </w:r>
          </w:p>
        </w:tc>
        <w:tc>
          <w:tcPr>
            <w:tcW w:type="dxa" w:w="3024"/>
          </w:tcPr>
          <w:p>
            <w:pPr>
              <w:jc w:val="center"/>
            </w:pPr>
            <w:r>
              <w:rPr>
                <w:sz w:val="19"/>
              </w:rPr>
              <w:t>Online Donation Platform</w:t>
            </w:r>
          </w:p>
        </w:tc>
        <w:tc>
          <w:tcPr>
            <w:tcW w:type="dxa" w:w="1152"/>
          </w:tcPr>
          <w:p>
            <w:pPr>
              <w:jc w:val="center"/>
            </w:pPr>
            <w:r>
              <w:rPr>
                <w:sz w:val="19"/>
              </w:rPr>
              <w:t>186.6</w:t>
            </w:r>
          </w:p>
        </w:tc>
        <w:tc>
          <w:tcPr>
            <w:tcW w:type="dxa" w:w="1296"/>
          </w:tcPr>
          <w:p>
            <w:pPr>
              <w:jc w:val="center"/>
            </w:pPr>
            <w:r>
              <w:rPr>
                <w:sz w:val="19"/>
              </w:rPr>
              <w:t>12,000</w:t>
            </w:r>
          </w:p>
        </w:tc>
        <w:tc>
          <w:tcPr>
            <w:tcW w:type="dxa" w:w="1008"/>
          </w:tcPr>
          <w:p>
            <w:pPr>
              <w:jc w:val="center"/>
            </w:pPr>
            <w:r>
              <w:rPr>
                <w:sz w:val="19"/>
              </w:rPr>
              <w:t>64.3</w:t>
            </w:r>
          </w:p>
        </w:tc>
        <w:tc>
          <w:tcPr>
            <w:tcW w:type="dxa" w:w="1296"/>
          </w:tcPr>
          <w:p>
            <w:pPr>
              <w:jc w:val="center"/>
            </w:pPr>
            <w:r>
              <w:rPr>
                <w:sz w:val="19"/>
              </w:rPr>
              <w:t>length</w:t>
            </w:r>
          </w:p>
        </w:tc>
      </w:tr>
    </w:tbl>
    <w:p>
      <w:r>
        <w:br w:type="page"/>
      </w:r>
    </w:p>
    <w:p>
      <w:pPr>
        <w:pStyle w:val="Heading1"/>
      </w:pPr>
      <w:r>
        <w:rPr>
          <w:color w:val="111827"/>
        </w:rPr>
        <w:t>4. Concurrency benchmark</w:t>
      </w:r>
    </w:p>
    <w:p>
      <w:r>
        <w:t>To test vLLM's continuous batching, requests were fired simultaneously at increasing concurrency levels (1, 2, 4, 8, 16, 32, 64, 96), each request capped at max_tokens=1,500. GPU state was sampled once per second via nvidia-smi throughout each batch. All 232 requests across every level succeeded with zero failures or timeouts.</w:t>
      </w:r>
    </w:p>
    <w:p>
      <w:pPr>
        <w:jc w:val="center"/>
      </w:pPr>
      <w:r>
        <w:drawing>
          <wp:inline xmlns:a="http://schemas.openxmlformats.org/drawingml/2006/main" xmlns:pic="http://schemas.openxmlformats.org/drawingml/2006/picture">
            <wp:extent cx="5760720" cy="3388659"/>
            <wp:docPr id="2" name="Picture 2"/>
            <wp:cNvGraphicFramePr>
              <a:graphicFrameLocks noChangeAspect="1"/>
            </wp:cNvGraphicFramePr>
            <a:graphic>
              <a:graphicData uri="http://schemas.openxmlformats.org/drawingml/2006/picture">
                <pic:pic>
                  <pic:nvPicPr>
                    <pic:cNvPr id="0" name="conc_throughput.png"/>
                    <pic:cNvPicPr/>
                  </pic:nvPicPr>
                  <pic:blipFill>
                    <a:blip r:embed="rId10"/>
                    <a:stretch>
                      <a:fillRect/>
                    </a:stretch>
                  </pic:blipFill>
                  <pic:spPr>
                    <a:xfrm>
                      <a:off x="0" y="0"/>
                      <a:ext cx="5760720" cy="3388659"/>
                    </a:xfrm>
                    <a:prstGeom prst="rect"/>
                  </pic:spPr>
                </pic:pic>
              </a:graphicData>
            </a:graphic>
          </wp:inline>
        </w:drawing>
      </w:r>
    </w:p>
    <w:p>
      <w:pPr>
        <w:jc w:val="center"/>
      </w:pPr>
      <w:r>
        <w:drawing>
          <wp:inline xmlns:a="http://schemas.openxmlformats.org/drawingml/2006/main" xmlns:pic="http://schemas.openxmlformats.org/drawingml/2006/picture">
            <wp:extent cx="5760720" cy="3388659"/>
            <wp:docPr id="3" name="Picture 3"/>
            <wp:cNvGraphicFramePr>
              <a:graphicFrameLocks noChangeAspect="1"/>
            </wp:cNvGraphicFramePr>
            <a:graphic>
              <a:graphicData uri="http://schemas.openxmlformats.org/drawingml/2006/picture">
                <pic:pic>
                  <pic:nvPicPr>
                    <pic:cNvPr id="0" name="conc_latency.png"/>
                    <pic:cNvPicPr/>
                  </pic:nvPicPr>
                  <pic:blipFill>
                    <a:blip r:embed="rId11"/>
                    <a:stretch>
                      <a:fillRect/>
                    </a:stretch>
                  </pic:blipFill>
                  <pic:spPr>
                    <a:xfrm>
                      <a:off x="0" y="0"/>
                      <a:ext cx="5760720" cy="3388659"/>
                    </a:xfrm>
                    <a:prstGeom prst="rect"/>
                  </pic:spPr>
                </pic:pic>
              </a:graphicData>
            </a:graphic>
          </wp:inline>
        </w:drawing>
      </w:r>
    </w:p>
    <w:p/>
    <w:p>
      <w:r>
        <w:rPr>
          <w:b/>
        </w:rPr>
        <w:t xml:space="preserve">Key finding: </w:t>
      </w:r>
      <w:r>
        <w:t>going from 1 to 96 concurrent requests produced a 53.5x increase in aggregate throughput (64.4 → 3443.6 tok/s), while average per-request latency rose only 1.8x (23.3s → 41.8s). Scaling is close to linear through 16 concurrent requests, then becomes noticeably sub-linear from 32 onward (the measured curve falls increasingly below the ideal-linear reference line in the chart above) — throughput is still climbing at 96 with no hard plateau or failure observed, but each additional concurrent request is yielding diminishing throughput gains beyond 16.</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shd w:fill="2563EB"/>
          </w:tcPr>
          <w:p>
            <w:pPr>
              <w:jc w:val="center"/>
            </w:pPr>
            <w:r>
              <w:rPr>
                <w:b/>
                <w:color w:val="FFFFFF"/>
                <w:sz w:val="19"/>
              </w:rPr>
              <w:t>Concurrency</w:t>
            </w:r>
          </w:p>
        </w:tc>
        <w:tc>
          <w:tcPr>
            <w:tcW w:type="dxa" w:w="1728"/>
            <w:shd w:fill="2563EB"/>
          </w:tcPr>
          <w:p>
            <w:pPr>
              <w:jc w:val="center"/>
            </w:pPr>
            <w:r>
              <w:rPr>
                <w:b/>
                <w:color w:val="FFFFFF"/>
                <w:sz w:val="19"/>
              </w:rPr>
              <w:t>Batch time (s)</w:t>
            </w:r>
          </w:p>
        </w:tc>
        <w:tc>
          <w:tcPr>
            <w:tcW w:type="dxa" w:w="1872"/>
            <w:shd w:fill="2563EB"/>
          </w:tcPr>
          <w:p>
            <w:pPr>
              <w:jc w:val="center"/>
            </w:pPr>
            <w:r>
              <w:rPr>
                <w:b/>
                <w:color w:val="FFFFFF"/>
                <w:sz w:val="19"/>
              </w:rPr>
              <w:t>Aggregate tok/s</w:t>
            </w:r>
          </w:p>
        </w:tc>
        <w:tc>
          <w:tcPr>
            <w:tcW w:type="dxa" w:w="1728"/>
            <w:shd w:fill="2563EB"/>
          </w:tcPr>
          <w:p>
            <w:pPr>
              <w:jc w:val="center"/>
            </w:pPr>
            <w:r>
              <w:rPr>
                <w:b/>
                <w:color w:val="FFFFFF"/>
                <w:sz w:val="19"/>
              </w:rPr>
              <w:t>Avg latency (s)</w:t>
            </w:r>
          </w:p>
        </w:tc>
        <w:tc>
          <w:tcPr>
            <w:tcW w:type="dxa" w:w="1584"/>
            <w:shd w:fill="2563EB"/>
          </w:tcPr>
          <w:p>
            <w:pPr>
              <w:jc w:val="center"/>
            </w:pPr>
            <w:r>
              <w:rPr>
                <w:b/>
                <w:color w:val="FFFFFF"/>
                <w:sz w:val="19"/>
              </w:rPr>
              <w:t>GPU util (avg)</w:t>
            </w:r>
          </w:p>
        </w:tc>
        <w:tc>
          <w:tcPr>
            <w:tcW w:type="dxa" w:w="1728"/>
            <w:shd w:fill="2563EB"/>
          </w:tcPr>
          <w:p>
            <w:pPr>
              <w:jc w:val="center"/>
            </w:pPr>
            <w:r>
              <w:rPr>
                <w:b/>
                <w:color w:val="FFFFFF"/>
                <w:sz w:val="19"/>
              </w:rPr>
              <w:t>VRAM peak (GiB)</w:t>
            </w:r>
          </w:p>
        </w:tc>
      </w:tr>
      <w:tr>
        <w:tc>
          <w:tcPr>
            <w:tcW w:type="dxa" w:w="1584"/>
          </w:tcPr>
          <w:p>
            <w:pPr>
              <w:jc w:val="center"/>
            </w:pPr>
            <w:r>
              <w:rPr>
                <w:sz w:val="19"/>
              </w:rPr>
              <w:t>1</w:t>
            </w:r>
          </w:p>
        </w:tc>
        <w:tc>
          <w:tcPr>
            <w:tcW w:type="dxa" w:w="1728"/>
          </w:tcPr>
          <w:p>
            <w:pPr>
              <w:jc w:val="center"/>
            </w:pPr>
            <w:r>
              <w:rPr>
                <w:sz w:val="19"/>
              </w:rPr>
              <w:t>23.3</w:t>
            </w:r>
          </w:p>
        </w:tc>
        <w:tc>
          <w:tcPr>
            <w:tcW w:type="dxa" w:w="1872"/>
          </w:tcPr>
          <w:p>
            <w:pPr>
              <w:jc w:val="center"/>
            </w:pPr>
            <w:r>
              <w:rPr>
                <w:sz w:val="19"/>
              </w:rPr>
              <w:t>64.4</w:t>
            </w:r>
          </w:p>
        </w:tc>
        <w:tc>
          <w:tcPr>
            <w:tcW w:type="dxa" w:w="1728"/>
          </w:tcPr>
          <w:p>
            <w:pPr>
              <w:jc w:val="center"/>
            </w:pPr>
            <w:r>
              <w:rPr>
                <w:sz w:val="19"/>
              </w:rPr>
              <w:t>23.3</w:t>
            </w:r>
          </w:p>
        </w:tc>
        <w:tc>
          <w:tcPr>
            <w:tcW w:type="dxa" w:w="1584"/>
          </w:tcPr>
          <w:p>
            <w:pPr>
              <w:jc w:val="center"/>
            </w:pPr>
            <w:r>
              <w:rPr>
                <w:sz w:val="19"/>
              </w:rPr>
              <w:t>95%</w:t>
            </w:r>
          </w:p>
        </w:tc>
        <w:tc>
          <w:tcPr>
            <w:tcW w:type="dxa" w:w="1728"/>
          </w:tcPr>
          <w:p>
            <w:pPr>
              <w:jc w:val="center"/>
            </w:pPr>
            <w:r>
              <w:rPr>
                <w:sz w:val="19"/>
              </w:rPr>
              <w:t>128.9</w:t>
            </w:r>
          </w:p>
        </w:tc>
      </w:tr>
      <w:tr>
        <w:tc>
          <w:tcPr>
            <w:tcW w:type="dxa" w:w="1584"/>
          </w:tcPr>
          <w:p>
            <w:pPr>
              <w:jc w:val="center"/>
            </w:pPr>
            <w:r>
              <w:rPr>
                <w:sz w:val="19"/>
              </w:rPr>
              <w:t>2</w:t>
            </w:r>
          </w:p>
        </w:tc>
        <w:tc>
          <w:tcPr>
            <w:tcW w:type="dxa" w:w="1728"/>
          </w:tcPr>
          <w:p>
            <w:pPr>
              <w:jc w:val="center"/>
            </w:pPr>
            <w:r>
              <w:rPr>
                <w:sz w:val="19"/>
              </w:rPr>
              <w:t>28.8</w:t>
            </w:r>
          </w:p>
        </w:tc>
        <w:tc>
          <w:tcPr>
            <w:tcW w:type="dxa" w:w="1872"/>
          </w:tcPr>
          <w:p>
            <w:pPr>
              <w:jc w:val="center"/>
            </w:pPr>
            <w:r>
              <w:rPr>
                <w:sz w:val="19"/>
              </w:rPr>
              <w:t>104.3</w:t>
            </w:r>
          </w:p>
        </w:tc>
        <w:tc>
          <w:tcPr>
            <w:tcW w:type="dxa" w:w="1728"/>
          </w:tcPr>
          <w:p>
            <w:pPr>
              <w:jc w:val="center"/>
            </w:pPr>
            <w:r>
              <w:rPr>
                <w:sz w:val="19"/>
              </w:rPr>
              <w:t>28.8</w:t>
            </w:r>
          </w:p>
        </w:tc>
        <w:tc>
          <w:tcPr>
            <w:tcW w:type="dxa" w:w="1584"/>
          </w:tcPr>
          <w:p>
            <w:pPr>
              <w:jc w:val="center"/>
            </w:pPr>
            <w:r>
              <w:rPr>
                <w:sz w:val="19"/>
              </w:rPr>
              <w:t>81%</w:t>
            </w:r>
          </w:p>
        </w:tc>
        <w:tc>
          <w:tcPr>
            <w:tcW w:type="dxa" w:w="1728"/>
          </w:tcPr>
          <w:p>
            <w:pPr>
              <w:jc w:val="center"/>
            </w:pPr>
            <w:r>
              <w:rPr>
                <w:sz w:val="19"/>
              </w:rPr>
              <w:t>128.9</w:t>
            </w:r>
          </w:p>
        </w:tc>
      </w:tr>
      <w:tr>
        <w:tc>
          <w:tcPr>
            <w:tcW w:type="dxa" w:w="1584"/>
          </w:tcPr>
          <w:p>
            <w:pPr>
              <w:jc w:val="center"/>
            </w:pPr>
            <w:r>
              <w:rPr>
                <w:sz w:val="19"/>
              </w:rPr>
              <w:t>4</w:t>
            </w:r>
          </w:p>
        </w:tc>
        <w:tc>
          <w:tcPr>
            <w:tcW w:type="dxa" w:w="1728"/>
          </w:tcPr>
          <w:p>
            <w:pPr>
              <w:jc w:val="center"/>
            </w:pPr>
            <w:r>
              <w:rPr>
                <w:sz w:val="19"/>
              </w:rPr>
              <w:t>24.5</w:t>
            </w:r>
          </w:p>
        </w:tc>
        <w:tc>
          <w:tcPr>
            <w:tcW w:type="dxa" w:w="1872"/>
          </w:tcPr>
          <w:p>
            <w:pPr>
              <w:jc w:val="center"/>
            </w:pPr>
            <w:r>
              <w:rPr>
                <w:sz w:val="19"/>
              </w:rPr>
              <w:t>244.9</w:t>
            </w:r>
          </w:p>
        </w:tc>
        <w:tc>
          <w:tcPr>
            <w:tcW w:type="dxa" w:w="1728"/>
          </w:tcPr>
          <w:p>
            <w:pPr>
              <w:jc w:val="center"/>
            </w:pPr>
            <w:r>
              <w:rPr>
                <w:sz w:val="19"/>
              </w:rPr>
              <w:t>24.5</w:t>
            </w:r>
          </w:p>
        </w:tc>
        <w:tc>
          <w:tcPr>
            <w:tcW w:type="dxa" w:w="1584"/>
          </w:tcPr>
          <w:p>
            <w:pPr>
              <w:jc w:val="center"/>
            </w:pPr>
            <w:r>
              <w:rPr>
                <w:sz w:val="19"/>
              </w:rPr>
              <w:t>100%</w:t>
            </w:r>
          </w:p>
        </w:tc>
        <w:tc>
          <w:tcPr>
            <w:tcW w:type="dxa" w:w="1728"/>
          </w:tcPr>
          <w:p>
            <w:pPr>
              <w:jc w:val="center"/>
            </w:pPr>
            <w:r>
              <w:rPr>
                <w:sz w:val="19"/>
              </w:rPr>
              <w:t>128.9</w:t>
            </w:r>
          </w:p>
        </w:tc>
      </w:tr>
      <w:tr>
        <w:tc>
          <w:tcPr>
            <w:tcW w:type="dxa" w:w="1584"/>
          </w:tcPr>
          <w:p>
            <w:pPr>
              <w:jc w:val="center"/>
            </w:pPr>
            <w:r>
              <w:rPr>
                <w:sz w:val="19"/>
              </w:rPr>
              <w:t>8</w:t>
            </w:r>
          </w:p>
        </w:tc>
        <w:tc>
          <w:tcPr>
            <w:tcW w:type="dxa" w:w="1728"/>
          </w:tcPr>
          <w:p>
            <w:pPr>
              <w:jc w:val="center"/>
            </w:pPr>
            <w:r>
              <w:rPr>
                <w:sz w:val="19"/>
              </w:rPr>
              <w:t>25.6</w:t>
            </w:r>
          </w:p>
        </w:tc>
        <w:tc>
          <w:tcPr>
            <w:tcW w:type="dxa" w:w="1872"/>
          </w:tcPr>
          <w:p>
            <w:pPr>
              <w:jc w:val="center"/>
            </w:pPr>
            <w:r>
              <w:rPr>
                <w:sz w:val="19"/>
              </w:rPr>
              <w:t>469.5</w:t>
            </w:r>
          </w:p>
        </w:tc>
        <w:tc>
          <w:tcPr>
            <w:tcW w:type="dxa" w:w="1728"/>
          </w:tcPr>
          <w:p>
            <w:pPr>
              <w:jc w:val="center"/>
            </w:pPr>
            <w:r>
              <w:rPr>
                <w:sz w:val="19"/>
              </w:rPr>
              <w:t>25.6</w:t>
            </w:r>
          </w:p>
        </w:tc>
        <w:tc>
          <w:tcPr>
            <w:tcW w:type="dxa" w:w="1584"/>
          </w:tcPr>
          <w:p>
            <w:pPr>
              <w:jc w:val="center"/>
            </w:pPr>
            <w:r>
              <w:rPr>
                <w:sz w:val="19"/>
              </w:rPr>
              <w:t>97%</w:t>
            </w:r>
          </w:p>
        </w:tc>
        <w:tc>
          <w:tcPr>
            <w:tcW w:type="dxa" w:w="1728"/>
          </w:tcPr>
          <w:p>
            <w:pPr>
              <w:jc w:val="center"/>
            </w:pPr>
            <w:r>
              <w:rPr>
                <w:sz w:val="19"/>
              </w:rPr>
              <w:t>128.9</w:t>
            </w:r>
          </w:p>
        </w:tc>
      </w:tr>
      <w:tr>
        <w:tc>
          <w:tcPr>
            <w:tcW w:type="dxa" w:w="1584"/>
          </w:tcPr>
          <w:p>
            <w:pPr>
              <w:jc w:val="center"/>
            </w:pPr>
            <w:r>
              <w:rPr>
                <w:sz w:val="19"/>
              </w:rPr>
              <w:t>16</w:t>
            </w:r>
          </w:p>
        </w:tc>
        <w:tc>
          <w:tcPr>
            <w:tcW w:type="dxa" w:w="1728"/>
          </w:tcPr>
          <w:p>
            <w:pPr>
              <w:jc w:val="center"/>
            </w:pPr>
            <w:r>
              <w:rPr>
                <w:sz w:val="19"/>
              </w:rPr>
              <w:t>26.8</w:t>
            </w:r>
          </w:p>
        </w:tc>
        <w:tc>
          <w:tcPr>
            <w:tcW w:type="dxa" w:w="1872"/>
          </w:tcPr>
          <w:p>
            <w:pPr>
              <w:jc w:val="center"/>
            </w:pPr>
            <w:r>
              <w:rPr>
                <w:sz w:val="19"/>
              </w:rPr>
              <w:t>894.8</w:t>
            </w:r>
          </w:p>
        </w:tc>
        <w:tc>
          <w:tcPr>
            <w:tcW w:type="dxa" w:w="1728"/>
          </w:tcPr>
          <w:p>
            <w:pPr>
              <w:jc w:val="center"/>
            </w:pPr>
            <w:r>
              <w:rPr>
                <w:sz w:val="19"/>
              </w:rPr>
              <w:t>26.8</w:t>
            </w:r>
          </w:p>
        </w:tc>
        <w:tc>
          <w:tcPr>
            <w:tcW w:type="dxa" w:w="1584"/>
          </w:tcPr>
          <w:p>
            <w:pPr>
              <w:jc w:val="center"/>
            </w:pPr>
            <w:r>
              <w:rPr>
                <w:sz w:val="19"/>
              </w:rPr>
              <w:t>100%</w:t>
            </w:r>
          </w:p>
        </w:tc>
        <w:tc>
          <w:tcPr>
            <w:tcW w:type="dxa" w:w="1728"/>
          </w:tcPr>
          <w:p>
            <w:pPr>
              <w:jc w:val="center"/>
            </w:pPr>
            <w:r>
              <w:rPr>
                <w:sz w:val="19"/>
              </w:rPr>
              <w:t>128.9</w:t>
            </w:r>
          </w:p>
        </w:tc>
      </w:tr>
      <w:tr>
        <w:tc>
          <w:tcPr>
            <w:tcW w:type="dxa" w:w="1584"/>
          </w:tcPr>
          <w:p>
            <w:pPr>
              <w:jc w:val="center"/>
            </w:pPr>
            <w:r>
              <w:rPr>
                <w:sz w:val="19"/>
              </w:rPr>
              <w:t>32</w:t>
            </w:r>
          </w:p>
        </w:tc>
        <w:tc>
          <w:tcPr>
            <w:tcW w:type="dxa" w:w="1728"/>
          </w:tcPr>
          <w:p>
            <w:pPr>
              <w:jc w:val="center"/>
            </w:pPr>
            <w:r>
              <w:rPr>
                <w:sz w:val="19"/>
              </w:rPr>
              <w:t>29.6</w:t>
            </w:r>
          </w:p>
        </w:tc>
        <w:tc>
          <w:tcPr>
            <w:tcW w:type="dxa" w:w="1872"/>
          </w:tcPr>
          <w:p>
            <w:pPr>
              <w:jc w:val="center"/>
            </w:pPr>
            <w:r>
              <w:rPr>
                <w:sz w:val="19"/>
              </w:rPr>
              <w:t>1,624.3</w:t>
            </w:r>
          </w:p>
        </w:tc>
        <w:tc>
          <w:tcPr>
            <w:tcW w:type="dxa" w:w="1728"/>
          </w:tcPr>
          <w:p>
            <w:pPr>
              <w:jc w:val="center"/>
            </w:pPr>
            <w:r>
              <w:rPr>
                <w:sz w:val="19"/>
              </w:rPr>
              <w:t>29.5</w:t>
            </w:r>
          </w:p>
        </w:tc>
        <w:tc>
          <w:tcPr>
            <w:tcW w:type="dxa" w:w="1584"/>
          </w:tcPr>
          <w:p>
            <w:pPr>
              <w:jc w:val="center"/>
            </w:pPr>
            <w:r>
              <w:rPr>
                <w:sz w:val="19"/>
              </w:rPr>
              <w:t>96%</w:t>
            </w:r>
          </w:p>
        </w:tc>
        <w:tc>
          <w:tcPr>
            <w:tcW w:type="dxa" w:w="1728"/>
          </w:tcPr>
          <w:p>
            <w:pPr>
              <w:jc w:val="center"/>
            </w:pPr>
            <w:r>
              <w:rPr>
                <w:sz w:val="19"/>
              </w:rPr>
              <w:t>128.9</w:t>
            </w:r>
          </w:p>
        </w:tc>
      </w:tr>
      <w:tr>
        <w:tc>
          <w:tcPr>
            <w:tcW w:type="dxa" w:w="1584"/>
          </w:tcPr>
          <w:p>
            <w:pPr>
              <w:jc w:val="center"/>
            </w:pPr>
            <w:r>
              <w:rPr>
                <w:sz w:val="19"/>
              </w:rPr>
              <w:t>64</w:t>
            </w:r>
          </w:p>
        </w:tc>
        <w:tc>
          <w:tcPr>
            <w:tcW w:type="dxa" w:w="1728"/>
          </w:tcPr>
          <w:p>
            <w:pPr>
              <w:jc w:val="center"/>
            </w:pPr>
            <w:r>
              <w:rPr>
                <w:sz w:val="19"/>
              </w:rPr>
              <w:t>35.5</w:t>
            </w:r>
          </w:p>
        </w:tc>
        <w:tc>
          <w:tcPr>
            <w:tcW w:type="dxa" w:w="1872"/>
          </w:tcPr>
          <w:p>
            <w:pPr>
              <w:jc w:val="center"/>
            </w:pPr>
            <w:r>
              <w:rPr>
                <w:sz w:val="19"/>
              </w:rPr>
              <w:t>2,708.1</w:t>
            </w:r>
          </w:p>
        </w:tc>
        <w:tc>
          <w:tcPr>
            <w:tcW w:type="dxa" w:w="1728"/>
          </w:tcPr>
          <w:p>
            <w:pPr>
              <w:jc w:val="center"/>
            </w:pPr>
            <w:r>
              <w:rPr>
                <w:sz w:val="19"/>
              </w:rPr>
              <w:t>35.4</w:t>
            </w:r>
          </w:p>
        </w:tc>
        <w:tc>
          <w:tcPr>
            <w:tcW w:type="dxa" w:w="1584"/>
          </w:tcPr>
          <w:p>
            <w:pPr>
              <w:jc w:val="center"/>
            </w:pPr>
            <w:r>
              <w:rPr>
                <w:sz w:val="19"/>
              </w:rPr>
              <w:t>97%</w:t>
            </w:r>
          </w:p>
        </w:tc>
        <w:tc>
          <w:tcPr>
            <w:tcW w:type="dxa" w:w="1728"/>
          </w:tcPr>
          <w:p>
            <w:pPr>
              <w:jc w:val="center"/>
            </w:pPr>
            <w:r>
              <w:rPr>
                <w:sz w:val="19"/>
              </w:rPr>
              <w:t>128.9</w:t>
            </w:r>
          </w:p>
        </w:tc>
      </w:tr>
      <w:tr>
        <w:tc>
          <w:tcPr>
            <w:tcW w:type="dxa" w:w="1584"/>
          </w:tcPr>
          <w:p>
            <w:pPr>
              <w:jc w:val="center"/>
            </w:pPr>
            <w:r>
              <w:rPr>
                <w:sz w:val="19"/>
              </w:rPr>
              <w:t>96</w:t>
            </w:r>
          </w:p>
        </w:tc>
        <w:tc>
          <w:tcPr>
            <w:tcW w:type="dxa" w:w="1728"/>
          </w:tcPr>
          <w:p>
            <w:pPr>
              <w:jc w:val="center"/>
            </w:pPr>
            <w:r>
              <w:rPr>
                <w:sz w:val="19"/>
              </w:rPr>
              <w:t>41.8</w:t>
            </w:r>
          </w:p>
        </w:tc>
        <w:tc>
          <w:tcPr>
            <w:tcW w:type="dxa" w:w="1872"/>
          </w:tcPr>
          <w:p>
            <w:pPr>
              <w:jc w:val="center"/>
            </w:pPr>
            <w:r>
              <w:rPr>
                <w:sz w:val="19"/>
              </w:rPr>
              <w:t>3,443.6</w:t>
            </w:r>
          </w:p>
        </w:tc>
        <w:tc>
          <w:tcPr>
            <w:tcW w:type="dxa" w:w="1728"/>
          </w:tcPr>
          <w:p>
            <w:pPr>
              <w:jc w:val="center"/>
            </w:pPr>
            <w:r>
              <w:rPr>
                <w:sz w:val="19"/>
              </w:rPr>
              <w:t>41.8</w:t>
            </w:r>
          </w:p>
        </w:tc>
        <w:tc>
          <w:tcPr>
            <w:tcW w:type="dxa" w:w="1584"/>
          </w:tcPr>
          <w:p>
            <w:pPr>
              <w:jc w:val="center"/>
            </w:pPr>
            <w:r>
              <w:rPr>
                <w:sz w:val="19"/>
              </w:rPr>
              <w:t>97%</w:t>
            </w:r>
          </w:p>
        </w:tc>
        <w:tc>
          <w:tcPr>
            <w:tcW w:type="dxa" w:w="1728"/>
          </w:tcPr>
          <w:p>
            <w:pPr>
              <w:jc w:val="center"/>
            </w:pPr>
            <w:r>
              <w:rPr>
                <w:sz w:val="19"/>
              </w:rPr>
              <w:t>128.9</w:t>
            </w:r>
          </w:p>
        </w:tc>
      </w:tr>
    </w:tbl>
    <w:p>
      <w:r>
        <w:br w:type="page"/>
      </w:r>
    </w:p>
    <w:p>
      <w:pPr>
        <w:pStyle w:val="Heading1"/>
      </w:pPr>
      <w:r>
        <w:rPr>
          <w:color w:val="111827"/>
        </w:rPr>
        <w:t>5. GPU and VRAM behavior</w:t>
      </w:r>
    </w:p>
    <w:p>
      <w:r>
        <w:t>VRAM usage was essentially flat across every test — from a single request up through 96 concurrent requests — because vLLM pre-allocates its KV cache block pool once at server startup rather than growing memory per request. GPU compute utilization was already pinned at 95-100% even at concurrency=1, showing the model is compute-bound at the token level; continuous batching lets vLLM interleave many requests' decode steps into that same saturated compute budget instead of processing them one at a time.</w:t>
      </w:r>
    </w:p>
    <w:p>
      <w:pPr>
        <w:jc w:val="center"/>
      </w:pPr>
      <w:r>
        <w:drawing>
          <wp:inline xmlns:a="http://schemas.openxmlformats.org/drawingml/2006/main" xmlns:pic="http://schemas.openxmlformats.org/drawingml/2006/picture">
            <wp:extent cx="5760720" cy="3388659"/>
            <wp:docPr id="4" name="Picture 4"/>
            <wp:cNvGraphicFramePr>
              <a:graphicFrameLocks noChangeAspect="1"/>
            </wp:cNvGraphicFramePr>
            <a:graphic>
              <a:graphicData uri="http://schemas.openxmlformats.org/drawingml/2006/picture">
                <pic:pic>
                  <pic:nvPicPr>
                    <pic:cNvPr id="0" name="vram_util.png"/>
                    <pic:cNvPicPr/>
                  </pic:nvPicPr>
                  <pic:blipFill>
                    <a:blip r:embed="rId12"/>
                    <a:stretch>
                      <a:fillRect/>
                    </a:stretch>
                  </pic:blipFill>
                  <pic:spPr>
                    <a:xfrm>
                      <a:off x="0" y="0"/>
                      <a:ext cx="5760720" cy="3388659"/>
                    </a:xfrm>
                    <a:prstGeom prst="rect"/>
                  </pic:spPr>
                </pic:pic>
              </a:graphicData>
            </a:graphic>
          </wp:inline>
        </w:drawing>
      </w:r>
    </w:p>
    <w:p>
      <w:r>
        <w:t>Idle/loaded VRAM footprint (model weights + pre-allocated KV cache pool): 128.9 GiB out of 140.4 GiB total — leaving ~11.5 GiB of headroom that remained unused even at 96 concurrent requests in this test.</w:t>
      </w:r>
    </w:p>
    <w:p>
      <w:r>
        <w:br w:type="page"/>
      </w:r>
    </w:p>
    <w:p>
      <w:pPr>
        <w:pStyle w:val="Heading1"/>
      </w:pPr>
      <w:r>
        <w:rPr>
          <w:color w:val="111827"/>
        </w:rPr>
        <w:t>6. Conclusions and recommendations</w:t>
      </w:r>
    </w:p>
    <w:p>
      <w:pPr>
        <w:pStyle w:val="ListBullet"/>
      </w:pPr>
      <w:r>
        <w:t>This deployment is significantly under-utilized for single-user/interactive use — a lone requester sees the same ~64 tok/s whether alone or one of 96 simultaneous requesters.</w:t>
      </w:r>
    </w:p>
    <w:p>
      <w:pPr>
        <w:pStyle w:val="ListBullet"/>
      </w:pPr>
      <w:r>
        <w:t>Throughput scaling is close to linear up to 16 concurrent requests, then becomes increasingly sub-linear from 32 onward, though it was still climbing at 96 with no failures or latency cliff; the true ceiling for this model + GPU combination would require pushing further (128, 192, 256+) to locate.</w:t>
      </w:r>
    </w:p>
    <w:p>
      <w:pPr>
        <w:pStyle w:val="ListBullet"/>
      </w:pPr>
      <w:r>
        <w:t>VRAM headroom (~11.7 GiB observed unused), not raw request count, is the more likely eventual limiting factor — KV cache size grows with both concurrency and sequence length, so workloads with long contexts (as seen in the sequential test, up to 12,000 tokens) run concurrently will consume that headroom faster than the short 1,500-token-capped concurrency test did.</w:t>
      </w:r>
    </w:p>
    <w:p>
      <w:pPr>
        <w:pStyle w:val="ListBullet"/>
      </w:pPr>
      <w:r>
        <w:t>For production capacity planning: size expected concurrent long-context sessions against the available VRAM headroom, not just peak request count.</w:t>
      </w:r>
    </w:p>
    <w:p>
      <w:pPr>
        <w:pStyle w:val="ListBullet"/>
      </w:pPr>
      <w:r>
        <w:t>This single H200 instance can likely absorb substantially more concurrent load than initial assumptions would suggest, for workloads similar in shape to these system-design prompts.</w:t>
      </w:r>
    </w:p>
    <w:p/>
    <w:p>
      <w:r>
        <w:rPr>
          <w:i/>
          <w:color w:val="6B7280"/>
          <w:sz w:val="18"/>
        </w:rPr>
        <w:t>Raw data: benchmark_results_full_stop.json, benchmark_concurrency_results.json, benchmark_concurrency_results_high.json. Scripts: benchmark_vllm.py, benchmark_vllm_concurrency.py.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