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sz w:val="56"/>
        </w:rPr>
        <w:t>Regional Issues Report</w:t>
        <w:br/>
      </w:r>
    </w:p>
    <w:p>
      <w:pPr>
        <w:jc w:val="center"/>
      </w:pPr>
      <w:r>
        <w:t>Mini Group / Eleven Degrees Consulting</w:t>
      </w:r>
    </w:p>
    <w:p>
      <w:pPr>
        <w:jc w:val="center"/>
      </w:pPr>
      <w:r>
        <w:t>Project: Eastleigh May 2025</w:t>
      </w:r>
    </w:p>
    <w:p>
      <w:pPr>
        <w:jc w:val="center"/>
      </w:pPr>
      <w:r>
        <w:t xml:space="preserve">Region: </w:t>
      </w:r>
    </w:p>
    <w:p>
      <w:pPr>
        <w:jc w:val="center"/>
      </w:pPr>
      <w:r>
        <w:t>Date: June 30, 2025</w:t>
      </w:r>
    </w:p>
    <w:p>
      <w:r>
        <w:br w:type="page"/>
      </w:r>
    </w:p>
    <w:p>
      <w:pPr>
        <w:jc w:val="left"/>
      </w:pPr>
      <w:r>
        <w:fldChar w:fldCharType="begin"/>
        <w:instrText>TOC \o "1-2" \h \z \u</w:instrText>
        <w:fldChar w:fldCharType="separate"/>
        <w:fldChar w:fldCharType="end"/>
      </w:r>
    </w:p>
    <w:p>
      <w:r>
        <w:br w:type="page"/>
      </w:r>
    </w:p>
    <w:p>
      <w:pPr>
        <w:pStyle w:val="Heading1"/>
      </w:pPr>
      <w:r>
        <w:t>Executive Summary</w:t>
      </w:r>
    </w:p>
    <w:p>
      <w:pPr>
        <w:jc w:val="left"/>
      </w:pPr>
      <w:r>
        <w:rPr>
          <w:sz w:val="22"/>
        </w:rPr>
        <w:t>This report covers 48 issue(s) reported in the selected region.</w:t>
        <w:br/>
      </w:r>
      <w:r>
        <w:t xml:space="preserve"> - High severity: 7 issue(s)</w:t>
        <w:br/>
      </w:r>
      <w:r>
        <w:t xml:space="preserve"> - Medium severity: 19 issue(s)</w:t>
        <w:br/>
      </w:r>
      <w:r>
        <w:t xml:space="preserve"> - Low severity: 22 issue(s)</w:t>
        <w:br/>
      </w:r>
      <w:r>
        <w:br/>
        <w:t>Estimated total cost impact: $1,071,127.75</w:t>
        <w:br/>
      </w:r>
    </w:p>
    <w:p/>
    <w:p>
      <w:pPr>
        <w:pStyle w:val="Heading1"/>
      </w:pPr>
      <w:r>
        <w:t>Branch: UNKNOWN</w:t>
      </w:r>
    </w:p>
    <w:p>
      <w:r>
        <w:rPr>
          <w:b/>
        </w:rPr>
        <w:t xml:space="preserve">Start Date: </w:t>
      </w:r>
      <w:r>
        <w:t>2025-05-14</w:t>
      </w:r>
    </w:p>
    <w:p/>
    <w:p>
      <w:pPr>
        <w:pStyle w:val="Heading2"/>
      </w:pPr>
      <w:r>
        <w:t>Issue: Physical Stock Take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 xml:space="preserve">Issue: Bread  Weight 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Bread Damages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Debtors'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$922,268.00</w:t>
            </w:r>
          </w:p>
        </w:tc>
      </w:tr>
    </w:tbl>
    <w:p/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Packing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Vehicle Fuel Consumption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$25,811.00</w:t>
            </w:r>
          </w:p>
        </w:tc>
      </w:tr>
    </w:tbl>
    <w:p/>
    <w:p/>
    <w:p>
      <w:pPr>
        <w:pStyle w:val="Heading2"/>
      </w:pPr>
      <w:r>
        <w:t>Issue: Physical Stock Take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Bread Weight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Damages sent to Ingredients’ Balance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$1,603.25</w:t>
            </w:r>
          </w:p>
        </w:tc>
      </w:tr>
    </w:tbl>
    <w:p/>
    <w:p/>
    <w:p>
      <w:pPr>
        <w:pStyle w:val="Heading2"/>
      </w:pPr>
      <w:r>
        <w:t xml:space="preserve">Issue: Bread Damages Analysis 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$71,006.50</w:t>
            </w:r>
          </w:p>
        </w:tc>
      </w:tr>
    </w:tbl>
    <w:p/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Stock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$14,043.00</w:t>
            </w:r>
          </w:p>
        </w:tc>
      </w:tr>
    </w:tbl>
    <w:p/>
    <w:p/>
    <w:p>
      <w:pPr>
        <w:pStyle w:val="Heading2"/>
      </w:pPr>
      <w:r>
        <w:t>Issue: Bread weight check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Damages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Mixing charts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Cash verification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$10,860.00</w:t>
            </w:r>
          </w:p>
        </w:tc>
      </w:tr>
    </w:tbl>
    <w:p/>
    <w:p/>
    <w:p>
      <w:pPr>
        <w:pStyle w:val="Heading2"/>
      </w:pPr>
      <w:r>
        <w:t>Issue: Packaging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$25,536.00</w:t>
            </w:r>
          </w:p>
        </w:tc>
      </w:tr>
    </w:tbl>
    <w:p/>
    <w:p/>
    <w:p>
      <w:pPr>
        <w:pStyle w:val="Heading2"/>
      </w:pPr>
      <w:r>
        <w:t>Issue: Delivery vehicle fuel efficiency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Generator fuel efficiency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Physical Stock Take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Cash Verification.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Bread weight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Bread damages Percentage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Damages sent to Ingredients’ Balance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Packing Efficiency.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Mini shop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Vehicles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Debtors’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Generator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Physical Stock Take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Mixing Chart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Cash Verification.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Bread weight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Bread damages Percentage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high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Production Efficiency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Packing Efficiency.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Mini shop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Vehicles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medium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Debtors’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Generator Fuel Consumption Analysis.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p>
      <w:pPr>
        <w:pStyle w:val="Heading2"/>
      </w:pPr>
      <w:r>
        <w:t>Issue: Damages sent to Ingredients’ Balance Analysis</w:t>
      </w:r>
    </w:p>
    <w:p>
      <w:r>
        <w:t>Issue Metadata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7200"/>
        <w:gridCol w:w="7200"/>
      </w:tblGrid>
      <w:tr>
        <w:tc>
          <w:tcPr>
            <w:tcW w:type="dxa" w:w="7200"/>
          </w:tcPr>
          <w:p>
            <w:r>
              <w:t>Severity</w:t>
            </w:r>
          </w:p>
        </w:tc>
        <w:tc>
          <w:tcPr>
            <w:tcW w:type="dxa" w:w="7200"/>
          </w:tcPr>
          <w:p>
            <w:r>
              <w:t>low</w:t>
            </w:r>
          </w:p>
        </w:tc>
      </w:tr>
      <w:tr>
        <w:tc>
          <w:tcPr>
            <w:tcW w:type="dxa" w:w="7200"/>
          </w:tcPr>
          <w:p>
            <w:r>
              <w:t>Cost Impact</w:t>
            </w:r>
          </w:p>
        </w:tc>
        <w:tc>
          <w:tcPr>
            <w:tcW w:type="dxa" w:w="7200"/>
          </w:tcPr>
          <w:p>
            <w:r>
              <w:t>$0.00</w:t>
            </w:r>
          </w:p>
        </w:tc>
      </w:tr>
    </w:tbl>
    <w:p/>
    <w:p/>
    <w:sectPr w:rsidR="00FC693F" w:rsidRPr="0006063C" w:rsidSect="00034616">
      <w:headerReference w:type="default" r:id="rId9"/>
      <w:footerReference w:type="default" r:id="rId10"/>
      <w:pgSz w:w="1584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280"/>
      <w:gridCol w:w="5280"/>
      <w:gridCol w:w="5280"/>
    </w:tblGrid>
    <w:tr>
      <w:tc>
        <w:tcPr>
          <w:tcW w:type="dxa" w:w="4320"/>
        </w:tcPr>
        <w:p>
          <w:r>
            <w:rPr>
              <w:i/>
            </w:rPr>
            <w:t xml:space="preserve">Regional Issues Report – </w:t>
          </w:r>
        </w:p>
      </w:tc>
      <w:tc>
        <w:tcPr>
          <w:tcW w:type="dxa" w:w="7200"/>
        </w:tcPr>
        <w:p>
          <w:pPr>
            <w:jc w:val="center"/>
          </w:pPr>
        </w:p>
      </w:tc>
      <w:tc>
        <w:tcPr>
          <w:tcW w:type="dxa" w:w="4320"/>
        </w:tcPr>
        <w:p>
          <w:pPr>
            <w:jc w:val="right"/>
          </w:pPr>
          <w:r>
            <w:rPr>
              <w:sz w:val="18"/>
            </w:rPr>
            <w:fldChar w:fldCharType="begin"/>
            <w:instrText>PAGE</w:instrText>
            <w:fldChar w:fldCharType="separate"/>
            <w:fldChar w:fldCharType="end"/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ayout w:type="fixed"/>
      <w:tblLook w:firstColumn="1" w:firstRow="1" w:lastColumn="0" w:lastRow="0" w:noHBand="0" w:noVBand="1" w:val="04A0"/>
    </w:tblPr>
    <w:tblGrid>
      <w:gridCol w:w="5280"/>
      <w:gridCol w:w="5280"/>
      <w:gridCol w:w="5280"/>
    </w:tblGrid>
    <w:tr>
      <w:tc>
        <w:tcPr>
          <w:tcW w:type="dxa" w:w="4320"/>
        </w:tcPr>
        <w:p>
          <w:r>
            <w:drawing>
              <wp:inline xmlns:a="http://schemas.openxmlformats.org/drawingml/2006/main" xmlns:pic="http://schemas.openxmlformats.org/drawingml/2006/picture">
                <wp:extent cx="1097280" cy="84974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inigroup_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84974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7200"/>
        </w:tcPr>
        <w:p>
          <w:pPr>
            <w:jc w:val="center"/>
          </w:pPr>
          <w:r>
            <w:rPr>
              <w:b/>
            </w:rPr>
            <w:t>Eastleigh May 2025 – UNKNOWN</w:t>
          </w:r>
        </w:p>
      </w:tc>
      <w:tc>
        <w:tcPr>
          <w:tcW w:type="dxa" w:w="4320"/>
        </w:tcPr>
        <w:p>
          <w:pPr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97280" cy="777954"/>
                <wp:docPr id="2" name="Picture 2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minigroup.png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7280" cy="777954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Calibri" w:hAnsi="Calibr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Calibri" w:hAnsi="Calibr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