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sz w:val="56"/>
        </w:rPr>
        <w:t>Regional Issues Report</w:t>
        <w:br/>
      </w:r>
    </w:p>
    <w:p>
      <w:pPr>
        <w:jc w:val="center"/>
      </w:pPr>
      <w:r>
        <w:t>Mini Group / Eleven Degrees Consulting</w:t>
      </w:r>
    </w:p>
    <w:p>
      <w:pPr>
        <w:jc w:val="center"/>
      </w:pPr>
      <w:r>
        <w:t>Project: Akiyda Mombasa - April 2025</w:t>
      </w:r>
    </w:p>
    <w:p>
      <w:pPr>
        <w:jc w:val="center"/>
      </w:pPr>
      <w:r>
        <w:t>Region: Mombasa</w:t>
      </w:r>
    </w:p>
    <w:p>
      <w:pPr>
        <w:jc w:val="center"/>
      </w:pPr>
      <w:r>
        <w:t>Date: July 03, 2025</w:t>
      </w:r>
    </w:p>
    <w:p>
      <w:r>
        <w:br w:type="page"/>
      </w:r>
    </w:p>
    <w:p>
      <w:pPr>
        <w:jc w:val="left"/>
      </w:pPr>
      <w:r>
        <w:fldChar w:fldCharType="begin"/>
        <w:instrText>TOC \o "1-2" \h \z \u</w:instrText>
        <w:fldChar w:fldCharType="separate"/>
        <w:fldChar w:fldCharType="end"/>
      </w:r>
    </w:p>
    <w:p>
      <w:r>
        <w:br w:type="page"/>
      </w:r>
    </w:p>
    <w:p>
      <w:pPr>
        <w:pStyle w:val="Heading1"/>
      </w:pPr>
      <w:r>
        <w:t>Executive Summary</w:t>
      </w:r>
    </w:p>
    <w:p>
      <w:pPr>
        <w:jc w:val="left"/>
      </w:pPr>
      <w:r>
        <w:rPr>
          <w:sz w:val="22"/>
        </w:rPr>
        <w:t>This report covers 2 issue(s) reported in the selected region.</w:t>
        <w:br/>
      </w:r>
      <w:r>
        <w:t xml:space="preserve"> - High severity: 2 issue(s)</w:t>
        <w:br/>
      </w:r>
      <w:r>
        <w:t xml:space="preserve"> - Medium severity: 0 issue(s)</w:t>
        <w:br/>
      </w:r>
      <w:r>
        <w:t xml:space="preserve"> - Low severity: 0 issue(s)</w:t>
        <w:br/>
      </w:r>
      <w:r>
        <w:br/>
        <w:t>Estimated total cost impact: $0.00</w:t>
        <w:br/>
      </w:r>
    </w:p>
    <w:p/>
    <w:p>
      <w:pPr>
        <w:pStyle w:val="Heading1"/>
      </w:pPr>
      <w:r>
        <w:t>Branch: Mombasa</w:t>
      </w:r>
    </w:p>
    <w:p>
      <w:r>
        <w:rPr>
          <w:b/>
        </w:rPr>
        <w:t xml:space="preserve">Start Date: </w:t>
      </w:r>
      <w:r>
        <w:t>2025-04-01</w:t>
      </w:r>
    </w:p>
    <w:p>
      <w:r>
        <w:rPr>
          <w:b/>
        </w:rPr>
        <w:t xml:space="preserve">Branch Manager: </w:t>
      </w:r>
      <w:r>
        <w:t>Mr. Nyawa Tsuma</w:t>
      </w:r>
    </w:p>
    <w:p>
      <w:r>
        <w:rPr>
          <w:b/>
        </w:rPr>
        <w:t xml:space="preserve">Operations Manager: </w:t>
      </w:r>
      <w:r>
        <w:t>Mr. Mohammad Nasrullah</w:t>
      </w:r>
    </w:p>
    <w:p>
      <w:r>
        <w:rPr>
          <w:b/>
        </w:rPr>
        <w:t xml:space="preserve">Supervisor: </w:t>
      </w:r>
      <w:r>
        <w:t>Mr. Mohammed</w:t>
      </w:r>
    </w:p>
    <w:p/>
    <w:p>
      <w:pPr>
        <w:pStyle w:val="Heading2"/>
      </w:pPr>
      <w:r>
        <w:t>Issue: Mileage Analysis</w:t>
      </w:r>
    </w:p>
    <w:tbl>
      <w:tblPr>
        <w:tblStyle w:val="TableGrid"/>
        <w:tblW w:type="auto" w:w="0"/>
        <w:tblLayout w:type="fixed"/>
        <w:tblLook w:firstColumn="1" w:firstRow="1" w:lastColumn="0" w:lastRow="0" w:noHBand="0" w:noVBand="1" w:val="04A0"/>
      </w:tblPr>
      <w:tblGrid>
        <w:gridCol w:w="750"/>
        <w:gridCol w:w="13650"/>
      </w:tblGrid>
      <w:tr>
        <w:tc>
          <w:tcPr>
            <w:tcW w:type="dxa" w:w="7200"/>
          </w:tcPr>
          <w:p>
            <w:r>
              <w:rPr>
                <w:b/>
              </w:rPr>
              <w:t>Issue Title</w:t>
            </w:r>
          </w:p>
        </w:tc>
        <w:tc>
          <w:tcPr>
            <w:tcW w:type="dxa" w:w="7200"/>
          </w:tcPr>
          <w:p>
            <w:r>
              <w:t>Mileage Analysis</w:t>
            </w:r>
          </w:p>
        </w:tc>
      </w:tr>
      <w:tr>
        <w:tc>
          <w:tcPr>
            <w:tcW w:type="dxa" w:w="7200"/>
          </w:tcPr>
          <w:p>
            <w:r>
              <w:rPr>
                <w:b/>
              </w:rPr>
              <w:t>Severity</w:t>
            </w:r>
          </w:p>
        </w:tc>
        <w:tc>
          <w:tcPr>
            <w:tcW w:type="dxa" w:w="7200"/>
          </w:tcPr>
          <w:p>
            <w:r>
              <w:t>High</w:t>
            </w:r>
          </w:p>
        </w:tc>
      </w:tr>
      <w:tr>
        <w:tc>
          <w:tcPr>
            <w:tcW w:type="dxa" w:w="7200"/>
          </w:tcPr>
          <w:p>
            <w:r>
              <w:rPr>
                <w:b/>
              </w:rPr>
              <w:t>Description</w:t>
            </w:r>
          </w:p>
        </w:tc>
        <w:tc>
          <w:tcPr>
            <w:tcW w:type="dxa" w:w="7200"/>
          </w:tcPr>
          <w:p>
            <w:r>
              <w:t>Findings.· Analysis of motor vehicle fuel purchase and usage was done to assess compliance to company policies.On 3 April 2025, it was noted that the Manager was not the one fueling the vehicle.</w:t>
            </w:r>
          </w:p>
        </w:tc>
      </w:tr>
      <w:tr>
        <w:tc>
          <w:tcPr>
            <w:tcW w:type="dxa" w:w="7200"/>
          </w:tcPr>
          <w:p>
            <w:r>
              <w:rPr>
                <w:b/>
              </w:rPr>
              <w:t>Implication</w:t>
            </w:r>
          </w:p>
        </w:tc>
        <w:tc>
          <w:tcPr>
            <w:tcW w:type="dxa" w:w="7200"/>
          </w:tcPr>
          <w:p/>
        </w:tc>
      </w:tr>
      <w:tr>
        <w:tc>
          <w:tcPr>
            <w:tcW w:type="dxa" w:w="7200"/>
          </w:tcPr>
          <w:p>
            <w:r>
              <w:rPr>
                <w:b/>
              </w:rPr>
              <w:t>Cost Impact</w:t>
            </w:r>
          </w:p>
        </w:tc>
        <w:tc>
          <w:tcPr>
            <w:tcW w:type="dxa" w:w="7200"/>
          </w:tcPr>
          <w:p>
            <w:r>
              <w:t>$0.00</w:t>
            </w:r>
          </w:p>
        </w:tc>
      </w:tr>
      <w:tr>
        <w:tc>
          <w:tcPr>
            <w:tcW w:type="dxa" w:w="7200"/>
          </w:tcPr>
          <w:p>
            <w:r>
              <w:rPr>
                <w:b/>
              </w:rPr>
              <w:t>Mgmt Comment 1</w:t>
            </w:r>
          </w:p>
        </w:tc>
        <w:tc>
          <w:tcPr>
            <w:tcW w:type="dxa" w:w="7200"/>
          </w:tcPr>
          <w:p/>
        </w:tc>
      </w:tr>
      <w:tr>
        <w:tc>
          <w:tcPr>
            <w:tcW w:type="dxa" w:w="7200"/>
          </w:tcPr>
          <w:p>
            <w:r>
              <w:rPr>
                <w:b/>
              </w:rPr>
              <w:t>Mgmt Comment 2</w:t>
            </w:r>
          </w:p>
        </w:tc>
        <w:tc>
          <w:tcPr>
            <w:tcW w:type="dxa" w:w="7200"/>
          </w:tcPr>
          <w:p/>
        </w:tc>
      </w:tr>
      <w:tr>
        <w:tc>
          <w:tcPr>
            <w:tcW w:type="dxa" w:w="7200"/>
          </w:tcPr>
          <w:p>
            <w:r>
              <w:rPr>
                <w:b/>
              </w:rPr>
              <w:t>Recommendation</w:t>
            </w:r>
          </w:p>
        </w:tc>
        <w:tc>
          <w:tcPr>
            <w:tcW w:type="dxa" w:w="7200"/>
          </w:tcPr>
          <w:p>
            <w:r>
              <w:t>Manager should be responsible for fueling the vehicle in order to monitor fuel efficiency effectively.</w:t>
            </w:r>
          </w:p>
        </w:tc>
      </w:tr>
      <w:tr>
        <w:tc>
          <w:tcPr>
            <w:tcW w:type="dxa" w:w="7200"/>
          </w:tcPr>
          <w:p>
            <w:r>
              <w:rPr>
                <w:b/>
              </w:rPr>
              <w:t>Additional Table</w:t>
            </w:r>
          </w:p>
        </w:tc>
        <w:tc>
          <w:tcPr>
            <w:tcW w:type="dxa" w:w="7200"/>
          </w:tcPr>
          <w:p/>
        </w:tc>
      </w:tr>
    </w:tbl>
    <w:p/>
    <w:p>
      <w:pPr>
        <w:pStyle w:val="Heading2"/>
      </w:pPr>
      <w:r>
        <w:t>Issue: Fuel Consumption (Generator)</w:t>
      </w:r>
    </w:p>
    <w:tbl>
      <w:tblPr>
        <w:tblStyle w:val="TableGrid"/>
        <w:tblW w:type="auto" w:w="0"/>
        <w:tblLayout w:type="fixed"/>
        <w:tblLook w:firstColumn="1" w:firstRow="1" w:lastColumn="0" w:lastRow="0" w:noHBand="0" w:noVBand="1" w:val="04A0"/>
      </w:tblPr>
      <w:tblGrid>
        <w:gridCol w:w="695"/>
        <w:gridCol w:w="13705"/>
      </w:tblGrid>
      <w:tr>
        <w:tc>
          <w:tcPr>
            <w:tcW w:type="dxa" w:w="7200"/>
          </w:tcPr>
          <w:p>
            <w:r>
              <w:rPr>
                <w:b/>
              </w:rPr>
              <w:t>Issue Title</w:t>
            </w:r>
          </w:p>
        </w:tc>
        <w:tc>
          <w:tcPr>
            <w:tcW w:type="dxa" w:w="7200"/>
          </w:tcPr>
          <w:p>
            <w:r>
              <w:t>Fuel Consumption (Generator)</w:t>
            </w:r>
          </w:p>
        </w:tc>
      </w:tr>
      <w:tr>
        <w:tc>
          <w:tcPr>
            <w:tcW w:type="dxa" w:w="7200"/>
          </w:tcPr>
          <w:p>
            <w:r>
              <w:rPr>
                <w:b/>
              </w:rPr>
              <w:t>Severity</w:t>
            </w:r>
          </w:p>
        </w:tc>
        <w:tc>
          <w:tcPr>
            <w:tcW w:type="dxa" w:w="7200"/>
          </w:tcPr>
          <w:p>
            <w:r>
              <w:t>High</w:t>
            </w:r>
          </w:p>
        </w:tc>
      </w:tr>
      <w:tr>
        <w:tc>
          <w:tcPr>
            <w:tcW w:type="dxa" w:w="7200"/>
          </w:tcPr>
          <w:p>
            <w:r>
              <w:rPr>
                <w:b/>
              </w:rPr>
              <w:t>Description</w:t>
            </w:r>
          </w:p>
        </w:tc>
        <w:tc>
          <w:tcPr>
            <w:tcW w:type="dxa" w:w="7200"/>
          </w:tcPr>
          <w:p>
            <w:r>
              <w:t>Findings.· Fuel consumption tests were carried out to determine if set consumption standards for sales vans were adhered to.· Standard fuel consumption for the branch generator was 26.6l/hr.· Generator fuel consumption from 01/04/2025 – 15/04/2025 is analyzed on the below table.· It was noted that the Manager filled the Generator fuel tank to brim without getting the exact number of litres to refill from KAF. Details Qty. Opening balance (ltrs) Full tank+60 Closing balance (ltrs) Full tank +120 Purchases (ltrs) 340 Time run (Engine Hours) (3,317.67 – 3,308.33) 9.34 Fuel consumed (ltrs) 280 Consumption/hrs. (Ltrs/hr.) 29.98 ImplicationThe generator consumption was higher than the set standards. The 29.98 liters per hour is higher than the expected rate by 3.38l/hr.</w:t>
            </w:r>
          </w:p>
        </w:tc>
      </w:tr>
      <w:tr>
        <w:tc>
          <w:tcPr>
            <w:tcW w:type="dxa" w:w="7200"/>
          </w:tcPr>
          <w:p>
            <w:r>
              <w:rPr>
                <w:b/>
              </w:rPr>
              <w:t>Implication</w:t>
            </w:r>
          </w:p>
        </w:tc>
        <w:tc>
          <w:tcPr>
            <w:tcW w:type="dxa" w:w="7200"/>
          </w:tcPr>
          <w:p/>
        </w:tc>
      </w:tr>
      <w:tr>
        <w:tc>
          <w:tcPr>
            <w:tcW w:type="dxa" w:w="7200"/>
          </w:tcPr>
          <w:p>
            <w:r>
              <w:rPr>
                <w:b/>
              </w:rPr>
              <w:t>Cost Impact</w:t>
            </w:r>
          </w:p>
        </w:tc>
        <w:tc>
          <w:tcPr>
            <w:tcW w:type="dxa" w:w="7200"/>
          </w:tcPr>
          <w:p>
            <w:r>
              <w:t>$0.00</w:t>
            </w:r>
          </w:p>
        </w:tc>
      </w:tr>
      <w:tr>
        <w:tc>
          <w:tcPr>
            <w:tcW w:type="dxa" w:w="7200"/>
          </w:tcPr>
          <w:p>
            <w:r>
              <w:rPr>
                <w:b/>
              </w:rPr>
              <w:t>Mgmt Comment 1</w:t>
            </w:r>
          </w:p>
        </w:tc>
        <w:tc>
          <w:tcPr>
            <w:tcW w:type="dxa" w:w="7200"/>
          </w:tcPr>
          <w:p/>
        </w:tc>
      </w:tr>
      <w:tr>
        <w:tc>
          <w:tcPr>
            <w:tcW w:type="dxa" w:w="7200"/>
          </w:tcPr>
          <w:p>
            <w:r>
              <w:rPr>
                <w:b/>
              </w:rPr>
              <w:t>Mgmt Comment 2</w:t>
            </w:r>
          </w:p>
        </w:tc>
        <w:tc>
          <w:tcPr>
            <w:tcW w:type="dxa" w:w="7200"/>
          </w:tcPr>
          <w:p/>
        </w:tc>
      </w:tr>
      <w:tr>
        <w:tc>
          <w:tcPr>
            <w:tcW w:type="dxa" w:w="7200"/>
          </w:tcPr>
          <w:p>
            <w:r>
              <w:rPr>
                <w:b/>
              </w:rPr>
              <w:t>Recommendation</w:t>
            </w:r>
          </w:p>
        </w:tc>
        <w:tc>
          <w:tcPr>
            <w:tcW w:type="dxa" w:w="7200"/>
          </w:tcPr>
          <w:p>
            <w:r>
              <w:t>· The manager should refill the generator as per KAF reports.</w:t>
            </w:r>
          </w:p>
        </w:tc>
      </w:tr>
      <w:tr>
        <w:tc>
          <w:tcPr>
            <w:tcW w:type="dxa" w:w="7200"/>
          </w:tcPr>
          <w:p>
            <w:r>
              <w:rPr>
                <w:b/>
              </w:rPr>
              <w:t>Additional Table</w:t>
            </w:r>
          </w:p>
        </w:tc>
        <w:tc>
          <w:tcPr>
            <w:tcW w:type="dxa" w:w="7200"/>
          </w:tcPr>
          <w:p/>
        </w:tc>
      </w:tr>
    </w:tbl>
    <w:p/>
    <w:sectPr w:rsidR="00FC693F" w:rsidRPr="0006063C" w:rsidSect="00034616">
      <w:headerReference w:type="default" r:id="rId9"/>
      <w:pgSz w:w="15840" w:h="122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ayout w:type="fixed"/>
      <w:tblLook w:firstColumn="1" w:firstRow="1" w:lastColumn="0" w:lastRow="0" w:noHBand="0" w:noVBand="1" w:val="04A0"/>
    </w:tblPr>
    <w:tblGrid>
      <w:gridCol w:w="5280"/>
      <w:gridCol w:w="5280"/>
      <w:gridCol w:w="5280"/>
    </w:tblGrid>
    <w:tr>
      <w:tc>
        <w:tcPr>
          <w:tcW w:type="dxa" w:w="4320"/>
        </w:tcPr>
        <w:p>
          <w:r>
            <w:drawing>
              <wp:inline xmlns:a="http://schemas.openxmlformats.org/drawingml/2006/main" xmlns:pic="http://schemas.openxmlformats.org/drawingml/2006/picture">
                <wp:extent cx="1097280" cy="849745"/>
                <wp:docPr id="1" name="Picture 1"/>
                <wp:cNvGraphicFramePr>
                  <a:graphicFrameLocks noChangeAspect="1"/>
                </wp:cNvGraphicFramePr>
                <a:graphic>
                  <a:graphicData uri="http://schemas.openxmlformats.org/drawingml/2006/picture">
                    <pic:pic>
                      <pic:nvPicPr>
                        <pic:cNvPr id="0" name="minigroup_logo.png"/>
                        <pic:cNvPicPr/>
                      </pic:nvPicPr>
                      <pic:blipFill>
                        <a:blip r:embed="rId1"/>
                        <a:stretch>
                          <a:fillRect/>
                        </a:stretch>
                      </pic:blipFill>
                      <pic:spPr>
                        <a:xfrm>
                          <a:off x="0" y="0"/>
                          <a:ext cx="1097280" cy="849745"/>
                        </a:xfrm>
                        <a:prstGeom prst="rect"/>
                      </pic:spPr>
                    </pic:pic>
                  </a:graphicData>
                </a:graphic>
              </wp:inline>
            </w:drawing>
          </w:r>
        </w:p>
      </w:tc>
      <w:tc>
        <w:tcPr>
          <w:tcW w:type="dxa" w:w="7200"/>
        </w:tcPr>
        <w:p>
          <w:pPr>
            <w:jc w:val="center"/>
          </w:pPr>
          <w:r>
            <w:rPr>
              <w:b/>
            </w:rPr>
            <w:t>Akiyda Mombasa - April 2025 – Mombasa</w:t>
          </w:r>
        </w:p>
      </w:tc>
      <w:tc>
        <w:tcPr>
          <w:tcW w:type="dxa" w:w="4320"/>
        </w:tcPr>
        <w:p>
          <w:pPr>
            <w:jc w:val="right"/>
          </w:pPr>
          <w:r>
            <w:drawing>
              <wp:inline xmlns:a="http://schemas.openxmlformats.org/drawingml/2006/main" xmlns:pic="http://schemas.openxmlformats.org/drawingml/2006/picture">
                <wp:extent cx="1097280" cy="777954"/>
                <wp:docPr id="2" name="Picture 2"/>
                <wp:cNvGraphicFramePr>
                  <a:graphicFrameLocks noChangeAspect="1"/>
                </wp:cNvGraphicFramePr>
                <a:graphic>
                  <a:graphicData uri="http://schemas.openxmlformats.org/drawingml/2006/picture">
                    <pic:pic>
                      <pic:nvPicPr>
                        <pic:cNvPr id="0" name="minigroup.png"/>
                        <pic:cNvPicPr/>
                      </pic:nvPicPr>
                      <pic:blipFill>
                        <a:blip r:embed="rId2"/>
                        <a:stretch>
                          <a:fillRect/>
                        </a:stretch>
                      </pic:blipFill>
                      <pic:spPr>
                        <a:xfrm>
                          <a:off x="0" y="0"/>
                          <a:ext cx="1097280" cy="777954"/>
                        </a:xfrm>
                        <a:prstGeom prst="rect"/>
                      </pic:spPr>
                    </pic:pic>
                  </a:graphicData>
                </a:graphic>
              </wp:inline>
            </w:drawing>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Calibri" w:hAnsi="Calibr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Calibri" w:hAnsi="Calibri"/>
      <w:b/>
      <w:bCs/>
      <w:color w:val="4F81BD" w:themeColor="accent1"/>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