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Stage 3 visual retrieval model comparison</w:t>
      </w:r>
    </w:p>
    <w:p>
      <w:pPr>
        <w:pStyle w:val="Subtitle"/>
      </w:pPr>
      <w:r>
        <w:t>P09  |  Karim Khabibrakhmanov  |  Colab execution 14 October 2026</w:t>
      </w:r>
    </w:p>
    <w:p>
      <w:r>
        <w:t>We added DINOv2 ViT-B/14 and supervised DeiT-B/16 to the shared image retrieval pipeline and evaluated all four pretrained models in one Tesla T4 session. DINOv2 B/14 achieved the highest test Precision@5 (0.9064). DINOv2 and DeiT-B scored 0.9064 and 0.8752, respectively, on all 3,669 test queries.</w:t>
      </w:r>
    </w:p>
    <w:p>
      <w:pPr>
        <w:pStyle w:val="Heading1"/>
      </w:pPr>
      <w:r>
        <w:t>Implementation and evaluation protocol</w:t>
      </w:r>
    </w:p>
    <w:p>
      <w:r>
        <w:t>The system returns the five gallery images with the highest cosine similarity to an input image. The new adapters use the original DINOv2 ViT-B/14 backbone without register tokens and the non-distilled ImageNet-1k DeiT-B/16 with its classification head removed. Both return 768-dimensional CLS embeddings; the existing DINO-S and DeiT-S return 384 dimensions. All backbones remain frozen, run in evaluation mode and use L2-normalized features. We performed no training or fine-tuning.</w:t>
      </w:r>
    </w:p>
    <w:p>
      <w:r>
        <w:t>Oxford-IIIT Pet includes 7,349 images from all 37 breeds. We reused the Stage 2 manifest: 1,840 gallery images and 1,840 validation queries from the official trainval split, with stratification by breed, sorted image IDs and seed 42; all 3,669 official test images remain in the test partition. The three partitions are disjoint. Every image is converted to RGB, resized with bicubic interpolation to a 256-pixel shorter side, center-cropped to 224 × 224 and normalized with ImageNet statistics. No random augmentation is used.</w:t>
      </w:r>
    </w:p>
    <w:p>
      <w:r>
        <w:t>A retrieved image is relevant when it has the same breed as the query. Precision@K divides relevant top-K results by K; Recall@K divides them by all same-breed gallery images; Hit@5 records whether at least one top-5 result is relevant. We average over every query and use breed labels only for evaluation. The 200-query sample is used only for latency.</w:t>
      </w:r>
    </w:p>
    <w:p>
      <w:pPr>
        <w:pStyle w:val="Heading1"/>
      </w:pPr>
      <w:r>
        <w:t>Retrieval quality</w:t>
      </w:r>
    </w:p>
    <w:tbl>
      <w:tblPr>
        <w:tblW w:type="auto" w:w="0"/>
        <w:jc w:val="center"/>
        <w:tblLayout w:type="fixed"/>
        <w:tblLook w:firstColumn="1" w:firstRow="1" w:lastColumn="0" w:lastRow="0" w:noHBand="0" w:noVBand="1" w:val="04A0"/>
      </w:tblPr>
      <w:tblGrid>
        <w:gridCol w:w="2376"/>
        <w:gridCol w:w="1483"/>
        <w:gridCol w:w="1483"/>
        <w:gridCol w:w="1483"/>
        <w:gridCol w:w="1483"/>
        <w:gridCol w:w="1915"/>
      </w:tblGrid>
      <w:tr>
        <w:trPr>
          <w:tblHeader/>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left"/>
            </w:pPr>
            <w:r>
              <w:rPr>
                <w:b/>
                <w:sz w:val="20"/>
              </w:rPr>
              <w:t>Model</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Test P@5</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Test P@10</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Test R@5</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Test R@10</w:t>
            </w:r>
          </w:p>
        </w:tc>
        <w:tc>
          <w:tcPr>
            <w:tcW w:type="dxa" w:w="19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Test Hit@5</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DINO S/16</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0.8416</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0.8156</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0.0847</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0.1641</w:t>
            </w:r>
          </w:p>
        </w:tc>
        <w:tc>
          <w:tcPr>
            <w:tcW w:type="dxa" w:w="19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0.9747</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DeiT S/16</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0.8665</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0.8527</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0.0872</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0.1716</w:t>
            </w:r>
          </w:p>
        </w:tc>
        <w:tc>
          <w:tcPr>
            <w:tcW w:type="dxa" w:w="19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0.9692</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DINOv2 B/14</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0.9064</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0.8881</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0.0912</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0.1787</w:t>
            </w:r>
          </w:p>
        </w:tc>
        <w:tc>
          <w:tcPr>
            <w:tcW w:type="dxa" w:w="19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0.9820</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DeiT B/16</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0.8752</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0.8604</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0.0880</w:t>
            </w:r>
          </w:p>
        </w:tc>
        <w:tc>
          <w:tcPr>
            <w:tcW w:type="dxa" w:w="148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0.1731</w:t>
            </w:r>
          </w:p>
        </w:tc>
        <w:tc>
          <w:tcPr>
            <w:tcW w:type="dxa" w:w="19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0.9678</w:t>
            </w:r>
          </w:p>
        </w:tc>
      </w:tr>
    </w:tbl>
    <w:p>
      <w:pPr>
        <w:spacing w:after="0"/>
      </w:pPr>
    </w:p>
    <w:tbl>
      <w:tblPr>
        <w:tblW w:type="auto" w:w="0"/>
        <w:jc w:val="center"/>
        <w:tblLayout w:type="fixed"/>
        <w:tblLook w:firstColumn="1" w:firstRow="1" w:lastColumn="0" w:lastRow="0" w:noHBand="0" w:noVBand="1" w:val="04A0"/>
      </w:tblPr>
      <w:tblGrid>
        <w:gridCol w:w="3600"/>
        <w:gridCol w:w="3312"/>
        <w:gridCol w:w="3312"/>
      </w:tblGrid>
      <w:tr>
        <w:trPr>
          <w:tblHeader/>
        </w:trP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left"/>
            </w:pPr>
            <w:r>
              <w:rPr>
                <w:b/>
                <w:sz w:val="20"/>
              </w:rPr>
              <w:t>Model</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Validation P@5</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Validation Hit@5</w:t>
            </w:r>
          </w:p>
        </w:tc>
      </w:tr>
      <w:t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DINO S/16</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0.8609</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0.9826</w:t>
            </w:r>
          </w:p>
        </w:tc>
      </w:tr>
      <w:t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DeiT S/16</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0.8883</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0.9859</w:t>
            </w:r>
          </w:p>
        </w:tc>
      </w:tr>
      <w:t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DINOv2 B/14</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0.9112</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0.9848</w:t>
            </w:r>
          </w:p>
        </w:tc>
      </w:tr>
      <w:t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DeiT B/16</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0.8939</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0.9875</w:t>
            </w:r>
          </w:p>
        </w:tc>
      </w:tr>
    </w:tbl>
    <w:p>
      <w:pPr>
        <w:spacing w:after="0"/>
      </w:pPr>
    </w:p>
    <w:p>
      <w:r>
        <w:br w:type="page"/>
      </w:r>
    </w:p>
    <w:p>
      <w:pPr>
        <w:pStyle w:val="Heading1"/>
      </w:pPr>
      <w:r>
        <w:t>Runtime measurements</w:t>
      </w:r>
    </w:p>
    <w:p>
      <w:r>
        <w:t>All measurements use the same Tesla T4, FP32 precision, PyTorch 2.11.0+cu130, CUDA 13.0, batch size 64 and two data-loader workers. We repeated timing three times per model, rotated model order and used identical 200 test query IDs in every repeat. The table reports the median across three repetitions; query values are medians over the 200 individual requests within each repetition.</w:t>
      </w:r>
    </w:p>
    <w:tbl>
      <w:tblPr>
        <w:tblW w:type="auto" w:w="0"/>
        <w:jc w:val="center"/>
        <w:tblLayout w:type="fixed"/>
        <w:tblLook w:firstColumn="1" w:firstRow="1" w:lastColumn="0" w:lastRow="0" w:noHBand="0" w:noVBand="1" w:val="04A0"/>
      </w:tblPr>
      <w:tblGrid>
        <w:gridCol w:w="2376"/>
        <w:gridCol w:w="2376"/>
        <w:gridCol w:w="2952"/>
        <w:gridCol w:w="2520"/>
      </w:tblGrid>
      <w:tr>
        <w:trPr>
          <w:tblHeader/>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left"/>
            </w:pPr>
            <w:r>
              <w:rPr>
                <w:b/>
                <w:sz w:val="20"/>
              </w:rPr>
              <w:t>Model</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Gallery build s</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Query embedding ms</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F1"/>
          </w:tcPr>
          <w:p>
            <w:pPr>
              <w:spacing w:after="0" w:line="252" w:lineRule="auto"/>
              <w:jc w:val="center"/>
            </w:pPr>
            <w:r>
              <w:rPr>
                <w:b/>
                <w:sz w:val="20"/>
              </w:rPr>
              <w:t>Top 5 search ms</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DINO S/16</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13.207</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6.100</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0.226</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DeiT S/16</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13.192</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5.082</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0.225</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DINOv2 B/14</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30.597</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18.859</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0.264</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left"/>
            </w:pPr>
            <w:r>
              <w:rPr>
                <w:b w:val="0"/>
                <w:sz w:val="20"/>
              </w:rPr>
              <w:t>DeiT B/16</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22.807</w:t>
            </w:r>
          </w:p>
        </w:tc>
        <w:tc>
          <w:tcPr>
            <w:tcW w:type="dxa" w:w="29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12.544</w:t>
            </w:r>
          </w:p>
        </w:tc>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52" w:lineRule="auto"/>
              <w:jc w:val="center"/>
            </w:pPr>
            <w:r>
              <w:rPr>
                <w:b w:val="0"/>
                <w:sz w:val="20"/>
              </w:rPr>
              <w:t>0.254</w:t>
            </w:r>
          </w:p>
        </w:tc>
      </w:tr>
    </w:tbl>
    <w:p>
      <w:pPr>
        <w:spacing w:after="0"/>
      </w:pPr>
    </w:p>
    <w:p>
      <w:r>
        <w:t>Gallery build timing includes image loading, preprocessing, forward passes, L2 normalization and transfer to a host array, with a warmed file cache; saving to disk is excluded. Query embedding includes the host-to-device copy, inference and normalization. Search includes exact cosine top-5 ranking and return of result indices to the host. Image decoding and preprocessing are measured separately. CUDA synchronization and warm-up precede timed work. Cached embeddings are never reused for these timings.</w:t>
      </w:r>
    </w:p>
    <w:p>
      <w:pPr>
        <w:pStyle w:val="Heading1"/>
      </w:pPr>
      <w:r>
        <w:t>Validation and reproducibility</w:t>
      </w:r>
    </w:p>
    <w:p>
      <w:r>
        <w:t>All 15 tests passed on Colab. Both new encoders passed real pretrained-weight checks for feature shape, finite values, unit norm, frozen parameters and the shared retrieval interface. The final coverage check verified all gallery, validation and test embedding IDs, feature dimensions and top-10 ranking arrays for all four models. The split manifest reproduced exactly and matched its saved SHA-256 hash.</w:t>
      </w:r>
    </w:p>
    <w:p>
      <w:r>
        <w:t>The evidence archive contains the exact source ZIP and file hashes, pinned dependencies, actual environment and GPU versions, full quality JSON files, all twelve timing records, normalized embeddings, rankings and validation retrieval examples. The executed notebook preserves cell outputs. To reproduce the run, select a T4 GPU, upload the supplied source ZIP through Colab’s Files panel and run the notebook from top to bottom; download the result ZIP before ending the session.</w:t>
      </w:r>
    </w:p>
    <w:p>
      <w:pPr>
        <w:pStyle w:val="Heading1"/>
      </w:pPr>
      <w:r>
        <w:t>Interpretation and remaining work</w:t>
      </w:r>
    </w:p>
    <w:p>
      <w:r>
        <w:t>DINOv2’s test Precision@5 differs from DeiT-B by +3.12 percentage points, while its query embedding time is 1.50 times as long under this fixed protocol. Model size, patch size and pretraining data also differ, so the result alone does not isolate the effect of self-supervised learning. Timings reflect these implementations; DINOv2 ran without the optional xFormers package. Breed agreement is a proxy for similarity. The test partition had already been evaluated in Stage 2; we kept the agreed settings fixed for this run.</w:t>
      </w:r>
    </w:p>
    <w:p>
      <w:r>
        <w:t>Karim implemented and checked the two additional models, the full Colab run and repeated timing. Azamat supplied the original dataset split, shared retrieval code and small-model baselines. Aslan owns the next comparison checkpoint and final analysis, including at least three failed retrieval examples; Danil owns the project plan, final technical summary, slides and demo. The shared Gradio demo and the final failure analysis remain later team deliverables.</w:t>
      </w:r>
    </w:p>
    <w:p>
      <w:r>
        <w:rPr>
          <w:sz w:val="18"/>
        </w:rPr>
        <w:t>Evidence run stage3_20261014T133616Z_a1af85</w:t>
        <w:br/>
        <w:t>Split SHA-256 82f40e25888189aba46d1c1ff2c74894284c1ff7fa50362026c8abbea0ec9f80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