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KITE LOGIK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OSS Feature Inventory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Complete feature inventory with code review status</w:t>
      </w:r>
    </w:p>
    <w:p>
      <w:pPr>
        <w:spacing w:before="3000"/>
      </w:pPr>
    </w:p>
    <w:p>
      <w:pPr>
        <w:pBdr>
          <w:top w:val="single" w:color="2563EB" w:sz="2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Internal Document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Tether (Policy Engine)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PolicyGate</w:t>
      </w:r>
      <w:r>
        <w:rPr>
          <w:rFonts w:ascii="Arial" w:cs="Arial" w:eastAsia="Arial" w:hAnsi="Arial"/>
          <w:sz w:val="22"/>
          <w:szCs w:val="22"/>
        </w:rPr>
        <w:t xml:space="preserve"> — Three-stage enforcement pipeline: credential validation → schema validation → OPA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OPAClient</w:t>
      </w:r>
      <w:r>
        <w:rPr>
          <w:rFonts w:ascii="Arial" w:cs="Arial" w:eastAsia="Arial" w:hAnsi="Arial"/>
          <w:sz w:val="22"/>
          <w:szCs w:val="22"/>
        </w:rPr>
        <w:t xml:space="preserve"> — Async HTTP client with fail-closed behavior (deny-all when OPA unreachable); URL scheme validation at init; narrowed exception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Sanitizer</w:t>
      </w:r>
      <w:r>
        <w:rPr>
          <w:rFonts w:ascii="Arial" w:cs="Arial" w:eastAsia="Arial" w:hAnsi="Arial"/>
          <w:sz w:val="22"/>
          <w:szCs w:val="22"/>
        </w:rPr>
        <w:t xml:space="preserve"> — Detects and redacts 10 indirect prompt injection patterns in tool output; NFKC unicode normalization for zero-width character bypass prevention; ReDoS-resistant regex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Event Model</w:t>
      </w:r>
      <w:r>
        <w:rPr>
          <w:rFonts w:ascii="Arial" w:cs="Arial" w:eastAsia="Arial" w:hAnsi="Arial"/>
          <w:sz w:val="22"/>
          <w:szCs w:val="22"/>
        </w:rPr>
        <w:t xml:space="preserve"> — Unified types with Literal-typed event_type: tool_call, agent.spawn, agent.delegate, agent.plan, agent.budget, data_access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Tier Classification</w:t>
      </w:r>
      <w:r>
        <w:rPr>
          <w:rFonts w:ascii="Arial" w:cs="Arial" w:eastAsia="Arial" w:hAnsi="Arial"/>
          <w:sz w:val="22"/>
          <w:szCs w:val="22"/>
        </w:rPr>
        <w:t xml:space="preserve"> — Informational / Operational / Transactional / Destructive / Security-Critical</w:t>
      </w:r>
    </w:p>
    <w:p>
      <w:pPr>
        <w:pStyle w:val="Heading1"/>
      </w:pPr>
      <w:r>
        <w:t xml:space="preserve">Sandbox (Isolation)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SandboxManager</w:t>
      </w:r>
      <w:r>
        <w:rPr>
          <w:rFonts w:ascii="Arial" w:cs="Arial" w:eastAsia="Arial" w:hAnsi="Arial"/>
          <w:sz w:val="22"/>
          <w:szCs w:val="22"/>
        </w:rPr>
        <w:t xml:space="preserve"> — Per-session container lifecycle (spawn, exec, teardown); guaranteed cleanup via finally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DockerRuntime</w:t>
      </w:r>
      <w:r>
        <w:rPr>
          <w:rFonts w:ascii="Arial" w:cs="Arial" w:eastAsia="Arial" w:hAnsi="Arial"/>
          <w:sz w:val="22"/>
          <w:szCs w:val="22"/>
        </w:rPr>
        <w:t xml:space="preserve"> — Hardened containers: 256MB RAM, 50% CPU, 64 procs, read-only FS, cap-drop, no-new-privileges; all hardening flags unconditional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Isolation</w:t>
      </w:r>
      <w:r>
        <w:rPr>
          <w:rFonts w:ascii="Arial" w:cs="Arial" w:eastAsia="Arial" w:hAnsi="Arial"/>
          <w:sz w:val="22"/>
          <w:szCs w:val="22"/>
        </w:rPr>
        <w:t xml:space="preserve"> — ISOLATED (no network) or ALLOWLIST (named bridge per session)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gVisor Support</w:t>
      </w:r>
      <w:r>
        <w:rPr>
          <w:rFonts w:ascii="Arial" w:cs="Arial" w:eastAsia="Arial" w:hAnsi="Arial"/>
          <w:sz w:val="22"/>
          <w:szCs w:val="22"/>
        </w:rPr>
        <w:t xml:space="preserve"> — runsc runtime via SANDBOX_RUNTIME env var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Firecracker Extension Point</w:t>
      </w:r>
      <w:r>
        <w:rPr>
          <w:rFonts w:ascii="Arial" w:cs="Arial" w:eastAsia="Arial" w:hAnsi="Arial"/>
          <w:sz w:val="22"/>
          <w:szCs w:val="22"/>
        </w:rPr>
        <w:t xml:space="preserve"> — Enterprise plugin hook for MicroVM runtime</w:t>
      </w:r>
    </w:p>
    <w:p>
      <w:pPr>
        <w:pStyle w:val="Heading1"/>
      </w:pPr>
      <w:r>
        <w:t xml:space="preserve">Anchor (HITL + Credentials)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CredentialBroker</w:t>
      </w:r>
      <w:r>
        <w:rPr>
          <w:rFonts w:ascii="Arial" w:cs="Arial" w:eastAsia="Arial" w:hAnsi="Arial"/>
          <w:sz w:val="22"/>
          <w:szCs w:val="22"/>
        </w:rPr>
        <w:t xml:space="preserve"> — Session-scoped token issue, revoke, validate, bulk revoke; CSPRNG token generation; expiry enforced on every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PersistentCredentialBroker</w:t>
      </w:r>
      <w:r>
        <w:rPr>
          <w:rFonts w:ascii="Arial" w:cs="Arial" w:eastAsia="Arial" w:hAnsi="Arial"/>
          <w:sz w:val="22"/>
          <w:szCs w:val="22"/>
        </w:rPr>
        <w:t xml:space="preserve"> — SQLite-backed variant with WAL mode and persistence across restarts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Delegation</w:t>
      </w:r>
      <w:r>
        <w:rPr>
          <w:rFonts w:ascii="Arial" w:cs="Arial" w:eastAsia="Arial" w:hAnsi="Arial"/>
          <w:sz w:val="22"/>
          <w:szCs w:val="22"/>
        </w:rPr>
        <w:t xml:space="preserve"> — Child tokens with scopes ⊆ parent scopes, depth tracking; one-way revocation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HITLQueue</w:t>
      </w:r>
      <w:r>
        <w:rPr>
          <w:rFonts w:ascii="Arial" w:cs="Arial" w:eastAsia="Arial" w:hAnsi="Arial"/>
          <w:sz w:val="22"/>
          <w:szCs w:val="22"/>
        </w:rPr>
        <w:t xml:space="preserve"> — Async SQLite-backed queue with WAL mode: enqueue, decide (approve/deny), poll status, list pending; decisions immutable once recorded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Blocking HITL Waits</w:t>
      </w:r>
      <w:r>
        <w:rPr>
          <w:rFonts w:ascii="Arial" w:cs="Arial" w:eastAsia="Arial" w:hAnsi="Arial"/>
          <w:sz w:val="22"/>
          <w:szCs w:val="22"/>
        </w:rPr>
        <w:t xml:space="preserve"> — asyncio.Event-based blocking for agent sessions awaiting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Anchor API</w:t>
      </w:r>
      <w:r>
        <w:rPr>
          <w:rFonts w:ascii="Arial" w:cs="Arial" w:eastAsia="Arial" w:hAnsi="Arial"/>
          <w:sz w:val="22"/>
          <w:szCs w:val="22"/>
        </w:rPr>
        <w:t xml:space="preserve"> — Input validation on all endpoints, narrowed exception handlers, sanitized error messages</w:t>
      </w:r>
    </w:p>
    <w:p>
      <w:pPr>
        <w:pStyle w:val="Heading1"/>
      </w:pPr>
      <w:r>
        <w:t xml:space="preserve">Memory (Agent Memory with Provenance)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MemoryStore</w:t>
      </w:r>
      <w:r>
        <w:rPr>
          <w:rFonts w:ascii="Arial" w:cs="Arial" w:eastAsia="Arial" w:hAnsi="Arial"/>
          <w:sz w:val="22"/>
          <w:szCs w:val="22"/>
        </w:rPr>
        <w:t xml:space="preserve"> — SQLite key-value store with WAL mode and trust tier metadata (INTERNAL / DELEGATED / EXTERNAL / UNTRUSTED)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Automatic Sanitization</w:t>
      </w:r>
      <w:r>
        <w:rPr>
          <w:rFonts w:ascii="Arial" w:cs="Arial" w:eastAsia="Arial" w:hAnsi="Arial"/>
          <w:sz w:val="22"/>
          <w:szCs w:val="22"/>
        </w:rPr>
        <w:t xml:space="preserve"> — External/untrusted/delegated sources sanitized on write; no bypass 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Provenance Tracking</w:t>
      </w:r>
      <w:r>
        <w:rPr>
          <w:rFonts w:ascii="Arial" w:cs="Arial" w:eastAsia="Arial" w:hAnsi="Arial"/>
          <w:sz w:val="22"/>
          <w:szCs w:val="22"/>
        </w:rPr>
        <w:t xml:space="preserve"> — Every entry carries source, session ID, trust tier, timestamps</w:t>
      </w:r>
    </w:p>
    <w:p>
      <w:pPr>
        <w:pStyle w:val="Heading1"/>
      </w:pPr>
      <w:r>
        <w:t xml:space="preserve">Observability (OpenTelemetry)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Tracer Setup</w:t>
      </w:r>
      <w:r>
        <w:rPr>
          <w:rFonts w:ascii="Arial" w:cs="Arial" w:eastAsia="Arial" w:hAnsi="Arial"/>
          <w:sz w:val="22"/>
          <w:szCs w:val="22"/>
        </w:rPr>
        <w:t xml:space="preserve"> — Configurable pipeline: in-memory ring buffer (500 spans) + optional OTLP/file export; no raw prompt/args in spans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Span Metrics</w:t>
      </w:r>
      <w:r>
        <w:rPr>
          <w:rFonts w:ascii="Arial" w:cs="Arial" w:eastAsia="Arial" w:hAnsi="Arial"/>
          <w:sz w:val="22"/>
          <w:szCs w:val="22"/>
        </w:rPr>
        <w:t xml:space="preserve"> — Per-stage latency, session correlation, policy decision attributes (metadata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SIEMWebhook</w:t>
      </w:r>
      <w:r>
        <w:rPr>
          <w:rFonts w:ascii="Arial" w:cs="Arial" w:eastAsia="Arial" w:hAnsi="Arial"/>
          <w:sz w:val="22"/>
          <w:szCs w:val="22"/>
        </w:rPr>
        <w:t xml:space="preserve"> — Fire-and-forget event emitter with retry/backoff for Splunk HEC, Elastic, generic JSON; URL scheme validation; no credential leakage in payloads</w:t>
      </w:r>
    </w:p>
    <w:p>
      <w:r>
        <w:br w:type="page"/>
      </w:r>
    </w:p>
    <w:p>
      <w:pPr>
        <w:pStyle w:val="Heading1"/>
      </w:pPr>
      <w:r>
        <w:t xml:space="preserve">MCP (Model Context Protocol)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MCPClient</w:t>
      </w:r>
      <w:r>
        <w:rPr>
          <w:rFonts w:ascii="Arial" w:cs="Arial" w:eastAsia="Arial" w:hAnsi="Arial"/>
          <w:sz w:val="22"/>
          <w:szCs w:val="22"/>
        </w:rPr>
        <w:t xml:space="preserve"> — Async JSON-RPC 2.0 tool executor with governance validation; narrowed exception handlers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Supply Chain Verification</w:t>
      </w:r>
      <w:r>
        <w:rPr>
          <w:rFonts w:ascii="Arial" w:cs="Arial" w:eastAsia="Arial" w:hAnsi="Arial"/>
          <w:sz w:val="22"/>
          <w:szCs w:val="22"/>
        </w:rPr>
        <w:t xml:space="preserve"> — SHA-256 manifest hashing; blocklist on mismatch (MCPSupplyChainError)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ServerRegistry</w:t>
      </w:r>
      <w:r>
        <w:rPr>
          <w:rFonts w:ascii="Arial" w:cs="Arial" w:eastAsia="Arial" w:hAnsi="Arial"/>
          <w:sz w:val="22"/>
          <w:szCs w:val="22"/>
        </w:rPr>
        <w:t xml:space="preserve"> — Bill of Materials (registry.json) with tool → server lookup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StdioTransport</w:t>
      </w:r>
      <w:r>
        <w:rPr>
          <w:rFonts w:ascii="Arial" w:cs="Arial" w:eastAsia="Arial" w:hAnsi="Arial"/>
          <w:sz w:val="22"/>
          <w:szCs w:val="22"/>
        </w:rPr>
        <w:t xml:space="preserve"> — Subprocess-based MCP server with stdin/stdout JSON-RPC; no shell injection (create_subprocess_exec with list args); modern asyncio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Sanitization</w:t>
      </w:r>
      <w:r>
        <w:rPr>
          <w:rFonts w:ascii="Arial" w:cs="Arial" w:eastAsia="Arial" w:hAnsi="Arial"/>
          <w:sz w:val="22"/>
          <w:szCs w:val="22"/>
        </w:rPr>
        <w:t xml:space="preserve"> — All MCP responses sanitized before returning to agent context</w:t>
      </w:r>
    </w:p>
    <w:p>
      <w:pPr>
        <w:pStyle w:val="Heading1"/>
      </w:pPr>
      <w:r>
        <w:t xml:space="preserve">Gateway (Governance Gateway HTTP API)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/v1/tools/call</w:t>
      </w:r>
      <w:r>
        <w:rPr>
          <w:rFonts w:ascii="Arial" w:cs="Arial" w:eastAsia="Arial" w:hAnsi="Arial"/>
          <w:sz w:val="22"/>
          <w:szCs w:val="22"/>
        </w:rPr>
        <w:t xml:space="preserve"> — Full enforcement pipeline: auth → schema → OPA → dispatch → sanitize →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/v1/tools/list</w:t>
      </w:r>
      <w:r>
        <w:rPr>
          <w:rFonts w:ascii="Arial" w:cs="Arial" w:eastAsia="Arial" w:hAnsi="Arial"/>
          <w:sz w:val="22"/>
          <w:szCs w:val="22"/>
        </w:rPr>
        <w:t xml:space="preserve"> — Available tools with risk tiers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HITL Endpoints</w:t>
      </w:r>
      <w:r>
        <w:rPr>
          <w:rFonts w:ascii="Arial" w:cs="Arial" w:eastAsia="Arial" w:hAnsi="Arial"/>
          <w:sz w:val="22"/>
          <w:szCs w:val="22"/>
        </w:rPr>
        <w:t xml:space="preserve"> — /v1/hitl/{id}/status, /approve, /deny; input validation on all path params; sanitized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/v1/health</w:t>
      </w:r>
      <w:r>
        <w:rPr>
          <w:rFonts w:ascii="Arial" w:cs="Arial" w:eastAsia="Arial" w:hAnsi="Arial"/>
          <w:sz w:val="22"/>
          <w:szCs w:val="22"/>
        </w:rPr>
        <w:t xml:space="preserve"> — Service health + OPA connectivity + pending HITL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Fleet Management</w:t>
      </w:r>
      <w:r>
        <w:rPr>
          <w:rFonts w:ascii="Arial" w:cs="Arial" w:eastAsia="Arial" w:hAnsi="Arial"/>
          <w:sz w:val="22"/>
          <w:szCs w:val="22"/>
        </w:rPr>
        <w:t xml:space="preserve"> — /v1/fleet/status (agent count, active/killed), /v1/agents/{id}/kill (remote revocation)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Adapters</w:t>
      </w:r>
      <w:r>
        <w:rPr>
          <w:rFonts w:ascii="Arial" w:cs="Arial" w:eastAsia="Arial" w:hAnsi="Arial"/>
          <w:sz w:val="22"/>
          <w:szCs w:val="22"/>
        </w:rPr>
        <w:t xml:space="preserve"> — Gateway clients for OpenAI, Anthropic, MCP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GatewayClient</w:t>
      </w:r>
      <w:r>
        <w:rPr>
          <w:rFonts w:ascii="Arial" w:cs="Arial" w:eastAsia="Arial" w:hAnsi="Arial"/>
          <w:sz w:val="22"/>
          <w:szCs w:val="22"/>
        </w:rPr>
        <w:t xml:space="preserve"> — Async HTTP client with retry/backoff; no response body leakage in error messages</w:t>
      </w:r>
    </w:p>
    <w:p>
      <w:pPr>
        <w:pStyle w:val="Heading1"/>
      </w:pPr>
      <w:r>
        <w:t xml:space="preserve">Agents (Session &amp; Orchestration)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AgentSession</w:t>
      </w:r>
      <w:r>
        <w:rPr>
          <w:rFonts w:ascii="Arial" w:cs="Arial" w:eastAsia="Arial" w:hAnsi="Arial"/>
          <w:sz w:val="22"/>
          <w:szCs w:val="22"/>
        </w:rPr>
        <w:t xml:space="preserve"> — Core execution loop: governance checks → tool dispatch → sanitize → audit, with enforced max_iterations. Uses the Anthropic SDK (Claude) for reasoning; governance primitives are provider-agnostic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Orchestrator</w:t>
      </w:r>
      <w:r>
        <w:rPr>
          <w:rFonts w:ascii="Arial" w:cs="Arial" w:eastAsia="Arial" w:hAnsi="Arial"/>
          <w:sz w:val="22"/>
          <w:szCs w:val="22"/>
        </w:rPr>
        <w:t xml:space="preserve"> — Multi-agent delegation: delegate() (serial) and delegate_parallel() (fan-out). Uses AgentSession internally (Claude-coupled); delegation governance primitives are provider-agnostic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Delegation Invariants</w:t>
      </w:r>
      <w:r>
        <w:rPr>
          <w:rFonts w:ascii="Arial" w:cs="Arial" w:eastAsia="Arial" w:hAnsi="Arial"/>
          <w:sz w:val="22"/>
          <w:szCs w:val="22"/>
        </w:rPr>
        <w:t xml:space="preserve"> — Scope narrowing, depth tracking, parent-child session chaining; all output sanitized before agent context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AgentRegistry</w:t>
      </w:r>
      <w:r>
        <w:rPr>
          <w:rFonts w:ascii="Arial" w:cs="Arial" w:eastAsia="Arial" w:hAnsi="Arial"/>
          <w:sz w:val="22"/>
          <w:szCs w:val="22"/>
        </w:rPr>
        <w:t xml:space="preserve"> — Durable agent identity store with register, lookup, kill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Mode</w:t>
      </w:r>
      <w:r>
        <w:rPr>
          <w:rFonts w:ascii="Arial" w:cs="Arial" w:eastAsia="Arial" w:hAnsi="Arial"/>
          <w:sz w:val="22"/>
          <w:szCs w:val="22"/>
        </w:rPr>
        <w:t xml:space="preserve"> — Direct (in-process PolicyGate) or Gateway (remote enforcement)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 Tools</w:t>
      </w:r>
      <w:r>
        <w:rPr>
          <w:rFonts w:ascii="Arial" w:cs="Arial" w:eastAsia="Arial" w:hAnsi="Arial"/>
          <w:sz w:val="22"/>
          <w:szCs w:val="22"/>
        </w:rPr>
        <w:t xml:space="preserve"> — read_customer_record, approve_refund, send_notification, read_file, execute_code, query/write_memory</w:t>
      </w:r>
    </w:p>
    <w:p>
      <w:pPr>
        <w:pStyle w:val="Heading1"/>
      </w:pPr>
      <w:r>
        <w:t xml:space="preserve">Audit (Immutable Log)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AuditStore</w:t>
      </w:r>
      <w:r>
        <w:rPr>
          <w:rFonts w:ascii="Arial" w:cs="Arial" w:eastAsia="Arial" w:hAnsi="Arial"/>
          <w:sz w:val="22"/>
          <w:szCs w:val="22"/>
        </w:rPr>
        <w:t xml:space="preserve"> — SQLite append-only log with WAL mode and SQL trigger enforcement (no UPDATE/DELETE); all queries parameterized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Version Tracking</w:t>
      </w:r>
      <w:r>
        <w:rPr>
          <w:rFonts w:ascii="Arial" w:cs="Arial" w:eastAsia="Arial" w:hAnsi="Arial"/>
          <w:sz w:val="22"/>
          <w:szCs w:val="22"/>
        </w:rPr>
        <w:t xml:space="preserve"> — SHA-256 hash of all .rego files recorded per decision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 Export</w:t>
      </w:r>
      <w:r>
        <w:rPr>
          <w:rFonts w:ascii="Arial" w:cs="Arial" w:eastAsia="Arial" w:hAnsi="Arial"/>
          <w:sz w:val="22"/>
          <w:szCs w:val="22"/>
        </w:rPr>
        <w:t xml:space="preserve"> — Compliance report with integrity 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PolicyReplayer</w:t>
      </w:r>
      <w:r>
        <w:rPr>
          <w:rFonts w:ascii="Arial" w:cs="Arial" w:eastAsia="Arial" w:hAnsi="Arial"/>
          <w:sz w:val="22"/>
          <w:szCs w:val="22"/>
        </w:rPr>
        <w:t xml:space="preserve"> — Re-evaluate historical records against current policy to detect regressions; read-only (no mutations during replay)</w:t>
      </w:r>
    </w:p>
    <w:p>
      <w:r>
        <w:br w:type="page"/>
      </w:r>
    </w:p>
    <w:p>
      <w:pPr>
        <w:pStyle w:val="Heading1"/>
      </w:pPr>
      <w:r>
        <w:t xml:space="preserve">Dashboard (Real-time UI)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Event Streaming</w:t>
      </w:r>
      <w:r>
        <w:rPr>
          <w:rFonts w:ascii="Arial" w:cs="Arial" w:eastAsia="Arial" w:hAnsi="Arial"/>
          <w:sz w:val="22"/>
          <w:szCs w:val="22"/>
        </w:rPr>
        <w:t xml:space="preserve"> — Bidirectional stream with in-memory buffer (500) + SQLite persistence (1000); wss:// auto-detection; 300s idle timeout; memory leak fix on replay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REST Endpoints</w:t>
      </w:r>
      <w:r>
        <w:rPr>
          <w:rFonts w:ascii="Arial" w:cs="Arial" w:eastAsia="Arial" w:hAnsi="Arial"/>
          <w:sz w:val="22"/>
          <w:szCs w:val="22"/>
        </w:rPr>
        <w:t xml:space="preserve"> — Health, liveness probe, HITL queue, memory browser, trace viewer, CSV session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CORS middleware, optional bearer token auth, CSP + security response headers, CSRF protection, input validation on all endpoints, URL path encoding, error message sanitization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</w:t>
      </w:r>
      <w:r>
        <w:rPr>
          <w:rFonts w:ascii="Arial" w:cs="Arial" w:eastAsia="Arial" w:hAnsi="Arial"/>
          <w:sz w:val="22"/>
          <w:szCs w:val="22"/>
        </w:rPr>
        <w:t xml:space="preserve"> — Real-time event stream, HITL approve/deny UI with button rate limiting, trace waterfalls, memory browser; XSS-safe DOM construction; WebSocket message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Quality</w:t>
      </w:r>
      <w:r>
        <w:rPr>
          <w:rFonts w:ascii="Arial" w:cs="Arial" w:eastAsia="Arial" w:hAnsi="Arial"/>
          <w:sz w:val="22"/>
          <w:szCs w:val="22"/>
        </w:rPr>
        <w:t xml:space="preserve"> — Parameterized SQL, SQLite WAL mode, narrow exception handlers, configurable constants via env vars, no deprecated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Deployment</w:t>
      </w:r>
      <w:r>
        <w:rPr>
          <w:rFonts w:ascii="Arial" w:cs="Arial" w:eastAsia="Arial" w:hAnsi="Arial"/>
          <w:sz w:val="22"/>
          <w:szCs w:val="22"/>
        </w:rPr>
        <w:t xml:space="preserve"> — Separate liveness/readiness probes, graceful shutdown via lifespan, localhost-only Docker port binding, resource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Mode</w:t>
      </w:r>
      <w:r>
        <w:rPr>
          <w:rFonts w:ascii="Arial" w:cs="Arial" w:eastAsia="Arial" w:hAnsi="Arial"/>
          <w:sz w:val="22"/>
          <w:szCs w:val="22"/>
        </w:rPr>
        <w:t xml:space="preserve"> — Demo (owns HITL directly) or Gateway (proxies to external Gateway)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Coverage</w:t>
      </w:r>
      <w:r>
        <w:rPr>
          <w:rFonts w:ascii="Arial" w:cs="Arial" w:eastAsia="Arial" w:hAnsi="Arial"/>
          <w:sz w:val="22"/>
          <w:szCs w:val="22"/>
        </w:rPr>
        <w:t xml:space="preserve"> — 44 tests covering all endpoints, input validation, auth, CSRF, security headers</w:t>
      </w:r>
    </w:p>
    <w:p>
      <w:pPr>
        <w:pStyle w:val="Heading1"/>
      </w:pPr>
      <w:r>
        <w:t xml:space="preserve">SDK (kitelogik package)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@governed Decorator</w:t>
      </w:r>
      <w:r>
        <w:rPr>
          <w:rFonts w:ascii="Arial" w:cs="Arial" w:eastAsia="Arial" w:hAnsi="Arial"/>
          <w:sz w:val="22"/>
          <w:szCs w:val="22"/>
        </w:rPr>
        <w:t xml:space="preserve"> — Wraps sync/async functions with policy gate enforcement; no bypass path to underlying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GovernedToolbox</w:t>
      </w:r>
      <w:r>
        <w:rPr>
          <w:rFonts w:ascii="Arial" w:cs="Arial" w:eastAsia="Arial" w:hAnsi="Arial"/>
          <w:sz w:val="22"/>
          <w:szCs w:val="22"/>
        </w:rPr>
        <w:t xml:space="preserve"> — Framework-agnostic tool registry with governance-before-dispatch; return values sanitized. Supports plan-before-execute evaluation via evaluate_plan() for composite policy enforcement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 Adapters</w:t>
      </w:r>
      <w:r>
        <w:rPr>
          <w:rFonts w:ascii="Arial" w:cs="Arial" w:eastAsia="Arial" w:hAnsi="Arial"/>
          <w:sz w:val="22"/>
          <w:szCs w:val="22"/>
        </w:rPr>
        <w:t xml:space="preserve"> — OpenAI, Anthropic/Claude, LangChain, LangGraph, CrewAI, OpenAI Agents SDK. All adapters are LLM-agnostic at the governance layer; they translate framework tool formats to the PolicyGate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</w:t>
      </w:r>
      <w:r>
        <w:rPr>
          <w:rFonts w:ascii="Arial" w:cs="Arial" w:eastAsia="Arial" w:hAnsi="Arial"/>
          <w:sz w:val="22"/>
          <w:szCs w:val="22"/>
        </w:rPr>
        <w:t xml:space="preserve"> — kitelogik validate, test, check, version; no command injection (list-form subprocess calls)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Tester</w:t>
      </w:r>
      <w:r>
        <w:rPr>
          <w:rFonts w:ascii="Arial" w:cs="Arial" w:eastAsia="Arial" w:hAnsi="Arial"/>
          <w:sz w:val="22"/>
          <w:szCs w:val="22"/>
        </w:rPr>
        <w:t xml:space="preserve"> — Interactive Rego development tool (python -m kitelogik.policy_tester)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Edition Detection</w:t>
      </w:r>
      <w:r>
        <w:rPr>
          <w:rFonts w:ascii="Arial" w:cs="Arial" w:eastAsia="Arial" w:hAnsi="Arial"/>
          <w:sz w:val="22"/>
          <w:szCs w:val="22"/>
        </w:rPr>
        <w:t xml:space="preserve"> — Plugin system for enterprise extensions via standard entry points</w:t>
      </w:r>
    </w:p>
    <w:p>
      <w:pPr>
        <w:pStyle w:val="Heading1"/>
      </w:pPr>
      <w:r>
        <w:t xml:space="preserve">Policies (OPA Rego)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 [REVIEWED]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 Policies (8): </w:t>
      </w:r>
      <w:r>
        <w:rPr>
          <w:rFonts w:ascii="Arial" w:cs="Arial" w:eastAsia="Arial" w:hAnsi="Arial"/>
          <w:sz w:val="22"/>
          <w:szCs w:val="22"/>
        </w:rPr>
        <w:t xml:space="preserve">main, security, delegation, financial, agent_lifecycle, agent_plan, agent_budget, data_classification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Policy Library (5): </w:t>
      </w:r>
      <w:r>
        <w:rPr>
          <w:rFonts w:ascii="Arial" w:cs="Arial" w:eastAsia="Arial" w:hAnsi="Arial"/>
          <w:sz w:val="22"/>
          <w:szCs w:val="22"/>
        </w:rPr>
        <w:t xml:space="preserve">tool_allowlist, pii_protection, read_only, cost_cap, rate_limiting — each with OPA unit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Default-deny everywhere, </w:t>
      </w:r>
      <w:r>
        <w:rPr>
          <w:rFonts w:ascii="Arial" w:cs="Arial" w:eastAsia="Arial" w:hAnsi="Arial"/>
          <w:sz w:val="22"/>
          <w:szCs w:val="22"/>
        </w:rPr>
        <w:t xml:space="preserve">hard-deny overrides (every allow guarded by not deny), HITL escalation rules, role-based thresholds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194 OPA tests</w:t>
      </w:r>
      <w:r>
        <w:rPr>
          <w:rFonts w:ascii="Arial" w:cs="Arial" w:eastAsia="Arial" w:hAnsi="Arial"/>
          <w:sz w:val="22"/>
          <w:szCs w:val="22"/>
        </w:rPr>
        <w:t xml:space="preserve"> all passing</w:t>
      </w:r>
    </w:p>
    <w:p>
      <w:pPr>
        <w:pStyle w:val="Heading1"/>
      </w:pPr>
      <w:r>
        <w:t xml:space="preserve">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535 unit tests</w:t>
      </w:r>
      <w:r>
        <w:rPr>
          <w:rFonts w:ascii="Arial" w:cs="Arial" w:eastAsia="Arial" w:hAnsi="Arial"/>
          <w:sz w:val="22"/>
          <w:szCs w:val="22"/>
        </w:rPr>
        <w:t xml:space="preserve"> across 34+ test 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Adversarial tests</w:t>
      </w:r>
      <w:r>
        <w:rPr>
          <w:rFonts w:ascii="Arial" w:cs="Arial" w:eastAsia="Arial" w:hAnsi="Arial"/>
          <w:sz w:val="22"/>
          <w:szCs w:val="22"/>
        </w:rPr>
        <w:t xml:space="preserve"> — prompt injection attempts, unicode evasion payloads, policy bypass attempts, scope violation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 tests</w:t>
      </w:r>
      <w:r>
        <w:rPr>
          <w:rFonts w:ascii="Arial" w:cs="Arial" w:eastAsia="Arial" w:hAnsi="Arial"/>
          <w:sz w:val="22"/>
          <w:szCs w:val="22"/>
        </w:rPr>
        <w:t xml:space="preserve"> — multi-tool sessions, full HITL flows, e2e with Anthropic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Benchmark</w:t>
      </w:r>
      <w:r>
        <w:rPr>
          <w:rFonts w:ascii="Arial" w:cs="Arial" w:eastAsia="Arial" w:hAnsi="Arial"/>
          <w:sz w:val="22"/>
          <w:szCs w:val="22"/>
        </w:rPr>
        <w:t xml:space="preserve"> — policy gate latency profiling</w:t>
      </w:r>
    </w:p>
    <w:p>
      <w:r>
        <w:br w:type="page"/>
      </w:r>
    </w:p>
    <w:p>
      <w:pPr>
        <w:pStyle w:val="Heading1"/>
      </w:pPr>
      <w:r>
        <w:t xml:space="preserve">Enterprise Staging (Extension Points)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enterprise capabilities are supported through the plugin extension point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Backends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storage for credentials, HITL, memory, and audit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Groups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Entry-point plugin groups: sandbox_runtime, memory_backend, hitl_backend, credential_broker, audit_backend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Firecracker MicroVM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Hardware-enforced kernel isolation (enterprise sandbox_runtime plugin)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SSO + RBAC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SAML/OIDC single sign-on with role-based access control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Exports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 2, HIPAA, FedRAMP formatted audit evidence packages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Fleet Management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Centralized control, remote kill switch, canary policy deployments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 Isolation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Namespace-isolated OPA bundles per team with central registry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SIEM Connectors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Splunk, Datadog, Elastic connectors with retry and backpressure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Kite Logik</w:t>
    </w:r>
    <w:r>
      <w:rPr>
        <w:rFonts w:ascii="Arial" w:cs="Arial" w:eastAsia="Arial" w:hAnsi="Arial"/>
        <w:color w:val="999999"/>
        <w:sz w:val="18"/>
        <w:szCs w:val="18"/>
      </w:rPr>
      <w:t xml:space="preserve">	OSS Feature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2026-04-05T20:34:19.121Z</dcterms:created>
  <dcterms:modified xsi:type="dcterms:W3CDTF">2026-04-05T20:34:19.121Z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