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KITE LOGIK</w:t>
      </w:r>
    </w:p>
    <w:p>
      <w:pPr>
        <w:spacing w:after="600"/>
        <w:jc w:val="center"/>
      </w:pPr>
      <w:r>
        <w:rPr>
          <w:rFonts w:ascii="Arial" w:cs="Arial" w:eastAsia="Arial" w:hAnsi="Arial"/>
          <w:color w:val="2563EB"/>
          <w:sz w:val="36"/>
          <w:szCs w:val="36"/>
        </w:rPr>
        <w:t xml:space="preserve">End-to-End User Flow</w:t>
      </w:r>
    </w:p>
    <w:p>
      <w:pPr>
        <w:spacing w:after="120"/>
        <w:jc w:val="center"/>
      </w:pPr>
      <w:r>
        <w:rPr>
          <w:rFonts w:ascii="Arial" w:cs="Arial" w:eastAsia="Arial" w:hAnsi="Arial"/>
          <w:i/>
          <w:iCs/>
          <w:color w:val="666666"/>
          <w:sz w:val="24"/>
          <w:szCs w:val="24"/>
        </w:rPr>
        <w:t xml:space="preserve">How a tool call travels through the governance pipeline</w:t>
      </w:r>
    </w:p>
    <w:p>
      <w:pPr>
        <w:spacing w:before="3000"/>
      </w:pPr>
    </w:p>
    <w:p>
      <w:pPr>
        <w:pBdr>
          <w:top w:val="single" w:color="2563EB" w:sz="2" w:space="8"/>
        </w:pBdr>
        <w:spacing w:before="200"/>
        <w:jc w:val="center"/>
      </w:pPr>
      <w:r>
        <w:rPr>
          <w:rFonts w:ascii="Arial" w:cs="Arial" w:eastAsia="Arial" w:hAnsi="Arial"/>
          <w:color w:val="999999"/>
          <w:sz w:val="22"/>
          <w:szCs w:val="22"/>
        </w:rPr>
        <w:t xml:space="preserve">Internal Document</w:t>
      </w:r>
    </w:p>
    <w:p>
      <w:pPr>
        <w:sectPr>
          <w:pgSz w:w="12240" w:h="15840" w:orient="portrait"/>
          <w:pgMar w:top="1440" w:right="1440" w:bottom="1440" w:left="1440" w:header="708" w:footer="708" w:gutter="0"/>
          <w:pgNumType/>
          <w:docGrid w:linePitch="360"/>
        </w:sectPr>
      </w:pPr>
    </w:p>
    <w:p>
      <w:pPr>
        <w:pStyle w:val="Heading1"/>
      </w:pPr>
      <w:r>
        <w:t xml:space="preserve">The Lifecycle at a Glance</w:t>
      </w:r>
    </w:p>
    <w:p>
      <w:pPr>
        <w:spacing w:after="120"/>
      </w:pPr>
      <w:r>
        <w:rPr>
          <w:rFonts w:ascii="Arial" w:cs="Arial" w:eastAsia="Arial" w:hAnsi="Arial"/>
          <w:sz w:val="22"/>
          <w:szCs w:val="22"/>
        </w:rPr>
        <w:t xml:space="preserve">There are five phases in the lifecycle of a governed AI agent:</w:t>
      </w:r>
    </w:p>
    <w:p>
      <w:pPr>
        <w:pStyle w:val="ListParagraph"/>
        <w:numPr>
          <w:ilvl w:val="0"/>
          <w:numId w:val="2"/>
        </w:numPr>
        <w:spacing w:after="80"/>
      </w:pPr>
      <w:r>
        <w:rPr>
          <w:rFonts w:ascii="Arial" w:cs="Arial" w:eastAsia="Arial" w:hAnsi="Arial"/>
          <w:b/>
          <w:bCs/>
          <w:sz w:val="22"/>
          <w:szCs w:val="22"/>
        </w:rPr>
        <w:t xml:space="preserve">Define</w:t>
      </w:r>
      <w:r>
        <w:rPr>
          <w:rFonts w:ascii="Arial" w:cs="Arial" w:eastAsia="Arial" w:hAnsi="Arial"/>
          <w:sz w:val="22"/>
          <w:szCs w:val="22"/>
        </w:rPr>
        <w:t xml:space="preserve"> — Write the rules that govern what agents can do</w:t>
      </w:r>
    </w:p>
    <w:p>
      <w:pPr>
        <w:pStyle w:val="ListParagraph"/>
        <w:numPr>
          <w:ilvl w:val="0"/>
          <w:numId w:val="2"/>
        </w:numPr>
        <w:spacing w:after="80"/>
      </w:pPr>
      <w:r>
        <w:rPr>
          <w:rFonts w:ascii="Arial" w:cs="Arial" w:eastAsia="Arial" w:hAnsi="Arial"/>
          <w:b/>
          <w:bCs/>
          <w:sz w:val="22"/>
          <w:szCs w:val="22"/>
        </w:rPr>
        <w:t xml:space="preserve">Provision</w:t>
      </w:r>
      <w:r>
        <w:rPr>
          <w:rFonts w:ascii="Arial" w:cs="Arial" w:eastAsia="Arial" w:hAnsi="Arial"/>
          <w:sz w:val="22"/>
          <w:szCs w:val="22"/>
        </w:rPr>
        <w:t xml:space="preserve"> — Start a session with scoped credentials and an isolated sandbox</w:t>
      </w:r>
    </w:p>
    <w:p>
      <w:pPr>
        <w:pStyle w:val="ListParagraph"/>
        <w:numPr>
          <w:ilvl w:val="0"/>
          <w:numId w:val="2"/>
        </w:numPr>
        <w:spacing w:after="80"/>
      </w:pPr>
      <w:r>
        <w:rPr>
          <w:rFonts w:ascii="Arial" w:cs="Arial" w:eastAsia="Arial" w:hAnsi="Arial"/>
          <w:b/>
          <w:bCs/>
          <w:sz w:val="22"/>
          <w:szCs w:val="22"/>
        </w:rPr>
        <w:t xml:space="preserve">Enforce</w:t>
      </w:r>
      <w:r>
        <w:rPr>
          <w:rFonts w:ascii="Arial" w:cs="Arial" w:eastAsia="Arial" w:hAnsi="Arial"/>
          <w:sz w:val="22"/>
          <w:szCs w:val="22"/>
        </w:rPr>
        <w:t xml:space="preserve"> — Every tool call is evaluated against policy before execution</w:t>
      </w:r>
    </w:p>
    <w:p>
      <w:pPr>
        <w:pStyle w:val="ListParagraph"/>
        <w:numPr>
          <w:ilvl w:val="0"/>
          <w:numId w:val="2"/>
        </w:numPr>
        <w:spacing w:after="80"/>
      </w:pPr>
      <w:r>
        <w:rPr>
          <w:rFonts w:ascii="Arial" w:cs="Arial" w:eastAsia="Arial" w:hAnsi="Arial"/>
          <w:b/>
          <w:bCs/>
          <w:sz w:val="22"/>
          <w:szCs w:val="22"/>
        </w:rPr>
        <w:t xml:space="preserve">Escalate</w:t>
      </w:r>
      <w:r>
        <w:rPr>
          <w:rFonts w:ascii="Arial" w:cs="Arial" w:eastAsia="Arial" w:hAnsi="Arial"/>
          <w:sz w:val="22"/>
          <w:szCs w:val="22"/>
        </w:rPr>
        <w:t xml:space="preserve"> — High-stakes actions pause for human review</w:t>
      </w:r>
    </w:p>
    <w:p>
      <w:pPr>
        <w:pStyle w:val="ListParagraph"/>
        <w:numPr>
          <w:ilvl w:val="0"/>
          <w:numId w:val="2"/>
        </w:numPr>
        <w:spacing w:after="80"/>
      </w:pPr>
      <w:r>
        <w:rPr>
          <w:rFonts w:ascii="Arial" w:cs="Arial" w:eastAsia="Arial" w:hAnsi="Arial"/>
          <w:b/>
          <w:bCs/>
          <w:sz w:val="22"/>
          <w:szCs w:val="22"/>
        </w:rPr>
        <w:t xml:space="preserve">Observe</w:t>
      </w:r>
      <w:r>
        <w:rPr>
          <w:rFonts w:ascii="Arial" w:cs="Arial" w:eastAsia="Arial" w:hAnsi="Arial"/>
          <w:sz w:val="22"/>
          <w:szCs w:val="22"/>
        </w:rPr>
        <w:t xml:space="preserve"> — Every decision is traced, audited, and exportable</w:t>
      </w:r>
    </w:p>
    <w:p>
      <w:pPr>
        <w:spacing w:after="120"/>
      </w:pPr>
    </w:p>
    <w:p>
      <w:pPr>
        <w:spacing w:after="120"/>
      </w:pPr>
      <w:r>
        <w:rPr>
          <w:rFonts w:ascii="Arial" w:cs="Arial" w:eastAsia="Arial" w:hAnsi="Arial"/>
          <w:sz w:val="22"/>
          <w:szCs w:val="22"/>
        </w:rPr>
        <w:t xml:space="preserve">Kite Logik’s governance layer is LLM-agnostic. The policy engine receives a tool name and arguments, evaluates them against OPA policy, and returns allow/escalate/block. It has no knowledge of which model generated the tool call. Levels 1, 2, and 4 of the integration surface work with any LLM provider — OpenAI, Anthropic, Cohere, Llama, Mistral, or any model that produces tool calls. Level 3 (AgentSession) uses the Anthropic SDK for its reasoning loop; see the Integration Levels section for details.</w:t>
      </w:r>
    </w:p>
    <w:p>
      <w:pPr>
        <w:pStyle w:val="Heading1"/>
      </w:pPr>
      <w:r>
        <w:t xml:space="preserve">Phase 1: Define the Rules</w:t>
      </w:r>
    </w:p>
    <w:p>
      <w:pPr>
        <w:pStyle w:val="Heading2"/>
      </w:pPr>
      <w:r>
        <w:t xml:space="preserve">Business Perspective</w:t>
      </w:r>
    </w:p>
    <w:p>
      <w:pPr>
        <w:spacing w:after="120"/>
      </w:pPr>
      <w:r>
        <w:rPr>
          <w:rFonts w:ascii="Arial" w:cs="Arial" w:eastAsia="Arial" w:hAnsi="Arial"/>
          <w:sz w:val="22"/>
          <w:szCs w:val="22"/>
        </w:rPr>
        <w:t xml:space="preserve">Before any agent runs, someone on your team decides what agents are allowed to do. These decisions are written as deterministic rules — not prompts, not guidelines, not system messages. They are evaluated by a policy engine (OPA) that the AI model cannot see, influence, or override.</w:t>
      </w:r>
    </w:p>
    <w:p>
      <w:pPr>
        <w:spacing w:after="120"/>
      </w:pPr>
      <w:r>
        <w:rPr>
          <w:rFonts w:ascii="Arial" w:cs="Arial" w:eastAsia="Arial" w:hAnsi="Arial"/>
          <w:sz w:val="22"/>
          <w:szCs w:val="22"/>
        </w:rPr>
        <w:t xml:space="preserve">Examples of rules you might write:</w:t>
      </w:r>
    </w:p>
    <w:p>
      <w:pPr>
        <w:pStyle w:val="ListParagraph"/>
        <w:numPr>
          <w:ilvl w:val="0"/>
          <w:numId w:val="3"/>
        </w:numPr>
        <w:spacing w:after="80"/>
      </w:pPr>
      <w:r>
        <w:rPr>
          <w:rFonts w:ascii="Arial" w:cs="Arial" w:eastAsia="Arial" w:hAnsi="Arial"/>
          <w:sz w:val="22"/>
          <w:szCs w:val="22"/>
        </w:rPr>
        <w:t xml:space="preserve">Support agents can approve refunds up to $100 without human involvement</w:t>
      </w:r>
    </w:p>
    <w:p>
      <w:pPr>
        <w:pStyle w:val="ListParagraph"/>
        <w:numPr>
          <w:ilvl w:val="0"/>
          <w:numId w:val="3"/>
        </w:numPr>
        <w:spacing w:after="80"/>
      </w:pPr>
      <w:r>
        <w:rPr>
          <w:rFonts w:ascii="Arial" w:cs="Arial" w:eastAsia="Arial" w:hAnsi="Arial"/>
          <w:sz w:val="22"/>
          <w:szCs w:val="22"/>
        </w:rPr>
        <w:t xml:space="preserve">Any refund over $1,000 requires a manager to approve it in real time</w:t>
      </w:r>
    </w:p>
    <w:p>
      <w:pPr>
        <w:pStyle w:val="ListParagraph"/>
        <w:numPr>
          <w:ilvl w:val="0"/>
          <w:numId w:val="3"/>
        </w:numPr>
        <w:spacing w:after="80"/>
      </w:pPr>
      <w:r>
        <w:rPr>
          <w:rFonts w:ascii="Arial" w:cs="Arial" w:eastAsia="Arial" w:hAnsi="Arial"/>
          <w:sz w:val="22"/>
          <w:szCs w:val="22"/>
        </w:rPr>
        <w:t xml:space="preserve">No agent can ever read files outside of /data/ regardless of role</w:t>
      </w:r>
    </w:p>
    <w:p>
      <w:pPr>
        <w:pStyle w:val="ListParagraph"/>
        <w:numPr>
          <w:ilvl w:val="0"/>
          <w:numId w:val="3"/>
        </w:numPr>
        <w:spacing w:after="80"/>
      </w:pPr>
      <w:r>
        <w:rPr>
          <w:rFonts w:ascii="Arial" w:cs="Arial" w:eastAsia="Arial" w:hAnsi="Arial"/>
          <w:sz w:val="22"/>
          <w:szCs w:val="22"/>
        </w:rPr>
        <w:t xml:space="preserve">Agents spawned by other agents cannot have more permissions than their parent</w:t>
      </w:r>
    </w:p>
    <w:p>
      <w:pPr>
        <w:pStyle w:val="ListParagraph"/>
        <w:numPr>
          <w:ilvl w:val="0"/>
          <w:numId w:val="3"/>
        </w:numPr>
        <w:spacing w:after="80"/>
      </w:pPr>
      <w:r>
        <w:rPr>
          <w:rFonts w:ascii="Arial" w:cs="Arial" w:eastAsia="Arial" w:hAnsi="Arial"/>
          <w:sz w:val="22"/>
          <w:szCs w:val="22"/>
        </w:rPr>
        <w:t xml:space="preserve">No agent session can exceed $5 in API costs</w:t>
      </w:r>
    </w:p>
    <w:p>
      <w:pPr>
        <w:pStyle w:val="ListParagraph"/>
        <w:numPr>
          <w:ilvl w:val="0"/>
          <w:numId w:val="3"/>
        </w:numPr>
        <w:spacing w:after="80"/>
      </w:pPr>
      <w:r>
        <w:rPr>
          <w:rFonts w:ascii="Arial" w:cs="Arial" w:eastAsia="Arial" w:hAnsi="Arial"/>
          <w:sz w:val="22"/>
          <w:szCs w:val="22"/>
        </w:rPr>
        <w:t xml:space="preserve">A proposed action plan containing more than 20 steps requires review</w:t>
      </w:r>
    </w:p>
    <w:p>
      <w:pPr>
        <w:pStyle w:val="ListParagraph"/>
        <w:numPr>
          <w:ilvl w:val="0"/>
          <w:numId w:val="3"/>
        </w:numPr>
        <w:spacing w:after="80"/>
      </w:pPr>
      <w:r>
        <w:rPr>
          <w:rFonts w:ascii="Arial" w:cs="Arial" w:eastAsia="Arial" w:hAnsi="Arial"/>
          <w:sz w:val="22"/>
          <w:szCs w:val="22"/>
        </w:rPr>
        <w:t xml:space="preserve">Confidential data cannot leave the primary session context</w:t>
      </w:r>
    </w:p>
    <w:p>
      <w:pPr>
        <w:pStyle w:val="Heading2"/>
      </w:pPr>
      <w:r>
        <w:t xml:space="preserve">Technical Perspective</w:t>
      </w:r>
    </w:p>
    <w:p>
      <w:pPr>
        <w:spacing w:after="120"/>
      </w:pPr>
      <w:r>
        <w:rPr>
          <w:rFonts w:ascii="Arial" w:cs="Arial" w:eastAsia="Arial" w:hAnsi="Arial"/>
          <w:sz w:val="22"/>
          <w:szCs w:val="22"/>
        </w:rPr>
        <w:t xml:space="preserve">Rules are Rego files in the policies/ directory. Each domain gets its own file. Every file starts with default allow := false — nothing is permitted unless a rule explicitly allows it. The main.rego file aggregates all domain policies into a single decision. Hard-deny rules in security.rego always win — no allow rule can override them.</w:t>
      </w:r>
    </w:p>
    <w:p>
      <w:pPr>
        <w:spacing w:after="120"/>
      </w:pPr>
      <w:r>
        <w:rPr>
          <w:rFonts w:ascii="Arial" w:cs="Arial" w:eastAsia="Arial" w:hAnsi="Arial"/>
          <w:sz w:val="22"/>
          <w:szCs w:val="22"/>
        </w:rPr>
        <w:t xml:space="preserve">Seven core policy domains are included: main, security, delegation, financial, agent_lifecycle, agent_plan, agent_budget, and data_classification. A starter library of five reusable policies (tool_allowlist, pii_protection, read_only, cost_cap, rate_limiting) is provided with OPA unit tests.</w:t>
      </w:r>
    </w:p>
    <w:p>
      <w:pPr>
        <w:spacing w:after="120"/>
      </w:pPr>
      <w:r>
        <w:rPr>
          <w:rFonts w:ascii="Arial" w:cs="Arial" w:eastAsia="Arial" w:hAnsi="Arial"/>
          <w:b/>
          <w:bCs/>
          <w:sz w:val="22"/>
          <w:szCs w:val="22"/>
        </w:rPr>
        <w:t xml:space="preserve">Files involved: </w:t>
      </w:r>
      <w:r>
        <w:rPr>
          <w:rFonts w:ascii="Arial" w:cs="Arial" w:eastAsia="Arial" w:hAnsi="Arial"/>
          <w:sz w:val="22"/>
          <w:szCs w:val="22"/>
        </w:rPr>
        <w:t xml:space="preserve">policies/*.rego, policies/library/*.rego</w:t>
      </w:r>
    </w:p>
    <w:p>
      <w:pPr>
        <w:spacing w:after="120"/>
      </w:pPr>
      <w:r>
        <w:rPr>
          <w:rFonts w:ascii="Arial" w:cs="Arial" w:eastAsia="Arial" w:hAnsi="Arial"/>
          <w:b/>
          <w:bCs/>
          <w:sz w:val="22"/>
          <w:szCs w:val="22"/>
        </w:rPr>
        <w:t xml:space="preserve">Validation: </w:t>
      </w:r>
      <w:r>
        <w:rPr>
          <w:rFonts w:ascii="Arial" w:cs="Arial" w:eastAsia="Arial" w:hAnsi="Arial"/>
          <w:sz w:val="22"/>
          <w:szCs w:val="22"/>
        </w:rPr>
        <w:t xml:space="preserve">opa test policies/ -v runs the test suite (194 tests)</w:t>
      </w:r>
    </w:p>
    <w:p>
      <w:pPr>
        <w:spacing w:after="120"/>
      </w:pPr>
      <w:r>
        <w:rPr>
          <w:rFonts w:ascii="Arial" w:cs="Arial" w:eastAsia="Arial" w:hAnsi="Arial"/>
          <w:b/>
          <w:bCs/>
          <w:sz w:val="22"/>
          <w:szCs w:val="22"/>
        </w:rPr>
        <w:t xml:space="preserve">Interactive development: </w:t>
      </w:r>
      <w:r>
        <w:rPr>
          <w:rFonts w:ascii="Arial" w:cs="Arial" w:eastAsia="Arial" w:hAnsi="Arial"/>
          <w:sz w:val="22"/>
          <w:szCs w:val="22"/>
        </w:rPr>
        <w:t xml:space="preserve">python -m kitelogik.policy_tester for live Rego editing</w:t>
      </w:r>
    </w:p>
    <w:p>
      <w:r>
        <w:br w:type="page"/>
      </w:r>
    </w:p>
    <w:p>
      <w:pPr>
        <w:pStyle w:val="Heading1"/>
      </w:pPr>
      <w:r>
        <w:t xml:space="preserve">Phase 2: Provision a Session</w:t>
      </w:r>
    </w:p>
    <w:p>
      <w:pPr>
        <w:pStyle w:val="Heading2"/>
      </w:pPr>
      <w:r>
        <w:t xml:space="preserve">Business Perspective</w:t>
      </w:r>
    </w:p>
    <w:p>
      <w:pPr>
        <w:spacing w:after="120"/>
      </w:pPr>
      <w:r>
        <w:rPr>
          <w:rFonts w:ascii="Arial" w:cs="Arial" w:eastAsia="Arial" w:hAnsi="Arial"/>
          <w:sz w:val="22"/>
          <w:szCs w:val="22"/>
        </w:rPr>
        <w:t xml:space="preserve">When an agent starts a task, it receives a temporary credential that defines exactly what it can do. This credential:</w:t>
      </w:r>
    </w:p>
    <w:p>
      <w:pPr>
        <w:pStyle w:val="ListParagraph"/>
        <w:numPr>
          <w:ilvl w:val="0"/>
          <w:numId w:val="3"/>
        </w:numPr>
        <w:spacing w:after="80"/>
      </w:pPr>
      <w:r>
        <w:rPr>
          <w:rFonts w:ascii="Arial" w:cs="Arial" w:eastAsia="Arial" w:hAnsi="Arial"/>
          <w:sz w:val="22"/>
          <w:szCs w:val="22"/>
        </w:rPr>
        <w:t xml:space="preserve">Lists the specific tools the agent can call (its “scopes”)</w:t>
      </w:r>
    </w:p>
    <w:p>
      <w:pPr>
        <w:pStyle w:val="ListParagraph"/>
        <w:numPr>
          <w:ilvl w:val="0"/>
          <w:numId w:val="3"/>
        </w:numPr>
        <w:spacing w:after="80"/>
      </w:pPr>
      <w:r>
        <w:rPr>
          <w:rFonts w:ascii="Arial" w:cs="Arial" w:eastAsia="Arial" w:hAnsi="Arial"/>
          <w:sz w:val="22"/>
          <w:szCs w:val="22"/>
        </w:rPr>
        <w:t xml:space="preserve">Expires automatically after a set time (default: 1 hour)</w:t>
      </w:r>
    </w:p>
    <w:p>
      <w:pPr>
        <w:pStyle w:val="ListParagraph"/>
        <w:numPr>
          <w:ilvl w:val="0"/>
          <w:numId w:val="3"/>
        </w:numPr>
        <w:spacing w:after="80"/>
      </w:pPr>
      <w:r>
        <w:rPr>
          <w:rFonts w:ascii="Arial" w:cs="Arial" w:eastAsia="Arial" w:hAnsi="Arial"/>
          <w:sz w:val="22"/>
          <w:szCs w:val="22"/>
        </w:rPr>
        <w:t xml:space="preserve">Is revoked immediately when the session ends — even if the session crashes</w:t>
      </w:r>
    </w:p>
    <w:p>
      <w:pPr>
        <w:pStyle w:val="ListParagraph"/>
        <w:numPr>
          <w:ilvl w:val="0"/>
          <w:numId w:val="3"/>
        </w:numPr>
        <w:spacing w:after="80"/>
      </w:pPr>
      <w:r>
        <w:rPr>
          <w:rFonts w:ascii="Arial" w:cs="Arial" w:eastAsia="Arial" w:hAnsi="Arial"/>
          <w:sz w:val="22"/>
          <w:szCs w:val="22"/>
        </w:rPr>
        <w:t xml:space="preserve">Cannot be expanded after issue — only narrowed for child agents</w:t>
      </w:r>
    </w:p>
    <w:p>
      <w:pPr>
        <w:spacing w:after="120"/>
      </w:pPr>
      <w:r>
        <w:rPr>
          <w:rFonts w:ascii="Arial" w:cs="Arial" w:eastAsia="Arial" w:hAnsi="Arial"/>
          <w:sz w:val="22"/>
          <w:szCs w:val="22"/>
        </w:rPr>
        <w:t xml:space="preserve">If the agent needs to run code, it also gets an isolated container (sandbox) with no network access, limited memory, and a read-only filesystem.</w:t>
      </w:r>
    </w:p>
    <w:p>
      <w:pPr>
        <w:pStyle w:val="Heading2"/>
      </w:pPr>
      <w:r>
        <w:t xml:space="preserve">Technical Perspective</w:t>
      </w:r>
    </w:p>
    <w:p>
      <w:pPr>
        <w:spacing w:after="120"/>
      </w:pPr>
      <w:r>
        <w:rPr>
          <w:rFonts w:ascii="Arial" w:cs="Arial" w:eastAsia="Arial" w:hAnsi="Arial"/>
          <w:sz w:val="22"/>
          <w:szCs w:val="22"/>
        </w:rPr>
        <w:t xml:space="preserve">The AgentSession.run_async() method handles provisioning through four steps:</w:t>
      </w:r>
    </w:p>
    <w:p>
      <w:pPr>
        <w:pStyle w:val="Heading3"/>
      </w:pPr>
      <w:r>
        <w:t xml:space="preserve">Step 2a — Sandbox Spawn</w:t>
      </w:r>
    </w:p>
    <w:p>
      <w:pPr>
        <w:spacing w:after="120"/>
      </w:pPr>
      <w:r>
        <w:rPr>
          <w:rFonts w:ascii="Arial" w:cs="Arial" w:eastAsia="Arial" w:hAnsi="Arial"/>
          <w:sz w:val="22"/>
          <w:szCs w:val="22"/>
        </w:rPr>
        <w:t xml:space="preserve">The container runs sleep 3600 and waits for exec commands. Resource limits are unconditional — they cannot be disabled by configuration.</w:t>
      </w:r>
    </w:p>
    <w:p>
      <w:pPr>
        <w:shd w:fill="F8F9FA" w:val="clear"/>
        <w:spacing w:after="0"/>
        <w:ind w:left="360"/>
      </w:pPr>
      <w:r>
        <w:rPr>
          <w:rFonts w:ascii="Courier New" w:cs="Courier New" w:eastAsia="Courier New" w:hAnsi="Courier New"/>
          <w:sz w:val="18"/>
          <w:szCs w:val="18"/>
        </w:rPr>
        <w:t xml:space="preserve">SandboxManager.spawn(session_id)</w:t>
      </w:r>
    </w:p>
    <w:p>
      <w:pPr>
        <w:shd w:fill="F8F9FA" w:val="clear"/>
        <w:spacing w:after="0"/>
        <w:ind w:left="360"/>
      </w:pPr>
      <w:r>
        <w:rPr>
          <w:rFonts w:ascii="Courier New" w:cs="Courier New" w:eastAsia="Courier New" w:hAnsi="Courier New"/>
          <w:sz w:val="18"/>
          <w:szCs w:val="18"/>
        </w:rPr>
        <w:t xml:space="preserve">  → DockerRuntime._sync_spawn(session_id)</w:t>
      </w:r>
    </w:p>
    <w:p>
      <w:pPr>
        <w:shd w:fill="F8F9FA" w:val="clear"/>
        <w:spacing w:after="0"/>
        <w:ind w:left="360"/>
      </w:pPr>
      <w:r>
        <w:rPr>
          <w:rFonts w:ascii="Courier New" w:cs="Courier New" w:eastAsia="Courier New" w:hAnsi="Courier New"/>
          <w:sz w:val="18"/>
          <w:szCs w:val="18"/>
        </w:rPr>
        <w:t xml:space="preserve">    → docker run --network=none --read-only --cap-drop=ALL --mem-limit=256m</w:t>
      </w:r>
    </w:p>
    <w:p>
      <w:pPr>
        <w:shd w:fill="F8F9FA" w:val="clear"/>
        <w:spacing w:after="0"/>
        <w:ind w:left="360"/>
      </w:pPr>
      <w:r>
        <w:rPr>
          <w:rFonts w:ascii="Courier New" w:cs="Courier New" w:eastAsia="Courier New" w:hAnsi="Courier New"/>
          <w:sz w:val="18"/>
          <w:szCs w:val="18"/>
        </w:rPr>
        <w:t xml:space="preserve">  → SandboxInfo(status=HEALTHY, sandbox_id=...)</w:t>
      </w:r>
    </w:p>
    <w:p>
      <w:pPr>
        <w:pStyle w:val="Heading3"/>
      </w:pPr>
      <w:r>
        <w:t xml:space="preserve">Step 2b — Governance Check: agent.spawn</w:t>
      </w:r>
    </w:p>
    <w:p>
      <w:pPr>
        <w:spacing w:after="120"/>
      </w:pPr>
      <w:r>
        <w:rPr>
          <w:rFonts w:ascii="Arial" w:cs="Arial" w:eastAsia="Arial" w:hAnsi="Arial"/>
          <w:sz w:val="22"/>
          <w:szCs w:val="22"/>
        </w:rPr>
        <w:t xml:space="preserve">Before the agent loop starts, the spawn itself is evaluated by OPA. If denied (e.g., too many active agents, or the requested scopes exceed what’s permitted), the session is torn down before it begins.</w:t>
      </w:r>
    </w:p>
    <w:p>
      <w:pPr>
        <w:pStyle w:val="Heading3"/>
      </w:pPr>
      <w:r>
        <w:t xml:space="preserve">Step 2c — Credential Issue</w:t>
      </w:r>
    </w:p>
    <w:p>
      <w:pPr>
        <w:spacing w:after="120"/>
      </w:pPr>
      <w:r>
        <w:rPr>
          <w:rFonts w:ascii="Arial" w:cs="Arial" w:eastAsia="Arial" w:hAnsi="Arial"/>
          <w:sz w:val="22"/>
          <w:szCs w:val="22"/>
        </w:rPr>
        <w:t xml:space="preserve">The token is generated using secrets.token_hex(16) (cryptographically secure). It is stored in memory or SQLite and validated on every subsequent tool call.</w:t>
      </w:r>
    </w:p>
    <w:p>
      <w:pPr>
        <w:pStyle w:val="Heading3"/>
      </w:pPr>
      <w:r>
        <w:t xml:space="preserve">Step 2d — Cleanup Guarantee</w:t>
      </w:r>
    </w:p>
    <w:p>
      <w:pPr>
        <w:spacing w:after="120"/>
      </w:pPr>
      <w:r>
        <w:rPr>
          <w:rFonts w:ascii="Arial" w:cs="Arial" w:eastAsia="Arial" w:hAnsi="Arial"/>
          <w:sz w:val="22"/>
          <w:szCs w:val="22"/>
        </w:rPr>
        <w:t xml:space="preserve">The session uses a try/finally block. The token is revoked and the container is destroyed even if the agent crashes, times out, or raises an exception. Delegated child sessions do not revoke their own token — the parent orchestrator handles child token revocation.</w:t>
      </w:r>
    </w:p>
    <w:p>
      <w:pPr>
        <w:spacing w:after="120"/>
      </w:pPr>
      <w:r>
        <w:rPr>
          <w:rFonts w:ascii="Arial" w:cs="Arial" w:eastAsia="Arial" w:hAnsi="Arial"/>
          <w:b/>
          <w:bCs/>
          <w:sz w:val="22"/>
          <w:szCs w:val="22"/>
        </w:rPr>
        <w:t xml:space="preserve">Files involved: </w:t>
      </w:r>
      <w:r>
        <w:rPr>
          <w:rFonts w:ascii="Arial" w:cs="Arial" w:eastAsia="Arial" w:hAnsi="Arial"/>
          <w:sz w:val="22"/>
          <w:szCs w:val="22"/>
        </w:rPr>
        <w:t xml:space="preserve">agents/session.py, anchor/credentials.py, sandbox/manager.py, sandbox/runtime.py</w:t>
      </w:r>
    </w:p>
    <w:p>
      <w:r>
        <w:br w:type="page"/>
      </w:r>
    </w:p>
    <w:p>
      <w:pPr>
        <w:pStyle w:val="Heading1"/>
      </w:pPr>
      <w:r>
        <w:t xml:space="preserve">Phase 3: Enforce Every Tool Call</w:t>
      </w:r>
    </w:p>
    <w:p>
      <w:pPr>
        <w:pStyle w:val="Heading2"/>
      </w:pPr>
      <w:r>
        <w:t xml:space="preserve">Business Perspective</w:t>
      </w:r>
    </w:p>
    <w:p>
      <w:pPr>
        <w:spacing w:after="120"/>
      </w:pPr>
      <w:r>
        <w:rPr>
          <w:rFonts w:ascii="Arial" w:cs="Arial" w:eastAsia="Arial" w:hAnsi="Arial"/>
          <w:sz w:val="22"/>
          <w:szCs w:val="22"/>
        </w:rPr>
        <w:t xml:space="preserve">The agent reasons about the user’s request and decides to call a tool. Before that tool function runs, the governance pipeline evaluates the call through three checks:</w:t>
      </w:r>
    </w:p>
    <w:p>
      <w:pPr>
        <w:pStyle w:val="ListParagraph"/>
        <w:numPr>
          <w:ilvl w:val="0"/>
          <w:numId w:val="2"/>
        </w:numPr>
        <w:spacing w:after="80"/>
      </w:pPr>
      <w:r>
        <w:rPr>
          <w:rFonts w:ascii="Arial" w:cs="Arial" w:eastAsia="Arial" w:hAnsi="Arial"/>
          <w:b/>
          <w:bCs/>
          <w:sz w:val="22"/>
          <w:szCs w:val="22"/>
        </w:rPr>
        <w:t xml:space="preserve">Is the credential valid?</w:t>
      </w:r>
      <w:r>
        <w:rPr>
          <w:rFonts w:ascii="Arial" w:cs="Arial" w:eastAsia="Arial" w:hAnsi="Arial"/>
          <w:sz w:val="22"/>
          <w:szCs w:val="22"/>
        </w:rPr>
        <w:t xml:space="preserve"> — Is the session token active, unexpired, and unrevoked?</w:t>
      </w:r>
    </w:p>
    <w:p>
      <w:pPr>
        <w:pStyle w:val="ListParagraph"/>
        <w:numPr>
          <w:ilvl w:val="0"/>
          <w:numId w:val="2"/>
        </w:numPr>
        <w:spacing w:after="80"/>
      </w:pPr>
      <w:r>
        <w:rPr>
          <w:rFonts w:ascii="Arial" w:cs="Arial" w:eastAsia="Arial" w:hAnsi="Arial"/>
          <w:b/>
          <w:bCs/>
          <w:sz w:val="22"/>
          <w:szCs w:val="22"/>
        </w:rPr>
        <w:t xml:space="preserve">Does the agent have the right scope?</w:t>
      </w:r>
      <w:r>
        <w:rPr>
          <w:rFonts w:ascii="Arial" w:cs="Arial" w:eastAsia="Arial" w:hAnsi="Arial"/>
          <w:sz w:val="22"/>
          <w:szCs w:val="22"/>
        </w:rPr>
        <w:t xml:space="preserve"> — Is the tool in the token’s scope list?</w:t>
      </w:r>
    </w:p>
    <w:p>
      <w:pPr>
        <w:pStyle w:val="ListParagraph"/>
        <w:numPr>
          <w:ilvl w:val="0"/>
          <w:numId w:val="2"/>
        </w:numPr>
        <w:spacing w:after="80"/>
      </w:pPr>
      <w:r>
        <w:rPr>
          <w:rFonts w:ascii="Arial" w:cs="Arial" w:eastAsia="Arial" w:hAnsi="Arial"/>
          <w:b/>
          <w:bCs/>
          <w:sz w:val="22"/>
          <w:szCs w:val="22"/>
        </w:rPr>
        <w:t xml:space="preserve">Does the policy allow this specific call?</w:t>
      </w:r>
      <w:r>
        <w:rPr>
          <w:rFonts w:ascii="Arial" w:cs="Arial" w:eastAsia="Arial" w:hAnsi="Arial"/>
          <w:sz w:val="22"/>
          <w:szCs w:val="22"/>
        </w:rPr>
        <w:t xml:space="preserve"> — OPA evaluates the action, arguments, role, and scopes against Rego rules.</w:t>
      </w:r>
    </w:p>
    <w:p>
      <w:pPr>
        <w:spacing w:after="120"/>
      </w:pPr>
    </w:p>
    <w:p>
      <w:pPr>
        <w:spacing w:after="120"/>
      </w:pPr>
      <w:r>
        <w:rPr>
          <w:rFonts w:ascii="Arial" w:cs="Arial" w:eastAsia="Arial" w:hAnsi="Arial"/>
          <w:sz w:val="22"/>
          <w:szCs w:val="22"/>
        </w:rPr>
        <w:t xml:space="preserve">The result is one of three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8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 Next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Allow</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tool executes. The result is sanitized before being returned to the agent.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Escalate (HITL)</w:t>
            </w:r>
          </w:p>
        </w:tc>
        <w:tc>
          <w:tcPr>
            <w:tcW w:type="dxa" w:w="6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The action is queued for human review. The agent pauses.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Block</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tool does not execute. The agent receives a structured denial reason.</w:t>
            </w:r>
          </w:p>
        </w:tc>
      </w:tr>
    </w:tbl>
    <w:p>
      <w:pPr>
        <w:spacing w:after="200"/>
      </w:pPr>
    </w:p>
    <w:p>
      <w:pPr>
        <w:pStyle w:val="Heading2"/>
      </w:pPr>
      <w:r>
        <w:t xml:space="preserve">Governance Event Types</w:t>
      </w:r>
    </w:p>
    <w:p>
      <w:pPr>
        <w:spacing w:after="120"/>
      </w:pPr>
      <w:r>
        <w:rPr>
          <w:rFonts w:ascii="Arial" w:cs="Arial" w:eastAsia="Arial" w:hAnsi="Arial"/>
          <w:sz w:val="22"/>
          <w:szCs w:val="22"/>
        </w:rPr>
        <w:t xml:space="preserve">Tool calls are the most common governance event, but the same enforcement pipeline handles six event types. All flow through the PolicyGate to OPA and produce an allow, escalate, or block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What’s Evaluated</w:t>
            </w:r>
          </w:p>
        </w:tc>
        <w:tc>
          <w:tcPr>
            <w:tcW w:type="dxa" w:w="3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Rule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tool_call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 tool invocation, before execution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Block file writes outside /tmp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agent.spawn</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 creation with requested capabilities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Max 5 concurrent agents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agent.delegate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Agent-to-agent task handoff</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Child scopes ⊆ parent scopes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agent.plan</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Proposed action sequence, before any step</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Deny plans with blocked tools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agent.budget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Token spend, API calls, compute time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Deny if session budget exhausted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data_access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Classification-based flow control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Confidential data stays in primary session</w:t>
            </w:r>
          </w:p>
        </w:tc>
      </w:tr>
    </w:tbl>
    <w:p>
      <w:pPr>
        <w:spacing w:after="200"/>
      </w:pPr>
    </w:p>
    <w:p>
      <w:pPr>
        <w:pStyle w:val="Heading2"/>
      </w:pPr>
      <w:r>
        <w:t xml:space="preserve">Plan-Before-Execute Evaluation</w:t>
      </w:r>
    </w:p>
    <w:p>
      <w:pPr>
        <w:spacing w:after="120"/>
      </w:pPr>
      <w:r>
        <w:rPr>
          <w:rFonts w:ascii="Arial" w:cs="Arial" w:eastAsia="Arial" w:hAnsi="Arial"/>
          <w:sz w:val="22"/>
          <w:szCs w:val="22"/>
        </w:rPr>
        <w:t xml:space="preserve">Per-call evaluation checks each tool call independently. Plan evaluation reviews a proposed sequence of actions before executing any of them. This catches composite policy violations that per-call evaluation would miss.</w:t>
      </w:r>
    </w:p>
    <w:p>
      <w:pPr>
        <w:spacing w:after="120"/>
      </w:pPr>
      <w:r>
        <w:rPr>
          <w:rFonts w:ascii="Arial" w:cs="Arial" w:eastAsia="Arial" w:hAnsi="Arial"/>
          <w:sz w:val="22"/>
          <w:szCs w:val="22"/>
        </w:rPr>
        <w:t xml:space="preserve">For example, per-call evaluation sees “read customer data” (allowed) and “approve $200 refund” (allowed) as two separate events. Plan evaluation sees them together and can enforce policies like “reading customer data and then approving a refund above $200 in the same session requires HITL review” or “no plan with more than 20 steps.”</w:t>
      </w:r>
    </w:p>
    <w:p>
      <w:pPr>
        <w:spacing w:after="120"/>
      </w:pPr>
      <w:r>
        <w:rPr>
          <w:rFonts w:ascii="Arial" w:cs="Arial" w:eastAsia="Arial" w:hAnsi="Arial"/>
          <w:sz w:val="22"/>
          <w:szCs w:val="22"/>
        </w:rPr>
        <w:t xml:space="preserve">Plan evaluation flows through the same OPA pipeline as tool calls — write Rego rules in policies/agent_plan.rego to control what sequences of actions are permitted.</w:t>
      </w:r>
    </w:p>
    <w:p>
      <w:pPr>
        <w:pStyle w:val="Heading2"/>
      </w:pPr>
      <w:r>
        <w:t xml:space="preserve">Technical Perspective</w:t>
      </w:r>
    </w:p>
    <w:p>
      <w:pPr>
        <w:spacing w:after="120"/>
      </w:pPr>
      <w:r>
        <w:rPr>
          <w:rFonts w:ascii="Arial" w:cs="Arial" w:eastAsia="Arial" w:hAnsi="Arial"/>
          <w:sz w:val="22"/>
          <w:szCs w:val="22"/>
        </w:rPr>
        <w:t xml:space="preserve">Every tool call flows through the PolicyGate.evaluate_tool_call() pipeline: credential validation → schema validation → OPA evaluation.</w:t>
      </w:r>
    </w:p>
    <w:p>
      <w:pPr>
        <w:spacing w:after="120"/>
      </w:pPr>
      <w:r>
        <w:rPr>
          <w:rFonts w:ascii="Arial" w:cs="Arial" w:eastAsia="Arial" w:hAnsi="Arial"/>
          <w:b/>
          <w:bCs/>
          <w:sz w:val="22"/>
          <w:szCs w:val="22"/>
        </w:rPr>
        <w:t xml:space="preserve">Fail-closed behavior: </w:t>
      </w:r>
      <w:r>
        <w:rPr>
          <w:rFonts w:ascii="Arial" w:cs="Arial" w:eastAsia="Arial" w:hAnsi="Arial"/>
          <w:sz w:val="22"/>
          <w:szCs w:val="22"/>
        </w:rPr>
        <w:t xml:space="preserve">If OPA is unreachable, the gate denies every call with risk_tier=SECURITY_CRITICAL. This is not configurable.</w:t>
      </w:r>
    </w:p>
    <w:p>
      <w:pPr>
        <w:spacing w:after="120"/>
      </w:pPr>
      <w:r>
        <w:rPr>
          <w:rFonts w:ascii="Arial" w:cs="Arial" w:eastAsia="Arial" w:hAnsi="Arial"/>
          <w:b/>
          <w:bCs/>
          <w:sz w:val="22"/>
          <w:szCs w:val="22"/>
        </w:rPr>
        <w:t xml:space="preserve">Sanitization: </w:t>
      </w:r>
      <w:r>
        <w:rPr>
          <w:rFonts w:ascii="Arial" w:cs="Arial" w:eastAsia="Arial" w:hAnsi="Arial"/>
          <w:sz w:val="22"/>
          <w:szCs w:val="22"/>
        </w:rPr>
        <w:t xml:space="preserve">After allow, every tool output passes through NFKC unicode normalization and 10 prompt injection regex patterns. This defends against indirect prompt injection via tool responses.</w:t>
      </w:r>
    </w:p>
    <w:p>
      <w:pPr>
        <w:spacing w:after="120"/>
      </w:pPr>
      <w:r>
        <w:rPr>
          <w:rFonts w:ascii="Arial" w:cs="Arial" w:eastAsia="Arial" w:hAnsi="Arial"/>
          <w:b/>
          <w:bCs/>
          <w:sz w:val="22"/>
          <w:szCs w:val="22"/>
        </w:rPr>
        <w:t xml:space="preserve">Audit: </w:t>
      </w:r>
      <w:r>
        <w:rPr>
          <w:rFonts w:ascii="Arial" w:cs="Arial" w:eastAsia="Arial" w:hAnsi="Arial"/>
          <w:sz w:val="22"/>
          <w:szCs w:val="22"/>
        </w:rPr>
        <w:t xml:space="preserve">Every decision is recorded in an append-only SQLite log with SQL triggers preventing UPDATE and DELETE.</w:t>
      </w:r>
    </w:p>
    <w:p>
      <w:pPr>
        <w:spacing w:after="120"/>
      </w:pPr>
      <w:r>
        <w:rPr>
          <w:rFonts w:ascii="Arial" w:cs="Arial" w:eastAsia="Arial" w:hAnsi="Arial"/>
          <w:b/>
          <w:bCs/>
          <w:sz w:val="22"/>
          <w:szCs w:val="22"/>
        </w:rPr>
        <w:t xml:space="preserve">Files involved: </w:t>
      </w:r>
      <w:r>
        <w:rPr>
          <w:rFonts w:ascii="Arial" w:cs="Arial" w:eastAsia="Arial" w:hAnsi="Arial"/>
          <w:sz w:val="22"/>
          <w:szCs w:val="22"/>
        </w:rPr>
        <w:t xml:space="preserve">tether/gate.py, tether/opa_client.py, tether/sanitizer.py, audit/store.py</w:t>
      </w:r>
    </w:p>
    <w:p>
      <w:r>
        <w:br w:type="page"/>
      </w:r>
    </w:p>
    <w:p>
      <w:pPr>
        <w:pStyle w:val="Heading1"/>
      </w:pPr>
      <w:r>
        <w:t xml:space="preserve">Phase 4: Escalate High-Stakes Actions</w:t>
      </w:r>
    </w:p>
    <w:p>
      <w:pPr>
        <w:pStyle w:val="Heading2"/>
      </w:pPr>
      <w:r>
        <w:t xml:space="preserve">Business Perspective</w:t>
      </w:r>
    </w:p>
    <w:p>
      <w:pPr>
        <w:spacing w:after="120"/>
      </w:pPr>
      <w:r>
        <w:rPr>
          <w:rFonts w:ascii="Arial" w:cs="Arial" w:eastAsia="Arial" w:hAnsi="Arial"/>
          <w:sz w:val="22"/>
          <w:szCs w:val="22"/>
        </w:rPr>
        <w:t xml:space="preserve">Some actions are too important to auto-approve but not dangerous enough to block outright. When OPA returns requires_hitl: true, the tool call does not execute. Instead:</w:t>
      </w:r>
    </w:p>
    <w:p>
      <w:pPr>
        <w:pStyle w:val="ListParagraph"/>
        <w:numPr>
          <w:ilvl w:val="0"/>
          <w:numId w:val="2"/>
        </w:numPr>
        <w:spacing w:after="80"/>
      </w:pPr>
      <w:r>
        <w:rPr>
          <w:rFonts w:ascii="Arial" w:cs="Arial" w:eastAsia="Arial" w:hAnsi="Arial"/>
          <w:b/>
          <w:bCs/>
          <w:sz w:val="22"/>
          <w:szCs w:val="22"/>
        </w:rPr>
        <w:t xml:space="preserve">Enqueue: </w:t>
      </w:r>
      <w:r>
        <w:rPr>
          <w:rFonts w:ascii="Arial" w:cs="Arial" w:eastAsia="Arial" w:hAnsi="Arial"/>
          <w:sz w:val="22"/>
          <w:szCs w:val="22"/>
        </w:rPr>
        <w:t xml:space="preserve">The action is placed in a review queue with all context (tool name, arguments, risk tier, session ID)</w:t>
      </w:r>
    </w:p>
    <w:p>
      <w:pPr>
        <w:pStyle w:val="ListParagraph"/>
        <w:numPr>
          <w:ilvl w:val="0"/>
          <w:numId w:val="2"/>
        </w:numPr>
        <w:spacing w:after="80"/>
      </w:pPr>
      <w:r>
        <w:rPr>
          <w:rFonts w:ascii="Arial" w:cs="Arial" w:eastAsia="Arial" w:hAnsi="Arial"/>
          <w:b/>
          <w:bCs/>
          <w:sz w:val="22"/>
          <w:szCs w:val="22"/>
        </w:rPr>
        <w:t xml:space="preserve">Pause: </w:t>
      </w:r>
      <w:r>
        <w:rPr>
          <w:rFonts w:ascii="Arial" w:cs="Arial" w:eastAsia="Arial" w:hAnsi="Arial"/>
          <w:sz w:val="22"/>
          <w:szCs w:val="22"/>
        </w:rPr>
        <w:t xml:space="preserve">The agent session pauses — it is not doing anything while waiting</w:t>
      </w:r>
    </w:p>
    <w:p>
      <w:pPr>
        <w:pStyle w:val="ListParagraph"/>
        <w:numPr>
          <w:ilvl w:val="0"/>
          <w:numId w:val="2"/>
        </w:numPr>
        <w:spacing w:after="80"/>
      </w:pPr>
      <w:r>
        <w:rPr>
          <w:rFonts w:ascii="Arial" w:cs="Arial" w:eastAsia="Arial" w:hAnsi="Arial"/>
          <w:b/>
          <w:bCs/>
          <w:sz w:val="22"/>
          <w:szCs w:val="22"/>
        </w:rPr>
        <w:t xml:space="preserve">Review: </w:t>
      </w:r>
      <w:r>
        <w:rPr>
          <w:rFonts w:ascii="Arial" w:cs="Arial" w:eastAsia="Arial" w:hAnsi="Arial"/>
          <w:sz w:val="22"/>
          <w:szCs w:val="22"/>
        </w:rPr>
        <w:t xml:space="preserve">A human reviewer sees the pending action in the dashboard or via the API</w:t>
      </w:r>
    </w:p>
    <w:p>
      <w:pPr>
        <w:pStyle w:val="ListParagraph"/>
        <w:numPr>
          <w:ilvl w:val="0"/>
          <w:numId w:val="2"/>
        </w:numPr>
        <w:spacing w:after="80"/>
      </w:pPr>
      <w:r>
        <w:rPr>
          <w:rFonts w:ascii="Arial" w:cs="Arial" w:eastAsia="Arial" w:hAnsi="Arial"/>
          <w:b/>
          <w:bCs/>
          <w:sz w:val="22"/>
          <w:szCs w:val="22"/>
        </w:rPr>
        <w:t xml:space="preserve">Decide: </w:t>
      </w:r>
      <w:r>
        <w:rPr>
          <w:rFonts w:ascii="Arial" w:cs="Arial" w:eastAsia="Arial" w:hAnsi="Arial"/>
          <w:sz w:val="22"/>
          <w:szCs w:val="22"/>
        </w:rPr>
        <w:t xml:space="preserve">The reviewer clicks Approve or Deny</w:t>
      </w:r>
    </w:p>
    <w:p>
      <w:pPr>
        <w:pStyle w:val="ListParagraph"/>
        <w:numPr>
          <w:ilvl w:val="0"/>
          <w:numId w:val="2"/>
        </w:numPr>
        <w:spacing w:after="80"/>
      </w:pPr>
      <w:r>
        <w:rPr>
          <w:rFonts w:ascii="Arial" w:cs="Arial" w:eastAsia="Arial" w:hAnsi="Arial"/>
          <w:b/>
          <w:bCs/>
          <w:sz w:val="22"/>
          <w:szCs w:val="22"/>
        </w:rPr>
        <w:t xml:space="preserve">Resume (approved): </w:t>
      </w:r>
      <w:r>
        <w:rPr>
          <w:rFonts w:ascii="Arial" w:cs="Arial" w:eastAsia="Arial" w:hAnsi="Arial"/>
          <w:sz w:val="22"/>
          <w:szCs w:val="22"/>
        </w:rPr>
        <w:t xml:space="preserve">The tool executes and the agent resumes with the result</w:t>
      </w:r>
    </w:p>
    <w:p>
      <w:pPr>
        <w:pStyle w:val="ListParagraph"/>
        <w:numPr>
          <w:ilvl w:val="0"/>
          <w:numId w:val="2"/>
        </w:numPr>
        <w:spacing w:after="80"/>
      </w:pPr>
      <w:r>
        <w:rPr>
          <w:rFonts w:ascii="Arial" w:cs="Arial" w:eastAsia="Arial" w:hAnsi="Arial"/>
          <w:b/>
          <w:bCs/>
          <w:sz w:val="22"/>
          <w:szCs w:val="22"/>
        </w:rPr>
        <w:t xml:space="preserve">Resume (denied): </w:t>
      </w:r>
      <w:r>
        <w:rPr>
          <w:rFonts w:ascii="Arial" w:cs="Arial" w:eastAsia="Arial" w:hAnsi="Arial"/>
          <w:sz w:val="22"/>
          <w:szCs w:val="22"/>
        </w:rPr>
        <w:t xml:space="preserve">The agent receives a denial message and continues without executing</w:t>
      </w:r>
    </w:p>
    <w:p>
      <w:pPr>
        <w:pStyle w:val="ListParagraph"/>
        <w:numPr>
          <w:ilvl w:val="0"/>
          <w:numId w:val="2"/>
        </w:numPr>
        <w:spacing w:after="80"/>
      </w:pPr>
      <w:r>
        <w:rPr>
          <w:rFonts w:ascii="Arial" w:cs="Arial" w:eastAsia="Arial" w:hAnsi="Arial"/>
          <w:b/>
          <w:bCs/>
          <w:sz w:val="22"/>
          <w:szCs w:val="22"/>
        </w:rPr>
        <w:t xml:space="preserve">Timeout: </w:t>
      </w:r>
      <w:r>
        <w:rPr>
          <w:rFonts w:ascii="Arial" w:cs="Arial" w:eastAsia="Arial" w:hAnsi="Arial"/>
          <w:sz w:val="22"/>
          <w:szCs w:val="22"/>
        </w:rPr>
        <w:t xml:space="preserve">If nobody responds within the timeout (default 5 minutes), the action is treated as denied</w:t>
      </w:r>
    </w:p>
    <w:p>
      <w:pPr>
        <w:spacing w:after="120"/>
      </w:pPr>
    </w:p>
    <w:p>
      <w:pPr>
        <w:pStyle w:val="Heading2"/>
      </w:pPr>
      <w:r>
        <w:t xml:space="preserve">Technical Perspective</w:t>
      </w:r>
    </w:p>
    <w:p>
      <w:pPr>
        <w:spacing w:after="120"/>
      </w:pPr>
      <w:r>
        <w:rPr>
          <w:rFonts w:ascii="Arial" w:cs="Arial" w:eastAsia="Arial" w:hAnsi="Arial"/>
          <w:sz w:val="22"/>
          <w:szCs w:val="22"/>
        </w:rPr>
        <w:t xml:space="preserve">The HITL flow has four stages: enqueue, wait, decide, and resume.</w:t>
      </w:r>
    </w:p>
    <w:p>
      <w:pPr>
        <w:spacing w:after="120"/>
      </w:pPr>
      <w:r>
        <w:rPr>
          <w:rFonts w:ascii="Arial" w:cs="Arial" w:eastAsia="Arial" w:hAnsi="Arial"/>
          <w:b/>
          <w:bCs/>
          <w:sz w:val="22"/>
          <w:szCs w:val="22"/>
        </w:rPr>
        <w:t xml:space="preserve">Enqueue: </w:t>
      </w:r>
      <w:r>
        <w:rPr>
          <w:rFonts w:ascii="Arial" w:cs="Arial" w:eastAsia="Arial" w:hAnsi="Arial"/>
          <w:sz w:val="22"/>
          <w:szCs w:val="22"/>
        </w:rPr>
        <w:t xml:space="preserve">A PendingAction is inserted into the SQLite-backed HITLQueue. An asyncio.Event is created for the action ID.</w:t>
      </w:r>
    </w:p>
    <w:p>
      <w:pPr>
        <w:spacing w:after="120"/>
      </w:pPr>
      <w:r>
        <w:rPr>
          <w:rFonts w:ascii="Arial" w:cs="Arial" w:eastAsia="Arial" w:hAnsi="Arial"/>
          <w:b/>
          <w:bCs/>
          <w:sz w:val="22"/>
          <w:szCs w:val="22"/>
        </w:rPr>
        <w:t xml:space="preserve">Wait: </w:t>
      </w:r>
      <w:r>
        <w:rPr>
          <w:rFonts w:ascii="Arial" w:cs="Arial" w:eastAsia="Arial" w:hAnsi="Arial"/>
          <w:sz w:val="22"/>
          <w:szCs w:val="22"/>
        </w:rPr>
        <w:t xml:space="preserve">The agent coroutine suspends on asyncio.wait_for(event.wait(), timeout=300). No polling, no CPU usage.</w:t>
      </w:r>
    </w:p>
    <w:p>
      <w:pPr>
        <w:spacing w:after="120"/>
      </w:pPr>
      <w:r>
        <w:rPr>
          <w:rFonts w:ascii="Arial" w:cs="Arial" w:eastAsia="Arial" w:hAnsi="Arial"/>
          <w:b/>
          <w:bCs/>
          <w:sz w:val="22"/>
          <w:szCs w:val="22"/>
        </w:rPr>
        <w:t xml:space="preserve">Decide: </w:t>
      </w:r>
      <w:r>
        <w:rPr>
          <w:rFonts w:ascii="Arial" w:cs="Arial" w:eastAsia="Arial" w:hAnsi="Arial"/>
          <w:sz w:val="22"/>
          <w:szCs w:val="22"/>
        </w:rPr>
        <w:t xml:space="preserve">A POST to /approve or /deny updates the database with a WHERE status=‘PENDING’ clause ensuring immutability. The asyncio.Event wakes the agent.</w:t>
      </w:r>
    </w:p>
    <w:p>
      <w:pPr>
        <w:spacing w:after="120"/>
      </w:pPr>
      <w:r>
        <w:rPr>
          <w:rFonts w:ascii="Arial" w:cs="Arial" w:eastAsia="Arial" w:hAnsi="Arial"/>
          <w:b/>
          <w:bCs/>
          <w:sz w:val="22"/>
          <w:szCs w:val="22"/>
        </w:rPr>
        <w:t xml:space="preserve">Resume: </w:t>
      </w:r>
      <w:r>
        <w:rPr>
          <w:rFonts w:ascii="Arial" w:cs="Arial" w:eastAsia="Arial" w:hAnsi="Arial"/>
          <w:sz w:val="22"/>
          <w:szCs w:val="22"/>
        </w:rPr>
        <w:t xml:space="preserve">On approval the tool executes; on denial or timeout, a denial is returned to the agent.</w:t>
      </w:r>
    </w:p>
    <w:p>
      <w:pPr>
        <w:spacing w:after="120"/>
      </w:pPr>
      <w:r>
        <w:rPr>
          <w:rFonts w:ascii="Arial" w:cs="Arial" w:eastAsia="Arial" w:hAnsi="Arial"/>
          <w:b/>
          <w:bCs/>
          <w:sz w:val="22"/>
          <w:szCs w:val="22"/>
        </w:rPr>
        <w:t xml:space="preserve">Background expiry: </w:t>
      </w:r>
      <w:r>
        <w:rPr>
          <w:rFonts w:ascii="Arial" w:cs="Arial" w:eastAsia="Arial" w:hAnsi="Arial"/>
          <w:sz w:val="22"/>
          <w:szCs w:val="22"/>
        </w:rPr>
        <w:t xml:space="preserve">A task runs every 30 seconds to catch actions where the waiting coroutine has already been cancelled (e.g., the agent session was killed).</w:t>
      </w:r>
    </w:p>
    <w:p>
      <w:pPr>
        <w:spacing w:after="120"/>
      </w:pPr>
      <w:r>
        <w:rPr>
          <w:rFonts w:ascii="Arial" w:cs="Arial" w:eastAsia="Arial" w:hAnsi="Arial"/>
          <w:b/>
          <w:bCs/>
          <w:sz w:val="22"/>
          <w:szCs w:val="22"/>
        </w:rPr>
        <w:t xml:space="preserve">Files involved: </w:t>
      </w:r>
      <w:r>
        <w:rPr>
          <w:rFonts w:ascii="Arial" w:cs="Arial" w:eastAsia="Arial" w:hAnsi="Arial"/>
          <w:sz w:val="22"/>
          <w:szCs w:val="22"/>
        </w:rPr>
        <w:t xml:space="preserve">anchor/queue.py, anchor/api.py, anchor/models.py, agents/session.py</w:t>
      </w:r>
    </w:p>
    <w:p>
      <w:r>
        <w:br w:type="page"/>
      </w:r>
    </w:p>
    <w:p>
      <w:pPr>
        <w:pStyle w:val="Heading1"/>
      </w:pPr>
      <w:r>
        <w:t xml:space="preserve">Phase 5: Observe Everything</w:t>
      </w:r>
    </w:p>
    <w:p>
      <w:pPr>
        <w:pStyle w:val="Heading2"/>
      </w:pPr>
      <w:r>
        <w:t xml:space="preserve">Business Perspective</w:t>
      </w:r>
    </w:p>
    <w:p>
      <w:pPr>
        <w:spacing w:after="120"/>
      </w:pPr>
      <w:r>
        <w:rPr>
          <w:rFonts w:ascii="Arial" w:cs="Arial" w:eastAsia="Arial" w:hAnsi="Arial"/>
          <w:sz w:val="22"/>
          <w:szCs w:val="22"/>
        </w:rPr>
        <w:t xml:space="preserve">Every action the agent takes — allowed, blocked, or escalated — is recorded in an immutable audit log. This log is the compliance artifact.</w:t>
      </w:r>
    </w:p>
    <w:p>
      <w:pPr>
        <w:spacing w:after="120"/>
      </w:pPr>
      <w:r>
        <w:rPr>
          <w:rFonts w:ascii="Arial" w:cs="Arial" w:eastAsia="Arial" w:hAnsi="Arial"/>
          <w:sz w:val="22"/>
          <w:szCs w:val="22"/>
        </w:rPr>
        <w:t xml:space="preserve">You can:</w:t>
      </w:r>
    </w:p>
    <w:p>
      <w:pPr>
        <w:pStyle w:val="ListParagraph"/>
        <w:numPr>
          <w:ilvl w:val="0"/>
          <w:numId w:val="3"/>
        </w:numPr>
        <w:spacing w:after="80"/>
      </w:pPr>
      <w:r>
        <w:rPr>
          <w:rFonts w:ascii="Arial" w:cs="Arial" w:eastAsia="Arial" w:hAnsi="Arial"/>
          <w:sz w:val="22"/>
          <w:szCs w:val="22"/>
        </w:rPr>
        <w:t xml:space="preserve">Watch in real time — the dashboard shows a live feed of gate decisions</w:t>
      </w:r>
    </w:p>
    <w:p>
      <w:pPr>
        <w:pStyle w:val="ListParagraph"/>
        <w:numPr>
          <w:ilvl w:val="0"/>
          <w:numId w:val="3"/>
        </w:numPr>
        <w:spacing w:after="80"/>
      </w:pPr>
      <w:r>
        <w:rPr>
          <w:rFonts w:ascii="Arial" w:cs="Arial" w:eastAsia="Arial" w:hAnsi="Arial"/>
          <w:sz w:val="22"/>
          <w:szCs w:val="22"/>
        </w:rPr>
        <w:t xml:space="preserve">Export a session report — a self-contained JSON document with SHA-256 integrity hash</w:t>
      </w:r>
    </w:p>
    <w:p>
      <w:pPr>
        <w:pStyle w:val="ListParagraph"/>
        <w:numPr>
          <w:ilvl w:val="0"/>
          <w:numId w:val="3"/>
        </w:numPr>
        <w:spacing w:after="80"/>
      </w:pPr>
      <w:r>
        <w:rPr>
          <w:rFonts w:ascii="Arial" w:cs="Arial" w:eastAsia="Arial" w:hAnsi="Arial"/>
          <w:sz w:val="22"/>
          <w:szCs w:val="22"/>
        </w:rPr>
        <w:t xml:space="preserve">Replay against new rules — re-evaluate historical decisions against current policy</w:t>
      </w:r>
    </w:p>
    <w:p>
      <w:pPr>
        <w:pStyle w:val="ListParagraph"/>
        <w:numPr>
          <w:ilvl w:val="0"/>
          <w:numId w:val="3"/>
        </w:numPr>
        <w:spacing w:after="80"/>
      </w:pPr>
      <w:r>
        <w:rPr>
          <w:rFonts w:ascii="Arial" w:cs="Arial" w:eastAsia="Arial" w:hAnsi="Arial"/>
          <w:sz w:val="22"/>
          <w:szCs w:val="22"/>
        </w:rPr>
        <w:t xml:space="preserve">Forward to your SIEM — Splunk, Elastic, or any HTTP webhook receiver</w:t>
      </w:r>
    </w:p>
    <w:p>
      <w:pPr>
        <w:pStyle w:val="Heading2"/>
      </w:pPr>
      <w:r>
        <w:t xml:space="preserve">Technical Perspective</w:t>
      </w:r>
    </w:p>
    <w:p>
      <w:pPr>
        <w:spacing w:after="120"/>
      </w:pPr>
      <w:r>
        <w:rPr>
          <w:rFonts w:ascii="Arial" w:cs="Arial" w:eastAsia="Arial" w:hAnsi="Arial"/>
          <w:b/>
          <w:bCs/>
          <w:sz w:val="22"/>
          <w:szCs w:val="22"/>
        </w:rPr>
        <w:t xml:space="preserve">OpenTelemetry spans: </w:t>
      </w:r>
      <w:r>
        <w:rPr>
          <w:rFonts w:ascii="Arial" w:cs="Arial" w:eastAsia="Arial" w:hAnsi="Arial"/>
          <w:sz w:val="22"/>
          <w:szCs w:val="22"/>
        </w:rPr>
        <w:t xml:space="preserve">Every gate evaluation produces a span with session, tool, policy, and risk tier attributes. Spans contain only metadata — never raw prompt content or model outputs.</w:t>
      </w:r>
    </w:p>
    <w:p>
      <w:pPr>
        <w:spacing w:after="120"/>
      </w:pPr>
      <w:r>
        <w:rPr>
          <w:rFonts w:ascii="Arial" w:cs="Arial" w:eastAsia="Arial" w:hAnsi="Arial"/>
          <w:b/>
          <w:bCs/>
          <w:sz w:val="22"/>
          <w:szCs w:val="22"/>
        </w:rPr>
        <w:t xml:space="preserve">Audit log: </w:t>
      </w:r>
      <w:r>
        <w:rPr>
          <w:rFonts w:ascii="Arial" w:cs="Arial" w:eastAsia="Arial" w:hAnsi="Arial"/>
          <w:sz w:val="22"/>
          <w:szCs w:val="22"/>
        </w:rPr>
        <w:t xml:space="preserve">SQLite with SQL triggers preventing UPDATE/DELETE. Each record includes the full policy decision, SHA-256 hash of policy files, session context, and HITL metadata.</w:t>
      </w:r>
    </w:p>
    <w:p>
      <w:pPr>
        <w:spacing w:after="120"/>
      </w:pPr>
      <w:r>
        <w:rPr>
          <w:rFonts w:ascii="Arial" w:cs="Arial" w:eastAsia="Arial" w:hAnsi="Arial"/>
          <w:b/>
          <w:bCs/>
          <w:sz w:val="22"/>
          <w:szCs w:val="22"/>
        </w:rPr>
        <w:t xml:space="preserve">Session export: </w:t>
      </w:r>
      <w:r>
        <w:rPr>
          <w:rFonts w:ascii="Arial" w:cs="Arial" w:eastAsia="Arial" w:hAnsi="Arial"/>
          <w:sz w:val="22"/>
          <w:szCs w:val="22"/>
        </w:rPr>
        <w:t xml:space="preserve">Produces a compliance report with SHA-256 integrity hash for tamper detection.</w:t>
      </w:r>
    </w:p>
    <w:p>
      <w:pPr>
        <w:spacing w:after="120"/>
      </w:pPr>
      <w:r>
        <w:rPr>
          <w:rFonts w:ascii="Arial" w:cs="Arial" w:eastAsia="Arial" w:hAnsi="Arial"/>
          <w:b/>
          <w:bCs/>
          <w:sz w:val="22"/>
          <w:szCs w:val="22"/>
        </w:rPr>
        <w:t xml:space="preserve">Policy replay: </w:t>
      </w:r>
      <w:r>
        <w:rPr>
          <w:rFonts w:ascii="Arial" w:cs="Arial" w:eastAsia="Arial" w:hAnsi="Arial"/>
          <w:sz w:val="22"/>
          <w:szCs w:val="22"/>
        </w:rPr>
        <w:t xml:space="preserve">Re-evaluates historical records against current OPA rules to detect regressions before deploying policy updates.</w:t>
      </w:r>
    </w:p>
    <w:p>
      <w:pPr>
        <w:spacing w:after="120"/>
      </w:pPr>
      <w:r>
        <w:rPr>
          <w:rFonts w:ascii="Arial" w:cs="Arial" w:eastAsia="Arial" w:hAnsi="Arial"/>
          <w:b/>
          <w:bCs/>
          <w:sz w:val="22"/>
          <w:szCs w:val="22"/>
        </w:rPr>
        <w:t xml:space="preserve">Files involved: </w:t>
      </w:r>
      <w:r>
        <w:rPr>
          <w:rFonts w:ascii="Arial" w:cs="Arial" w:eastAsia="Arial" w:hAnsi="Arial"/>
          <w:sz w:val="22"/>
          <w:szCs w:val="22"/>
        </w:rPr>
        <w:t xml:space="preserve">observability/tracer.py, observability/siem.py, audit/store.py, audit/replay.py, dashboard/server.py</w:t>
      </w:r>
    </w:p>
    <w:p>
      <w:r>
        <w:br w:type="page"/>
      </w:r>
    </w:p>
    <w:p>
      <w:pPr>
        <w:pStyle w:val="Heading1"/>
      </w:pPr>
      <w:r>
        <w:t xml:space="preserve">Multi-Agent Delegation</w:t>
      </w:r>
    </w:p>
    <w:p>
      <w:pPr>
        <w:pStyle w:val="Heading2"/>
      </w:pPr>
      <w:r>
        <w:t xml:space="preserve">Business Perspective</w:t>
      </w:r>
    </w:p>
    <w:p>
      <w:pPr>
        <w:spacing w:after="120"/>
      </w:pPr>
      <w:r>
        <w:rPr>
          <w:rFonts w:ascii="Arial" w:cs="Arial" w:eastAsia="Arial" w:hAnsi="Arial"/>
          <w:sz w:val="22"/>
          <w:szCs w:val="22"/>
        </w:rPr>
        <w:t xml:space="preserve">A complex task might need multiple agents working in parallel. The orchestrator agent decomposes the task and delegates sub-tasks to worker agents. Each worker:</w:t>
      </w:r>
    </w:p>
    <w:p>
      <w:pPr>
        <w:pStyle w:val="ListParagraph"/>
        <w:numPr>
          <w:ilvl w:val="0"/>
          <w:numId w:val="3"/>
        </w:numPr>
        <w:spacing w:after="80"/>
      </w:pPr>
      <w:r>
        <w:rPr>
          <w:rFonts w:ascii="Arial" w:cs="Arial" w:eastAsia="Arial" w:hAnsi="Arial"/>
          <w:sz w:val="22"/>
          <w:szCs w:val="22"/>
        </w:rPr>
        <w:t xml:space="preserve">Gets a narrower credential — scopes are always a subset of the parent</w:t>
      </w:r>
    </w:p>
    <w:p>
      <w:pPr>
        <w:pStyle w:val="ListParagraph"/>
        <w:numPr>
          <w:ilvl w:val="0"/>
          <w:numId w:val="3"/>
        </w:numPr>
        <w:spacing w:after="80"/>
      </w:pPr>
      <w:r>
        <w:rPr>
          <w:rFonts w:ascii="Arial" w:cs="Arial" w:eastAsia="Arial" w:hAnsi="Arial"/>
          <w:sz w:val="22"/>
          <w:szCs w:val="22"/>
        </w:rPr>
        <w:t xml:space="preserve">Runs in its own sandbox — workers are isolated from each other and from the parent</w:t>
      </w:r>
    </w:p>
    <w:p>
      <w:pPr>
        <w:pStyle w:val="ListParagraph"/>
        <w:numPr>
          <w:ilvl w:val="0"/>
          <w:numId w:val="3"/>
        </w:numPr>
        <w:spacing w:after="80"/>
      </w:pPr>
      <w:r>
        <w:rPr>
          <w:rFonts w:ascii="Arial" w:cs="Arial" w:eastAsia="Arial" w:hAnsi="Arial"/>
          <w:sz w:val="22"/>
          <w:szCs w:val="22"/>
        </w:rPr>
        <w:t xml:space="preserve">Has a tracked delegation depth — maximum default: 2 levels</w:t>
      </w:r>
    </w:p>
    <w:p>
      <w:pPr>
        <w:pStyle w:val="ListParagraph"/>
        <w:numPr>
          <w:ilvl w:val="0"/>
          <w:numId w:val="3"/>
        </w:numPr>
        <w:spacing w:after="80"/>
      </w:pPr>
      <w:r>
        <w:rPr>
          <w:rFonts w:ascii="Arial" w:cs="Arial" w:eastAsia="Arial" w:hAnsi="Arial"/>
          <w:sz w:val="22"/>
          <w:szCs w:val="22"/>
        </w:rPr>
        <w:t xml:space="preserve">Cannot escalate privileges — requesting extra scopes raises an error before the worker starts</w:t>
      </w:r>
    </w:p>
    <w:p>
      <w:pPr>
        <w:spacing w:after="120"/>
      </w:pPr>
      <w:r>
        <w:rPr>
          <w:rFonts w:ascii="Arial" w:cs="Arial" w:eastAsia="Arial" w:hAnsi="Arial"/>
          <w:sz w:val="22"/>
          <w:szCs w:val="22"/>
        </w:rPr>
        <w:t xml:space="preserve">If a worker triggers a HITL escalation, the approval request appears in the same queue as any other — the reviewer sees which parent session delegated it.</w:t>
      </w:r>
    </w:p>
    <w:p>
      <w:pPr>
        <w:pStyle w:val="Heading3"/>
      </w:pPr>
      <w:r>
        <w:t xml:space="preserve">LLM Provider Note</w:t>
      </w:r>
    </w:p>
    <w:p>
      <w:pPr>
        <w:spacing w:after="120"/>
      </w:pPr>
      <w:r>
        <w:rPr>
          <w:rFonts w:ascii="Arial" w:cs="Arial" w:eastAsia="Arial" w:hAnsi="Arial"/>
          <w:sz w:val="22"/>
          <w:szCs w:val="22"/>
        </w:rPr>
        <w:t xml:space="preserve">The Orchestrator uses AgentSession internally for worker execution, which means multi-agent delegation currently uses Claude as the reasoning engine. The delegation governance primitives (scope narrowing, depth tracking, credential delegation) are all provider-agnostic. For non-Claude deployments, developers can use the CredentialBroker.delegate() method directly within their own session loop to achieve the same credential and scope enforcement.</w:t>
      </w:r>
    </w:p>
    <w:p>
      <w:pPr>
        <w:pStyle w:val="Heading2"/>
      </w:pPr>
      <w:r>
        <w:t xml:space="preserve">Technical Perspective</w:t>
      </w:r>
    </w:p>
    <w:p>
      <w:pPr>
        <w:spacing w:after="120"/>
      </w:pPr>
      <w:r>
        <w:rPr>
          <w:rFonts w:ascii="Arial" w:cs="Arial" w:eastAsia="Arial" w:hAnsi="Arial"/>
          <w:sz w:val="22"/>
          <w:szCs w:val="22"/>
        </w:rPr>
        <w:t xml:space="preserve">The Orchestrator.delegate() method performs four operations: OPA evaluation of the delegation event, credential delegation with scope narrowing, sandbox spawn for the worker, and worker AgentSession execution. Parallel delegation uses asyncio.gather(). Delegation invariants are enforced by both OPA (delegation.rego) and the credential broker: child scopes must be a subset of parent scopes, child tokens expire no later than parent tokens, and delegation depth is tracked and capped.</w:t>
      </w:r>
    </w:p>
    <w:p>
      <w:pPr>
        <w:spacing w:after="120"/>
      </w:pPr>
      <w:r>
        <w:rPr>
          <w:rFonts w:ascii="Arial" w:cs="Arial" w:eastAsia="Arial" w:hAnsi="Arial"/>
          <w:b/>
          <w:bCs/>
          <w:sz w:val="22"/>
          <w:szCs w:val="22"/>
        </w:rPr>
        <w:t xml:space="preserve">Files involved: </w:t>
      </w:r>
      <w:r>
        <w:rPr>
          <w:rFonts w:ascii="Arial" w:cs="Arial" w:eastAsia="Arial" w:hAnsi="Arial"/>
          <w:sz w:val="22"/>
          <w:szCs w:val="22"/>
        </w:rPr>
        <w:t xml:space="preserve">agents/orchestrator.py, anchor/credentials.py, policies/delegation.rego</w:t>
      </w:r>
    </w:p>
    <w:p>
      <w:r>
        <w:br w:type="page"/>
      </w:r>
    </w:p>
    <w:p>
      <w:pPr>
        <w:pStyle w:val="Heading1"/>
      </w:pPr>
      <w:r>
        <w:t xml:space="preserve">Integration Levels</w:t>
      </w:r>
    </w:p>
    <w:p>
      <w:pPr>
        <w:spacing w:after="120"/>
      </w:pPr>
      <w:r>
        <w:rPr>
          <w:rFonts w:ascii="Arial" w:cs="Arial" w:eastAsia="Arial" w:hAnsi="Arial"/>
          <w:sz w:val="22"/>
          <w:szCs w:val="22"/>
        </w:rPr>
        <w:t xml:space="preserve">Kite Logik supports four integration levels. Choose based on your existing architecture and the governance surface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060"/>
        <w:gridCol w:w="220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0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LLM Support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Level 1: Decorator / Toolbox</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OPA policy enforcement on every tool call. GovernanceError on denial. Output sanitization. Plan-before-execute evaluation.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Level 2: Framework Adapters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10 min</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Same as Level 1, integrated at the framework level. Denied calls return structured messages to the model. Adapters for OpenAI, LangChain, CrewAI, LangGraph, and OpenAI Agents SDK.</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Any model supported by the framework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Level 3: AgentSession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Everything. Credential lifecycle, HITL escalation, sandbox isolation, audit trail, memory with provenance, multi-agent delegation.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Claude (Anthropic SDK)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Level 4: Governance Gateway</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15 min</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Centralized HTTP API for fleet-wide enforcement, audit, and fleet management. All agents call tools through one gateway.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Any (HTTP API)</w:t>
            </w:r>
          </w:p>
        </w:tc>
      </w:tr>
    </w:tbl>
    <w:p>
      <w:pPr>
        <w:spacing w:after="200"/>
      </w:pPr>
    </w:p>
    <w:p>
      <w:pPr>
        <w:pStyle w:val="Heading2"/>
      </w:pPr>
      <w:r>
        <w:t xml:space="preserve">Level 1: Decorator or Toolbox</w:t>
      </w:r>
    </w:p>
    <w:p>
      <w:pPr>
        <w:spacing w:after="120"/>
      </w:pPr>
      <w:r>
        <w:rPr>
          <w:rFonts w:ascii="Arial" w:cs="Arial" w:eastAsia="Arial" w:hAnsi="Arial"/>
          <w:sz w:val="22"/>
          <w:szCs w:val="22"/>
        </w:rPr>
        <w:t xml:space="preserve">Wrap existing tool functions with @governed or register them in a GovernedToolbox. The policy gate runs in-process. No restructuring required. Works with sync and async functions. GovernedToolbox also supports plan-before-execute evaluation via evaluate_plan(), which submits a proposed action sequence to OPA before executing any step.</w:t>
      </w:r>
    </w:p>
    <w:p>
      <w:pPr>
        <w:pStyle w:val="Heading2"/>
      </w:pPr>
      <w:r>
        <w:t xml:space="preserve">Level 2: Framework Adapters</w:t>
      </w:r>
    </w:p>
    <w:p>
      <w:pPr>
        <w:spacing w:after="120"/>
      </w:pPr>
      <w:r>
        <w:rPr>
          <w:rFonts w:ascii="Arial" w:cs="Arial" w:eastAsia="Arial" w:hAnsi="Arial"/>
          <w:sz w:val="22"/>
          <w:szCs w:val="22"/>
        </w:rPr>
        <w:t xml:space="preserve">Drop-in adapters intercept tool calls at the framework level and route them through governance. Six adapters are available: OpenAI (intercepts tool_calls), LangChain (wraps BaseTool instances or entire toolkits via govern_toolkit), CrewAI, LangGraph (GovernedLangGraphToolNode), OpenAI Agents SDK, and Anthropic/Claude. Denied calls return structured denial messages to the model — the agent loop continues and the model sees the refusal.</w:t>
      </w:r>
    </w:p>
    <w:p>
      <w:pPr>
        <w:pStyle w:val="Heading2"/>
      </w:pPr>
      <w:r>
        <w:t xml:space="preserve">Level 3: Full Agent Session</w:t>
      </w:r>
    </w:p>
    <w:p>
      <w:pPr>
        <w:spacing w:after="120"/>
      </w:pPr>
      <w:r>
        <w:rPr>
          <w:rFonts w:ascii="Arial" w:cs="Arial" w:eastAsia="Arial" w:hAnsi="Arial"/>
          <w:sz w:val="22"/>
          <w:szCs w:val="22"/>
        </w:rPr>
        <w:t xml:space="preserve">AgentSession + Orchestrator manage the complete agent lifecycle: spawn governance, credential lifecycle, sandbox isolation, delegation chains, HITL blocking, memory with provenance, and audit. This is the pattern used by the demo (agents/demo.py). AgentSession uses the Anthropic SDK (Claude) for its reasoning loop. The governance primitives it wires together — PolicyGate, CredentialBroker, HITLQueue, AuditStore, SandboxManager — are all provider-agnostic. For non-Claude deployments, use Level 2 adapters with a custom session loop, or use the Governance Gateway (Level 4). Level 3 components are modular — pass None for any you don’t need (sandbox, audit, memory).</w:t>
      </w:r>
    </w:p>
    <w:p>
      <w:pPr>
        <w:pStyle w:val="Heading2"/>
      </w:pPr>
      <w:r>
        <w:t xml:space="preserve">Level 4: Governance Gateway</w:t>
      </w:r>
    </w:p>
    <w:p>
      <w:pPr>
        <w:spacing w:after="120"/>
      </w:pPr>
      <w:r>
        <w:rPr>
          <w:rFonts w:ascii="Arial" w:cs="Arial" w:eastAsia="Arial" w:hAnsi="Arial"/>
          <w:sz w:val="22"/>
          <w:szCs w:val="22"/>
        </w:rPr>
        <w:t xml:space="preserve">A centralized HTTP API that all agents call tools through, regardless of which LLM powers them. The gateway handles the full pipeline: auth → schema → OPA → tool execution → sanitize → audit → response. Best for teams with multiple agents that need a single policy enforcement point. The gateway also provides fleet management endpoints (/v1/fleet/status, /v1/agents/{id}/kill) and HITL endpoints (/v1/hitl/{id}/approve, /v1/hitl/{id}/deny). Gateway adapters translate OpenAI tool_calls and Anthropic tool_use blocks into gateway requests.</w:t>
      </w:r>
    </w:p>
    <w:p>
      <w:pPr>
        <w:pStyle w:val="Heading2"/>
      </w:pPr>
      <w:r>
        <w:t xml:space="preserve">Integration Decision Tree</w:t>
      </w:r>
    </w:p>
    <w:p>
      <w:pPr>
        <w:shd w:fill="F8F9FA" w:val="clear"/>
        <w:spacing w:after="0"/>
        <w:ind w:left="360"/>
      </w:pPr>
      <w:r>
        <w:rPr>
          <w:rFonts w:ascii="Courier New" w:cs="Courier New" w:eastAsia="Courier New" w:hAnsi="Courier New"/>
          <w:sz w:val="18"/>
          <w:szCs w:val="18"/>
        </w:rPr>
        <w:t xml:space="preserve">Do you have existing tool functions?</w:t>
      </w:r>
    </w:p>
    <w:p>
      <w:pPr>
        <w:shd w:fill="F8F9FA" w:val="clear"/>
        <w:spacing w:after="0"/>
        <w:ind w:left="360"/>
      </w:pPr>
      <w:r>
        <w:rPr>
          <w:rFonts w:ascii="Courier New" w:cs="Courier New" w:eastAsia="Courier New" w:hAnsi="Courier New"/>
          <w:sz w:val="18"/>
          <w:szCs w:val="18"/>
        </w:rPr>
        <w:t xml:space="preserve">├─ Yes → Do you use a supported framework (OpenAI, LangChain, CrewAI, etc.)?</w:t>
      </w:r>
    </w:p>
    <w:p>
      <w:pPr>
        <w:shd w:fill="F8F9FA" w:val="clear"/>
        <w:spacing w:after="0"/>
        <w:ind w:left="360"/>
      </w:pPr>
      <w:r>
        <w:rPr>
          <w:rFonts w:ascii="Courier New" w:cs="Courier New" w:eastAsia="Courier New" w:hAnsi="Courier New"/>
          <w:sz w:val="18"/>
          <w:szCs w:val="18"/>
        </w:rPr>
        <w:t xml:space="preserve">│       ├─ Yes → Level 2: Framework adapter</w:t>
      </w:r>
    </w:p>
    <w:p>
      <w:pPr>
        <w:shd w:fill="F8F9FA" w:val="clear"/>
        <w:spacing w:after="0"/>
        <w:ind w:left="360"/>
      </w:pPr>
      <w:r>
        <w:rPr>
          <w:rFonts w:ascii="Courier New" w:cs="Courier New" w:eastAsia="Courier New" w:hAnsi="Courier New"/>
          <w:sz w:val="18"/>
          <w:szCs w:val="18"/>
        </w:rPr>
        <w:t xml:space="preserve">│       └─ No  → Level 1: @governed decorator or GovernedToolbox</w:t>
      </w:r>
    </w:p>
    <w:p>
      <w:pPr>
        <w:shd w:fill="F8F9FA" w:val="clear"/>
        <w:spacing w:after="0"/>
        <w:ind w:left="360"/>
      </w:pPr>
      <w:r>
        <w:rPr>
          <w:rFonts w:ascii="Courier New" w:cs="Courier New" w:eastAsia="Courier New" w:hAnsi="Courier New"/>
          <w:sz w:val="18"/>
          <w:szCs w:val="18"/>
        </w:rPr>
        <w:t xml:space="preserve">│</w:t>
      </w:r>
    </w:p>
    <w:p>
      <w:pPr>
        <w:shd w:fill="F8F9FA" w:val="clear"/>
        <w:spacing w:after="0"/>
        <w:ind w:left="360"/>
      </w:pPr>
      <w:r>
        <w:rPr>
          <w:rFonts w:ascii="Courier New" w:cs="Courier New" w:eastAsia="Courier New" w:hAnsi="Courier New"/>
          <w:sz w:val="18"/>
          <w:szCs w:val="18"/>
        </w:rPr>
        <w:t xml:space="preserve">└─ No → Are you building a new agent from scratch?</w:t>
      </w:r>
    </w:p>
    <w:p>
      <w:pPr>
        <w:shd w:fill="F8F9FA" w:val="clear"/>
        <w:spacing w:after="0"/>
        <w:ind w:left="360"/>
      </w:pPr>
      <w:r>
        <w:rPr>
          <w:rFonts w:ascii="Courier New" w:cs="Courier New" w:eastAsia="Courier New" w:hAnsi="Courier New"/>
          <w:sz w:val="18"/>
          <w:szCs w:val="18"/>
        </w:rPr>
        <w:t xml:space="preserve">        ├─ Yes, using Claude → Level 3: AgentSession</w:t>
      </w:r>
    </w:p>
    <w:p>
      <w:pPr>
        <w:shd w:fill="F8F9FA" w:val="clear"/>
        <w:spacing w:after="0"/>
        <w:ind w:left="360"/>
      </w:pPr>
      <w:r>
        <w:rPr>
          <w:rFonts w:ascii="Courier New" w:cs="Courier New" w:eastAsia="Courier New" w:hAnsi="Courier New"/>
          <w:sz w:val="18"/>
          <w:szCs w:val="18"/>
        </w:rPr>
        <w:t xml:space="preserve">        ├─ Yes, using another LLM → Level 2 adapter + your own session loop</w:t>
      </w:r>
    </w:p>
    <w:p>
      <w:pPr>
        <w:shd w:fill="F8F9FA" w:val="clear"/>
        <w:spacing w:after="0"/>
        <w:ind w:left="360"/>
      </w:pPr>
      <w:r>
        <w:rPr>
          <w:rFonts w:ascii="Courier New" w:cs="Courier New" w:eastAsia="Courier New" w:hAnsi="Courier New"/>
          <w:sz w:val="18"/>
          <w:szCs w:val="18"/>
        </w:rPr>
        <w:t xml:space="preserve">        └─ Multiple agents, centralized enforcement → Level 4: Gateway</w:t>
      </w:r>
    </w:p>
    <w:p>
      <w:pPr>
        <w:spacing w:after="200"/>
      </w:pPr>
    </w:p>
    <w:p>
      <w:r>
        <w:br w:type="page"/>
      </w:r>
    </w:p>
    <w:p>
      <w:pPr>
        <w:pStyle w:val="Heading1"/>
      </w:pPr>
      <w:r>
        <w:t xml:space="preserve">Quick Reference: What Runs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Network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OPA</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Standalone container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In-memory or S3 bundle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HTTP :8181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PolicyGate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 process or gateway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None</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Calls OPA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CredentialBroker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process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In-memory or SQLite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HITLQueue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 process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SQLite</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AuditStore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process or gateway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Sandbox</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Docker per session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Ephemeral (read-only)</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None (network=none)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Framework Adapters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Agent process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Gateway Server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Standalone FastAPI</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PostgreSQL (enterprise)</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HTTP :8000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Standalone FastAPI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SQLite (events)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HTTP :8050, WebSocket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SIEM Webhook</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 process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None</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HTTPS to SIEM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MCP Servers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Subprocess or HTTP</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JSON-RPC</w:t>
            </w:r>
          </w:p>
        </w:tc>
      </w:tr>
    </w:tbl>
    <w:p>
      <w:pPr>
        <w:spacing w:after="200"/>
      </w:pPr>
    </w:p>
    <w:p>
      <w:pPr>
        <w:spacing w:after="120"/>
      </w:pPr>
      <w:r>
        <w:rPr>
          <w:rFonts w:ascii="Arial" w:cs="Arial" w:eastAsia="Arial" w:hAnsi="Arial"/>
          <w:i/>
          <w:iCs/>
          <w:color w:val="666666"/>
          <w:sz w:val="22"/>
          <w:szCs w:val="22"/>
        </w:rPr>
        <w:t xml:space="preserve">For production multi-node deployments, SQLite backends are replaced with PostgreSQL (same API surface).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tabs>
        <w:tab w:val="right" w:pos="9026"/>
      </w:tabs>
    </w:pPr>
    <w:r>
      <w:rPr>
        <w:rFonts w:ascii="Arial" w:cs="Arial" w:eastAsia="Arial" w:hAnsi="Arial"/>
        <w:b/>
        <w:bCs/>
        <w:color w:val="1B2A4A"/>
        <w:sz w:val="18"/>
        <w:szCs w:val="18"/>
      </w:rPr>
      <w:t xml:space="preserve">Kite Logik</w:t>
    </w:r>
    <w:r>
      <w:rPr>
        <w:rFonts w:ascii="Arial" w:cs="Arial" w:eastAsia="Arial" w:hAnsi="Arial"/>
        <w:color w:val="999999"/>
        <w:sz w:val="18"/>
        <w:szCs w:val="18"/>
      </w:rPr>
      <w:t xml:space="preserve">	End-to-End User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2026-04-05T20:34:18.706Z</dcterms:created>
  <dcterms:modified xsi:type="dcterms:W3CDTF">2026-04-05T20:34:18.707Z</dcterms:modified>
</cp:coreProperties>
</file>

<file path=docProps/custom.xml><?xml version="1.0" encoding="utf-8"?>
<Properties xmlns="http://schemas.openxmlformats.org/officeDocument/2006/custom-properties" xmlns:vt="http://schemas.openxmlformats.org/officeDocument/2006/docPropsVTypes"/>
</file>