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40" w:lineRule="auto"/>
        <w:jc w:val="center"/>
      </w:pPr>
      <w:r>
        <w:rPr>
          <w:rFonts w:ascii="Noto Sans" w:hAnsi="Noto Sans" w:cs="Noto Sans"/>
          <w:b/>
          <w:i w:val="0"/>
          <w:caps/>
          <w:color w:val="8A6A2A"/>
          <w:sz w:val="19"/>
        </w:rPr>
        <w:t>CAPÍTULO 1</w:t>
      </w:r>
    </w:p>
    <w:p>
      <w:pPr>
        <w:spacing w:before="0" w:after="160" w:line="240" w:lineRule="auto"/>
        <w:jc w:val="center"/>
      </w:pPr>
      <w:r>
        <w:rPr>
          <w:rFonts w:ascii="EB Garamond" w:hAnsi="EB Garamond" w:cs="EB Garamond"/>
          <w:b/>
          <w:i w:val="0"/>
          <w:color w:val="2F2923"/>
          <w:sz w:val="40"/>
        </w:rPr>
        <w:t>EVOLUÇÃO HISTÓRICA E PRINCÍPIOS CONSTITUCIONAIS</w:t>
      </w:r>
    </w:p>
    <w:p>
      <w:pPr>
        <w:spacing w:before="0" w:after="240" w:line="240" w:lineRule="auto"/>
        <w:jc w:val="center"/>
      </w:pPr>
      <w:r>
        <w:rPr>
          <w:rFonts w:ascii="EB Garamond" w:hAnsi="EB Garamond" w:cs="EB Garamond"/>
          <w:b w:val="0"/>
          <w:i w:val="0"/>
          <w:color w:val="B78B37"/>
          <w:sz w:val="18"/>
        </w:rPr>
        <w:t>◆</w:t>
      </w:r>
    </w:p>
    <w:p>
      <w:pPr>
        <w:spacing w:before="0" w:after="70" w:line="259" w:lineRule="auto"/>
        <w:jc w:val="both"/>
      </w:pPr>
      <w:r>
        <w:rPr>
          <w:rFonts w:ascii="EB Garamond" w:hAnsi="EB Garamond" w:cs="EB Garamond"/>
          <w:b w:val="0"/>
          <w:i w:val="0"/>
          <w:color w:val="201B16"/>
          <w:sz w:val="21"/>
        </w:rPr>
        <w:t>A proteção previdenciária no Brasil percorreu um longo caminho desde as primeiras referências constitucionais à aposentadoria até a consolidação de um sistema de seguridade social na Constituição Federal de 1988. Compreender essa trajetória é indispensável para situar os princípios que hoje regem o Regime Geral de Previdência Social e para avaliar o impacto das sucessivas reformas constitucionais sobre a tutela dos segurados.</w:t>
      </w:r>
    </w:p>
    <w:p>
      <w:pPr>
        <w:spacing w:before="360" w:after="140" w:line="240" w:lineRule="auto"/>
        <w:jc w:val="left"/>
        <w:pBdr>
          <w:bottom w:val="single" w:sz="8" w:space="4" w:color="B89B5E"/>
        </w:pBdr>
        <w:keepNext/>
      </w:pPr>
      <w:r>
        <w:rPr>
          <w:rFonts w:ascii="EB Garamond" w:hAnsi="EB Garamond" w:cs="EB Garamond"/>
          <w:b/>
          <w:i w:val="0"/>
          <w:color w:val="3A3128"/>
          <w:sz w:val="31"/>
        </w:rPr>
        <w:t>1.1 Breve evolução histórica da proteção previdenciária no Brasil</w:t>
      </w:r>
    </w:p>
    <w:p>
      <w:pPr>
        <w:spacing w:before="0" w:after="70" w:line="259" w:lineRule="auto"/>
        <w:jc w:val="both"/>
      </w:pPr>
      <w:r>
        <w:rPr>
          <w:rFonts w:ascii="EB Garamond" w:hAnsi="EB Garamond" w:cs="EB Garamond"/>
          <w:b w:val="0"/>
          <w:i w:val="0"/>
          <w:color w:val="201B16"/>
          <w:sz w:val="21"/>
        </w:rPr>
        <w:t>A Constituição de 1891 trouxe, em seu art. 75, a primeira referência constitucional à aposentadoria no direito brasileiro, limitada aos funcionários públicos federais em caso de invalidez no serviço da Nação. Tratava-se de proteção restrita, sem custeio estruturado e sem qualquer pretensão de universalidade — um benefício gracioso do Estado a seus próprios servidores.</w:t>
      </w:r>
    </w:p>
    <w:p>
      <w:pPr>
        <w:spacing w:before="0" w:after="70" w:line="259" w:lineRule="auto"/>
        <w:ind w:firstLine="238"/>
        <w:jc w:val="both"/>
      </w:pPr>
      <w:r>
        <w:rPr>
          <w:rFonts w:ascii="EB Garamond" w:hAnsi="EB Garamond" w:cs="EB Garamond"/>
          <w:b w:val="0"/>
          <w:i w:val="0"/>
          <w:color w:val="201B16"/>
          <w:sz w:val="21"/>
        </w:rPr>
        <w:t>O marco que a doutrina dominante reconhece como fundador da previdência social brasileira é o Decreto Legislativo n. 4.682, de 24 de janeiro de 1923, conhecido como Lei Eloy Chaves. Essa norma criou as primeiras Caixas de Aposentadorias e Pensões (CAPs) para os empregados das empresas ferroviárias, estabelecendo um modelo organizado por empresa, com custeio tripartite embrionário — contribuições do empregado, do empregador e do Estado — e cobertura para aposentadoria por invalidez, aposentadoria ordinária, pensão por morte e assistência médica. As CAPs foram progressivamente estendidas a outras categorias de trabalhadores por diversos decretos ao longo da década de 1920, mas permaneceram fragmentadas e desiguais em sua cobertura.</w:t>
      </w:r>
    </w:p>
    <w:p>
      <w:pPr>
        <w:spacing w:before="0" w:after="70" w:line="259" w:lineRule="auto"/>
        <w:ind w:firstLine="238"/>
        <w:jc w:val="both"/>
      </w:pPr>
      <w:r>
        <w:rPr>
          <w:rFonts w:ascii="EB Garamond" w:hAnsi="EB Garamond" w:cs="EB Garamond"/>
          <w:b w:val="0"/>
          <w:i w:val="0"/>
          <w:color w:val="201B16"/>
          <w:sz w:val="21"/>
        </w:rPr>
        <w:t>Com a Revolução de 1930 e o intervencionismo estatal do governo Vargas, o modelo de proteção social foi reorganizado. As CAPs, organizadas por empresa, cederam lugar aos Institutos de Aposentadorias e Pensões (IAPs), estruturados por categoria profissional: o IAPM para marítimos (1933), o IAPC para comerciários (1934), o IAPB para bancários (1934) e o IAPI para industriários (1936), entre outros. Cada IAP possuía regulamento próprio, benefícios distintos e alíquotas diferentes, o que gerava intensa desigualdade entre categorias de trabalhadores. Paralelamente, a Constituição de 1934 institucionalizou pela primeira vez a tríplice forma de custeio — União, empregadores e empregados — e mencionou expressamente a noção de risco social, ao passo que a Constituição de 1946 foi a primeira a utilizar a expressão “Previdência Social“ no texto constitucional.</w:t>
      </w:r>
    </w:p>
    <w:p>
      <w:pPr>
        <w:spacing w:before="0" w:after="70" w:line="259" w:lineRule="auto"/>
        <w:ind w:firstLine="238"/>
        <w:jc w:val="both"/>
      </w:pPr>
      <w:r>
        <w:rPr>
          <w:rFonts w:ascii="EB Garamond" w:hAnsi="EB Garamond" w:cs="EB Garamond"/>
          <w:b w:val="0"/>
          <w:i w:val="0"/>
          <w:color w:val="201B16"/>
          <w:sz w:val="21"/>
        </w:rPr>
        <w:t>A Lei Orgânica da Previdência Social (Lei n. 3.807/1960) representou avanço decisivo ao unificar a legislação previdenciária aplicável a todos os IAPs, estabelecendo regras comuns de benefícios e custeio e eliminando legislativamente as diferenças de tratamento entre categorias profissionais, embora tenha mantido a fragmentação institucional. A unificação administrativa veio com o Decreto-Lei n. 72/1966, que criou o Instituto Nacional de Previdência Social (INPS), extinguindo a estrutura dos IAPs e consolidando a gestão previdenciária em um único órgão. Posteriormente, a Lei n. 6.439/1977 instituiu o Sistema Nacional de Previdência e Assistência Social (SINPAS), reorganizando as funções do INPS em diversas entidades vinculadas — INPS (benefícios previdenciários), INAMPS (assistência médica), IAPAS (custeio e arrecadação), LBA (assistência social), FUNABEM (bem-estar do menor) e DATAPREV (tecnologia da informação) —, num primeiro esboço de sistema integrado de proteção social.</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evolução institucional da previdência brasileira — de CAPs por empresa a IAPs por categoria, depois a INPS unificado e finalmente a SINPAS — reflete a progressiva ampliação da cobertura e a busca por uniformidade. Essa trajetória é frequentemente cobrada em concursos e também é relevante para compreender por que a CF/88 adotou o modelo de seguridade social integrada: a experiência histórica demonstrou que sistemas fragmentados geram desigualdade e ineficiência administrativa.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1.2 A seguridade social na Constituição Federal de 1988</w:t>
      </w:r>
    </w:p>
    <w:p>
      <w:pPr>
        <w:spacing w:before="0" w:after="70" w:line="259" w:lineRule="auto"/>
        <w:jc w:val="both"/>
      </w:pPr>
      <w:r>
        <w:rPr>
          <w:rFonts w:ascii="EB Garamond" w:hAnsi="EB Garamond" w:cs="EB Garamond"/>
          <w:b w:val="0"/>
          <w:i w:val="0"/>
          <w:color w:val="201B16"/>
          <w:sz w:val="21"/>
        </w:rPr>
        <w:t>A Constituição Federal de 1988 promoveu ruptura paradigmática ao substituir o conceito restrito de “previdência social“ pelo conceito amplo de seguridade social. Nos termos do art. 194 da Constituição Federal de 1988, “a seguridade social compreende um conjunto integrado de ações de iniciativa dos Poderes Públicos e da sociedade, destinadas a assegurar os direitos relativos à saúde, à previdência e à assistência social.“ Trata-se de um sistema tripartite que congrega saúde (arts. 196 a 200), previdência social (arts. 201 e 202) e assistência social (arts. 203 e 204), cada qual com princípios e regras próprios, mas unidos por uma lógica de proteção social integrada.</w:t>
      </w:r>
    </w:p>
    <w:p>
      <w:pPr>
        <w:spacing w:before="0" w:after="70" w:line="259" w:lineRule="auto"/>
        <w:ind w:firstLine="238"/>
        <w:jc w:val="both"/>
      </w:pPr>
      <w:r>
        <w:rPr>
          <w:rFonts w:ascii="EB Garamond" w:hAnsi="EB Garamond" w:cs="EB Garamond"/>
          <w:b w:val="0"/>
          <w:i w:val="0"/>
          <w:color w:val="201B16"/>
          <w:sz w:val="21"/>
        </w:rPr>
        <w:t>A opção constitucional pela seguridade social representou a transição de um modelo predominantemente bismarckiano — fundado em seguros contributivos vinculados ao exercício de atividade remunerada — para um modelo misto com traços beveridgianos, orientado pela universalidade de cobertura e pela responsabilidade coletiva. A seguridade social tem natureza jurídica institucional ou estatutária, pois o Estado, por meio de lei, utiliza seu poder de império e cria a figura da filiação automática ao sistema, independentemente da vontade do beneficiário. Essa natureza institucional explica por que a vinculação ao regime previdenciário é compulsória para os trabalhadores em atividade, e por que a solidariedade constitui o sustentáculo de todo o sistema.</w:t>
      </w:r>
    </w:p>
    <w:p>
      <w:pPr>
        <w:spacing w:before="0" w:after="70" w:line="259" w:lineRule="auto"/>
        <w:ind w:firstLine="238"/>
        <w:jc w:val="both"/>
      </w:pPr>
      <w:r>
        <w:rPr>
          <w:rFonts w:ascii="EB Garamond" w:hAnsi="EB Garamond" w:cs="EB Garamond"/>
          <w:b w:val="0"/>
          <w:i w:val="0"/>
          <w:color w:val="201B16"/>
          <w:sz w:val="21"/>
        </w:rPr>
        <w:t>A inovação mais expressiva da CF/88 em matéria previdenciária foi a inclusão dos trabalhadores rurais em igualdade de condições com os urbanos. Até então, a proteção previdenciária rural era significativamente inferior — o antigo FUNRURAL oferecia benefícios menores e de menor abrangência. A uniformidade entre populações urbanas e rurais, prevista no art. 194, parágrafo único, inciso II, da Constituição, corrigiu essa distorção histórica e representou, a vedação constitucional ao tratamento desigual entre essas populações.</w:t>
      </w:r>
    </w:p>
    <w:p>
      <w:pPr>
        <w:spacing w:before="360" w:after="140" w:line="240" w:lineRule="auto"/>
        <w:jc w:val="left"/>
        <w:pBdr>
          <w:bottom w:val="single" w:sz="8" w:space="4" w:color="B89B5E"/>
        </w:pBdr>
        <w:keepNext/>
      </w:pPr>
      <w:r>
        <w:rPr>
          <w:rFonts w:ascii="EB Garamond" w:hAnsi="EB Garamond" w:cs="EB Garamond"/>
          <w:b/>
          <w:i w:val="0"/>
          <w:color w:val="3A3128"/>
          <w:sz w:val="31"/>
        </w:rPr>
        <w:t>1.3 Princípios constitucionais da seguridade social</w:t>
      </w:r>
    </w:p>
    <w:p>
      <w:pPr>
        <w:spacing w:before="0" w:after="70" w:line="259" w:lineRule="auto"/>
        <w:jc w:val="both"/>
      </w:pPr>
      <w:r>
        <w:rPr>
          <w:rFonts w:ascii="EB Garamond" w:hAnsi="EB Garamond" w:cs="EB Garamond"/>
          <w:b w:val="0"/>
          <w:i w:val="0"/>
          <w:color w:val="201B16"/>
          <w:sz w:val="21"/>
        </w:rPr>
        <w:t>O parágrafo único do art. 194 da Constituição Federal enumera os objetivos que devem orientar a organização da seguridade social pelo Poder Público. A doutrina amplamente majoritária reconhece que esses objetivos constituem verdadeiros princípios setoriais, dotados de eficácia jurídica vinculante e aplicabilidade direta — não se tratando de meras normas programáticas desprovidas de normatividade. “os objetivos constitucionais revelam-se como autênticos princípios setoriais aplicáveis apenas à seguridade social, caracterizados pela generalidade e veiculadores de valores a serem tutelados.“ Na mesma linha, Savaris (2019) posiciona-se firmemente pela justiciabilidade plena dos direitos sociais previdenciários, sustentando que os princípios constitucionais da seguridade social são normas de eficácia imediata que vinculam o legislador, a administração e o Poder Judiciário.</w:t>
      </w:r>
    </w:p>
    <w:p>
      <w:pPr>
        <w:spacing w:before="0" w:after="70" w:line="259" w:lineRule="auto"/>
        <w:ind w:firstLine="238"/>
        <w:jc w:val="both"/>
      </w:pPr>
      <w:r>
        <w:rPr>
          <w:rFonts w:ascii="EB Garamond" w:hAnsi="EB Garamond" w:cs="EB Garamond"/>
          <w:b w:val="0"/>
          <w:i w:val="0"/>
          <w:color w:val="201B16"/>
          <w:sz w:val="21"/>
        </w:rPr>
        <w:t>Entendemos que essa posição é a mais adequada ao sistema constitucional brasileiro. Os princípios do art. 194 da Constituição não são meros programas a serem implementados segundo a conveniência do legislador; são parâmetros normativos que condicionam a validade das leis ordinárias, orientam a interpretação dos benefícios previdenciários e devem ser aplicados diretamente pelos juízes, especialmente nos Juizados Especiais Federais. A jurisprudência do Supremo Tribunal Federal confirma essa compreensão, como se verá ao longo desta análise.</w:t>
      </w:r>
    </w:p>
    <w:p>
      <w:pPr>
        <w:spacing w:before="260" w:after="80" w:line="240" w:lineRule="auto"/>
        <w:jc w:val="left"/>
        <w:keepNext/>
      </w:pPr>
      <w:r>
        <w:rPr>
          <w:rFonts w:ascii="EB Garamond" w:hAnsi="EB Garamond" w:cs="EB Garamond"/>
          <w:b/>
          <w:i w:val="0"/>
          <w:color w:val="3A3128"/>
          <w:sz w:val="25"/>
        </w:rPr>
        <w:t>1.3.1 Solidariedade</w:t>
      </w:r>
    </w:p>
    <w:p>
      <w:pPr>
        <w:spacing w:before="0" w:after="70" w:line="259" w:lineRule="auto"/>
        <w:jc w:val="both"/>
      </w:pPr>
      <w:r>
        <w:rPr>
          <w:rFonts w:ascii="EB Garamond" w:hAnsi="EB Garamond" w:cs="EB Garamond"/>
          <w:b w:val="0"/>
          <w:i w:val="0"/>
          <w:color w:val="201B16"/>
          <w:sz w:val="21"/>
        </w:rPr>
        <w:t>A solidariedade é o princípio estruturante de todo o sistema de seguridade social. Embora não mencionada expressamente no rol do art. 194, parágrafo único, da Constituição, a solidariedade decorre do art. 3º, inciso I, da Constituição Federal (construção de uma sociedade solidária como objetivo fundamental da República) e permeia toda a arquitetura do sistema previdenciário. Ensina que “solidariedade social significa a contribuição do universo de protegidos em benefício da minoria“, destacando o pacto de gerações como fundamento do sistema de repartição simples adotado pelo Brasil, no qual as contribuições dos trabalhadores ativos financiam os benefícios dos inativos contemporâneos.</w:t>
      </w:r>
    </w:p>
    <w:p>
      <w:pPr>
        <w:spacing w:before="0" w:after="70" w:line="259" w:lineRule="auto"/>
        <w:ind w:firstLine="238"/>
        <w:jc w:val="both"/>
      </w:pPr>
      <w:r>
        <w:rPr>
          <w:rFonts w:ascii="EB Garamond" w:hAnsi="EB Garamond" w:cs="EB Garamond"/>
          <w:b w:val="0"/>
          <w:i w:val="0"/>
          <w:color w:val="201B16"/>
          <w:sz w:val="21"/>
        </w:rPr>
        <w:t>O Supremo Tribunal Federal, no julgamento conjunto das ADIs 3.105/DF e 3.128/DF (Tribunal Pleno, rel. Min. Ellen Gracie, DJ 18/02/2005), declarou constitucional a contribuição previdenciária dos servidores inativos e pensionistas instituída pela Emenda Constitucional n. 41, de 19 de dezembro de 2003, com fundamento expresso no princípio da solidariedade. O Tribunal assentou que a solidariedade justifica que todos os integrantes do sistema — ativos, inativos e pensionistas — contribuam para sua sustentabilidade financeira. Esse julgamento constitui o leading case sobre a solidariedade no direito previdenciário brasileiro e tem sido reiteradamente invocado em decisões posteriores.</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No RE 661.256/SC (Tema 503 da Repercussão Geral, Tribunal Pleno, rel. Min. Luís Roberto Barroso, julgado em 26 e 27 de outubro de 2016), o STF negou o direito à desaposentação, reafirmando que a solidariedade impõe ao aposentado que retorna ao trabalho o dever de contribuir para o sistema, sem direito a recálculo automático de sua aposentadoria. A Corte assentou que, no âmbito do RGPS, somente lei pode criar benefícios e vantagens previdenciárias, sendo constitucional a regra do art. 18, § 2º, da Lei n. 8.213, de 24 de julho de 1991. Esse entendimento foi ampliado nos embargos de declaração (julgados em 06/02/2020) para incluir expressamente a vedação à reaposentação, superando a tese que prevalecia nos tribunais inferiores.</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1.3.2 Universalidade da cobertura e do atendimento</w:t>
      </w:r>
    </w:p>
    <w:p>
      <w:pPr>
        <w:spacing w:before="0" w:after="70" w:line="259" w:lineRule="auto"/>
        <w:jc w:val="both"/>
      </w:pPr>
      <w:r>
        <w:rPr>
          <w:rFonts w:ascii="EB Garamond" w:hAnsi="EB Garamond" w:cs="EB Garamond"/>
          <w:b w:val="0"/>
          <w:i w:val="0"/>
          <w:color w:val="201B16"/>
          <w:sz w:val="21"/>
        </w:rPr>
        <w:t>O inciso I do parágrafo único do art. 194 da Constituição estabelece a universalidade da cobertura e do atendimento como princípio da seguridade social. A doutrina distingue duas dimensões complementares desse princípio: a universalidade da cobertura, que diz respeito ao aspecto objetivo — a proteção social deve alcançar todos os eventos cuja reparação seja necessária para manter a subsistência de quem dela necessite —, e a universalidade do atendimento, relativa ao aspecto subjetivo — os benefícios e serviços devem ser entregues a todos que deles necessitem.</w:t>
      </w:r>
    </w:p>
    <w:p>
      <w:pPr>
        <w:spacing w:before="0" w:after="70" w:line="259" w:lineRule="auto"/>
        <w:ind w:firstLine="238"/>
        <w:jc w:val="both"/>
      </w:pPr>
      <w:r>
        <w:rPr>
          <w:rFonts w:ascii="EB Garamond" w:hAnsi="EB Garamond" w:cs="EB Garamond"/>
          <w:b w:val="0"/>
          <w:i w:val="0"/>
          <w:color w:val="201B16"/>
          <w:sz w:val="21"/>
        </w:rPr>
        <w:t>Na prática, a universalidade da cobertura orienta a expansão do rol de contingências sociais protegidas pelo sistema (incapacidade, idade avançada, morte, maternidade, desemprego involuntário), enquanto a universalidade do atendimento impõe que o maior número possível de pessoas seja alcançado pela proteção social. A universalidade, contudo, não é absoluta: na previdência social, o acesso aos benefícios exige, como regra, a filiação ao regime e o cumprimento de carência, o que diferencia a previdência (contributiva) da saúde (universal e independente de contribuição) e da assistência social (destinada a quem necessitar, independentemente de contribuição).</w:t>
      </w:r>
    </w:p>
    <w:p>
      <w:pPr>
        <w:spacing w:before="0" w:after="70" w:line="259" w:lineRule="auto"/>
        <w:ind w:firstLine="238"/>
        <w:jc w:val="both"/>
      </w:pPr>
      <w:r>
        <w:rPr>
          <w:rFonts w:ascii="EB Garamond" w:hAnsi="EB Garamond" w:cs="EB Garamond"/>
          <w:b w:val="0"/>
          <w:i w:val="0"/>
          <w:color w:val="201B16"/>
          <w:sz w:val="21"/>
        </w:rPr>
        <w:t>O Supremo Tribunal Federal aplicou o princípio da universalidade de forma paradigmática no julgamento conjunto dos RE 567.985/MT e RE 580.963/PR (Tema 27 da Repercussão Geral, Tribunal Pleno, red. Para acórdão Min. Gilmar Mendes, julgado em 18 de abril de 2013), ao declarar a inconstitucionalidade do critério de renda per capita inferior a um quarto do salário mínimo como requisito exclusivo para concessão do Benefício de Prestação Continuada previsto no art. 203, inciso V, da Constituição. O Tribunal reconheceu o processo de inconstitucionalização desse critério e determinou que o juiz avalie o caso concreto à luz da dignidade da pessoa humana e da universalidade do atendimento assistencial, demonstrando que a universalidade funciona como vetor de interpretação expansiva da proteção social.</w:t>
      </w:r>
    </w:p>
    <w:p>
      <w:pPr>
        <w:spacing w:before="260" w:after="80" w:line="240" w:lineRule="auto"/>
        <w:jc w:val="left"/>
        <w:keepNext/>
      </w:pPr>
      <w:r>
        <w:rPr>
          <w:rFonts w:ascii="EB Garamond" w:hAnsi="EB Garamond" w:cs="EB Garamond"/>
          <w:b/>
          <w:i w:val="0"/>
          <w:color w:val="3A3128"/>
          <w:sz w:val="25"/>
        </w:rPr>
        <w:t>1.3.3 Uniformidade e equivalência dos benefícios e serviços às populações urbanas e rurais</w:t>
      </w:r>
    </w:p>
    <w:p>
      <w:pPr>
        <w:spacing w:before="0" w:after="70" w:line="259" w:lineRule="auto"/>
        <w:jc w:val="both"/>
      </w:pPr>
      <w:r>
        <w:rPr>
          <w:rFonts w:ascii="EB Garamond" w:hAnsi="EB Garamond" w:cs="EB Garamond"/>
          <w:b w:val="0"/>
          <w:i w:val="0"/>
          <w:color w:val="201B16"/>
          <w:sz w:val="21"/>
        </w:rPr>
        <w:t>O inciso II do parágrafo único do art. 194 da Constituição consagra a uniformidade e equivalência dos benefícios e serviços prestados às populações urbanas e rurais. Trata-se de princípio com profundo significado histórico, pois corrigiu a desigualdade estrutural que caracterizou a proteção previdenciária brasileira durante décadas, quando o trabalhador rural tinha acesso a benefícios substancialmente inferiores. A uniformidade significa que os mesmos eventos geradores de proteção (invalidez, idade avançada, morte, maternidade) devem ser cobertos tanto para trabalhadores urbanos quanto rurais. A equivalência, por sua vez, impõe que os benefícios tenham expressão econômica proporcionalmente semelhante, ainda que as regras de cálculo possam diferir em razão das especificidades de cada regime de trabalho — como ocorre com o segurado especial rural, cujos benefícios têm como piso o salário mínimo.</w:t>
      </w:r>
    </w:p>
    <w:p>
      <w:pPr>
        <w:spacing w:before="260" w:after="80" w:line="240" w:lineRule="auto"/>
        <w:jc w:val="left"/>
        <w:keepNext/>
      </w:pPr>
      <w:r>
        <w:rPr>
          <w:rFonts w:ascii="EB Garamond" w:hAnsi="EB Garamond" w:cs="EB Garamond"/>
          <w:b/>
          <w:i w:val="0"/>
          <w:color w:val="3A3128"/>
          <w:sz w:val="25"/>
        </w:rPr>
        <w:t>1.3.4 Seletividade e distributividade na prestação dos benefícios e serviços</w:t>
      </w:r>
    </w:p>
    <w:p>
      <w:pPr>
        <w:spacing w:before="0" w:after="70" w:line="259" w:lineRule="auto"/>
        <w:jc w:val="both"/>
      </w:pPr>
      <w:r>
        <w:rPr>
          <w:rFonts w:ascii="EB Garamond" w:hAnsi="EB Garamond" w:cs="EB Garamond"/>
          <w:b w:val="0"/>
          <w:i w:val="0"/>
          <w:color w:val="201B16"/>
          <w:sz w:val="21"/>
        </w:rPr>
        <w:t>O inciso III do parágrafo único do art. 194 da Constituição prevê a seletividade e a distributividade na prestação dos benefícios e serviços. Esses princípios operam em tensão dialética com a universalidade: enquanto esta aponta para a máxima expansão da cobertura, a seletividade autoriza o legislador a eleger, dentre as contingências sociais, aquelas que receberão proteção prioritária, considerando a capacidade orçamentária do sistema e a relevância social do risco. A distributividade, por sua vez, orienta a distribuição dos benefícios de modo a privilegiar os mais necessitados, conferindo ao sistema previdenciário uma função redistributiva.</w:t>
      </w:r>
    </w:p>
    <w:p>
      <w:pPr>
        <w:spacing w:before="0" w:after="70" w:line="259" w:lineRule="auto"/>
        <w:ind w:firstLine="238"/>
        <w:jc w:val="both"/>
      </w:pPr>
      <w:r>
        <w:rPr>
          <w:rFonts w:ascii="EB Garamond" w:hAnsi="EB Garamond" w:cs="EB Garamond"/>
          <w:b w:val="0"/>
          <w:i w:val="0"/>
          <w:color w:val="201B16"/>
          <w:sz w:val="21"/>
        </w:rPr>
        <w:t>“a seletividade e a distributividade realizam, com autorização constitucional, papel de redução da universalidade.“ acrescenta que esses princípios são expressões da igualdade material, exigindo tratamento diferenciado entre situações desiguais — lógica que se manifesta, por exemplo, na restrição do auxílio-reclusão e do salário-família aos dependentes de segurados de baixa renda (art. 201, IV, da Constituição, com redação dada pela Emenda Constitucional n. 20, de 15 de dezembro de 1998).</w:t>
      </w:r>
    </w:p>
    <w:p>
      <w:pPr>
        <w:spacing w:before="0" w:after="70" w:line="259" w:lineRule="auto"/>
        <w:ind w:firstLine="238"/>
        <w:jc w:val="both"/>
      </w:pPr>
      <w:r>
        <w:rPr>
          <w:rFonts w:ascii="EB Garamond" w:hAnsi="EB Garamond" w:cs="EB Garamond"/>
          <w:b w:val="0"/>
          <w:i w:val="0"/>
          <w:color w:val="201B16"/>
          <w:sz w:val="21"/>
        </w:rPr>
        <w:t>O STF aplicou o princípio da seletividade no RE 587.365/SC (Tema 89 da Repercussão Geral, Tribunal Pleno, rel. Min. Ricardo Lewandowski, julgado em 25 de março de 2009), ao decidir que o critério de baixa renda para fins de concessão do auxílio-reclusão deve ser aferido com base na renda do segurado preso, e não na renda de seus dependentes. A decisão reconheceu que a EC 20/1998 adotou expressamente o critério de seletividade ao restringir esse benefício aos segurados de baixa renda.</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Nos JEFs, o princípio da seletividade tem aplicação cotidiana nas ações de concessão de BPC/LOAS. Após o julgamento do Tema 27 pelo STF (RE 567.985/MT), o critério de renda de 1/4 do salário mínimo deixou de ser o único parâmetro para aferição da miserabilidade. O juiz deve avaliar as condições socioeconômicas do requerente no caso concreto, podendo considerar gastos com saúde, moradia e outras despesas essenciais. Na petição inicial, é recomendável que o advogado demonstre analiticamente as despesas da família, e não apenas a renda bruta, para viabilizar a concessão mesmo quando a renda formal supere o critério legal.</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1.3.5 Irredutibilidade do valor dos benefícios</w:t>
      </w:r>
    </w:p>
    <w:p>
      <w:pPr>
        <w:spacing w:before="0" w:after="70" w:line="259" w:lineRule="auto"/>
        <w:jc w:val="both"/>
      </w:pPr>
      <w:r>
        <w:rPr>
          <w:rFonts w:ascii="EB Garamond" w:hAnsi="EB Garamond" w:cs="EB Garamond"/>
          <w:b w:val="0"/>
          <w:i w:val="0"/>
          <w:color w:val="201B16"/>
          <w:sz w:val="21"/>
        </w:rPr>
        <w:t>O inciso IV do parágrafo único do art. 194 da Constituição estabelece a irredutibilidade do valor dos benefícios, princípio complementado pelo art. 201, § 4º, que assegura “o reajustamento dos benefícios para preservar-lhes, em caráter permanente, o valor real, conforme critérios definidos em lei.“ A doutrina distingue duas dimensões do princípio: a irredutibilidade nominal, que proíbe a redução do valor numérico do benefício já concedido, e a preservação do valor real, que exige reajustes periódicos para compensar a corrosão inflacionária.</w:t>
      </w:r>
    </w:p>
    <w:p>
      <w:pPr>
        <w:spacing w:before="0" w:after="70" w:line="259" w:lineRule="auto"/>
        <w:ind w:firstLine="238"/>
        <w:jc w:val="both"/>
      </w:pPr>
      <w:r>
        <w:rPr>
          <w:rFonts w:ascii="EB Garamond" w:hAnsi="EB Garamond" w:cs="EB Garamond"/>
          <w:b w:val="0"/>
          <w:i w:val="0"/>
          <w:color w:val="201B16"/>
          <w:sz w:val="21"/>
        </w:rPr>
        <w:t>O STF enfrentou a questão no ARE 808.107 (Tema 728 da Repercussão Geral, Plenário Virtual, rel. Min. Teori Zavascki, julgado em 22 de maio de 2014), assentando que a irredutibilidade nominal é garantida constitucionalmente, enquanto a preservação do valor real depende de critérios definidos pelo legislador ordinário. A Corte assentou que os critérios de reajuste definidos pelo legislador ordinário são constitucionais, pois o art. 201, § 4º, da Constituição não vincula o reajuste a índice específico, reservando ao legislador a escolha do indexador, desde que não configurada redução real do benefício. Em termos práticos, o Judiciário não substitui o legislador na escolha do índice de reajuste, salvo em caso de flagrante insuficiência.</w:t>
      </w:r>
    </w:p>
    <w:p>
      <w:pPr>
        <w:spacing w:before="0" w:after="70" w:line="259" w:lineRule="auto"/>
        <w:ind w:firstLine="238"/>
        <w:jc w:val="both"/>
      </w:pPr>
      <w:r>
        <w:rPr>
          <w:rFonts w:ascii="EB Garamond" w:hAnsi="EB Garamond" w:cs="EB Garamond"/>
          <w:b w:val="0"/>
          <w:i w:val="0"/>
          <w:color w:val="201B16"/>
          <w:sz w:val="21"/>
        </w:rPr>
        <w:t>Noutro julgado relevante, o STF decidiu, no RE 564.354/SE (Tema 76 da Repercussão Geral, Tribunal Pleno, rel. Min. Cármen Lúcia, julgado em 08 de setembro de 2010), que a aplicação imediata dos novos tetos do RGPS instituídos pelas ECs 20/1998 e 41/2003 aos benefícios concedidos antes dessas emendas não viola o ato jurídico perfeito nem a irredutibilidade. A irredutibilidade protege o valor individual do benefício, não o teto do regime como um todo — de modo que a elevação do teto beneficia os segurados cujos benefícios foram limitados pelo teto anterior, sem configurar redução vedada. A Súmula 359 do STF reforça essa lógica, ao estabelecer que os proventos da inatividade regulam-se pela lei vigente ao tempo em que foram reunidos os requisitos necessários, não podendo lei posterior reduzir seu quantum.</w:t>
      </w:r>
    </w:p>
    <w:p>
      <w:pPr>
        <w:spacing w:before="260" w:after="80" w:line="240" w:lineRule="auto"/>
        <w:jc w:val="left"/>
        <w:keepNext/>
      </w:pPr>
      <w:r>
        <w:rPr>
          <w:rFonts w:ascii="EB Garamond" w:hAnsi="EB Garamond" w:cs="EB Garamond"/>
          <w:b/>
          <w:i w:val="0"/>
          <w:color w:val="3A3128"/>
          <w:sz w:val="25"/>
        </w:rPr>
        <w:t>1.3.6 Equidade na forma de participação no custeio</w:t>
      </w:r>
    </w:p>
    <w:p>
      <w:pPr>
        <w:spacing w:before="0" w:after="70" w:line="259" w:lineRule="auto"/>
        <w:jc w:val="both"/>
      </w:pPr>
      <w:r>
        <w:rPr>
          <w:rFonts w:ascii="EB Garamond" w:hAnsi="EB Garamond" w:cs="EB Garamond"/>
          <w:b w:val="0"/>
          <w:i w:val="0"/>
          <w:color w:val="201B16"/>
          <w:sz w:val="21"/>
        </w:rPr>
        <w:t>O inciso V do parágrafo único do art. 194 da Constituição consagra a equidade na forma de participação no custeio, princípio que conecta o financiamento da seguridade social à capacidade contributiva dos obrigados. Os contribuintes devem participar do custeio proporcionalmente à sua capacidade econômica, razão pela qual empregadores, trabalhadores e a sociedade em geral contribuem segundo critérios diferenciados. Destaca a conexão desse princípio com o princípio tributário da capacidade contributiva (art. 145, § 1º, da Constituição).</w:t>
      </w:r>
    </w:p>
    <w:p>
      <w:pPr>
        <w:spacing w:before="0" w:after="70" w:line="259" w:lineRule="auto"/>
        <w:ind w:firstLine="238"/>
        <w:jc w:val="both"/>
      </w:pPr>
      <w:r>
        <w:rPr>
          <w:rFonts w:ascii="EB Garamond" w:hAnsi="EB Garamond" w:cs="EB Garamond"/>
          <w:b w:val="0"/>
          <w:i w:val="0"/>
          <w:color w:val="201B16"/>
          <w:sz w:val="21"/>
        </w:rPr>
        <w:t>A EC 103/2019 deu concretude a esse princípio ao introduzir alíquotas progressivas de contribuição do trabalhador empregado (de 7,5% a 14%), conforme o art. 195, inciso II, da Constituição, com redação atualizada. O STF, no julgamento do RE 852.796 (Plenário Virtual, rel. Min. Dias Toffoli, julgado em 14 de maio de 2022), declarou constitucional essa sistemática, validando a progressividade como instrumento legítimo de efetivação da equidade no custeio.</w:t>
      </w:r>
    </w:p>
    <w:p>
      <w:pPr>
        <w:spacing w:before="0" w:after="70" w:line="259" w:lineRule="auto"/>
        <w:ind w:firstLine="238"/>
        <w:jc w:val="both"/>
      </w:pPr>
      <w:r>
        <w:rPr>
          <w:rFonts w:ascii="EB Garamond" w:hAnsi="EB Garamond" w:cs="EB Garamond"/>
          <w:b w:val="0"/>
          <w:i w:val="0"/>
          <w:color w:val="201B16"/>
          <w:sz w:val="21"/>
        </w:rPr>
        <w:t>O art. 195, § 9º, da Constituição, com redação dada pela EC 47/2005 e alterada pela EC 103/2019, autoriza ainda a diferenciação de alíquotas conforme a atividade econômica, a utilização intensiva de mão de obra, o porte da empresa ou a condição estrutural do mercado de trabalho, evidenciando que a equidade no custeio é princípio de aplicação multidimensional, que autoriza tratamento diferenciado em razão da capacidade contributiva e das peculiaridades de cada setor produtivo.</w:t>
      </w:r>
    </w:p>
    <w:p>
      <w:pPr>
        <w:spacing w:before="260" w:after="80" w:line="240" w:lineRule="auto"/>
        <w:jc w:val="left"/>
        <w:keepNext/>
      </w:pPr>
      <w:r>
        <w:rPr>
          <w:rFonts w:ascii="EB Garamond" w:hAnsi="EB Garamond" w:cs="EB Garamond"/>
          <w:b/>
          <w:i w:val="0"/>
          <w:color w:val="3A3128"/>
          <w:sz w:val="25"/>
        </w:rPr>
        <w:t>1.3.7 Diversidade da base de financiamento</w:t>
      </w:r>
    </w:p>
    <w:p>
      <w:pPr>
        <w:spacing w:before="0" w:after="70" w:line="259" w:lineRule="auto"/>
        <w:jc w:val="both"/>
      </w:pPr>
      <w:r>
        <w:rPr>
          <w:rFonts w:ascii="EB Garamond" w:hAnsi="EB Garamond" w:cs="EB Garamond"/>
          <w:b w:val="0"/>
          <w:i w:val="0"/>
          <w:color w:val="201B16"/>
          <w:sz w:val="21"/>
        </w:rPr>
        <w:t>O inciso VI do parágrafo único do art. 194 da Constituição estabelece a diversidade da base de financiamento da seguridade social. Esse princípio impõe que o financiamento do sistema não recaia exclusivamente sobre um único segmento da sociedade ou sobre uma única base econômica. O art. 195 da Constituição concretiza essa diretriz ao prever contribuições incidentes sobre a folha de salários e rendimentos do trabalho (inciso I, “a“), a receita ou faturamento (inciso I, “b“), o lucro (inciso I, “c“), a remuneração do trabalhador (inciso II), a receita de concursos de prognósticos (inciso III) e a importação de bens ou serviços (inciso IV, incluído pela EC 42/2003). Além disso, o § 4º do art. 195 autoriza a criação de novas fontes de custeio por lei complementar, reforçando o caráter expansível da base de financiamento.</w:t>
      </w:r>
    </w:p>
    <w:p>
      <w:pPr>
        <w:spacing w:before="0" w:after="70" w:line="259" w:lineRule="auto"/>
        <w:ind w:firstLine="238"/>
        <w:jc w:val="both"/>
      </w:pPr>
      <w:r>
        <w:rPr>
          <w:rFonts w:ascii="EB Garamond" w:hAnsi="EB Garamond" w:cs="EB Garamond"/>
          <w:b w:val="0"/>
          <w:i w:val="0"/>
          <w:color w:val="201B16"/>
          <w:sz w:val="21"/>
        </w:rPr>
        <w:t>A EC 103/2019 acrescentou ao inciso VI a exigência de que sejam identificadas, em rubricas contábeis específicas para cada área, as receitas e despesas vinculadas a ações de saúde, previdência social e assistência social, “preservado o caráter contributivo da previdência social.“ Essa alteração busca conferir transparência ao financiamento da seguridade e explicitar a natureza contributiva da previdência em contraposição ao caráter universal da saúde e ao caráter não contributivo da assistência social.</w:t>
      </w:r>
    </w:p>
    <w:p>
      <w:pPr>
        <w:spacing w:before="260" w:after="80" w:line="240" w:lineRule="auto"/>
        <w:jc w:val="left"/>
        <w:keepNext/>
      </w:pPr>
      <w:r>
        <w:rPr>
          <w:rFonts w:ascii="EB Garamond" w:hAnsi="EB Garamond" w:cs="EB Garamond"/>
          <w:b/>
          <w:i w:val="0"/>
          <w:color w:val="3A3128"/>
          <w:sz w:val="25"/>
        </w:rPr>
        <w:t>1.3.8 Caráter democrático e descentralizado da administração</w:t>
      </w:r>
    </w:p>
    <w:p>
      <w:pPr>
        <w:spacing w:before="0" w:after="70" w:line="259" w:lineRule="auto"/>
        <w:jc w:val="both"/>
      </w:pPr>
      <w:r>
        <w:rPr>
          <w:rFonts w:ascii="EB Garamond" w:hAnsi="EB Garamond" w:cs="EB Garamond"/>
          <w:b w:val="0"/>
          <w:i w:val="0"/>
          <w:color w:val="201B16"/>
          <w:sz w:val="21"/>
        </w:rPr>
        <w:t>O inciso VII do parágrafo único do art. 194 da Constituição prevê o caráter democrático e descentralizado da administração da seguridade social, mediante gestão quadripartite com participação dos trabalhadores, dos empregadores, dos aposentados e do Governo nos órgãos colegiados. A inclusão dos aposentados como integrantes dos órgãos colegiados foi acrescida pela EC 20/1998, reconhecendo-os como sujeitos ativos na gestão do sistema que os protege. Esse princípio se concretiza na composição dos conselhos de gestão, como o Conselho Nacional de Previdência Social (CNPS), e reafirma a natureza participativa que a Constituição imprimiu ao sistema de seguridade social.</w:t>
      </w:r>
    </w:p>
    <w:p>
      <w:pPr>
        <w:spacing w:before="360" w:after="140" w:line="240" w:lineRule="auto"/>
        <w:jc w:val="left"/>
        <w:pBdr>
          <w:bottom w:val="single" w:sz="8" w:space="4" w:color="B89B5E"/>
        </w:pBdr>
        <w:keepNext/>
      </w:pPr>
      <w:r>
        <w:rPr>
          <w:rFonts w:ascii="EB Garamond" w:hAnsi="EB Garamond" w:cs="EB Garamond"/>
          <w:b/>
          <w:i w:val="0"/>
          <w:color w:val="3A3128"/>
          <w:sz w:val="31"/>
        </w:rPr>
        <w:t>1.4 Reformas constitucionais e seu impacto no RGPS</w:t>
      </w:r>
    </w:p>
    <w:p>
      <w:pPr>
        <w:spacing w:before="260" w:after="80" w:line="240" w:lineRule="auto"/>
        <w:jc w:val="left"/>
        <w:keepNext/>
      </w:pPr>
      <w:r>
        <w:rPr>
          <w:rFonts w:ascii="EB Garamond" w:hAnsi="EB Garamond" w:cs="EB Garamond"/>
          <w:b/>
          <w:i w:val="0"/>
          <w:color w:val="3A3128"/>
          <w:sz w:val="25"/>
        </w:rPr>
        <w:t>1.4.1 Emenda Constitucional n. 20/1998</w:t>
      </w:r>
    </w:p>
    <w:p>
      <w:pPr>
        <w:spacing w:before="0" w:after="70" w:line="259" w:lineRule="auto"/>
        <w:jc w:val="both"/>
      </w:pPr>
      <w:r>
        <w:rPr>
          <w:rFonts w:ascii="EB Garamond" w:hAnsi="EB Garamond" w:cs="EB Garamond"/>
          <w:b w:val="0"/>
          <w:i w:val="0"/>
          <w:color w:val="201B16"/>
          <w:sz w:val="21"/>
        </w:rPr>
        <w:t>A Emenda Constitucional n. 20, de 15 de dezembro de 1998, foi a primeira grande reforma previdenciária pós-CF/88 e promoveu alterações estruturais no RGPS e no RPPS. No âmbito do RGPS, a inovação central foi a substituição da aposentadoria por tempo de serviço pela aposentadoria por tempo de contribuição — 35 anos para homens e 30 anos para mulheres —, exigindo efetivo recolhimento de contribuições e não mero cômputo de tempo de serviço. A EC 20/1998 também extinguiu a aposentadoria proporcional para os novos segurados, restringiu o auxílio-reclusão e o salário-família aos dependentes de segurados de baixa renda (art. 201, IV), e reescreveu integralmente o art. 202 da Constituição, criando o regime de previdência privada complementar de caráter facultativo.</w:t>
      </w:r>
    </w:p>
    <w:p>
      <w:pPr>
        <w:spacing w:before="0" w:after="70" w:line="259" w:lineRule="auto"/>
        <w:ind w:firstLine="238"/>
        <w:jc w:val="both"/>
      </w:pPr>
      <w:r>
        <w:rPr>
          <w:rFonts w:ascii="EB Garamond" w:hAnsi="EB Garamond" w:cs="EB Garamond"/>
          <w:b w:val="0"/>
          <w:i w:val="0"/>
          <w:color w:val="201B16"/>
          <w:sz w:val="21"/>
        </w:rPr>
        <w:t>No campo do custeio, a emenda incluiu o § 9º no art. 195 da Constituição, autorizando alíquotas diferenciadas conforme a atividade econômica, e vedou a incidência de contribuição sobre aposentadoria e pensão do RGPS (art. 195, II). Para os segurados já filiados ao RGPS em 16 de dezembro de 1998, o art. 9º da EC 20/1998 (posteriormente revogado pela EC 103/2019) estabeleceu regra de transição com pedágio de 40% sobre o tempo faltante para a aposentadoria proporcional.</w:t>
      </w:r>
    </w:p>
    <w:p>
      <w:pPr>
        <w:spacing w:before="260" w:after="80" w:line="240" w:lineRule="auto"/>
        <w:jc w:val="left"/>
        <w:keepNext/>
      </w:pPr>
      <w:r>
        <w:rPr>
          <w:rFonts w:ascii="EB Garamond" w:hAnsi="EB Garamond" w:cs="EB Garamond"/>
          <w:b/>
          <w:i w:val="0"/>
          <w:color w:val="3A3128"/>
          <w:sz w:val="25"/>
        </w:rPr>
        <w:t>1.4.2 Emenda Constitucional n. 41/2003</w:t>
      </w:r>
    </w:p>
    <w:p>
      <w:pPr>
        <w:spacing w:before="0" w:after="70" w:line="259" w:lineRule="auto"/>
        <w:jc w:val="both"/>
      </w:pPr>
      <w:r>
        <w:rPr>
          <w:rFonts w:ascii="EB Garamond" w:hAnsi="EB Garamond" w:cs="EB Garamond"/>
          <w:b w:val="0"/>
          <w:i w:val="0"/>
          <w:color w:val="201B16"/>
          <w:sz w:val="21"/>
        </w:rPr>
        <w:t>A Emenda Constitucional n. 41, de 19 de dezembro de 2003, teve foco principal no RPPS dos servidores públicos, mas produziu reflexos no sistema como um todo. Suas principais inovações foram a instituição da contribuição dos servidores inativos e pensionistas sobre a parcela dos proventos que excedesse o teto do RGPS — medida fundamentada no princípio da solidariedade, conforme reconhecido pelo STF nas ADIs 3.105 e 3.128 —, o fim da paridade e da integralidade como regra geral para os servidores que ingressassem após a emenda, e a fixação do teto remuneratório vinculado ao subsídio dos Ministros do STF (art. 37, XI). No RGPS, a EC 41/2003 contribuiu para a criação do sistema especial de inclusão previdenciária para trabalhadores de baixa renda, incluindo donas de casa de famílias de baixa renda (art. 201, § 12).</w:t>
      </w:r>
    </w:p>
    <w:p>
      <w:pPr>
        <w:spacing w:before="260" w:after="80" w:line="240" w:lineRule="auto"/>
        <w:jc w:val="left"/>
        <w:keepNext/>
      </w:pPr>
      <w:r>
        <w:rPr>
          <w:rFonts w:ascii="EB Garamond" w:hAnsi="EB Garamond" w:cs="EB Garamond"/>
          <w:b/>
          <w:i w:val="0"/>
          <w:color w:val="3A3128"/>
          <w:sz w:val="25"/>
        </w:rPr>
        <w:t>1.4.3 Emenda Constitucional n. 47/2005</w:t>
      </w:r>
    </w:p>
    <w:p>
      <w:pPr>
        <w:spacing w:before="0" w:after="70" w:line="259" w:lineRule="auto"/>
        <w:jc w:val="both"/>
      </w:pPr>
      <w:r>
        <w:rPr>
          <w:rFonts w:ascii="EB Garamond" w:hAnsi="EB Garamond" w:cs="EB Garamond"/>
          <w:b w:val="0"/>
          <w:i w:val="0"/>
          <w:color w:val="201B16"/>
          <w:sz w:val="21"/>
        </w:rPr>
        <w:t>A Emenda Constitucional n. 47, de 5 de julho de 2005, conhecida como “PEC Paralela“, teve como objetivo suavizar restrições impostas pela EC 41/2003 aos servidores públicos. Criou a possibilidade de aposentadoria com requisitos diferenciados para servidores portadores de deficiência, que exercem atividades de risco ou sob condições especiais prejudiciais à saúde (art. 40, § 4º, da Constituição). Estabeleceu também regra de transição mais favorável (art. 3º, revogado pela EC 103/2019) para servidores que ingressaram até 16 de dezembro de 1998, combinando proventos integrais com paridade e um sistema de troca — um ano a menos de idade para cada ano de contribuição excedente aos mínimos fixados. Essa era a regra mais benéfica para servidores antigos. No campo do custeio, deu nova redação ao art. 195, § 9º, ampliando as hipóteses de alíquotas diferenciadas.</w:t>
      </w:r>
    </w:p>
    <w:p>
      <w:pPr>
        <w:spacing w:before="260" w:after="80" w:line="240" w:lineRule="auto"/>
        <w:jc w:val="left"/>
        <w:keepNext/>
      </w:pPr>
      <w:r>
        <w:rPr>
          <w:rFonts w:ascii="EB Garamond" w:hAnsi="EB Garamond" w:cs="EB Garamond"/>
          <w:b/>
          <w:i w:val="0"/>
          <w:color w:val="3A3128"/>
          <w:sz w:val="25"/>
        </w:rPr>
        <w:t>1.4.4 Emenda Constitucional n. 103/2019</w:t>
      </w:r>
    </w:p>
    <w:p>
      <w:pPr>
        <w:spacing w:before="0" w:after="70" w:line="259" w:lineRule="auto"/>
        <w:jc w:val="both"/>
      </w:pPr>
      <w:r>
        <w:rPr>
          <w:rFonts w:ascii="EB Garamond" w:hAnsi="EB Garamond" w:cs="EB Garamond"/>
          <w:b w:val="0"/>
          <w:i w:val="0"/>
          <w:color w:val="201B16"/>
          <w:sz w:val="21"/>
        </w:rPr>
        <w:t>A Emenda Constitucional n. 103, de 12 de novembro de 2019, constitui a mais profunda reforma do sistema previdenciário brasileiro desde a promulgação da Constituição de 1988. As alterações promovidas modificaram substancialmente a arquitetura do RGPS em ao menos quatro eixos fundamentais.</w:t>
      </w:r>
    </w:p>
    <w:p>
      <w:pPr>
        <w:spacing w:before="0" w:after="70" w:line="259" w:lineRule="auto"/>
        <w:ind w:firstLine="238"/>
        <w:jc w:val="both"/>
      </w:pPr>
      <w:r>
        <w:rPr>
          <w:rFonts w:ascii="EB Garamond" w:hAnsi="EB Garamond" w:cs="EB Garamond"/>
          <w:b w:val="0"/>
          <w:i w:val="0"/>
          <w:color w:val="201B16"/>
          <w:sz w:val="21"/>
        </w:rPr>
        <w:t>Em primeiro lugar, a EC 103/2019 introduziu a exigência de idade mínima para a aposentadoria no RGPS: 65 anos para homens e 62 anos para mulheres, cumulada com tempo mínimo de contribuição de 20 anos para homens e 15 anos para mulheres que ingressem após a vigência da emenda (art. 201, § 7º, I, da Constituição). Para os trabalhadores rurais, as idades foram fixadas em 60 anos para homens e 55 anos para mulheres, com mínimo de 15 anos de contribuição (art. 201, § 7º, II). A aposentadoria especial do professor foi mantida com redução de 5 anos na idade (60 anos para homens e 57 anos para mulheres), exigindo-se 25 anos de efetivo exercício exclusivo do magistério na educação básica (art. 201, § 8º).</w:t>
      </w:r>
    </w:p>
    <w:p>
      <w:pPr>
        <w:spacing w:before="0" w:after="70" w:line="259" w:lineRule="auto"/>
        <w:ind w:firstLine="238"/>
        <w:jc w:val="both"/>
      </w:pPr>
      <w:r>
        <w:rPr>
          <w:rFonts w:ascii="EB Garamond" w:hAnsi="EB Garamond" w:cs="EB Garamond"/>
          <w:b w:val="0"/>
          <w:i w:val="0"/>
          <w:color w:val="201B16"/>
          <w:sz w:val="21"/>
        </w:rPr>
        <w:t>Em segundo lugar, a reforma alterou radicalmente a fórmula de cálculo dos benefícios. O salário de benefício passou a corresponder a 60% da média aritmética de 100% dos salários de contribuição desde julho de 1994, acrescido de 2 pontos percentuais por cada ano que exceda 20 anos de contribuição para homens ou 15 anos para mulheres, podendo atingir 100%. A pensão por morte passou a corresponder, como regra geral, a 50% do valor da aposentadoria, acrescido de 10% por cada dependente, até o limite de 100% — ressalvada a garantia de 100% quando houver dependente inválido ou com deficiência intelectual, mental ou grave (art. 23 da EC 103/2019), tema a ser aprofundado no capítulo dedicado à pensão por morte.</w:t>
      </w:r>
    </w:p>
    <w:p>
      <w:pPr>
        <w:spacing w:before="0" w:after="70" w:line="259" w:lineRule="auto"/>
        <w:ind w:firstLine="238"/>
        <w:jc w:val="both"/>
      </w:pPr>
      <w:r>
        <w:rPr>
          <w:rFonts w:ascii="EB Garamond" w:hAnsi="EB Garamond" w:cs="EB Garamond"/>
          <w:b w:val="0"/>
          <w:i w:val="0"/>
          <w:color w:val="201B16"/>
          <w:sz w:val="21"/>
        </w:rPr>
        <w:t>Em terceiro lugar, a EC 103/2019 estabeleceu cinco regras de transição para os segurados já filiados ao RGPS na data de sua publicação (13 de novembro de 2019): a regra de pontos (art. 15), com soma progressiva de idade e tempo de contribuição; a regra de idade mínima progressiva (art. 16), com acréscimo semestral de 6 meses até atingir 65/62 anos; o pedágio de 50% (art. 17), aplicável a quem estava próximo de completar o tempo mínimo; o pedágio de 100% (art. 20), exigindo idade mínima de 60/57 anos mais o dobro do tempo faltante; e a regra de transição da aposentadoria por idade (art. 18), com idade progressiva para mulheres de 60 para 62 anos.</w:t>
      </w:r>
    </w:p>
    <w:p>
      <w:pPr>
        <w:spacing w:before="0" w:after="70" w:line="259" w:lineRule="auto"/>
        <w:ind w:firstLine="238"/>
        <w:jc w:val="both"/>
      </w:pPr>
      <w:r>
        <w:rPr>
          <w:rFonts w:ascii="EB Garamond" w:hAnsi="EB Garamond" w:cs="EB Garamond"/>
          <w:b w:val="0"/>
          <w:i w:val="0"/>
          <w:color w:val="201B16"/>
          <w:sz w:val="21"/>
        </w:rPr>
        <w:t>Em quarto lugar, a emenda revogou expressamente dispositivos das reformas anteriores, incluindo o art. 9º da EC 20/1998 (regra de transição do RGPS), os arts. 2º, 6º e 6º-A da EC 41/2003 e o art. 3º da EC 47/2005, concentrando todas as regras de transição nos próprios dispositivos da EC 103/2019.</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EC 103/2019 revogou as regras de transição das ECs anteriores (arts. 9, 13 e 15 da EC 20/1998; arts. 2, 6 e 6-A da EC 41/2003; art. 3 da EC 47/2005). Segurados que já haviam preenchido integralmente os requisitos sob as regras anteriores mantêm o direito adquirido, mas aqueles que estavam em curso de cumprimento dos requisitos ficaram submetidos exclusivamente às novas regras de transição da EC 103/2019. A verificação cuidadosa da data de implementação dos requisitos é essencial em toda ação previdenciária.</w:t>
            </w:r>
          </w:p>
        </w:tc>
      </w:tr>
    </w:tbl>
    <w:p>
      <w:pPr>
        <w:spacing w:before="0" w:after="80" w:line="240" w:lineRule="auto"/>
      </w:pP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Nas ações previdenciárias em tramitação nos JEFs, é frequente que segurados tenham completado os requisitos para aposentadoria entre a publicação da EC 103/2019 (13/11/2019) e a data do ajuizamento da ação. Nesses casos, o advogado deve verificar qual das cinco regras de transição é mais favorável ao segurado e fundamentar o pedido na regra específica. A reafirmação da DER, admitida pelo STJ no Tema Repetitivo 995 (REsp 1.700.530), permite computar contribuições posteriores ao requerimento administrativo ou ao ajuizamento da ação, desde que os requisitos sejam preenchidos antes da decisão judicial nas instâncias ordinárias.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1.5 Panorama atual do sistema previdenciário brasileiro</w:t>
      </w:r>
    </w:p>
    <w:p>
      <w:pPr>
        <w:spacing w:before="0" w:after="70" w:line="259" w:lineRule="auto"/>
        <w:jc w:val="both"/>
      </w:pPr>
      <w:r>
        <w:rPr>
          <w:rFonts w:ascii="EB Garamond" w:hAnsi="EB Garamond" w:cs="EB Garamond"/>
          <w:b w:val="0"/>
          <w:i w:val="0"/>
          <w:color w:val="201B16"/>
          <w:sz w:val="21"/>
        </w:rPr>
        <w:t>O sistema previdenciário brasileiro, após a EC 103/2019, consolidou-se em torno de um modelo que exige simultaneamente idade mínima e tempo de contribuição, rompendo com a possibilidade de aposentadoria exclusivamente por tempo de contribuição que vigorou desde a EC 20/1998. O cálculo dos benefícios pela média de 100% dos salários de contribuição, sem descarte das menores contribuições, e a alíquota inicial de 60% com acréscimo progressivo representaram redução no valor médio dos benefícios concedidos, o que tem suscitado debate doutrinário sobre a compatibilidade dessas regras com os princípios da irredutibilidade e da adequada proteção previdenciária.</w:t>
      </w:r>
    </w:p>
    <w:p>
      <w:pPr>
        <w:spacing w:before="0" w:after="70" w:line="259" w:lineRule="auto"/>
        <w:ind w:firstLine="238"/>
        <w:jc w:val="both"/>
      </w:pPr>
      <w:r>
        <w:rPr>
          <w:rFonts w:ascii="EB Garamond" w:hAnsi="EB Garamond" w:cs="EB Garamond"/>
          <w:b w:val="0"/>
          <w:i w:val="0"/>
          <w:color w:val="201B16"/>
          <w:sz w:val="21"/>
        </w:rPr>
        <w:t>A constitucionalidade da reforma vem sendo examinada pelo STF em diversas ações diretas de inconstitucionalidade. As ADIs 6.254, 6.255, 6.256, 6.258, 6.271, 6.279, 6.289, 6.361, 6.367, 6.384, 6.385, 6.731 e 6.916 questionam múltiplos aspectos da EC 103/2019 — progressividade de alíquotas, contribuição extraordinária de inativos, cálculo de pensões e regras de transição. O julgamento foi iniciado em dezembro de 2024, com voto do relator Min. Luís Roberto Barroso pela improcedência da maioria das ADIs e procedência parcial das ADIs 6.255 e 6.258, mas encontra-se suspenso por pedido de vista do Min. Gilmar Mendes. O desfecho dessas ações definirá a constitucionalidade de pilares fundamentais da reforma e merece acompanhamento permanente pelos operadores do direito previdenciário. [REVISAR_HUMANO: acompanhar resultado final das ADIs sobre a EC 103/2019 antes da publicação]</w:t>
      </w:r>
    </w:p>
    <w:p>
      <w:pPr>
        <w:spacing w:before="0" w:after="70" w:line="259" w:lineRule="auto"/>
        <w:ind w:firstLine="238"/>
        <w:jc w:val="both"/>
      </w:pPr>
      <w:r>
        <w:rPr>
          <w:rFonts w:ascii="EB Garamond" w:hAnsi="EB Garamond" w:cs="EB Garamond"/>
          <w:b w:val="0"/>
          <w:i w:val="0"/>
          <w:color w:val="201B16"/>
          <w:sz w:val="21"/>
        </w:rPr>
        <w:t>Savaris (2019), em obra anterior à reforma mas cujo arcabouço teórico permanece aplicável, formulou o princípio da adequada proteção previdenciária como horizonte normativo que impede que a proteção social seja restrita ao momento da concessão do benefício: uma cobertura inicial adequada não satisfaz as exigências constitucionais se não for mantida ao longo do tempo. Entendemos que esse princípio, embora não positivado com essa nomenclatura, decorre diretamente da conjugação da irredutibilidade (art. 194, parágrafo único, IV), da preservação do valor real (art. 201, § 4º) e da dignidade da pessoa humana (art. 1º, III), e deve orientar a interpretação das novas regras de cálculo introduzidas pela EC 103/2019.</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Nas ADIs 2.110/DF e 2.111/DF (Tribunal Pleno, rel. Min. Alexandre de Moraes, julgadas em 21 de março de 2024), o STF declarou constitucional o art. 3º da Lei n. 9.876/1999, que instituiu o fator previdenciário, afastando a tese da “revisão da vida toda“ que havia sido acolhida pelo STJ no Tema Repetitivo 999. A decisão, com modulação de efeitos (não afeta ações ajuizadas até 05/04/2024 nem obriga devolução de valores já recebidos), consolidou que a seletividade e o equilíbrio atuarial autorizam o legislador a adotar regras de cálculo que não necessariamente resultam no benefício mais favorável ao segurado. O Tema 999 do STJ está, portanto, superado pelo controle concentrado de constitucionalidade exercido pelo STF.</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Sustentamos, em síntese, que os princípios constitucionais da seguridade social — solidariedade, universalidade, uniformidade, seletividade, irredutibilidade, equidade no custeio, diversidade da base de financiamento e gestão democrática — não são categorias meramente retóricas ou programáticas. São normas de hierarquia constitucional que vinculam o legislador ordinário, a Administração Pública e o Poder Judiciário, funcionando simultaneamente como fundamentos de validade da legislação previdenciária, critérios hermenêuticos para a interpretação dos benefícios e limites materiais às reformas constitucionais, na medida em que integram o núcleo essencial dos direitos sociais protegidos pela Constituição. O reconhecimento dessa natureza vinculante pelos juízes dos JEFs é condição para a efetiva tutela dos direitos previdenciários dos segurados.</w:t>
      </w:r>
    </w:p>
    <w:p>
      <w:r>
        <w:br w:type="page"/>
      </w:r>
    </w:p>
    <w:p>
      <w:pPr>
        <w:spacing w:before="320" w:after="100" w:line="240" w:lineRule="auto"/>
        <w:jc w:val="center"/>
      </w:pPr>
      <w:r>
        <w:rPr>
          <w:rFonts w:ascii="EB Garamond" w:hAnsi="EB Garamond" w:cs="EB Garamond"/>
          <w:b/>
          <w:i w:val="0"/>
          <w:smallCaps/>
          <w:color w:val="3A3128"/>
          <w:sz w:val="24"/>
        </w:rPr>
        <w:t>REFERÊNCIAS</w:t>
      </w:r>
    </w:p>
    <w:p>
      <w:pPr>
        <w:spacing w:before="0" w:after="48" w:line="240" w:lineRule="auto"/>
        <w:ind w:left="272" w:hanging="272"/>
        <w:jc w:val="left"/>
      </w:pPr>
      <w:r>
        <w:rPr>
          <w:rFonts w:ascii="EB Garamond" w:hAnsi="EB Garamond" w:cs="EB Garamond"/>
          <w:b w:val="0"/>
          <w:i w:val="0"/>
          <w:color w:val="201B16"/>
          <w:sz w:val="18"/>
        </w:rPr>
        <w:t xml:space="preserve">CASTRO, Carlos Alberto Pereira de; LAZZARI, João Batista. </w:t>
      </w:r>
      <w:r>
        <w:rPr>
          <w:rFonts w:ascii="EB Garamond" w:hAnsi="EB Garamond" w:cs="EB Garamond"/>
          <w:b/>
          <w:i w:val="0"/>
          <w:color w:val="201B16"/>
          <w:sz w:val="18"/>
        </w:rPr>
        <w:t>Manual de Direito Previdenciário</w:t>
      </w:r>
      <w:r>
        <w:rPr>
          <w:rFonts w:ascii="EB Garamond" w:hAnsi="EB Garamond" w:cs="EB Garamond"/>
          <w:b w:val="0"/>
          <w:i w:val="0"/>
          <w:color w:val="201B16"/>
          <w:sz w:val="18"/>
        </w:rPr>
        <w:t>. 28. ed. Rio de Janeiro: Forense, 2025.</w:t>
      </w:r>
    </w:p>
    <w:p>
      <w:pPr>
        <w:spacing w:before="0" w:after="48" w:line="240" w:lineRule="auto"/>
        <w:ind w:left="272" w:hanging="272"/>
        <w:jc w:val="left"/>
      </w:pPr>
      <w:r>
        <w:rPr>
          <w:rFonts w:ascii="EB Garamond" w:hAnsi="EB Garamond" w:cs="EB Garamond"/>
          <w:b w:val="0"/>
          <w:i w:val="0"/>
          <w:color w:val="201B16"/>
          <w:sz w:val="18"/>
        </w:rPr>
        <w:t xml:space="preserve">HORVATH JÚNIOR, Miguel. </w:t>
      </w:r>
      <w:r>
        <w:rPr>
          <w:rFonts w:ascii="EB Garamond" w:hAnsi="EB Garamond" w:cs="EB Garamond"/>
          <w:b/>
          <w:i w:val="0"/>
          <w:color w:val="201B16"/>
          <w:sz w:val="18"/>
        </w:rPr>
        <w:t>Direito Previdenciário</w:t>
      </w:r>
      <w:r>
        <w:rPr>
          <w:rFonts w:ascii="EB Garamond" w:hAnsi="EB Garamond" w:cs="EB Garamond"/>
          <w:b w:val="0"/>
          <w:i w:val="0"/>
          <w:color w:val="201B16"/>
          <w:sz w:val="18"/>
        </w:rPr>
        <w:t>. 13. ed. São Paulo: Rideel, 2022.</w:t>
      </w:r>
    </w:p>
    <w:p>
      <w:pPr>
        <w:spacing w:before="0" w:after="48" w:line="240" w:lineRule="auto"/>
        <w:ind w:left="272" w:hanging="272"/>
        <w:jc w:val="left"/>
      </w:pPr>
      <w:r>
        <w:rPr>
          <w:rFonts w:ascii="EB Garamond" w:hAnsi="EB Garamond" w:cs="EB Garamond"/>
          <w:b w:val="0"/>
          <w:i w:val="0"/>
          <w:color w:val="201B16"/>
          <w:sz w:val="18"/>
        </w:rPr>
        <w:t xml:space="preserve">IBRAHIM, Fábio Zambitte. </w:t>
      </w:r>
      <w:r>
        <w:rPr>
          <w:rFonts w:ascii="EB Garamond" w:hAnsi="EB Garamond" w:cs="EB Garamond"/>
          <w:b/>
          <w:i w:val="0"/>
          <w:color w:val="201B16"/>
          <w:sz w:val="18"/>
        </w:rPr>
        <w:t>Curso de Direito Previdenciário</w:t>
      </w:r>
      <w:r>
        <w:rPr>
          <w:rFonts w:ascii="EB Garamond" w:hAnsi="EB Garamond" w:cs="EB Garamond"/>
          <w:b w:val="0"/>
          <w:i w:val="0"/>
          <w:color w:val="201B16"/>
          <w:sz w:val="18"/>
        </w:rPr>
        <w:t>. 24. ed. Rio de Janeiro: Impetus, 2019.</w:t>
      </w:r>
    </w:p>
    <w:p>
      <w:pPr>
        <w:spacing w:before="0" w:after="48" w:line="240" w:lineRule="auto"/>
        <w:ind w:left="272" w:hanging="272"/>
        <w:jc w:val="left"/>
      </w:pPr>
      <w:r>
        <w:rPr>
          <w:rFonts w:ascii="EB Garamond" w:hAnsi="EB Garamond" w:cs="EB Garamond"/>
          <w:b w:val="0"/>
          <w:i w:val="0"/>
          <w:color w:val="201B16"/>
          <w:sz w:val="18"/>
        </w:rPr>
        <w:t xml:space="preserve">KERTZMAN, Ivan. </w:t>
      </w:r>
      <w:r>
        <w:rPr>
          <w:rFonts w:ascii="EB Garamond" w:hAnsi="EB Garamond" w:cs="EB Garamond"/>
          <w:b/>
          <w:i w:val="0"/>
          <w:color w:val="201B16"/>
          <w:sz w:val="18"/>
        </w:rPr>
        <w:t>Curso Prático de Direito Previdenciário</w:t>
      </w:r>
      <w:r>
        <w:rPr>
          <w:rFonts w:ascii="EB Garamond" w:hAnsi="EB Garamond" w:cs="EB Garamond"/>
          <w:b w:val="0"/>
          <w:i w:val="0"/>
          <w:color w:val="201B16"/>
          <w:sz w:val="18"/>
        </w:rPr>
        <w:t>. 22. ed. Salvador: JusPodivm, 2024.</w:t>
      </w:r>
    </w:p>
    <w:p>
      <w:pPr>
        <w:spacing w:before="0" w:after="48" w:line="240" w:lineRule="auto"/>
        <w:ind w:left="272" w:hanging="272"/>
        <w:jc w:val="left"/>
      </w:pPr>
      <w:r>
        <w:rPr>
          <w:rFonts w:ascii="EB Garamond" w:hAnsi="EB Garamond" w:cs="EB Garamond"/>
          <w:b w:val="0"/>
          <w:i w:val="0"/>
          <w:color w:val="201B16"/>
          <w:sz w:val="18"/>
        </w:rPr>
        <w:t xml:space="preserve">SANTOS, Marisa Ferreira dos. </w:t>
      </w:r>
      <w:r>
        <w:rPr>
          <w:rFonts w:ascii="EB Garamond" w:hAnsi="EB Garamond" w:cs="EB Garamond"/>
          <w:b/>
          <w:i w:val="0"/>
          <w:color w:val="201B16"/>
          <w:sz w:val="18"/>
        </w:rPr>
        <w:t>Direito Previdenciário Esquematizado</w:t>
      </w:r>
      <w:r>
        <w:rPr>
          <w:rFonts w:ascii="EB Garamond" w:hAnsi="EB Garamond" w:cs="EB Garamond"/>
          <w:b w:val="0"/>
          <w:i w:val="0"/>
          <w:color w:val="201B16"/>
          <w:sz w:val="18"/>
        </w:rPr>
        <w:t>. São Paulo: SaraivaJur, 2023.</w:t>
      </w:r>
    </w:p>
    <w:p>
      <w:pPr>
        <w:spacing w:before="0" w:after="48" w:line="240" w:lineRule="auto"/>
        <w:ind w:left="272" w:hanging="272"/>
        <w:jc w:val="left"/>
      </w:pPr>
      <w:r>
        <w:rPr>
          <w:rFonts w:ascii="EB Garamond" w:hAnsi="EB Garamond" w:cs="EB Garamond"/>
          <w:b w:val="0"/>
          <w:i w:val="0"/>
          <w:color w:val="201B16"/>
          <w:sz w:val="18"/>
        </w:rPr>
        <w:t xml:space="preserve">SAVARIS, José Antonio. </w:t>
      </w:r>
      <w:r>
        <w:rPr>
          <w:rFonts w:ascii="EB Garamond" w:hAnsi="EB Garamond" w:cs="EB Garamond"/>
          <w:b/>
          <w:i w:val="0"/>
          <w:color w:val="201B16"/>
          <w:sz w:val="18"/>
        </w:rPr>
        <w:t>Direito Previdenciário: Fundamentos de Interpretação e Aplicação</w:t>
      </w:r>
      <w:r>
        <w:rPr>
          <w:rFonts w:ascii="EB Garamond" w:hAnsi="EB Garamond" w:cs="EB Garamond"/>
          <w:b w:val="0"/>
          <w:i w:val="0"/>
          <w:color w:val="201B16"/>
          <w:sz w:val="18"/>
        </w:rPr>
        <w:t>. 2. ed. Curitiba: Alteridade, 2019.</w:t>
      </w:r>
    </w:p>
    <w:p>
      <w:pPr>
        <w:spacing w:before="0" w:after="48" w:line="240" w:lineRule="auto"/>
        <w:ind w:left="272" w:hanging="272"/>
        <w:jc w:val="left"/>
      </w:pPr>
      <w:r>
        <w:rPr>
          <w:rFonts w:ascii="EB Garamond" w:hAnsi="EB Garamond" w:cs="EB Garamond"/>
          <w:b w:val="0"/>
          <w:i w:val="0"/>
          <w:color w:val="201B16"/>
          <w:sz w:val="18"/>
        </w:rPr>
        <w:t xml:space="preserve">SAVARIS, José Antonio. </w:t>
      </w:r>
      <w:r>
        <w:rPr>
          <w:rFonts w:ascii="EB Garamond" w:hAnsi="EB Garamond" w:cs="EB Garamond"/>
          <w:b/>
          <w:i w:val="0"/>
          <w:color w:val="201B16"/>
          <w:sz w:val="18"/>
        </w:rPr>
        <w:t>Direito Processual Previdenciário</w:t>
      </w:r>
      <w:r>
        <w:rPr>
          <w:rFonts w:ascii="EB Garamond" w:hAnsi="EB Garamond" w:cs="EB Garamond"/>
          <w:b w:val="0"/>
          <w:i w:val="0"/>
          <w:color w:val="201B16"/>
          <w:sz w:val="18"/>
        </w:rPr>
        <w:t>. 11. ed. Curitiba: Alteridade, 2019.</w:t>
      </w:r>
    </w:p>
    <w:sectPr w:rsidR="00FC693F" w:rsidRPr="0006063C" w:rsidSect="00034616">
      <w:headerReference w:type="default" r:id="rId9"/>
      <w:footerReference w:type="default" r:id="rId10"/>
      <w:footerReference w:type="first" r:id="rId11"/>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rPr>
      <w:t>Capítulo 1  |  Evolução Histórica e Princípios Constitucionais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jc w:val="both"/>
    </w:pPr>
    <w:rPr>
      <w:rFonts w:ascii="EB Garamond" w:hAnsi="EB Garamond"/>
      <w:color w:val="20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 Evolução Histórica e Princípios Constitucionais</dc:title>
  <dc:subject>Direito Previdenciário</dc:subject>
  <dc:creator>python-docx</dc:creator>
  <cp:keywords>direito previdenciário; seguridade social; doutrina</cp:keywords>
  <dc:description>Diagramação em formato de capítulo de livro jurídico.</dc:description>
  <cp:lastModifiedBy/>
  <cp:revision>1</cp:revision>
  <dcterms:created xsi:type="dcterms:W3CDTF">2013-12-23T23:15:00Z</dcterms:created>
  <dcterms:modified xsi:type="dcterms:W3CDTF">2013-12-23T23:15:00Z</dcterms:modified>
  <cp:category/>
</cp:coreProperties>
</file>