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240" w:lineRule="auto"/>
        <w:jc w:val="center"/>
      </w:pPr>
      <w:r>
        <w:rPr>
          <w:rFonts w:ascii="Noto Sans" w:hAnsi="Noto Sans" w:cs="Noto Sans"/>
          <w:b/>
          <w:i w:val="0"/>
          <w:caps/>
          <w:color w:val="8A6A2A"/>
          <w:sz w:val="19"/>
        </w:rPr>
        <w:t>CAPÍTULO 2</w:t>
      </w:r>
    </w:p>
    <w:p>
      <w:pPr>
        <w:spacing w:before="0" w:after="160" w:line="240" w:lineRule="auto"/>
        <w:jc w:val="center"/>
      </w:pPr>
      <w:r>
        <w:rPr>
          <w:rFonts w:ascii="EB Garamond" w:hAnsi="EB Garamond" w:cs="EB Garamond"/>
          <w:b/>
          <w:i w:val="0"/>
          <w:color w:val="2F2923"/>
          <w:sz w:val="40"/>
        </w:rPr>
        <w:t>SEGURADOS E DEPENDENTES</w:t>
      </w:r>
    </w:p>
    <w:p>
      <w:pPr>
        <w:spacing w:before="0" w:after="240" w:line="240" w:lineRule="auto"/>
        <w:jc w:val="center"/>
      </w:pPr>
      <w:r>
        <w:rPr>
          <w:rFonts w:ascii="EB Garamond" w:hAnsi="EB Garamond" w:cs="EB Garamond"/>
          <w:b w:val="0"/>
          <w:i w:val="0"/>
          <w:color w:val="B78B37"/>
          <w:sz w:val="18"/>
        </w:rPr>
        <w:t>◆</w:t>
      </w:r>
    </w:p>
    <w:p>
      <w:pPr>
        <w:spacing w:before="0" w:after="70" w:line="259" w:lineRule="auto"/>
        <w:jc w:val="both"/>
      </w:pPr>
      <w:r>
        <w:rPr>
          <w:rFonts w:ascii="EB Garamond" w:hAnsi="EB Garamond" w:cs="EB Garamond"/>
          <w:b w:val="0"/>
          <w:i w:val="0"/>
          <w:color w:val="201B16"/>
          <w:sz w:val="21"/>
        </w:rPr>
        <w:t>A proteção previdenciária no Regime Geral de Previdência Social pressupõe a existência de um vínculo jurídico entre o indivíduo e o sistema. Esse vínculo se estabelece, de um lado, pela condição de segurado — aquele que contribui, direta ou indiretamente, para o financiamento da previdência social — e, de outro, pela condição de dependente — pessoa que, sem contribuir, mantém com o segurado relação de dependência econômica reconhecida pela lei. "dependentes são pessoas que, embora não contribuindo para a Seguridade Social, a Lei de Benefícios elenca como possíveis beneficiários do Regime Geral de Previdência Social".</w:t>
      </w:r>
    </w:p>
    <w:p>
      <w:pPr>
        <w:spacing w:before="0" w:after="70" w:line="259" w:lineRule="auto"/>
        <w:ind w:firstLine="238"/>
        <w:jc w:val="both"/>
      </w:pPr>
      <w:r>
        <w:rPr>
          <w:rFonts w:ascii="EB Garamond" w:hAnsi="EB Garamond" w:cs="EB Garamond"/>
          <w:b w:val="0"/>
          <w:i w:val="0"/>
          <w:color w:val="201B16"/>
          <w:sz w:val="21"/>
        </w:rPr>
        <w:t>A Constituição Federal de 1988 estabelece, no art. 201, que a previdência social será organizada sob a forma do Regime Geral de Previdência Social, de caráter contributivo e de filiação obrigatória, observados critérios que preservem o equilíbrio financeiro e atuarial. Dessas duas características — contributividade e compulsoriedade — decorrem as categorias de segurados que a legislação infraconstitucional detalha, bem como as regras sobre a extensão protetiva aos dependentes.</w:t>
      </w:r>
    </w:p>
    <w:p>
      <w:pPr>
        <w:spacing w:before="0" w:after="70" w:line="259" w:lineRule="auto"/>
        <w:ind w:firstLine="238"/>
        <w:jc w:val="both"/>
      </w:pPr>
      <w:r>
        <w:rPr>
          <w:rFonts w:ascii="EB Garamond" w:hAnsi="EB Garamond" w:cs="EB Garamond"/>
          <w:b w:val="0"/>
          <w:i w:val="0"/>
          <w:color w:val="201B16"/>
          <w:sz w:val="21"/>
        </w:rPr>
        <w:t>A intenção do legislador constituinte foi conferir proteção previdenciária a todos os que trabalham, ou seja, a todos os que, de alguma forma, participam da atividade econômica ou social com o seu trabalho. Para alguns, a lei estabeleceu a obrigatoriedade da cobertura previdenciária; para outros, possibilitou a opção voluntária de ingresso no sistema, mediante contribuição. Essas duas categorias — segurados obrigatórios e segurados facultativos — constituem o universo de beneficiários diretos da previdência social. Ao seu lado, os dependentes formam o universo dos beneficiários indiretos, cuja proteção se estabelece por intermédio do vínculo que mantêm com o segurado.</w:t>
      </w:r>
    </w:p>
    <w:p>
      <w:pPr>
        <w:spacing w:before="0" w:after="70" w:line="259" w:lineRule="auto"/>
        <w:ind w:firstLine="238"/>
        <w:jc w:val="both"/>
      </w:pPr>
      <w:r>
        <w:rPr>
          <w:rFonts w:ascii="EB Garamond" w:hAnsi="EB Garamond" w:cs="EB Garamond"/>
          <w:b w:val="0"/>
          <w:i w:val="0"/>
          <w:color w:val="201B16"/>
          <w:sz w:val="21"/>
        </w:rPr>
        <w:t>A compreensão precisa das categorias de segurados e das classes de dependentes constitui pressuposto indispensável para a atuação nos Juizados Especiais Federais. O enquadramento correto do segurado determina as regras de filiação, inscrição, contribuição e acesso aos benefícios. O reconhecimento adequado dos dependentes condiciona a concessão de pensão por morte, auxílio-reclusão e serviços previdenciários. Erros de enquadramento — tanto na via administrativa quanto na judicial — comprometem a efetividade da proteção social e, por isso, merecem tratamento detalhado.</w:t>
      </w:r>
    </w:p>
    <w:p>
      <w:pPr>
        <w:spacing w:before="360" w:after="140" w:line="240" w:lineRule="auto"/>
        <w:jc w:val="left"/>
        <w:pBdr>
          <w:bottom w:val="single" w:sz="8" w:space="4" w:color="B89B5E"/>
        </w:pBdr>
        <w:keepNext/>
      </w:pPr>
      <w:r>
        <w:rPr>
          <w:rFonts w:ascii="EB Garamond" w:hAnsi="EB Garamond" w:cs="EB Garamond"/>
          <w:b/>
          <w:i w:val="0"/>
          <w:color w:val="3A3128"/>
          <w:sz w:val="31"/>
        </w:rPr>
        <w:t>2.1 Segurados Obrigatórios</w:t>
      </w:r>
    </w:p>
    <w:p>
      <w:pPr>
        <w:spacing w:before="0" w:after="70" w:line="259" w:lineRule="auto"/>
        <w:jc w:val="both"/>
      </w:pPr>
      <w:r>
        <w:rPr>
          <w:rFonts w:ascii="EB Garamond" w:hAnsi="EB Garamond" w:cs="EB Garamond"/>
          <w:b w:val="0"/>
          <w:i w:val="0"/>
          <w:color w:val="201B16"/>
          <w:sz w:val="21"/>
        </w:rPr>
        <w:t>A Lei n. 8.213, de 24 de julho de 1991, enumera, em seu art. 11, as categorias de segurados obrigatórios da Previdência Social. Trata-se de rol taxativo, que compreende cinco espécies: empregado, empregado doméstico, contribuinte individual, trabalhador avulso e segurado especial. Para cada uma dessas categorias, a filiação é automática, decorrendo do simples exercício da atividade remunerada, independentemente de qualquer ato formal de inscrição. A inscrição, por sua vez, é ato administrativo meramente declaratório, que formaliza perante o INSS uma condição já existente.</w:t>
      </w:r>
    </w:p>
    <w:p>
      <w:pPr>
        <w:spacing w:before="0" w:after="70" w:line="259" w:lineRule="auto"/>
        <w:ind w:firstLine="238"/>
        <w:jc w:val="both"/>
      </w:pPr>
      <w:r>
        <w:rPr>
          <w:rFonts w:ascii="EB Garamond" w:hAnsi="EB Garamond" w:cs="EB Garamond"/>
          <w:b w:val="0"/>
          <w:i w:val="0"/>
          <w:color w:val="201B16"/>
          <w:sz w:val="21"/>
        </w:rPr>
        <w:t>Antes de examinar cada categoria, convém fixar regras gerais que regem o enquadramento dos segurados obrigatórios. Em primeiro lugar, o exercício de atividade remunerada sujeita o trabalhador à filiação obrigatória ao RGPS (art. 9º, § 12, do Decreto 3.048/99). Em segundo lugar, o exercício de atividades concomitantes obriga à filiação em cada uma delas, com o recolhimento de contribuição sobre cada remuneração (art. 11, § 2º, da Lei 8.213/91). Em terceiro lugar, o aposentado pelo RGPS que voltar a exercer atividade abrangida pelo regime será segurado obrigatório em relação a essa atividade, pagando a contribuição respectiva (art. 11, § 3º). Em quarto lugar, o dirigente sindical, enquanto estiver no exercício do mandato eletivo, manterá o mesmo enquadramento no RGPS que tinha antes da investidura (art. 11, § 4º).</w:t>
      </w:r>
    </w:p>
    <w:p>
      <w:pPr>
        <w:spacing w:before="260" w:after="80" w:line="240" w:lineRule="auto"/>
        <w:jc w:val="left"/>
        <w:keepNext/>
      </w:pPr>
      <w:r>
        <w:rPr>
          <w:rFonts w:ascii="EB Garamond" w:hAnsi="EB Garamond" w:cs="EB Garamond"/>
          <w:b/>
          <w:i w:val="0"/>
          <w:color w:val="3A3128"/>
          <w:sz w:val="25"/>
        </w:rPr>
        <w:t>2.1.1 O Empregado</w:t>
      </w:r>
    </w:p>
    <w:p>
      <w:pPr>
        <w:spacing w:before="0" w:after="70" w:line="259" w:lineRule="auto"/>
        <w:jc w:val="both"/>
      </w:pPr>
      <w:r>
        <w:rPr>
          <w:rFonts w:ascii="EB Garamond" w:hAnsi="EB Garamond" w:cs="EB Garamond"/>
          <w:b w:val="0"/>
          <w:i w:val="0"/>
          <w:color w:val="201B16"/>
          <w:sz w:val="21"/>
        </w:rPr>
        <w:t>O segurado empregado é aquele que presta serviço de natureza urbana ou rural a empresa, em caráter não eventual, sob sua subordinação e mediante remuneração. A caracterização dessa categoria exige a presença simultânea de quatro elementos: pessoalidade, habitualidade, subordinação e onerosidade. O conceito é amplo e abrange situações que transcendem a relação empregatícia clássica. O Decreto 3.048/99, em seu art. 9º, § 4º, considera prestado em caráter não eventual o serviço relacionado direta ou indiretamente com as atividades normais da empresa.</w:t>
      </w:r>
    </w:p>
    <w:p>
      <w:pPr>
        <w:spacing w:before="0" w:after="70" w:line="259" w:lineRule="auto"/>
        <w:ind w:firstLine="238"/>
        <w:jc w:val="both"/>
      </w:pPr>
      <w:r>
        <w:rPr>
          <w:rFonts w:ascii="EB Garamond" w:hAnsi="EB Garamond" w:cs="EB Garamond"/>
          <w:b w:val="0"/>
          <w:i w:val="0"/>
          <w:color w:val="201B16"/>
          <w:sz w:val="21"/>
        </w:rPr>
        <w:t>O rol do art. 11, inciso I, alíneas a a j, da Lei 8.213/91 enumera diversas figuras equiparadas ao empregado para fins previdenciários, que podem ser organizadas em quatro grupos: o tipo básico, as situações transfronteiriças, os servidores em cargo em comissão e os exercentes de mandato eletivo.</w:t>
      </w:r>
    </w:p>
    <w:p>
      <w:pPr>
        <w:spacing w:before="0" w:after="70" w:line="259" w:lineRule="auto"/>
        <w:ind w:firstLine="238"/>
        <w:jc w:val="both"/>
      </w:pPr>
      <w:r>
        <w:rPr>
          <w:rFonts w:ascii="EB Garamond" w:hAnsi="EB Garamond" w:cs="EB Garamond"/>
          <w:b w:val="0"/>
          <w:i w:val="0"/>
          <w:color w:val="201B16"/>
          <w:sz w:val="21"/>
        </w:rPr>
        <w:t>O tipo básico (alínea a) compreende o trabalhador urbano ou rural que presta serviço à empresa sob relação de emprego, inclusive como diretor empregado. Nesse conceito se incluem os trabalhadores rurais denominados "boias-frias", que a jurisprudência há muito qualifica como segurados empregados para fins previdenciários, apesar da frequente exclusão do emprego formal. Igualmente se enquadra como empregado o trabalhador temporário contratado por empresa de trabalho temporário, nos termos da Lei n. 6.019/1974, alterada pela Lei n. 13.429/2017, para atender a necessidade transitória de substituição de pessoal regular ou a demanda complementar de serviços (alínea b).</w:t>
      </w:r>
    </w:p>
    <w:p>
      <w:pPr>
        <w:spacing w:before="0" w:after="70" w:line="259" w:lineRule="auto"/>
        <w:ind w:firstLine="238"/>
        <w:jc w:val="both"/>
      </w:pPr>
      <w:r>
        <w:rPr>
          <w:rFonts w:ascii="EB Garamond" w:hAnsi="EB Garamond" w:cs="EB Garamond"/>
          <w:b w:val="0"/>
          <w:i w:val="0"/>
          <w:color w:val="201B16"/>
          <w:sz w:val="21"/>
        </w:rPr>
        <w:t>As situações transfronteiriças abrangem cinco hipóteses previstas nas alíneas c, d, e, f e i do inciso I. Destacam-se: o brasileiro ou estrangeiro domiciliado e contratado no Brasil para trabalhar como empregado em sucursal ou agência de empresa nacional no exterior (alínea c); o brasileiro civil que trabalha para a União no exterior em organismos oficiais brasileiros ou internacionais dos quais o Brasil seja membro efetivo (alínea e); e o empregado de organismo oficial internacional ou estrangeiro em funcionamento no Brasil, salvo quando coberto por regime próprio (alínea i). A finalidade comum dessas alíneas é assegurar que nenhum trabalhador brasileiro — ou estrangeiro com residência permanente — fique sem proteção previdenciária em razão de arranjos laborais com componente internacional.</w:t>
      </w:r>
    </w:p>
    <w:p>
      <w:pPr>
        <w:spacing w:before="0" w:after="70" w:line="259" w:lineRule="auto"/>
        <w:ind w:firstLine="238"/>
        <w:jc w:val="both"/>
      </w:pPr>
      <w:r>
        <w:rPr>
          <w:rFonts w:ascii="EB Garamond" w:hAnsi="EB Garamond" w:cs="EB Garamond"/>
          <w:b w:val="0"/>
          <w:i w:val="0"/>
          <w:color w:val="201B16"/>
          <w:sz w:val="21"/>
        </w:rPr>
        <w:t>O servidor público ocupante de cargo em comissão, sem vínculo efetivo com a União, Estados, Distrito Federal ou Municípios, suas autarquias e fundações, é segurado obrigatório do RGPS na qualidade de empregado (alínea g e § 5º). Essa regra decorre da EC n. 20/1998, que excluiu do regime próprio os servidores não titulares de cargos efetivos. O STF, na ADIn 2.024 MC/DF (rel. Min. Sepúlveda Pertence), declarou constitucional a inclusão desses servidores no RGPS.</w:t>
      </w:r>
    </w:p>
    <w:p>
      <w:pPr>
        <w:spacing w:before="0" w:after="70" w:line="259" w:lineRule="auto"/>
        <w:ind w:firstLine="238"/>
        <w:jc w:val="both"/>
      </w:pPr>
      <w:r>
        <w:rPr>
          <w:rFonts w:ascii="EB Garamond" w:hAnsi="EB Garamond" w:cs="EB Garamond"/>
          <w:b w:val="0"/>
          <w:i w:val="0"/>
          <w:color w:val="201B16"/>
          <w:sz w:val="21"/>
        </w:rPr>
        <w:t>A alínea h, incluída pela Lei n. 9.506/1997, e a alínea j, incluída pela Lei n. 10.887/2004, enquadram como empregado o exercente de mandato eletivo federal, estadual ou municipal, desde que não vinculado a regime próprio de previdência social. As duas alíneas têm redação idêntica — a duplicidade decorre de que a alínea h resultou da Lei 9.506/97, enquanto a alínea j foi inserida pela Lei 10.887/2004 em cumprimento à EC n. 41/2003.</w:t>
      </w:r>
    </w:p>
    <w:p>
      <w:pPr>
        <w:spacing w:before="0" w:after="70" w:line="259" w:lineRule="auto"/>
        <w:ind w:firstLine="238"/>
        <w:jc w:val="both"/>
      </w:pPr>
      <w:r>
        <w:rPr>
          <w:rFonts w:ascii="EB Garamond" w:hAnsi="EB Garamond" w:cs="EB Garamond"/>
          <w:b w:val="0"/>
          <w:i w:val="0"/>
          <w:color w:val="201B16"/>
          <w:sz w:val="21"/>
        </w:rPr>
        <w:t>A contribuição previdenciária do empregado é descontada diretamente pela empresa sobre a remuneração. O Supremo Tribunal Federal, no julgamento do Tema 20 da repercussão geral (RE 565.160/SC, rel. Min. Marco Aurélio, j. 29/03/2017), fixou a tese de que "a contribuição social a cargo do empregador incide sobre ganhos habituais do empregado, quer anteriores ou posteriores à Emenda Constitucional n. 20/1998". Assim, verbas de natureza habitual — gorjetas, comissões, horas extras habituais — integram a base de cálculo, ao passo que parcelas de natureza indenizatória ficam excluídas. A Constituição Federal reforça esse entendimento no art. 201, § 11, ao determinar que todos os ganhos habituais do empregado devem ser incorporados ao seu salário para efeitos previdenciários.</w:t>
      </w:r>
    </w:p>
    <w:tbl>
      <w:tblPr>
        <w:tblW w:type="auto" w:w="0"/>
        <w:jc w:val="center"/>
        <w:tblLayout w:type="autofit"/>
        <w:tblLook w:firstColumn="1" w:firstRow="1" w:lastColumn="0" w:lastRow="0" w:noHBand="0" w:noVBand="1" w:val="04A0"/>
        <w:tblW w:w="5000" w:type="pct"/>
      </w:tblPr>
      <w:tblGrid>
        <w:gridCol w:w="6350"/>
      </w:tblGrid>
      <w:t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rPr>
              <w:t>NA PRÁTICA</w:t>
            </w:r>
          </w:p>
          <w:p>
            <w:pPr>
              <w:spacing w:before="0" w:after="60" w:line="247" w:lineRule="auto"/>
              <w:jc w:val="both"/>
            </w:pPr>
            <w:r>
              <w:rPr>
                <w:rFonts w:ascii="EB Garamond" w:hAnsi="EB Garamond" w:cs="EB Garamond"/>
                <w:b w:val="0"/>
                <w:i w:val="0"/>
                <w:color w:val="201B16"/>
                <w:sz w:val="19"/>
              </w:rPr>
              <w:t>Na instrução processual nos JEFs, questão recorrente envolve o enquadramento do menor aprendiz e do aluno-aprendiz. O menor aprendiz é segurado empregado por expressa disposição legal. Quanto ao aluno-aprendiz de escola técnica, a Súmula 18 da TNU estabelece que o cômputo do tempo de serviço exige a comprovação simultânea de quatro requisitos: (i) retribuição consubstanciada em prestação pecuniária ou em auxílios materiais; (ii) à conta do Orçamento; (iii) a título de contraprestação por labor; e (iv) na execução de bens e serviços destinados a terceiros. O estagiário que presta serviço em desacordo com a Lei n. 11.788/2008 mantém, na verdade, autêntica relação de emprego e deve ser enquadrado como segurado empregado.</w:t>
            </w:r>
          </w:p>
        </w:tc>
      </w:tr>
    </w:tbl>
    <w:p>
      <w:pPr>
        <w:spacing w:before="0" w:after="80" w:line="240" w:lineRule="auto"/>
      </w:pPr>
    </w:p>
    <w:p>
      <w:pPr>
        <w:spacing w:before="260" w:after="80" w:line="240" w:lineRule="auto"/>
        <w:jc w:val="left"/>
        <w:keepNext/>
      </w:pPr>
      <w:r>
        <w:rPr>
          <w:rFonts w:ascii="EB Garamond" w:hAnsi="EB Garamond" w:cs="EB Garamond"/>
          <w:b/>
          <w:i w:val="0"/>
          <w:color w:val="3A3128"/>
          <w:sz w:val="25"/>
        </w:rPr>
        <w:t>2.1.2 O Empregado Doméstico</w:t>
      </w:r>
    </w:p>
    <w:p>
      <w:pPr>
        <w:spacing w:before="0" w:after="70" w:line="259" w:lineRule="auto"/>
        <w:jc w:val="both"/>
      </w:pPr>
      <w:r>
        <w:rPr>
          <w:rFonts w:ascii="EB Garamond" w:hAnsi="EB Garamond" w:cs="EB Garamond"/>
          <w:b w:val="0"/>
          <w:i w:val="0"/>
          <w:color w:val="201B16"/>
          <w:sz w:val="21"/>
        </w:rPr>
        <w:t>O empregado doméstico é aquele que presta serviço de forma contínua, subordinada, onerosa e pessoal, de finalidade não lucrativa, à pessoa ou à família, no âmbito residencial destas. A Lei Complementar n. 150, de 1º de junho de 2015, trouxe definição precisa ao estabelecer que se considera empregado doméstico quem presta serviços "por mais de 2 (dois) dias por semana" à mesma família. A contrario sensu, quem trabalha até dois dias por semana para o mesmo tomador não mantém vínculo de emprego doméstico com aquele contratante, podendo qualificar-se como contribuinte individual — se exercer a atividade de forma habitual e por conta própria — ou filiar-se voluntariamente como segurado facultativo.</w:t>
      </w:r>
    </w:p>
    <w:p>
      <w:pPr>
        <w:spacing w:before="0" w:after="70" w:line="259" w:lineRule="auto"/>
        <w:ind w:firstLine="238"/>
        <w:jc w:val="both"/>
      </w:pPr>
      <w:r>
        <w:rPr>
          <w:rFonts w:ascii="EB Garamond" w:hAnsi="EB Garamond" w:cs="EB Garamond"/>
          <w:b w:val="0"/>
          <w:i w:val="0"/>
          <w:color w:val="201B16"/>
          <w:sz w:val="21"/>
        </w:rPr>
        <w:t>A proteção previdenciária obrigatória do empregado doméstico tem início com a Lei n. 5.859, de 11 de dezembro de 1972, regulamentada pelo Decreto n. 71.885/1973. Antes dessa lei, o empregado doméstico somente poderia ter proteção previdenciária se se inscrevesse como segurado facultativo. Mesmo que o empregador registrasse o contrato na Carteira de Trabalho, os efeitos eram exclusivamente trabalhistas, sem repercussão previdenciária, pois não havia obrigação legal de recolhimento. A partir da competência abril de 1973, admite-se o enquadramento como empregado doméstico para fins previdenciários.</w:t>
      </w:r>
    </w:p>
    <w:p>
      <w:pPr>
        <w:spacing w:before="0" w:after="70" w:line="259" w:lineRule="auto"/>
        <w:ind w:firstLine="238"/>
        <w:jc w:val="both"/>
      </w:pPr>
      <w:r>
        <w:rPr>
          <w:rFonts w:ascii="EB Garamond" w:hAnsi="EB Garamond" w:cs="EB Garamond"/>
          <w:b w:val="0"/>
          <w:i w:val="0"/>
          <w:color w:val="201B16"/>
          <w:sz w:val="21"/>
        </w:rPr>
        <w:t>A Emenda Constitucional n. 72, de 2 de abril de 2013, ampliou os direitos trabalhistas dos empregados domésticos ao alterar o parágrafo único do art. 7º da Constituição, com reflexos diretos na vida previdenciária dessa categoria. A LC 150/2015, que regulamentou a emenda, representou um marco definitivo. Antes de sua vigência, o empregado doméstico não tinha direito ao seguro contra acidentes de trabalho, ao FGTS obrigatório nem à multa rescisória. O chamado Simples Doméstico unificou a arrecadação por meio do Documento de Arrecadação do eSocial, com alíquota patronal de 8% para o INSS, acrescida de 0,8% para o seguro acidentário e 8% para o FGTS.</w:t>
      </w:r>
    </w:p>
    <w:p>
      <w:pPr>
        <w:spacing w:before="0" w:after="70" w:line="259" w:lineRule="auto"/>
        <w:ind w:firstLine="238"/>
        <w:jc w:val="both"/>
      </w:pPr>
      <w:r>
        <w:rPr>
          <w:rFonts w:ascii="EB Garamond" w:hAnsi="EB Garamond" w:cs="EB Garamond"/>
          <w:b w:val="0"/>
          <w:i w:val="0"/>
          <w:color w:val="201B16"/>
          <w:sz w:val="21"/>
        </w:rPr>
        <w:t>A distinção entre empregado doméstico e diarista é essencial para o correto enquadramento previdenciário. O Decreto 3.048/99, em seu art. 9º, § 15, VI, com a redação dada pelo Decreto 10.410/2020, considera contribuinte individual aquele "que presta serviço de natureza não contínua, por conta própria, a pessoa ou família, no âmbito residencial desta, sem fins lucrativos". Trata-se do diarista doméstico: se a frequência de trabalho na mesma residência é de até dois dias por semana, não há vínculo empregatício doméstico; se configurada prestação por mais de dois dias, o enquadramento como empregado doméstico é obrigatório.</w:t>
      </w:r>
    </w:p>
    <w:p>
      <w:pPr>
        <w:spacing w:before="0" w:after="70" w:line="259" w:lineRule="auto"/>
        <w:ind w:firstLine="238"/>
        <w:jc w:val="both"/>
      </w:pPr>
      <w:r>
        <w:rPr>
          <w:rFonts w:ascii="EB Garamond" w:hAnsi="EB Garamond" w:cs="EB Garamond"/>
          <w:b w:val="0"/>
          <w:i w:val="0"/>
          <w:color w:val="201B16"/>
          <w:sz w:val="21"/>
        </w:rPr>
        <w:t>Dois outros requisitos são indispensáveis para a caracterização do trabalho doméstico: a pessoa do contratante, que deve ser pessoa física (pessoa jurídica descaracteriza o vínculo doméstico), e a ausência de finalidade lucrativa na atividade. Se o empregador utiliza o trabalho do contratado para atividade econômica — por exemplo, para produzir alimentos destinados à comercialização —, resta descaracterizado o vínculo doméstico, configurando-se relação de emprego comum.</w:t>
      </w:r>
    </w:p>
    <w:p>
      <w:pPr>
        <w:spacing w:before="0" w:after="70" w:line="259" w:lineRule="auto"/>
        <w:ind w:firstLine="238"/>
        <w:jc w:val="both"/>
      </w:pPr>
      <w:r>
        <w:rPr>
          <w:rFonts w:ascii="EB Garamond" w:hAnsi="EB Garamond" w:cs="EB Garamond"/>
          <w:b w:val="0"/>
          <w:i w:val="0"/>
          <w:color w:val="201B16"/>
          <w:sz w:val="21"/>
        </w:rPr>
        <w:t>O trabalho doméstico é proibido para menores de 18 anos, conforme o Decreto n. 6.481/2008, que regulamenta a Convenção 182 da OIT sobre as piores formas de trabalho infantil, e o art. 1º, parágrafo único, da LC 150/2015.</w:t>
      </w:r>
    </w:p>
    <w:tbl>
      <w:tblPr>
        <w:tblW w:type="auto" w:w="0"/>
        <w:jc w:val="center"/>
        <w:tblLayout w:type="autofit"/>
        <w:tblLook w:firstColumn="1" w:firstRow="1" w:lastColumn="0" w:lastRow="0" w:noHBand="0" w:noVBand="1" w:val="04A0"/>
        <w:tblW w:w="5000" w:type="pct"/>
      </w:tblPr>
      <w:tblGrid>
        <w:gridCol w:w="6350"/>
      </w:tblGrid>
      <w:t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rPr>
              <w:t>NA PRÁTICA</w:t>
            </w:r>
          </w:p>
          <w:p>
            <w:pPr>
              <w:spacing w:before="0" w:after="60" w:line="247" w:lineRule="auto"/>
              <w:jc w:val="both"/>
            </w:pPr>
            <w:r>
              <w:rPr>
                <w:rFonts w:ascii="EB Garamond" w:hAnsi="EB Garamond" w:cs="EB Garamond"/>
                <w:b w:val="0"/>
                <w:i w:val="0"/>
                <w:color w:val="201B16"/>
                <w:sz w:val="19"/>
              </w:rPr>
              <w:t>Ao atender cliente que trabalha como diarista em mais de uma residência, é essencial verificar a frequência semanal em cada domicílio. Se a prestação ocorre em três ou mais dias por semana na mesma residência, configura-se vínculo de emprego doméstico, e o tomador é responsável pelo recolhimento previdenciário. Se a frequência é de até dois dias, não há vínculo doméstico com aquele tomador, e a trabalhadora poderá recolher como contribuinte individual ou, caso preencha os requisitos do CadÚnico e não exerça outra atividade remunerada obrigatória, filiar-se como segurada facultativa de baixa renda, com alíquota de 5%. Para a carência do empregado doméstico filiado até 31 de maio de 2015, o período é contado a partir do efetivo recolhimento da primeira contribuição sem atraso (§ 4º-B do art. 26 do Decreto 3.048/99); a partir de junho de 2015, presume-se o recolhimento das contribuições descontadas pelo empregador (§ 4º-A).</w:t>
            </w:r>
          </w:p>
        </w:tc>
      </w:tr>
    </w:tbl>
    <w:p>
      <w:pPr>
        <w:spacing w:before="0" w:after="80" w:line="240" w:lineRule="auto"/>
      </w:pPr>
    </w:p>
    <w:p>
      <w:pPr>
        <w:spacing w:before="260" w:after="80" w:line="240" w:lineRule="auto"/>
        <w:jc w:val="left"/>
        <w:keepNext/>
      </w:pPr>
      <w:r>
        <w:rPr>
          <w:rFonts w:ascii="EB Garamond" w:hAnsi="EB Garamond" w:cs="EB Garamond"/>
          <w:b/>
          <w:i w:val="0"/>
          <w:color w:val="3A3128"/>
          <w:sz w:val="25"/>
        </w:rPr>
        <w:t>2.1.3 O Contribuinte Individual</w:t>
      </w:r>
    </w:p>
    <w:p>
      <w:pPr>
        <w:spacing w:before="0" w:after="70" w:line="259" w:lineRule="auto"/>
        <w:jc w:val="both"/>
      </w:pPr>
      <w:r>
        <w:rPr>
          <w:rFonts w:ascii="EB Garamond" w:hAnsi="EB Garamond" w:cs="EB Garamond"/>
          <w:b w:val="0"/>
          <w:i w:val="0"/>
          <w:color w:val="201B16"/>
          <w:sz w:val="21"/>
        </w:rPr>
        <w:t>O contribuinte individual abrange um universo heterogêneo de trabalhadores que exercem atividade remunerada por conta própria ou sem relação de emprego. A categoria surgiu da reunião de três espécies previstas na legislação anterior — o empresário, o trabalhador autônomo e o equiparado a autônomo —, unificadas pela Lei n. 9.876, de 26 de novembro de 1999, no atual inciso V do art. 11 da Lei 8.213/91. A nomenclatura "autônomo" ainda é utilizada na linguagem comum, mas foi extirpada da legislação de regência. Do ponto de vista lógico-sistemático, a categoria do contribuinte individual possui caráter residual: será contribuinte individual todo aquele que desenvolve atividade remunerada e que não se enquadra em nenhuma das demais espécies de segurado obrigatório.</w:t>
      </w:r>
    </w:p>
    <w:p>
      <w:pPr>
        <w:spacing w:before="0" w:after="70" w:line="259" w:lineRule="auto"/>
        <w:ind w:firstLine="238"/>
        <w:jc w:val="both"/>
      </w:pPr>
      <w:r>
        <w:rPr>
          <w:rFonts w:ascii="EB Garamond" w:hAnsi="EB Garamond" w:cs="EB Garamond"/>
          <w:b w:val="0"/>
          <w:i w:val="0"/>
          <w:color w:val="201B16"/>
          <w:sz w:val="21"/>
        </w:rPr>
        <w:t>O art. 11, inciso V, da Lei 8.213/91 enumera as seguintes alíneas:</w:t>
      </w:r>
    </w:p>
    <w:p>
      <w:pPr>
        <w:spacing w:before="0" w:after="70" w:line="259" w:lineRule="auto"/>
        <w:ind w:firstLine="238"/>
        <w:jc w:val="both"/>
      </w:pPr>
      <w:r>
        <w:rPr>
          <w:rFonts w:ascii="EB Garamond" w:hAnsi="EB Garamond" w:cs="EB Garamond"/>
          <w:b w:val="0"/>
          <w:i w:val="0"/>
          <w:color w:val="201B16"/>
          <w:sz w:val="21"/>
        </w:rPr>
      </w:r>
      <w:r>
        <w:rPr>
          <w:rFonts w:ascii="EB Garamond" w:hAnsi="EB Garamond" w:cs="EB Garamond"/>
          <w:b/>
          <w:i w:val="0"/>
          <w:color w:val="201B16"/>
          <w:sz w:val="21"/>
        </w:rPr>
        <w:t>a) O produtor rural pessoa física descaracterizado como segurado especial.</w:t>
      </w:r>
      <w:r>
        <w:rPr>
          <w:rFonts w:ascii="EB Garamond" w:hAnsi="EB Garamond" w:cs="EB Garamond"/>
          <w:b w:val="0"/>
          <w:i w:val="0"/>
          <w:color w:val="201B16"/>
          <w:sz w:val="21"/>
        </w:rPr>
        <w:t xml:space="preserve"> Trata-se da pessoa física, proprietária ou não, que explora atividade agropecuária, a qualquer título, em caráter permanente ou temporário, em área superior a 4 módulos fiscais; ou, quando em área igual ou inferior a 4 módulos fiscais ou atividade pesqueira, com auxílio de empregados ou por intermédio de prepostos. A hipótese abrange essencialmente o produtor rural que não se enquadra como segurado especial, seja pelo tamanho da área explorada, pela contratação de mão de obra acima dos limites permitidos, ou por qualquer outra razão descaracterizadora. O cônjuge ou companheiro que participa da exploração da mesma atividade é igualmente enquadrado como contribuinte individual.</w:t>
      </w:r>
    </w:p>
    <w:p>
      <w:pPr>
        <w:spacing w:before="0" w:after="70" w:line="259" w:lineRule="auto"/>
        <w:ind w:firstLine="238"/>
        <w:jc w:val="both"/>
      </w:pPr>
      <w:r>
        <w:rPr>
          <w:rFonts w:ascii="EB Garamond" w:hAnsi="EB Garamond" w:cs="EB Garamond"/>
          <w:b w:val="0"/>
          <w:i w:val="0"/>
          <w:color w:val="201B16"/>
          <w:sz w:val="21"/>
        </w:rPr>
      </w:r>
      <w:r>
        <w:rPr>
          <w:rFonts w:ascii="EB Garamond" w:hAnsi="EB Garamond" w:cs="EB Garamond"/>
          <w:b/>
          <w:i w:val="0"/>
          <w:color w:val="201B16"/>
          <w:sz w:val="21"/>
        </w:rPr>
        <w:t>b) O garimpeiro.</w:t>
      </w:r>
      <w:r>
        <w:rPr>
          <w:rFonts w:ascii="EB Garamond" w:hAnsi="EB Garamond" w:cs="EB Garamond"/>
          <w:b w:val="0"/>
          <w:i w:val="0"/>
          <w:color w:val="201B16"/>
          <w:sz w:val="21"/>
        </w:rPr>
        <w:t xml:space="preserve"> A pessoa física que explora atividade de extração mineral em caráter permanente ou temporário, diretamente ou por intermédio de prepostos. Na redação original da Lei 8.213/91, o garimpeiro era segurado especial; a Lei n. 8.398/1992 transferiu-o para a categoria de contribuinte individual, situação consolidada pela Lei 9.876/99. O garimpeiro que desenvolve atividade em regime de economia familiar faz jus à aposentadoria por idade rural, por expressa disposição constitucional (art. 201, § 7º, II, da CF), embora seja contribuinte individual e não segurado especial.</w:t>
      </w:r>
    </w:p>
    <w:p>
      <w:pPr>
        <w:spacing w:before="0" w:after="70" w:line="259" w:lineRule="auto"/>
        <w:ind w:firstLine="238"/>
        <w:jc w:val="both"/>
      </w:pPr>
      <w:r>
        <w:rPr>
          <w:rFonts w:ascii="EB Garamond" w:hAnsi="EB Garamond" w:cs="EB Garamond"/>
          <w:b w:val="0"/>
          <w:i w:val="0"/>
          <w:color w:val="201B16"/>
          <w:sz w:val="21"/>
        </w:rPr>
      </w:r>
      <w:r>
        <w:rPr>
          <w:rFonts w:ascii="EB Garamond" w:hAnsi="EB Garamond" w:cs="EB Garamond"/>
          <w:b/>
          <w:i w:val="0"/>
          <w:color w:val="201B16"/>
          <w:sz w:val="21"/>
        </w:rPr>
        <w:t>c) O ministro de confissão religiosa e o membro de instituto de vida consagrada.</w:t>
      </w:r>
      <w:r>
        <w:rPr>
          <w:rFonts w:ascii="EB Garamond" w:hAnsi="EB Garamond" w:cs="EB Garamond"/>
          <w:b w:val="0"/>
          <w:i w:val="0"/>
          <w:color w:val="201B16"/>
          <w:sz w:val="21"/>
        </w:rPr>
        <w:t xml:space="preserve"> Os religiosos só passaram a ter proteção previdenciária obrigatória a partir da Lei n. 6.696/1979. Para fins previdenciários, são contribuintes individuais, e seu ingresso na Previdência Social não implica reconhecimento de relação de emprego com a entidade religiosa.</w:t>
      </w:r>
    </w:p>
    <w:p>
      <w:pPr>
        <w:spacing w:before="0" w:after="70" w:line="259" w:lineRule="auto"/>
        <w:ind w:firstLine="238"/>
        <w:jc w:val="both"/>
      </w:pPr>
      <w:r>
        <w:rPr>
          <w:rFonts w:ascii="EB Garamond" w:hAnsi="EB Garamond" w:cs="EB Garamond"/>
          <w:b w:val="0"/>
          <w:i w:val="0"/>
          <w:color w:val="201B16"/>
          <w:sz w:val="21"/>
        </w:rPr>
      </w:r>
      <w:r>
        <w:rPr>
          <w:rFonts w:ascii="EB Garamond" w:hAnsi="EB Garamond" w:cs="EB Garamond"/>
          <w:b/>
          <w:i w:val="0"/>
          <w:color w:val="201B16"/>
          <w:sz w:val="21"/>
        </w:rPr>
        <w:t>e) O brasileiro civil que trabalha no exterior para organismo oficial internacional do qual o Brasil é membro efetivo.</w:t>
      </w:r>
      <w:r>
        <w:rPr>
          <w:rFonts w:ascii="EB Garamond" w:hAnsi="EB Garamond" w:cs="EB Garamond"/>
          <w:b w:val="0"/>
          <w:i w:val="0"/>
          <w:color w:val="201B16"/>
          <w:sz w:val="21"/>
        </w:rPr>
        <w:t xml:space="preserve"> Quando não coberto por regime próprio de previdência social. Trata-se de hipótese que o legislador optou por enquadrar como contribuinte individual, embora situações análogas sejam enquadradas como empregado (alínea e do inciso I).</w:t>
      </w:r>
    </w:p>
    <w:p>
      <w:pPr>
        <w:spacing w:before="0" w:after="70" w:line="259" w:lineRule="auto"/>
        <w:ind w:firstLine="238"/>
        <w:jc w:val="both"/>
      </w:pPr>
      <w:r>
        <w:rPr>
          <w:rFonts w:ascii="EB Garamond" w:hAnsi="EB Garamond" w:cs="EB Garamond"/>
          <w:b w:val="0"/>
          <w:i w:val="0"/>
          <w:color w:val="201B16"/>
          <w:sz w:val="21"/>
        </w:rPr>
      </w:r>
      <w:r>
        <w:rPr>
          <w:rFonts w:ascii="EB Garamond" w:hAnsi="EB Garamond" w:cs="EB Garamond"/>
          <w:b/>
          <w:i w:val="0"/>
          <w:color w:val="201B16"/>
          <w:sz w:val="21"/>
        </w:rPr>
        <w:t>f) Gestores e administradores.</w:t>
      </w:r>
      <w:r>
        <w:rPr>
          <w:rFonts w:ascii="EB Garamond" w:hAnsi="EB Garamond" w:cs="EB Garamond"/>
          <w:b w:val="0"/>
          <w:i w:val="0"/>
          <w:color w:val="201B16"/>
          <w:sz w:val="21"/>
        </w:rPr>
        <w:t xml:space="preserve"> O titular de firma individual urbana ou rural, o diretor não empregado e o membro de conselho de administração de sociedade anônima, o sócio solidário, o sócio de indústria, o sócio gerente e o sócio cotista que recebam remuneração decorrente de seu trabalho, e o associado eleito para cargo de direção em cooperativa, associação ou entidade de qualquer natureza ou finalidade, bem como o síndico ou administrador eleito para exercer atividade de direção condominial, desde que recebam remuneração. A isenção da taxa de condomínio, a partir de 6 de março de 1997, equivale à remuneração, razão pela qual o síndico isento é contribuinte individual. O síndico não remunerado nem isento da taxa condominial não é segurado obrigatório, podendo filiar-se como facultativo.</w:t>
      </w:r>
    </w:p>
    <w:p>
      <w:pPr>
        <w:spacing w:before="0" w:after="70" w:line="259" w:lineRule="auto"/>
        <w:ind w:firstLine="238"/>
        <w:jc w:val="both"/>
      </w:pPr>
      <w:r>
        <w:rPr>
          <w:rFonts w:ascii="EB Garamond" w:hAnsi="EB Garamond" w:cs="EB Garamond"/>
          <w:b w:val="0"/>
          <w:i w:val="0"/>
          <w:color w:val="201B16"/>
          <w:sz w:val="21"/>
        </w:rPr>
      </w:r>
      <w:r>
        <w:rPr>
          <w:rFonts w:ascii="EB Garamond" w:hAnsi="EB Garamond" w:cs="EB Garamond"/>
          <w:b/>
          <w:i w:val="0"/>
          <w:color w:val="201B16"/>
          <w:sz w:val="21"/>
        </w:rPr>
        <w:t>g) O trabalhador eventual.</w:t>
      </w:r>
      <w:r>
        <w:rPr>
          <w:rFonts w:ascii="EB Garamond" w:hAnsi="EB Garamond" w:cs="EB Garamond"/>
          <w:b w:val="0"/>
          <w:i w:val="0"/>
          <w:color w:val="201B16"/>
          <w:sz w:val="21"/>
        </w:rPr>
        <w:t xml:space="preserve"> Quem presta serviço de natureza urbana ou rural, em caráter eventual, a uma ou mais empresas, sem relação de emprego. Falta-lhe o requisito da habitualidade que caracteriza o empregado.</w:t>
      </w:r>
    </w:p>
    <w:p>
      <w:pPr>
        <w:spacing w:before="0" w:after="70" w:line="259" w:lineRule="auto"/>
        <w:ind w:firstLine="238"/>
        <w:jc w:val="both"/>
      </w:pPr>
      <w:r>
        <w:rPr>
          <w:rFonts w:ascii="EB Garamond" w:hAnsi="EB Garamond" w:cs="EB Garamond"/>
          <w:b w:val="0"/>
          <w:i w:val="0"/>
          <w:color w:val="201B16"/>
          <w:sz w:val="21"/>
        </w:rPr>
      </w:r>
      <w:r>
        <w:rPr>
          <w:rFonts w:ascii="EB Garamond" w:hAnsi="EB Garamond" w:cs="EB Garamond"/>
          <w:b/>
          <w:i w:val="0"/>
          <w:color w:val="201B16"/>
          <w:sz w:val="21"/>
        </w:rPr>
        <w:t>h) O trabalhador autônomo genérico.</w:t>
      </w:r>
      <w:r>
        <w:rPr>
          <w:rFonts w:ascii="EB Garamond" w:hAnsi="EB Garamond" w:cs="EB Garamond"/>
          <w:b w:val="0"/>
          <w:i w:val="0"/>
          <w:color w:val="201B16"/>
          <w:sz w:val="21"/>
        </w:rPr>
        <w:t xml:space="preserve"> A pessoa física que exerce, por conta própria, atividade econômica de natureza urbana, com fins lucrativos ou não. Trata-se de cláusula residual, apta a abarcar virtualmente todas as hipóteses de trabalhadores que desenvolvem atividade urbana remunerada e que não possam ser enquadrados em outras categorias. O Decreto 3.048/99, em seu art. 9º, § 15, detalha extenso rol exemplificativo, incluindo o comerciante ambulante, o notário ou tabelião, o médico-residente, o árbitro de jogos desportivos, o membro de conselho tutelar remunerado e o cooperado de cooperativa de produção.</w:t>
      </w:r>
    </w:p>
    <w:p>
      <w:pPr>
        <w:spacing w:before="0" w:after="70" w:line="259" w:lineRule="auto"/>
        <w:ind w:firstLine="238"/>
        <w:jc w:val="both"/>
      </w:pPr>
      <w:r>
        <w:rPr>
          <w:rFonts w:ascii="EB Garamond" w:hAnsi="EB Garamond" w:cs="EB Garamond"/>
          <w:b w:val="0"/>
          <w:i w:val="0"/>
          <w:color w:val="201B16"/>
          <w:sz w:val="21"/>
        </w:rPr>
        <w:t>A Lei n. 10.666, de 8 de maio de 2003, trouxe alteração significativa ao determinar que a empresa tomadora de serviços do contribuinte individual fica obrigada a arrecadar e recolher a contribuição previdenciária deste, descontando-a da remuneração paga. Antes dessa lei, cabia ao próprio contribuinte individual a responsabilidade integral pelo recolhimento, o que gerava elevada inadimplência e consequente desamparo previdenciário. A consequência prática dessa alteração é relevante para a contagem de carência: quando o contribuinte individual não é responsável tributário (porque a empresa tomadora é quem recolhe), a carência é computada a partir do exercício da atividade remunerada, à semelhança do empregado (§ 4º do art. 26 do Decreto 3.048/99).</w:t>
      </w:r>
    </w:p>
    <w:p>
      <w:pPr>
        <w:spacing w:before="0" w:after="70" w:line="259" w:lineRule="auto"/>
        <w:ind w:firstLine="238"/>
        <w:jc w:val="both"/>
      </w:pPr>
      <w:r>
        <w:rPr>
          <w:rFonts w:ascii="EB Garamond" w:hAnsi="EB Garamond" w:cs="EB Garamond"/>
          <w:b w:val="0"/>
          <w:i w:val="0"/>
          <w:color w:val="201B16"/>
          <w:sz w:val="21"/>
        </w:rPr>
        <w:t>O Microempreendedor Individual constitui modalidade especial de contribuinte individual, com regime tributário simplificado e alíquota reduzida de 5% sobre o salário mínimo, nos termos da Lei n. 12.470/2011 combinada com a Lei Complementar n. 123/2006. Essa alíquota reduzida, contudo, exclui o direito à aposentadoria por tempo de contribuição — restrição que subsiste mesmo após a extinção dessa espécie de aposentadoria pela EC 103/2019, pois permanece relevante para o cômputo do tempo de contribuição nas regras de transição, como as que exigem pedágio. Se o MEI desejar computar o período contributivo para aposentadoria por tempo de contribuição ou para contagem recíproca com outro regime, deverá complementar a contribuição até a alíquota integral, indenizando a diferença (art. 21, § 3º, da Lei 8.212/91).</w:t>
      </w:r>
    </w:p>
    <w:tbl>
      <w:tblPr>
        <w:tblW w:type="auto" w:w="0"/>
        <w:jc w:val="center"/>
        <w:tblLayout w:type="autofit"/>
        <w:tblLook w:firstColumn="1" w:firstRow="1" w:lastColumn="0" w:lastRow="0" w:noHBand="0" w:noVBand="1" w:val="04A0"/>
        <w:tblW w:w="5000" w:type="pct"/>
      </w:tblPr>
      <w:tblGrid>
        <w:gridCol w:w="6350"/>
      </w:tblGrid>
      <w:t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rPr>
              <w:t>ATENÇÃO</w:t>
            </w:r>
          </w:p>
          <w:p>
            <w:pPr>
              <w:spacing w:before="0" w:after="60" w:line="247" w:lineRule="auto"/>
              <w:jc w:val="both"/>
            </w:pPr>
            <w:r>
              <w:rPr>
                <w:rFonts w:ascii="EB Garamond" w:hAnsi="EB Garamond" w:cs="EB Garamond"/>
                <w:b w:val="0"/>
                <w:i w:val="0"/>
                <w:color w:val="201B16"/>
                <w:sz w:val="19"/>
              </w:rPr>
              <w:t>A jurisprudência encontra dificuldade para delimitar a contingência de incapacidade em relação ao segurado facultativo, que por definição não exerce atividade remunerada. A EC 103/2019 agravou a questão ao substituir, no art. 201, I, da Constituição, a "cobertura de eventos de doença e invalidez" pela "cobertura dos eventos de incapacidade temporária ou permanente para o trabalho". A regulamentação do novo texto poderá resultar na exclusão do direito ao auxílio por incapacidade temporária para segurados facultativos que não exercem atividade laborativa, sob o fundamento de que não existe trabalho do qual se afastar. Até que sobrevenha regulamentação, permanece o direito na forma da legislação vigente.</w:t>
            </w:r>
          </w:p>
        </w:tc>
      </w:tr>
    </w:tbl>
    <w:p>
      <w:pPr>
        <w:spacing w:before="0" w:after="80" w:line="240" w:lineRule="auto"/>
      </w:pPr>
    </w:p>
    <w:p>
      <w:pPr>
        <w:spacing w:before="260" w:after="80" w:line="240" w:lineRule="auto"/>
        <w:jc w:val="left"/>
        <w:keepNext/>
      </w:pPr>
      <w:r>
        <w:rPr>
          <w:rFonts w:ascii="EB Garamond" w:hAnsi="EB Garamond" w:cs="EB Garamond"/>
          <w:b/>
          <w:i w:val="0"/>
          <w:color w:val="3A3128"/>
          <w:sz w:val="25"/>
        </w:rPr>
        <w:t>2.1.4 O Trabalhador Avulso</w:t>
      </w:r>
    </w:p>
    <w:p>
      <w:pPr>
        <w:spacing w:before="0" w:after="70" w:line="259" w:lineRule="auto"/>
        <w:jc w:val="both"/>
      </w:pPr>
      <w:r>
        <w:rPr>
          <w:rFonts w:ascii="EB Garamond" w:hAnsi="EB Garamond" w:cs="EB Garamond"/>
          <w:b w:val="0"/>
          <w:i w:val="0"/>
          <w:color w:val="201B16"/>
          <w:sz w:val="21"/>
        </w:rPr>
        <w:t>O trabalhador avulso é aquele que presta serviço a diversas empresas, sem vínculo empregatício, com intermediação obrigatória de sindicato da categoria ou do Órgão Gestor de Mão de Obra. A definição genérica do art. 11, inciso VI, da Lei 8.213/91 foi detalhada pelo art. 9º, VI, do Decreto 3.048/99, que distingue duas modalidades: o trabalhador avulso portuário e o trabalhador avulso não portuário.</w:t>
      </w:r>
    </w:p>
    <w:p>
      <w:pPr>
        <w:spacing w:before="0" w:after="70" w:line="259" w:lineRule="auto"/>
        <w:ind w:firstLine="238"/>
        <w:jc w:val="both"/>
      </w:pPr>
      <w:r>
        <w:rPr>
          <w:rFonts w:ascii="EB Garamond" w:hAnsi="EB Garamond" w:cs="EB Garamond"/>
          <w:b w:val="0"/>
          <w:i w:val="0"/>
          <w:color w:val="201B16"/>
          <w:sz w:val="21"/>
        </w:rPr>
        <w:t>O trabalhador avulso portuário exerce suas atividades com intermediação do Órgão Gestor de Mão de Obra (OGMO), nos termos da Lei n. 12.815, de 5 de junho de 2013 (Lei dos Portos). O Decreto 3.048/99 relaciona expressamente as atividades portuárias: capatazia, estiva, conferência e conserto de carga, vigilância de embarcação e bloco, estiva de mercadorias de qualquer natureza (inclusive carvão e minério), trabalho em alvarenga, amarração de embarcação, ensaque de café, cacau e sal, trabalho na indústria de extração de sal, carregamento de bagagem em porto, prático de barra, guindasteiro, e classificação, movimentação e empacotamento de mercadorias em portos. O trabalhador avulso não portuário exerce atividade de movimentação de mercadorias em geral, nos termos da Lei n. 12.023, de 27 de agosto de 2009, com intermediação obrigatória do sindicato da categoria.</w:t>
      </w:r>
    </w:p>
    <w:p>
      <w:pPr>
        <w:spacing w:before="0" w:after="70" w:line="259" w:lineRule="auto"/>
        <w:ind w:firstLine="238"/>
        <w:jc w:val="both"/>
      </w:pPr>
      <w:r>
        <w:rPr>
          <w:rFonts w:ascii="EB Garamond" w:hAnsi="EB Garamond" w:cs="EB Garamond"/>
          <w:b w:val="0"/>
          <w:i w:val="0"/>
          <w:color w:val="201B16"/>
          <w:sz w:val="21"/>
        </w:rPr>
        <w:t>A Constituição Federal, no art. 7º, inciso XXXIV, assegura "igualdade de direitos entre o trabalhador com vínculo empregatício permanente e o trabalhador avulso". Essa equiparação constitucional possui alcance pleno no campo previdenciário: o trabalhador avulso tem direito a todas as prestações previstas para o segurado empregado, incluindo o salário-família e a cobertura acidentária. A legislação infraconstitucional não pode, em regra, estabelecer distinções entre as duas categorias.</w:t>
      </w:r>
    </w:p>
    <w:p>
      <w:pPr>
        <w:spacing w:before="0" w:after="70" w:line="259" w:lineRule="auto"/>
        <w:ind w:firstLine="238"/>
        <w:jc w:val="both"/>
      </w:pPr>
      <w:r>
        <w:rPr>
          <w:rFonts w:ascii="EB Garamond" w:hAnsi="EB Garamond" w:cs="EB Garamond"/>
          <w:b w:val="0"/>
          <w:i w:val="0"/>
          <w:color w:val="201B16"/>
          <w:sz w:val="21"/>
        </w:rPr>
        <w:t>Quando comparado à relação de emprego, o trabalho avulso se distingue essencialmente pela ausência do requisito da pessoalidade e pelo caráter intermediado da prestação. O trabalhador avulso não escolhe para quem trabalha — é escalado pelo OGMO ou pelo sindicato conforme as demandas das empresas tomadoras. Essa peculiaridade não reduz, contudo, a proteção previdenciária, que é integral e equiparada à do empregado.</w:t>
      </w:r>
    </w:p>
    <w:p>
      <w:pPr>
        <w:spacing w:before="0" w:after="70" w:line="259" w:lineRule="auto"/>
        <w:ind w:firstLine="238"/>
        <w:jc w:val="both"/>
      </w:pPr>
      <w:r>
        <w:rPr>
          <w:rFonts w:ascii="EB Garamond" w:hAnsi="EB Garamond" w:cs="EB Garamond"/>
          <w:b w:val="0"/>
          <w:i w:val="0"/>
          <w:color w:val="201B16"/>
          <w:sz w:val="21"/>
        </w:rPr>
        <w:t>A intermediação obrigatória do OGMO, nos termos da Lei 12.815/2013, desempenha função essencial no sistema de proteção previdenciária do avulso portuário. Cabe ao OGMO administrar o fornecimento de mão de obra, manter o registro e o cadastro dos trabalhadores, promover a formação profissional e arrecadar as contribuições previdenciárias devidas pelas empresas operadoras portuárias. A responsabilidade solidária do OGMO pelo recolhimento das contribuições previdenciárias constitui garantia relevante para o trabalhador avulso, pois evita que a pulverização entre múltiplos tomadores comprometa a regularidade contributiva. Para o trabalhador avulso não portuário, a Lei 12.023/2009 atribui ao sindicato da categoria função análoga à do OGMO, intermediando a contratação por meio de acordo ou convenção coletiva de trabalho.</w:t>
      </w:r>
    </w:p>
    <w:p>
      <w:pPr>
        <w:spacing w:before="0" w:after="70" w:line="259" w:lineRule="auto"/>
        <w:ind w:firstLine="238"/>
        <w:jc w:val="both"/>
      </w:pPr>
      <w:r>
        <w:rPr>
          <w:rFonts w:ascii="EB Garamond" w:hAnsi="EB Garamond" w:cs="EB Garamond"/>
          <w:b w:val="0"/>
          <w:i w:val="0"/>
          <w:color w:val="201B16"/>
          <w:sz w:val="21"/>
        </w:rPr>
        <w:t>A contribuição previdenciária incidente sobre a remuneração do trabalhador avulso segue as mesmas alíquotas aplicáveis ao empregado, variando conforme a faixa salarial (art. 198 do Decreto 3.048/99). A empresa tomadora de serviço é responsável pelo desconto e recolhimento, à semelhança do que ocorre com o empregado. Essa sistemática assegura que o trabalhador avulso não seja onerado pela complexidade de sua relação de trabalho multiempregadora. O período de carência, de igual modo, é computado a partir da filiação, independentemente do efetivo recolhimento — cabendo à empresa tomadora a responsabilidade tributária.</w:t>
      </w:r>
    </w:p>
    <w:p>
      <w:pPr>
        <w:spacing w:before="0" w:after="70" w:line="259" w:lineRule="auto"/>
        <w:ind w:firstLine="238"/>
        <w:jc w:val="both"/>
      </w:pPr>
      <w:r>
        <w:rPr>
          <w:rFonts w:ascii="EB Garamond" w:hAnsi="EB Garamond" w:cs="EB Garamond"/>
          <w:b w:val="0"/>
          <w:i w:val="0"/>
          <w:color w:val="201B16"/>
          <w:sz w:val="21"/>
        </w:rPr>
        <w:t>Na prática dos JEFs, as demandas envolvendo trabalhadores avulsos frequentemente dizem respeito ao reconhecimento de períodos de atividade portuária anteriores à informatização dos registros do OGMO, à comprovação de vínculo para fins de aposentadoria especial por exposição a agentes nocivos no ambiente portuário (poeira, ruído, agentes químicos) e à cobertura acidentária. O PPP — Perfil Profissiográfico Previdenciário — do trabalhador avulso portuário deve ser emitido pelo OGMO ou, na sua falta, pelo sindicato da categoria, nos termos do art. 68, § 8º, do Decreto 3.048/99.</w:t>
      </w:r>
    </w:p>
    <w:p>
      <w:pPr>
        <w:spacing w:before="260" w:after="80" w:line="240" w:lineRule="auto"/>
        <w:jc w:val="left"/>
        <w:keepNext/>
      </w:pPr>
      <w:r>
        <w:rPr>
          <w:rFonts w:ascii="EB Garamond" w:hAnsi="EB Garamond" w:cs="EB Garamond"/>
          <w:b/>
          <w:i w:val="0"/>
          <w:color w:val="3A3128"/>
          <w:sz w:val="25"/>
        </w:rPr>
        <w:t>2.1.5 O Segurado Especial</w:t>
      </w:r>
    </w:p>
    <w:p>
      <w:pPr>
        <w:spacing w:before="0" w:after="70" w:line="259" w:lineRule="auto"/>
        <w:jc w:val="both"/>
      </w:pPr>
      <w:r>
        <w:rPr>
          <w:rFonts w:ascii="EB Garamond" w:hAnsi="EB Garamond" w:cs="EB Garamond"/>
          <w:b w:val="0"/>
          <w:i w:val="0"/>
          <w:color w:val="201B16"/>
          <w:sz w:val="21"/>
        </w:rPr>
        <w:t>O segurado especial constitui a categoria mais singular do sistema previdenciário brasileiro e a que suscita o maior número de controvérsias doutrinárias e jurisprudenciais. O art. 11, inciso VII, da Lei 8.213/91, com a redação dada pela Lei n. 11.718, de 20 de junho de 2008, define-o como a pessoa física residente no imóvel rural ou em aglomerado urbano ou rural próximo a ele que, individualmente ou em regime de economia familiar, ainda que com o auxílio eventual de terceiros, exerce atividade na condição de: (a) produtor agropecuário em área de até quatro módulos fiscais, seringueiro ou extrativista vegetal; (b) pescador artesanal ou assemelhado; (c) cônjuge, companheiro ou filho maior de 16 anos que comprovadamente trabalhe com o grupo familiar.</w:t>
      </w:r>
    </w:p>
    <w:p>
      <w:pPr>
        <w:spacing w:before="0" w:after="70" w:line="259" w:lineRule="auto"/>
        <w:ind w:firstLine="238"/>
        <w:jc w:val="both"/>
      </w:pPr>
      <w:r>
        <w:rPr>
          <w:rFonts w:ascii="EB Garamond" w:hAnsi="EB Garamond" w:cs="EB Garamond"/>
          <w:b w:val="0"/>
          <w:i w:val="0"/>
          <w:color w:val="201B16"/>
          <w:sz w:val="21"/>
        </w:rPr>
        <w:t>A Constituição Federal, no art. 195, § 8º, prevê contribuição diferenciada para esses trabalhadores — incidente sobre o resultado da comercialização da produção —, reconhecendo as peculiaridades de quem faz da atividade laboral em pequenas propriedades o instrumento de sustento da família. Todos os membros do grupo familiar que trabalham em regime de economia familiar são segurados especiais e, nessa condição, têm direito à cobertura previdenciária prevista no art. 39 da Lei 8.213/91, com renda mensal no valor de um salário mínimo: aposentadoria por idade, aposentadoria por incapacidade permanente, auxílio por incapacidade temporária, auxílio-acidente (a partir da Lei 12.873/2013), auxílio-reclusão e pensão por morte. A segurada especial tem direito ao salário-maternidade com renda de um salário mínimo.</w:t>
      </w:r>
    </w:p>
    <w:p>
      <w:pPr>
        <w:spacing w:before="0" w:after="70" w:line="259" w:lineRule="auto"/>
        <w:ind w:firstLine="238"/>
        <w:jc w:val="both"/>
      </w:pPr>
      <w:r>
        <w:rPr>
          <w:rFonts w:ascii="EB Garamond" w:hAnsi="EB Garamond" w:cs="EB Garamond"/>
          <w:b w:val="0"/>
          <w:i w:val="0"/>
          <w:color w:val="201B16"/>
          <w:sz w:val="21"/>
        </w:rPr>
      </w:r>
      <w:r>
        <w:rPr>
          <w:rFonts w:ascii="EB Garamond" w:hAnsi="EB Garamond" w:cs="EB Garamond"/>
          <w:b/>
          <w:i w:val="0"/>
          <w:color w:val="201B16"/>
          <w:sz w:val="21"/>
        </w:rPr>
        <w:t>O regime de economia familiar</w:t>
      </w:r>
      <w:r>
        <w:rPr>
          <w:rFonts w:ascii="EB Garamond" w:hAnsi="EB Garamond" w:cs="EB Garamond"/>
          <w:b w:val="0"/>
          <w:i w:val="0"/>
          <w:color w:val="201B16"/>
          <w:sz w:val="21"/>
        </w:rPr>
        <w:t>, previsto no § 1º do art. 11, caracteriza-se pela atividade em que o trabalho dos membros da família é indispensável à própria subsistência e ao desenvolvimento socioeconômico do núcleo familiar, exercido em condições de mútua dependência e colaboração, sem a utilização de empregados permanentes. O trabalho em mútua dependência significa que todos os membros exercem a atividade para garantir a subsistência do grupo; para serem considerados segurados especiais, devem ter participação ativa nas atividades rurais. A contratação de empregados permanentes descaracteriza o regime. A lei admite, contudo, o auxílio eventual de terceiros, definido pelo Decreto 3.048/99 (art. 9º, § 6º) como aquele exercido ocasionalmente, em condições de mútua colaboração, sem subordinação nem remuneração. A Lei 11.718/2008 e a Lei 12.873/2013 abrandaram essa regra, passando a admitir a contratação de empregados por prazo determinado, ou de diaristas, em épocas de safra, desde que o número de contratados não ultrapasse 120 pessoas-dia no ano civil, em períodos corridos ou intercalados (art. 11, § 8º).</w:t>
      </w:r>
    </w:p>
    <w:p>
      <w:pPr>
        <w:spacing w:before="0" w:after="70" w:line="259" w:lineRule="auto"/>
        <w:ind w:firstLine="238"/>
        <w:jc w:val="both"/>
      </w:pPr>
      <w:r>
        <w:rPr>
          <w:rFonts w:ascii="EB Garamond" w:hAnsi="EB Garamond" w:cs="EB Garamond"/>
          <w:b w:val="0"/>
          <w:i w:val="0"/>
          <w:color w:val="201B16"/>
          <w:sz w:val="21"/>
        </w:rPr>
      </w:r>
      <w:r>
        <w:rPr>
          <w:rFonts w:ascii="EB Garamond" w:hAnsi="EB Garamond" w:cs="EB Garamond"/>
          <w:b/>
          <w:i w:val="0"/>
          <w:color w:val="201B16"/>
          <w:sz w:val="21"/>
        </w:rPr>
        <w:t>O limite de quatro módulos fiscais</w:t>
      </w:r>
      <w:r>
        <w:rPr>
          <w:rFonts w:ascii="EB Garamond" w:hAnsi="EB Garamond" w:cs="EB Garamond"/>
          <w:b w:val="0"/>
          <w:i w:val="0"/>
          <w:color w:val="201B16"/>
          <w:sz w:val="21"/>
        </w:rPr>
        <w:t xml:space="preserve"> foi estabelecido pela Lei 11.718/2008. O conceito de módulo fiscal é definido no art. 50 do Estatuto da Terra (Lei n. 4.504/64), variando por município conforme indicadores econômicos e de produtividade, não havendo valor fixo nacional. A fixação desse limite gerou intensa controvérsia jurisprudencial. O Superior Tribunal de Justiça, no julgamento do Tema Repetitivo 1115 (REsp 1.947.404/RS, rel. Min. Benedito Gonçalves, j. 23/11/2022), firmou a tese de que "a propriedade de área superior a 4 módulos fiscais não descaracteriza, por si só, o regime de economia familiar, desde que comprovados os demais requisitos legais para a concessão da aposentadoria por idade rural". O limite legal funciona, portanto, como elemento indiciário, e não como causa automática de exclusão. No mesmo sentido, a Súmula 30 da TNU já dispunha que o fato de o imóvel ser superior ao módulo rural não afasta, por si só, a qualificação como segurado especial.</w:t>
      </w:r>
    </w:p>
    <w:p>
      <w:pPr>
        <w:spacing w:before="0" w:after="70" w:line="259" w:lineRule="auto"/>
        <w:ind w:firstLine="238"/>
        <w:jc w:val="both"/>
      </w:pPr>
      <w:r>
        <w:rPr>
          <w:rFonts w:ascii="EB Garamond" w:hAnsi="EB Garamond" w:cs="EB Garamond"/>
          <w:b w:val="0"/>
          <w:i w:val="0"/>
          <w:color w:val="201B16"/>
          <w:sz w:val="21"/>
        </w:rPr>
      </w:r>
      <w:r>
        <w:rPr>
          <w:rFonts w:ascii="EB Garamond" w:hAnsi="EB Garamond" w:cs="EB Garamond"/>
          <w:b/>
          <w:i w:val="0"/>
          <w:color w:val="201B16"/>
          <w:sz w:val="21"/>
        </w:rPr>
        <w:t>As atividades que não descaracterizam a condição de segurado especial</w:t>
      </w:r>
      <w:r>
        <w:rPr>
          <w:rFonts w:ascii="EB Garamond" w:hAnsi="EB Garamond" w:cs="EB Garamond"/>
          <w:b w:val="0"/>
          <w:i w:val="0"/>
          <w:color w:val="201B16"/>
          <w:sz w:val="21"/>
        </w:rPr>
        <w:t xml:space="preserve"> estão previstas no § 8º do art. 11 da Lei 8.213/91 e incluem: a outorga de parceria, meação ou comodato de até 50% de imóvel rural cuja área total não supere 4 módulos fiscais; a exploração de atividade turística da propriedade rural por não mais de 120 dias ao ano; a participação em plano de previdência complementar de entidade classista; a condição de beneficiário de programa assistencial oficial; a utilização de processo de beneficiamento ou industrialização artesanal sem incidência de IPI; a associação em cooperativa agropecuária ou de crédito rural; e a participação em sociedade empresária agrícola de pequeno porte. O § 9º enumera rendimentos que o segurado especial pode auferir sem perda do enquadramento, como exercício de atividade remunerada no período de entressafra ou defeso (até 120 dias no ano civil), mandato de vereador ou de dirigente sindical rural, e atividade artesanal ou artística de valor inferior ao menor benefício de prestação continuada.</w:t>
      </w:r>
    </w:p>
    <w:tbl>
      <w:tblPr>
        <w:tblW w:type="auto" w:w="0"/>
        <w:jc w:val="center"/>
        <w:tblLayout w:type="autofit"/>
        <w:tblLook w:firstColumn="1" w:firstRow="1" w:lastColumn="0" w:lastRow="0" w:noHBand="0" w:noVBand="1" w:val="04A0"/>
        <w:tblW w:w="5000" w:type="pct"/>
      </w:tblPr>
      <w:tblGrid>
        <w:gridCol w:w="6350"/>
      </w:tblGrid>
      <w:t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rPr>
              <w:t>JURISPRUDÊNCIA EM DESTAQUE</w:t>
            </w:r>
          </w:p>
          <w:p>
            <w:pPr>
              <w:spacing w:before="0" w:after="60" w:line="247" w:lineRule="auto"/>
              <w:jc w:val="both"/>
            </w:pPr>
            <w:r>
              <w:rPr>
                <w:rFonts w:ascii="EB Garamond" w:hAnsi="EB Garamond" w:cs="EB Garamond"/>
                <w:b w:val="0"/>
                <w:i w:val="0"/>
                <w:color w:val="201B16"/>
                <w:sz w:val="19"/>
              </w:rPr>
              <w:t>O STJ, nos Temas Repetitivos 532 e 533 (REsp 1.304.479/SP, rel. Min. Herman Benjamin, j. 10/10/2012), fixou duas teses complementares fundamentais para a prática nos JEFs: a primeira, de que "o trabalho urbano de um dos membros do grupo familiar não descaracteriza, por si só, os demais integrantes como segurados especiais"; a segunda, de que não é possível a extensão de prova material de um membro da família a outro quando aquele passou a exercer atividade urbana. A conjugação dessas teses exige que o magistrado analise caso a caso a dispensabilidade do trabalho rural para a subsistência do grupo familiar, sem automatismos. A TNU consolidou esse entendimento na Súmula 41 e o complementou com a Súmula 46, segundo a qual o exercício de atividade urbana intercalada não impede a concessão de benefício previdenciário de trabalhador rural.</w:t>
            </w:r>
          </w:p>
        </w:tc>
      </w:tr>
    </w:tbl>
    <w:p>
      <w:pPr>
        <w:spacing w:before="0" w:after="80" w:line="240" w:lineRule="auto"/>
      </w:pPr>
    </w:p>
    <w:p>
      <w:pPr>
        <w:spacing w:before="0" w:after="70" w:line="259" w:lineRule="auto"/>
        <w:jc w:val="both"/>
      </w:pPr>
      <w:r>
        <w:rPr>
          <w:rFonts w:ascii="EB Garamond" w:hAnsi="EB Garamond" w:cs="EB Garamond"/>
          <w:b w:val="0"/>
          <w:i w:val="0"/>
          <w:color w:val="201B16"/>
          <w:sz w:val="21"/>
        </w:rPr>
        <w:t>A prova da atividade rural do segurado especial constitui exigência incontornável e fonte permanente de litígios nos JEFs. A Súmula 149/STJ exige início de prova material, não admitindo prova exclusivamente testemunhal. O STJ, no Tema Repetitivo 554 (REsp 1.321.493/PR, j. 28/08/2013), mitigou a rigidez dessa exigência: a prova material sobre parte do período pretendido, complementada por prova testemunhal idônea e robusta, é suficiente.</w:t>
      </w:r>
    </w:p>
    <w:tbl>
      <w:tblPr>
        <w:tblW w:type="auto" w:w="0"/>
        <w:jc w:val="center"/>
        <w:tblLayout w:type="autofit"/>
        <w:tblLook w:firstColumn="1" w:firstRow="1" w:lastColumn="0" w:lastRow="0" w:noHBand="0" w:noVBand="1" w:val="04A0"/>
        <w:tblW w:w="5000" w:type="pct"/>
      </w:tblPr>
      <w:tblGrid>
        <w:gridCol w:w="6350"/>
      </w:tblGrid>
      <w:t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rPr>
              <w:t>NA PRÁTICA</w:t>
            </w:r>
          </w:p>
          <w:p>
            <w:pPr>
              <w:spacing w:before="0" w:after="60" w:line="247" w:lineRule="auto"/>
              <w:jc w:val="both"/>
            </w:pPr>
            <w:r>
              <w:rPr>
                <w:rFonts w:ascii="EB Garamond" w:hAnsi="EB Garamond" w:cs="EB Garamond"/>
                <w:b w:val="0"/>
                <w:i w:val="0"/>
                <w:color w:val="201B16"/>
                <w:sz w:val="19"/>
              </w:rPr>
              <w:t>Na instrução de processos envolvendo segurado especial nos JEFs, documentos como notas fiscais de produtor rural, cadastro no INCRA, contratos de parceria ou arrendamento, Declaração de Aptidão ao PRONAF, CNIS com vínculos rurais, certidão de casamento com profissão "lavrador", título de eleitor com zona rural e prontuários de saúde de postos rurais constituem início de prova material. Para o segurado especial que deseja benefícios com renda mensal superior a um salário mínimo, ou aposentadoria por tempo de contribuição nas regras de transição, é necessário contribuir adicionalmente como contribuinte individual ou facultativo, na forma do art. 39, II, da Lei 8.213/91. Essa contribuição complementar não descaracteriza a condição de segurado especial.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rPr>
        <w:t>2.2 Segurado Facultativo</w:t>
      </w:r>
    </w:p>
    <w:p>
      <w:pPr>
        <w:spacing w:before="0" w:after="70" w:line="259" w:lineRule="auto"/>
        <w:jc w:val="both"/>
      </w:pPr>
      <w:r>
        <w:rPr>
          <w:rFonts w:ascii="EB Garamond" w:hAnsi="EB Garamond" w:cs="EB Garamond"/>
          <w:b w:val="0"/>
          <w:i w:val="0"/>
          <w:color w:val="201B16"/>
          <w:sz w:val="21"/>
        </w:rPr>
        <w:t>O art. 13 da Lei 8.213/91 estabelece que é segurado facultativo o maior de 14 anos de idade que se filiar ao RGPS mediante contribuição, desde que não incluído nas categorias de segurado obrigatório. Trata-se da única categoria cuja filiação não é automática — depende da manifestação de vontade do interessado, concretizada pela inscrição acompanhada do primeiro recolhimento. O enquadramento como segurado facultativo é residual: somente pode filiar-se nessa categoria quem não exerce atividade remunerada que o enquadre como segurado obrigatório do RGPS ou de Regime Próprio de Previdência Social.</w:t>
      </w:r>
    </w:p>
    <w:p>
      <w:pPr>
        <w:spacing w:before="0" w:after="70" w:line="259" w:lineRule="auto"/>
        <w:ind w:firstLine="238"/>
        <w:jc w:val="both"/>
      </w:pPr>
      <w:r>
        <w:rPr>
          <w:rFonts w:ascii="EB Garamond" w:hAnsi="EB Garamond" w:cs="EB Garamond"/>
          <w:b w:val="0"/>
          <w:i w:val="0"/>
          <w:color w:val="201B16"/>
          <w:sz w:val="21"/>
        </w:rPr>
        <w:t>Existe, nesse ponto, uma divergência entre a lei e o regulamento que merece registro. O Decreto n. 3.048, de 6 de maio de 1999, em seu art. 11, eleva a idade mínima para 16 anos, com fundamento na Emenda Constitucional n. 20/1998, que proibiu o trabalho de menores de 16 anos, salvo na condição de aprendiz a partir dos 14. Prevalece na doutrina majoritária que a disposição regulamentar está correta, pois a EC 20/98 alterou o art. 7º, XXXIII, da Constituição. A vedação constitucional ao trabalho de menores de 16 anos afeta reflexamente a idade mínima para filiação ao RGPS, já que o segurado facultativo se filia precisamente por não exercer atividade remunerada que lhe confira enquadramento obrigatório. Há, contudo, corrente minoritária que sustenta a prevalência da lei (14 anos), argumentando que a vedação constitucional se dirige ao trabalho e não à proteção previdenciária voluntária. Na prática administrativa, o INSS aplica a idade de 16 anos.</w:t>
      </w:r>
    </w:p>
    <w:p>
      <w:pPr>
        <w:spacing w:before="0" w:after="70" w:line="259" w:lineRule="auto"/>
        <w:ind w:firstLine="238"/>
        <w:jc w:val="both"/>
      </w:pPr>
      <w:r>
        <w:rPr>
          <w:rFonts w:ascii="EB Garamond" w:hAnsi="EB Garamond" w:cs="EB Garamond"/>
          <w:b w:val="0"/>
          <w:i w:val="0"/>
          <w:color w:val="201B16"/>
          <w:sz w:val="21"/>
        </w:rPr>
        <w:t>O art. 201, § 5º, da Constituição Federal, com a redação dada pela EC 103/2019, veda expressamente a filiação ao RGPS, na qualidade de segurado facultativo, de pessoa participante de regime próprio de previdência social. Essa vedação impede que o servidor público vinculado a RPPS opte por contribuir voluntariamente ao RGPS, salvo quando exerce efetivamente atividade remunerada abrangida pelo regime geral (hipótese em que será segurado obrigatório). O INSS tem entendido que até mesmo o aposentado por RPPS não pode se filiar como facultativo do RGPS (art. 107, § 5º, II, da IN PRES/INSS 128/2022).</w:t>
      </w:r>
    </w:p>
    <w:p>
      <w:pPr>
        <w:spacing w:before="0" w:after="70" w:line="259" w:lineRule="auto"/>
        <w:ind w:firstLine="238"/>
        <w:jc w:val="both"/>
      </w:pPr>
      <w:r>
        <w:rPr>
          <w:rFonts w:ascii="EB Garamond" w:hAnsi="EB Garamond" w:cs="EB Garamond"/>
          <w:b w:val="0"/>
          <w:i w:val="0"/>
          <w:color w:val="201B16"/>
          <w:sz w:val="21"/>
        </w:rPr>
        <w:t>São exemplos típicos de segurados facultativos a dona de casa, o síndico de condomínio não remunerado, o estudante (a partir de 16 anos), o brasileiro que acompanha cônjuge que presta serviço no exterior, o ex-segurado obrigatório que cessou suas atividades, o bolsista em tempo integral de pesquisa ou pós-graduação, o preso que não exerce atividade remunerada e o brasileiro residente no exterior. O estagiário que presta serviço em conformidade com a Lei n. 11.788/2008 pode inscrever-se como facultativo (art. 12, § 2º, da Lei 11.788/2008). Igualmente, o segurado recolhido à prisão sob regime fechado ou semiaberto que presta serviço dentro ou fora da unidade penal pode filiar-se como facultativo (art. 11, § 1º, XI, do Decreto 3.048/99).</w:t>
      </w:r>
    </w:p>
    <w:p>
      <w:pPr>
        <w:spacing w:before="0" w:after="70" w:line="259" w:lineRule="auto"/>
        <w:ind w:firstLine="238"/>
        <w:jc w:val="both"/>
      </w:pPr>
      <w:r>
        <w:rPr>
          <w:rFonts w:ascii="EB Garamond" w:hAnsi="EB Garamond" w:cs="EB Garamond"/>
          <w:b w:val="0"/>
          <w:i w:val="0"/>
          <w:color w:val="201B16"/>
          <w:sz w:val="21"/>
        </w:rPr>
        <w:t>Merece destaque o segurado facultativo de baixa renda — dona de casa ou pessoa dedicada ao trabalho doméstico no âmbito da própria residência, sem renda própria, inscrita no CadÚnico, com renda familiar de até dois salários mínimos —, que contribui com alíquota reduzida de 5% sobre o salário mínimo (Lei 12.470/2011 c/c art. 21 da Lei 8.212/91). Existe também a possibilidade de contribuição com alíquota de 11% sobre o salário mínimo para o segurado facultativo que opte pela exclusão do direito à aposentadoria por tempo de contribuição. Em ambos os casos, se posteriormente desejar computar o período para aposentadoria por tempo de contribuição ou para contagem recíproca, deverá complementar a contribuição até a alíquota integral.</w:t>
      </w:r>
    </w:p>
    <w:p>
      <w:pPr>
        <w:spacing w:before="360" w:after="140" w:line="240" w:lineRule="auto"/>
        <w:jc w:val="left"/>
        <w:pBdr>
          <w:bottom w:val="single" w:sz="8" w:space="4" w:color="B89B5E"/>
        </w:pBdr>
        <w:keepNext/>
      </w:pPr>
      <w:r>
        <w:rPr>
          <w:rFonts w:ascii="EB Garamond" w:hAnsi="EB Garamond" w:cs="EB Garamond"/>
          <w:b/>
          <w:i w:val="0"/>
          <w:color w:val="3A3128"/>
          <w:sz w:val="31"/>
        </w:rPr>
        <w:t>2.3 Filiação e Inscrição</w:t>
      </w:r>
    </w:p>
    <w:p>
      <w:pPr>
        <w:spacing w:before="0" w:after="70" w:line="259" w:lineRule="auto"/>
        <w:jc w:val="both"/>
      </w:pPr>
      <w:r>
        <w:rPr>
          <w:rFonts w:ascii="EB Garamond" w:hAnsi="EB Garamond" w:cs="EB Garamond"/>
          <w:b w:val="0"/>
          <w:i w:val="0"/>
          <w:color w:val="201B16"/>
          <w:sz w:val="21"/>
        </w:rPr>
        <w:t>Cumpre distinguir com precisão os conceitos de filiação e inscrição, cuja confusão gera consequências práticas relevantes. A filiação é o vínculo jurídico que se estabelece entre o segurado e a Previdência Social, gerando direitos e obrigações recíprocas. A filiação é o marco inicial da história previdenciária do segurado; dela decorrem a qualidade de segurado, a obrigação contributiva e o acesso potencial às prestações. Para o segurado obrigatório, a filiação é automática — decorre do exercício de atividade remunerada, independentemente de qualquer manifestação de vontade ou ato administrativo. Fala-se em automaticidade da filiação: o simples início no emprego ou a prestação de serviços torna a pessoa segurada do RGPS.</w:t>
      </w:r>
    </w:p>
    <w:p>
      <w:pPr>
        <w:spacing w:before="0" w:after="70" w:line="259" w:lineRule="auto"/>
        <w:ind w:firstLine="238"/>
        <w:jc w:val="both"/>
      </w:pPr>
      <w:r>
        <w:rPr>
          <w:rFonts w:ascii="EB Garamond" w:hAnsi="EB Garamond" w:cs="EB Garamond"/>
          <w:b w:val="0"/>
          <w:i w:val="0"/>
          <w:color w:val="201B16"/>
          <w:sz w:val="21"/>
        </w:rPr>
        <w:t>Para o segurado facultativo, a filiação ocorre com a inscrição acompanhada do primeiro recolhimento — são necessários ambos os atos (inscrição + pagamento), sob pena de inexistir o vínculo. Trata-se de ato voluntário e constitutivo.</w:t>
      </w:r>
    </w:p>
    <w:p>
      <w:pPr>
        <w:spacing w:before="0" w:after="70" w:line="259" w:lineRule="auto"/>
        <w:ind w:firstLine="238"/>
        <w:jc w:val="both"/>
      </w:pPr>
      <w:r>
        <w:rPr>
          <w:rFonts w:ascii="EB Garamond" w:hAnsi="EB Garamond" w:cs="EB Garamond"/>
          <w:b w:val="0"/>
          <w:i w:val="0"/>
          <w:color w:val="201B16"/>
          <w:sz w:val="21"/>
        </w:rPr>
        <w:t>A inscrição, por sua vez, é o ato formal pelo qual o segurado é cadastrado no sistema previdenciário. Conforme o art. 18 do Decreto 3.048/99, "considera-se inscrição de segurado para os efeitos da previdência social o ato pelo qual o segurado é cadastrado no RGPS, por meio da comprovação dos dados pessoais". Para o segurado obrigatório, a inscrição é meramente declaratória — reconhece perante o INSS uma condição já existente pela automaticidade da filiação. Para o segurado facultativo, a inscrição é constitutiva — sem ela, não há filiação.</w:t>
      </w:r>
    </w:p>
    <w:p>
      <w:pPr>
        <w:spacing w:before="0" w:after="70" w:line="259" w:lineRule="auto"/>
        <w:ind w:firstLine="238"/>
        <w:jc w:val="both"/>
      </w:pPr>
      <w:r>
        <w:rPr>
          <w:rFonts w:ascii="EB Garamond" w:hAnsi="EB Garamond" w:cs="EB Garamond"/>
          <w:b w:val="0"/>
          <w:i w:val="0"/>
          <w:color w:val="201B16"/>
          <w:sz w:val="21"/>
        </w:rPr>
        <w:t>Há controvérsia doutrinária em relação ao contribuinte individual que é responsável pelo recolhimento de sua própria contribuição. Uma corrente, capitaneada por Santos (2025), sustenta que, nesse caso, a filiação somente se perfectibiliza com a inscrição e o recolhimento da primeira contribuição — à semelhança do segurado facultativo —, pois sem a contribuição efetiva não se estabelece o vínculo obrigacional recíproco. Outra corrente, majoritária, mantém que a filiação é automática pelo exercício da atividade remunerada, mas que a inscrição e o recolhimento são condições para a eficácia dos direitos previdenciários. A questão possui relevância prática: se a filiação do contribuinte individual depende do recolhimento, o período de atividade anterior ao primeiro pagamento não gera efeitos previdenciários; se é automática pelo exercício da atividade, gera ao menos a obrigação contributiva, podendo ser reconhecida judicialmente.</w:t>
      </w:r>
    </w:p>
    <w:p>
      <w:pPr>
        <w:spacing w:before="0" w:after="70" w:line="259" w:lineRule="auto"/>
        <w:ind w:firstLine="238"/>
        <w:jc w:val="both"/>
      </w:pPr>
      <w:r>
        <w:rPr>
          <w:rFonts w:ascii="EB Garamond" w:hAnsi="EB Garamond" w:cs="EB Garamond"/>
          <w:b w:val="0"/>
          <w:i w:val="0"/>
          <w:color w:val="201B16"/>
          <w:sz w:val="21"/>
        </w:rPr>
        <w:t>O Decreto 3.048/99, em seu art. 18, § 5º-B, incluído pelo Decreto 10.410/2020, veda expressamente a inscrição post mortem de segurado contribuinte individual e de segurado facultativo. Essa vedação impede que dependentes regularizem a situação previdenciária do falecido após o óbito para fins de obtenção de pensão por morte. A Súmula 52 da TNU reforça: "Para fins de concessão de pensão por morte, é incabível a regularização do recolhimento de contribuições de segurado contribuinte individual posteriormente a seu óbito, exceto quando as contribuições devam ser arrecadadas por empresa tomadora de serviços". A exceção é significativa: quando a empresa tomadora era responsável tributária pelo recolhimento, a filiação decorre do exercício da atividade e não pode ser prejudicada pela inadimplência do responsável tributário.</w:t>
      </w:r>
    </w:p>
    <w:p>
      <w:pPr>
        <w:spacing w:before="0" w:after="70" w:line="259" w:lineRule="auto"/>
        <w:ind w:firstLine="238"/>
        <w:jc w:val="both"/>
      </w:pPr>
      <w:r>
        <w:rPr>
          <w:rFonts w:ascii="EB Garamond" w:hAnsi="EB Garamond" w:cs="EB Garamond"/>
          <w:b w:val="0"/>
          <w:i w:val="0"/>
          <w:color w:val="201B16"/>
          <w:sz w:val="21"/>
        </w:rPr>
        <w:t>O Cadastro Nacional de Informações Sociais (CNIS), instituído pela Lei n. 10.403, de 10 de janeiro de 2002, e regulamentado pelo Decreto 3.048/99, constitui o principal instrumento de registro da vida previdenciária do segurado. O CNIS consolida informações sobre vínculos empregatícios, remunerações, contribuições recolhidas e períodos de filiação, alimentado por dados provenientes da GFIP (Guia de Recolhimento do FGTS e de Informações à Previdência Social), do eSocial e de outros sistemas. O art. 29-A da Lei 8.213/91 confere ao CNIS presunção de veracidade relativa — juris tantum —, admitindo prova em contrário. Na prática dos JEFs, o extrato do CNIS é documento de consulta obrigatória na instrução de qualquer demanda previdenciária, pois permite verificar a existência de vínculos, a regularidade dos recolhimentos e a eventual existência de lacunas contributivas.</w:t>
      </w:r>
    </w:p>
    <w:p>
      <w:pPr>
        <w:spacing w:before="0" w:after="70" w:line="259" w:lineRule="auto"/>
        <w:ind w:firstLine="238"/>
        <w:jc w:val="both"/>
      </w:pPr>
      <w:r>
        <w:rPr>
          <w:rFonts w:ascii="EB Garamond" w:hAnsi="EB Garamond" w:cs="EB Garamond"/>
          <w:b w:val="0"/>
          <w:i w:val="0"/>
          <w:color w:val="201B16"/>
          <w:sz w:val="21"/>
        </w:rPr>
        <w:t>A força probante do CNIS, contudo, não é absoluta. Lacunas nos registros — especialmente em períodos anteriores à informatização plena do sistema, ocorrida a partir de 1999 — não significam necessariamente ausência de filiação ou de recolhimento. A jurisprudência consolidada admite que o segurado comprove vínculos e contribuições por outros meios de prova, incluindo anotações na CTPS, carnês de recolhimento (GPS), contracheques e declarações de empregadores. A Súmula 75 da TNU estabelece que "a Carteira de Trabalho e Previdência Social é documento hábil para comprovar os salários de contribuição, sendo considerados presumidos os recolhimentos das contribuições". Para o contribuinte individual cujas contribuições não constam do CNIS, a regularização pode ser feita administrativamente mediante apresentação dos comprovantes de pagamento.</w:t>
      </w:r>
    </w:p>
    <w:p>
      <w:pPr>
        <w:spacing w:before="0" w:after="70" w:line="259" w:lineRule="auto"/>
        <w:ind w:firstLine="238"/>
        <w:jc w:val="both"/>
      </w:pPr>
      <w:r>
        <w:rPr>
          <w:rFonts w:ascii="EB Garamond" w:hAnsi="EB Garamond" w:cs="EB Garamond"/>
          <w:b w:val="0"/>
          <w:i w:val="0"/>
          <w:color w:val="201B16"/>
          <w:sz w:val="21"/>
        </w:rPr>
        <w:t>O art. 12 da Lei 8.213/91 estabelece a regra de exclusão: servidores civis ocupantes de cargo efetivo e militares amparados por regime próprio são excluídos do RGPS. Há, contudo, uma exceção relevante: o exercício concomitante de atividade abrangida pelo RGPS torna o servidor segurado obrigatório em relação a essa atividade, mantendo dupla filiação., "se a relação jurídica do segurado com a Previdência Social é direta ou imediata, o dependente vincula-se à Previdência Social de modo indireto, por intermédio do vínculo de dependência econômica que mantém com o segurado".</w:t>
      </w:r>
    </w:p>
    <w:p>
      <w:pPr>
        <w:spacing w:before="360" w:after="140" w:line="240" w:lineRule="auto"/>
        <w:jc w:val="left"/>
        <w:pBdr>
          <w:bottom w:val="single" w:sz="8" w:space="4" w:color="B89B5E"/>
        </w:pBdr>
        <w:keepNext/>
      </w:pPr>
      <w:r>
        <w:rPr>
          <w:rFonts w:ascii="EB Garamond" w:hAnsi="EB Garamond" w:cs="EB Garamond"/>
          <w:b/>
          <w:i w:val="0"/>
          <w:color w:val="3A3128"/>
          <w:sz w:val="31"/>
        </w:rPr>
        <w:t>2.4 Dependentes</w:t>
      </w:r>
    </w:p>
    <w:p>
      <w:pPr>
        <w:spacing w:before="0" w:after="70" w:line="259" w:lineRule="auto"/>
        <w:jc w:val="both"/>
      </w:pPr>
      <w:r>
        <w:rPr>
          <w:rFonts w:ascii="EB Garamond" w:hAnsi="EB Garamond" w:cs="EB Garamond"/>
          <w:b w:val="0"/>
          <w:i w:val="0"/>
          <w:color w:val="201B16"/>
          <w:sz w:val="21"/>
        </w:rPr>
        <w:t>A legislação previdenciária organiza os dependentes em três classes hierarquizadas, previstas no art. 16 da Lei 8.213/91. A existência de dependente de qualquer das classes exclui do direito às prestações os das classes seguintes — regra que impõe uma ordem de preferência absoluta. O dependente é uma figura que não possui vínculo de filiação em sentido contributivo com a previdência social: sua relação se estabelece por intermédio do segurado, com o qual mantém liame de parentesco ou afinidade. Nessa relação, o segurado é denominado "instituidor" — termo técnico largamente utilizado na prática previdenciária. Os dependentes fazem jus a pensão por morte, auxílio-reclusão, serviço social e reabilitação profissional.</w:t>
      </w:r>
    </w:p>
    <w:p>
      <w:pPr>
        <w:spacing w:before="260" w:after="80" w:line="240" w:lineRule="auto"/>
        <w:jc w:val="left"/>
        <w:keepNext/>
      </w:pPr>
      <w:r>
        <w:rPr>
          <w:rFonts w:ascii="EB Garamond" w:hAnsi="EB Garamond" w:cs="EB Garamond"/>
          <w:b/>
          <w:i w:val="0"/>
          <w:color w:val="3A3128"/>
          <w:sz w:val="25"/>
        </w:rPr>
        <w:t>2.4.1 Classe I — Cônjuge, Companheiro e Filhos</w:t>
      </w:r>
    </w:p>
    <w:p>
      <w:pPr>
        <w:spacing w:before="0" w:after="70" w:line="259" w:lineRule="auto"/>
        <w:jc w:val="both"/>
      </w:pPr>
      <w:r>
        <w:rPr>
          <w:rFonts w:ascii="EB Garamond" w:hAnsi="EB Garamond" w:cs="EB Garamond"/>
          <w:b w:val="0"/>
          <w:i w:val="0"/>
          <w:color w:val="201B16"/>
          <w:sz w:val="21"/>
        </w:rPr>
        <w:t>A primeira classe compreende o cônjuge, a companheira, o companheiro e o filho não emancipado, de qualquer condição, menor de 21 anos ou inválido ou que tenha deficiência intelectual ou mental ou deficiência grave. A dependência econômica desses beneficiários é presumida, dispensando comprovação. A doutrina majoritária sustenta que essa presunção, no caso do cônjuge e do companheiro, é de natureza absoluta — juris et de jure —, não admitindo prova em contrário. A Turma Nacional de Uniformização tem reiteradamente acolhido esse entendimento.</w:t>
      </w:r>
    </w:p>
    <w:p>
      <w:pPr>
        <w:spacing w:before="0" w:after="70" w:line="259" w:lineRule="auto"/>
        <w:ind w:firstLine="238"/>
        <w:jc w:val="both"/>
      </w:pPr>
      <w:r>
        <w:rPr>
          <w:rFonts w:ascii="EB Garamond" w:hAnsi="EB Garamond" w:cs="EB Garamond"/>
          <w:b w:val="0"/>
          <w:i w:val="0"/>
          <w:color w:val="201B16"/>
          <w:sz w:val="21"/>
        </w:rPr>
      </w:r>
      <w:r>
        <w:rPr>
          <w:rFonts w:ascii="EB Garamond" w:hAnsi="EB Garamond" w:cs="EB Garamond"/>
          <w:b/>
          <w:i w:val="0"/>
          <w:color w:val="201B16"/>
          <w:sz w:val="21"/>
        </w:rPr>
        <w:t>A união estável</w:t>
      </w:r>
      <w:r>
        <w:rPr>
          <w:rFonts w:ascii="EB Garamond" w:hAnsi="EB Garamond" w:cs="EB Garamond"/>
          <w:b w:val="0"/>
          <w:i w:val="0"/>
          <w:color w:val="201B16"/>
          <w:sz w:val="21"/>
        </w:rPr>
        <w:t xml:space="preserve"> segue a definição do § 3º do art. 226 da Constituição Federal. Em decisão histórica, o Supremo Tribunal Federal, no julgamento conjunto da ADI 4.277 e da ADPF 132/RJ (rel. Min. Ayres Britto, j. 05/05/2011), reconheceu por unanimidade a união estável entre pessoas do mesmo sexo como entidade familiar, com aplicação do mesmo regime jurídico da união estável heteroafetiva. O companheiro homoafetivo integra plenamente a classe I de dependentes, com presunção de dependência econômica e direito a todos os benefícios. O INSS regulamentou o reconhecimento administrativo por meio da Instrução Normativa 128/2022.</w:t>
      </w:r>
    </w:p>
    <w:tbl>
      <w:tblPr>
        <w:tblW w:type="auto" w:w="0"/>
        <w:jc w:val="center"/>
        <w:tblLayout w:type="autofit"/>
        <w:tblLook w:firstColumn="1" w:firstRow="1" w:lastColumn="0" w:lastRow="0" w:noHBand="0" w:noVBand="1" w:val="04A0"/>
        <w:tblW w:w="5000" w:type="pct"/>
      </w:tblPr>
      <w:tblGrid>
        <w:gridCol w:w="6350"/>
      </w:tblGrid>
      <w:t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rPr>
              <w:t>ATENÇÃO</w:t>
            </w:r>
          </w:p>
          <w:p>
            <w:pPr>
              <w:spacing w:before="0" w:after="60" w:line="247" w:lineRule="auto"/>
              <w:jc w:val="both"/>
            </w:pPr>
            <w:r>
              <w:rPr>
                <w:rFonts w:ascii="EB Garamond" w:hAnsi="EB Garamond" w:cs="EB Garamond"/>
                <w:b w:val="0"/>
                <w:i w:val="0"/>
                <w:color w:val="201B16"/>
                <w:sz w:val="19"/>
              </w:rPr>
              <w:t>A Lei n. 13.846, de 18 de junho de 2019 (conversão da MP 871/2019), acrescentou os §§ 5º e 6º ao art. 16 da Lei 8.213/91, passando a exigir início de prova material contemporânea dos fatos para comprovação de união estável e de dependência econômica. A prova deve ser produzida em período não superior a 24 meses anterior à data do óbito ou do recolhimento à prisão do segurado, não admitida a prova exclusivamente testemunhal, exceto em caso de força maior ou caso fortuito. A TNU ajustou sua Súmula 63 em 18/09/2025, restringindo a dispensa de prova material aos óbitos anteriores à MP 871/2019.</w:t>
            </w:r>
          </w:p>
        </w:tc>
      </w:tr>
    </w:tbl>
    <w:p>
      <w:pPr>
        <w:spacing w:before="0" w:after="80" w:line="240" w:lineRule="auto"/>
      </w:pPr>
    </w:p>
    <w:p>
      <w:pPr>
        <w:spacing w:before="0" w:after="70" w:line="259" w:lineRule="auto"/>
        <w:jc w:val="both"/>
      </w:pPr>
      <w:r>
        <w:rPr>
          <w:rFonts w:ascii="EB Garamond" w:hAnsi="EB Garamond" w:cs="EB Garamond"/>
          <w:b w:val="0"/>
          <w:i w:val="0"/>
          <w:color w:val="201B16"/>
          <w:sz w:val="21"/>
        </w:rPr>
        <w:t>A questão do concubinato impuro (união paralela ao casamento) é objeto de forte polêmica jurisprudencial. O STF, no julgamento do RE 1.045.273 pela sistemática da repercussão geral (Tema 529), confirmou o entendimento de que a concubina não pode dividir a pensão com a viúva. Havendo, porém, separação de fato, admite-se a união estável para fins previdenciários. O cônjuge divorciado ou separado judicialmente ou de fato que recebia pensão alimentícia concorre em igualdade de condições com os dependentes de primeira classe. A Súmula 336 do STJ vai além: "A mulher que renunciou aos alimentos na separação judicial tem direito à pensão previdenciária por morte do ex-marido, comprovada a necessidade econômica superveniente".</w:t>
      </w:r>
    </w:p>
    <w:p>
      <w:pPr>
        <w:spacing w:before="0" w:after="70" w:line="259" w:lineRule="auto"/>
        <w:ind w:firstLine="238"/>
        <w:jc w:val="both"/>
      </w:pPr>
      <w:r>
        <w:rPr>
          <w:rFonts w:ascii="EB Garamond" w:hAnsi="EB Garamond" w:cs="EB Garamond"/>
          <w:b w:val="0"/>
          <w:i w:val="0"/>
          <w:color w:val="201B16"/>
          <w:sz w:val="21"/>
        </w:rPr>
      </w:r>
      <w:r>
        <w:rPr>
          <w:rFonts w:ascii="EB Garamond" w:hAnsi="EB Garamond" w:cs="EB Garamond"/>
          <w:b/>
          <w:i w:val="0"/>
          <w:color w:val="201B16"/>
          <w:sz w:val="21"/>
        </w:rPr>
        <w:t>Quanto ao filho</w:t>
      </w:r>
      <w:r>
        <w:rPr>
          <w:rFonts w:ascii="EB Garamond" w:hAnsi="EB Garamond" w:cs="EB Garamond"/>
          <w:b w:val="0"/>
          <w:i w:val="0"/>
          <w:color w:val="201B16"/>
          <w:sz w:val="21"/>
        </w:rPr>
        <w:t>, é dependente até os 21 anos de idade, independentemente da frequência a curso universitário. A Súmula 37 da TNU é clara: "A pensão por morte, devida ao filho até os 21 anos de idade, não se prorroga pela pendência do curso universitário". O INSS somente admite como dependente o filho inválido se a invalidez surgiu até os 21 anos de idade; a jurisprudência, contudo, vem entendendo que basta a invalidez ter surgido antes do falecimento do instituidor. Se o dependente já recebia pensão por morte como menor e se torna inválido antes de completar 21 anos, o direito ao benefício perdura.</w:t>
      </w:r>
    </w:p>
    <w:p>
      <w:pPr>
        <w:spacing w:before="0" w:after="70" w:line="259" w:lineRule="auto"/>
        <w:ind w:firstLine="238"/>
        <w:jc w:val="both"/>
      </w:pPr>
      <w:r>
        <w:rPr>
          <w:rFonts w:ascii="EB Garamond" w:hAnsi="EB Garamond" w:cs="EB Garamond"/>
          <w:b w:val="0"/>
          <w:i w:val="0"/>
          <w:color w:val="201B16"/>
          <w:sz w:val="21"/>
        </w:rPr>
      </w:r>
      <w:r>
        <w:rPr>
          <w:rFonts w:ascii="EB Garamond" w:hAnsi="EB Garamond" w:cs="EB Garamond"/>
          <w:b/>
          <w:i w:val="0"/>
          <w:color w:val="201B16"/>
          <w:sz w:val="21"/>
        </w:rPr>
        <w:t>O enteado, o menor sob tutela e o menor sob guarda judicial</w:t>
      </w:r>
      <w:r>
        <w:rPr>
          <w:rFonts w:ascii="EB Garamond" w:hAnsi="EB Garamond" w:cs="EB Garamond"/>
          <w:b w:val="0"/>
          <w:i w:val="0"/>
          <w:color w:val="201B16"/>
          <w:sz w:val="21"/>
        </w:rPr>
        <w:t xml:space="preserve"> são equiparados a filho pelo § 2º do art. 16, mediante declaração do segurado e comprovação da dependência econômica. A questão do menor sob guarda, contudo, gerou uma das mais longas controvérsias do direito previdenciário.</w:t>
      </w:r>
    </w:p>
    <w:p>
      <w:pPr>
        <w:spacing w:before="0" w:after="70" w:line="259" w:lineRule="auto"/>
        <w:ind w:firstLine="238"/>
        <w:jc w:val="both"/>
      </w:pPr>
      <w:r>
        <w:rPr>
          <w:rFonts w:ascii="EB Garamond" w:hAnsi="EB Garamond" w:cs="EB Garamond"/>
          <w:b w:val="0"/>
          <w:i w:val="0"/>
          <w:color w:val="201B16"/>
          <w:sz w:val="21"/>
        </w:rPr>
        <w:t>A Lei n. 9.528, de 10 de dezembro de 1997, excluiu o menor sob guarda do rol de dependentes. Essa exclusão foi sistematicamente contestada, por colidir com o princípio da proteção integral (art. 227 da CF) e com o art. 33, § 3º, do ECA, que confere à guarda a condição de dependente "para todos os fins e efeitos de direito, inclusive previdenciários". O STJ, no Tema Repetitivo 732 (REsp 1.411.258/RS, rel. Min. Napoleão Nunes Maia Filho, j. 11/10/2017), decidiu favoravelmente à inclusão. O STF confirmou nas ADIs 4.878 e 5.083 (rel. P/ acórdão Min. Edson Fachin, j. 07/06/2021), por 6 a 5, conferindo interpretação conforme a Constituição ao § 2º do art. 16, condicionada à comprovação de dependência econômica.</w:t>
      </w:r>
    </w:p>
    <w:tbl>
      <w:tblPr>
        <w:tblW w:type="auto" w:w="0"/>
        <w:jc w:val="center"/>
        <w:tblLayout w:type="autofit"/>
        <w:tblLook w:firstColumn="1" w:firstRow="1" w:lastColumn="0" w:lastRow="0" w:noHBand="0" w:noVBand="1" w:val="04A0"/>
        <w:tblW w:w="5000" w:type="pct"/>
      </w:tblPr>
      <w:tblGrid>
        <w:gridCol w:w="6350"/>
      </w:tblGrid>
      <w:t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rPr>
              <w:t>JURISPRUDÊNCIA EM DESTAQUE</w:t>
            </w:r>
          </w:p>
          <w:p>
            <w:pPr>
              <w:spacing w:before="0" w:after="60" w:line="247" w:lineRule="auto"/>
              <w:jc w:val="both"/>
            </w:pPr>
            <w:r>
              <w:rPr>
                <w:rFonts w:ascii="EB Garamond" w:hAnsi="EB Garamond" w:cs="EB Garamond"/>
                <w:b w:val="0"/>
                <w:i w:val="0"/>
                <w:color w:val="201B16"/>
                <w:sz w:val="19"/>
              </w:rPr>
              <w:t>A questão do menor sob guarda ganhou novo capítulo com a EC 103/2019, cujo art. 23, § 6º, dispõe que "equiparam-se a filho, para fins de recebimento da pensão por morte, exclusivamente o enteado e o menor tutelado, desde que comprovada a dependência econômica". A norma constitucional excluiu a criança e o adolescente sob guarda do rol de dependentes para pensão por morte. O STF reconheceu repercussão geral no Tema 1.271 (RE 1.442.021, rel. Min. André Mendonça) e em janeiro de 2025 determinou a suspensão nacional de todos os processos. Paralelamente, a Lei n. 15.108, de 13 de março de 2025, reincorporou legislativamente o menor sob guarda ao rol de dependentes do art. 16, § 2º. Subsiste a tensão entre a norma constitucional (EC 103/2019) e a norma legal (Lei 15.108/2025), cuja resolução depende do STF. Note-se que a EC 103/2019 não menciona o auxílio-reclusão, pelo que se pode discutir se o menor sob guarda permanece como dependente para esse benefício e para os serviços previdenciários.</w:t>
            </w:r>
          </w:p>
        </w:tc>
      </w:tr>
    </w:tbl>
    <w:p>
      <w:pPr>
        <w:spacing w:before="0" w:after="80" w:line="240" w:lineRule="auto"/>
      </w:pPr>
    </w:p>
    <w:p>
      <w:pPr>
        <w:spacing w:before="260" w:after="80" w:line="240" w:lineRule="auto"/>
        <w:jc w:val="left"/>
        <w:keepNext/>
      </w:pPr>
      <w:r>
        <w:rPr>
          <w:rFonts w:ascii="EB Garamond" w:hAnsi="EB Garamond" w:cs="EB Garamond"/>
          <w:b/>
          <w:i w:val="0"/>
          <w:color w:val="3A3128"/>
          <w:sz w:val="25"/>
        </w:rPr>
        <w:t>2.4.2 Classe II — Pais</w:t>
      </w:r>
    </w:p>
    <w:p>
      <w:pPr>
        <w:spacing w:before="0" w:after="70" w:line="259" w:lineRule="auto"/>
        <w:jc w:val="both"/>
      </w:pPr>
      <w:r>
        <w:rPr>
          <w:rFonts w:ascii="EB Garamond" w:hAnsi="EB Garamond" w:cs="EB Garamond"/>
          <w:b w:val="0"/>
          <w:i w:val="0"/>
          <w:color w:val="201B16"/>
          <w:sz w:val="21"/>
        </w:rPr>
        <w:t>Os pais do segurado constituem a segunda classe de dependentes. Para habilitação, devem comprovar a dependência econômica em relação ao segurado — a presunção legal não se aplica a essa classe. A comprovação pode ser feita por qualquer meio de prova admitido em direito, incluindo documentos que demonstrem contribuição regular do segurado para o sustento dos pais, como transferências bancárias, comprovantes de residência conjunta e declarações de imposto de renda.</w:t>
      </w:r>
    </w:p>
    <w:p>
      <w:pPr>
        <w:spacing w:before="0" w:after="70" w:line="259" w:lineRule="auto"/>
        <w:ind w:firstLine="238"/>
        <w:jc w:val="both"/>
      </w:pPr>
      <w:r>
        <w:rPr>
          <w:rFonts w:ascii="EB Garamond" w:hAnsi="EB Garamond" w:cs="EB Garamond"/>
          <w:b w:val="0"/>
          <w:i w:val="0"/>
          <w:color w:val="201B16"/>
          <w:sz w:val="21"/>
        </w:rPr>
        <w:t>A comprovação da dependência econômica dos pais exige demonstração de que o segurado contribuía de modo relevante para o sustento dos genitores, ainda que não de forma exclusiva. A jurisprudência tem admitido a dependência econômica parcial, ou seja, aquela em que o auxílio financeiro do segurado, embora não seja a única fonte de renda dos pais, representa parcela significativa de seu sustento. O ônus da prova recai sobre os pais requerentes, que devem apresentar documentação hábil — declarações de imposto de renda que incluam os genitores como dependentes, comprovantes de transferências bancárias regulares, recibos de pagamento de despesas essenciais (moradia, saúde, alimentação) e declarações de testemunhas que atestem a colaboração habitual do segurado. A existência de outros filhos com capacidade econômica não exclui, por si só, a dependência dos pais em relação ao segurado falecido — cada caso deve ser avaliado conforme as circunstâncias concretas.</w:t>
      </w:r>
    </w:p>
    <w:p>
      <w:pPr>
        <w:spacing w:before="0" w:after="70" w:line="259" w:lineRule="auto"/>
        <w:ind w:firstLine="238"/>
        <w:jc w:val="both"/>
      </w:pPr>
      <w:r>
        <w:rPr>
          <w:rFonts w:ascii="EB Garamond" w:hAnsi="EB Garamond" w:cs="EB Garamond"/>
          <w:b w:val="0"/>
          <w:i w:val="0"/>
          <w:color w:val="201B16"/>
          <w:sz w:val="21"/>
        </w:rPr>
        <w:t>A segunda classe de dependentes apresenta questão relevante quanto ao padrasto e à madrasta: a legislação previdenciária não os inclui expressamente no conceito de "pais". Há, contudo, corrente doutrinária e decisões isoladas que admitem a equiparação, com fundamento na parentalidade socioafetiva reconhecida pelo direito de família (arts. 1.593 e 1.596 do Código Civil, conforme interpretação do STF no RE 898.060, Tema 622). A questão permanece controvertida e sem uniformização vinculante.</w:t>
      </w:r>
    </w:p>
    <w:p>
      <w:pPr>
        <w:spacing w:before="0" w:after="70" w:line="259" w:lineRule="auto"/>
        <w:ind w:firstLine="238"/>
        <w:jc w:val="both"/>
      </w:pPr>
      <w:r>
        <w:rPr>
          <w:rFonts w:ascii="EB Garamond" w:hAnsi="EB Garamond" w:cs="EB Garamond"/>
          <w:b w:val="0"/>
          <w:i w:val="0"/>
          <w:color w:val="201B16"/>
          <w:sz w:val="21"/>
        </w:rPr>
        <w:t>Merece destaque decisão do STJ que ampliou o conceito de genitores para fins previdenciários. No REsp 1.574.859, a Corte reconheceu aos avós de segurado falecido o direito ao recebimento de pensão por morte em razão de terem sido os responsáveis pela criação do neto, ocupando verdadeiro papel de genitores. Em síntese, o STJ equiparou os avós a dependentes da segunda classe quando comprovado que exerceram, de fato, a função parental. A decisão, embora casuística, abriu precedente relevante para a interpretação extensiva do conceito de "pais" na legislação previdenciária, com fundamento no princípio da proteção e na realidade sociológica das famílias brasileiras.</w:t>
      </w:r>
    </w:p>
    <w:p>
      <w:pPr>
        <w:spacing w:before="260" w:after="80" w:line="240" w:lineRule="auto"/>
        <w:jc w:val="left"/>
        <w:keepNext/>
      </w:pPr>
      <w:r>
        <w:rPr>
          <w:rFonts w:ascii="EB Garamond" w:hAnsi="EB Garamond" w:cs="EB Garamond"/>
          <w:b/>
          <w:i w:val="0"/>
          <w:color w:val="3A3128"/>
          <w:sz w:val="25"/>
        </w:rPr>
        <w:t>2.4.3 Classe III — Irmãos</w:t>
      </w:r>
    </w:p>
    <w:p>
      <w:pPr>
        <w:spacing w:before="0" w:after="70" w:line="259" w:lineRule="auto"/>
        <w:jc w:val="both"/>
      </w:pPr>
      <w:r>
        <w:rPr>
          <w:rFonts w:ascii="EB Garamond" w:hAnsi="EB Garamond" w:cs="EB Garamond"/>
          <w:b w:val="0"/>
          <w:i w:val="0"/>
          <w:color w:val="201B16"/>
          <w:sz w:val="21"/>
        </w:rPr>
        <w:t>A terceira classe compreende o irmão não emancipado, de qualquer condição, menor de 21 anos ou inválido ou que tenha deficiência intelectual ou mental ou deficiência grave. A dependência econômica, assim como para os pais, deve ser comprovada. A redação atual, dada pela Lei n. 13.146, de 6 de julho de 2015, harmonizou a terminologia com o Estatuto da Pessoa com Deficiência, substituindo a expressão "deficiente mental" por "deficiência intelectual ou mental ou deficiência grave".</w:t>
      </w:r>
    </w:p>
    <w:p>
      <w:pPr>
        <w:spacing w:before="0" w:after="70" w:line="259" w:lineRule="auto"/>
        <w:ind w:firstLine="238"/>
        <w:jc w:val="both"/>
      </w:pPr>
      <w:r>
        <w:rPr>
          <w:rFonts w:ascii="EB Garamond" w:hAnsi="EB Garamond" w:cs="EB Garamond"/>
          <w:b w:val="0"/>
          <w:i w:val="0"/>
          <w:color w:val="201B16"/>
          <w:sz w:val="21"/>
        </w:rPr>
        <w:t>Na prática dos JEFs, demandas envolvendo dependentes de terceira classe são estatisticamente raras, pois a existência de qualquer dependente de classe anterior exclui automaticamente os irmãos. A habilitação ocorre, tipicamente, quando o segurado falecido era solteiro, sem filhos, e cujos pais já eram falecidos ou não comprovaram dependência econômica. A prova da dependência econômica do irmão segue os mesmos parâmetros das demais classes não presumidas: início de prova material contemporânea ao óbito, complementada por prova testemunhal. O irmão maior de 21 anos somente será dependente se inválido ou se portador de deficiência intelectual, mental ou grave, exigindo-se, além da comprovação da dependência econômica, a demonstração da invalidez ou deficiência por meio de laudo pericial. A invalidez, nesse contexto, deve ser preexistente ao óbito do segurado instituidor — não se admite invalidez superveniente como fundamento para habilitação na terceira classe.</w:t>
      </w:r>
    </w:p>
    <w:p>
      <w:pPr>
        <w:spacing w:before="0" w:after="70" w:line="259" w:lineRule="auto"/>
        <w:ind w:firstLine="238"/>
        <w:jc w:val="both"/>
      </w:pPr>
      <w:r>
        <w:rPr>
          <w:rFonts w:ascii="EB Garamond" w:hAnsi="EB Garamond" w:cs="EB Garamond"/>
          <w:b w:val="0"/>
          <w:i w:val="0"/>
          <w:color w:val="201B16"/>
          <w:sz w:val="21"/>
        </w:rPr>
        <w:t>Entendemos que a organização dos dependentes em classes hierarquizadas, embora promova segurança jurídica e previsibilidade, pode gerar situações de desamparo quando os pais ou irmãos do segurado mantêm efetiva dependência econômica mas são excluídos pela existência de cônjuge ou filho na classe I. A rigidez do sistema de classes é atenuada, na prática, pela possibilidade de rateio entre dependentes da mesma classe e pela autonomia das prestações. O rateio opera de forma igualitária: havendo mais de um dependente na mesma classe, a prestação será dividida em partes iguais entre todos, revertendo-se em favor dos demais a parte daquele cujo direito cessar (art. 77 da Lei 8.213/91).</w:t>
      </w:r>
    </w:p>
    <w:p>
      <w:pPr>
        <w:spacing w:before="260" w:after="80" w:line="240" w:lineRule="auto"/>
        <w:jc w:val="left"/>
        <w:keepNext/>
      </w:pPr>
      <w:r>
        <w:rPr>
          <w:rFonts w:ascii="EB Garamond" w:hAnsi="EB Garamond" w:cs="EB Garamond"/>
          <w:b/>
          <w:i w:val="0"/>
          <w:color w:val="3A3128"/>
          <w:sz w:val="25"/>
        </w:rPr>
        <w:t>2.4.4 Perda da Qualidade de Dependente</w:t>
      </w:r>
    </w:p>
    <w:p>
      <w:pPr>
        <w:spacing w:before="0" w:after="70" w:line="259" w:lineRule="auto"/>
        <w:jc w:val="both"/>
      </w:pPr>
      <w:r>
        <w:rPr>
          <w:rFonts w:ascii="EB Garamond" w:hAnsi="EB Garamond" w:cs="EB Garamond"/>
          <w:b w:val="0"/>
          <w:i w:val="0"/>
          <w:color w:val="201B16"/>
          <w:sz w:val="21"/>
        </w:rPr>
        <w:t>A condição de dependente não é permanente. O art. 17 do Decreto 3.048/99 enumera as hipóteses de perda da qualidade de dependente, que variam conforme a espécie. Para o cônjuge, a perda ocorre pelo divórcio ou separação judicial sem prestação de alimentos, pela anulação do casamento ou pelo óbito. Para o companheiro, pela cessação da união estável, desde que não receba alimentos. Para o filho e equiparados, pela emancipação ou pelo implemento da idade de 21 anos, salvo se inválido ou com deficiência. Para os pais e irmãos, pela cessação da dependência econômica.</w:t>
      </w:r>
    </w:p>
    <w:p>
      <w:pPr>
        <w:spacing w:before="0" w:after="70" w:line="259" w:lineRule="auto"/>
        <w:ind w:firstLine="238"/>
        <w:jc w:val="both"/>
      </w:pPr>
      <w:r>
        <w:rPr>
          <w:rFonts w:ascii="EB Garamond" w:hAnsi="EB Garamond" w:cs="EB Garamond"/>
          <w:b w:val="0"/>
          <w:i w:val="0"/>
          <w:color w:val="201B16"/>
          <w:sz w:val="21"/>
        </w:rPr>
        <w:t>A pessoa designada como dependente não existe mais no sistema previdenciário: a Súmula 4 da TNU estabelece que "não há direito adquirido à condição de dependente de pessoa designada, quando o falecimento do segurado deu-se após o advento da Lei 9.032/95". A redação anterior da Lei 8.213/91 permitia ao segurado designar dependentes, o que foi suprimido pela Lei 9.032/95.</w:t>
      </w:r>
    </w:p>
    <w:tbl>
      <w:tblPr>
        <w:tblW w:type="auto" w:w="0"/>
        <w:jc w:val="center"/>
        <w:tblLayout w:type="autofit"/>
        <w:tblLook w:firstColumn="1" w:firstRow="1" w:lastColumn="0" w:lastRow="0" w:noHBand="0" w:noVBand="1" w:val="04A0"/>
        <w:tblW w:w="5000" w:type="pct"/>
      </w:tblPr>
      <w:tblGrid>
        <w:gridCol w:w="6350"/>
      </w:tblGrid>
      <w:t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rPr>
              <w:t>NA PRÁTICA</w:t>
            </w:r>
          </w:p>
          <w:p>
            <w:pPr>
              <w:spacing w:before="0" w:after="60" w:line="247" w:lineRule="auto"/>
              <w:jc w:val="both"/>
            </w:pPr>
            <w:r>
              <w:rPr>
                <w:rFonts w:ascii="EB Garamond" w:hAnsi="EB Garamond" w:cs="EB Garamond"/>
                <w:b w:val="0"/>
                <w:i w:val="0"/>
                <w:color w:val="201B16"/>
                <w:sz w:val="19"/>
              </w:rPr>
              <w:t>Na habilitação de dependentes de classes II e III, o advogado deve reunir documentação robusta que demonstre a dependência econômica efetiva. Comprovantes de transferências bancárias regulares do segurado para o dependente, declarações de imposto de renda que incluam o dependente, recibos de pagamento de despesas (aluguel, plano de saúde, mensalidade escolar), comprovante de residência em comum e declarações de vizinhos e conhecidos constituem acervo probatório relevante. O início de prova material, complementado por prova testemunhal, é o standard exigido. Para a ex-cônjuge que renunciou aos alimentos, a Súmula 336 do STJ admite a pensão por morte mediante comprovação de necessidade econômica superveniente ao divórcio. Na habilitação de companheiro homoafetivo, aplicam-se as mesmas regras da união estável heteroafetiva, por força da ADI 4.277/STF e da IN 128/2022 do INSS, sendo exigida a prova material contemporânea nos termos da Lei 13.846/2019 para óbitos posteriores à MP 871/2019.</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rPr>
        <w:t>2.5 Manutenção e Perda da Qualidade de Segurado</w:t>
      </w:r>
    </w:p>
    <w:p>
      <w:pPr>
        <w:spacing w:before="0" w:after="70" w:line="259" w:lineRule="auto"/>
        <w:jc w:val="both"/>
      </w:pPr>
      <w:r>
        <w:rPr>
          <w:rFonts w:ascii="EB Garamond" w:hAnsi="EB Garamond" w:cs="EB Garamond"/>
          <w:b w:val="0"/>
          <w:i w:val="0"/>
          <w:color w:val="201B16"/>
          <w:sz w:val="21"/>
        </w:rPr>
        <w:t>O art. 15 da Lei 8.213/91 estabelece o chamado período de graça — lapso temporal em que o segurado mantém essa qualidade e todos os direitos perante a Previdência Social, ainda que não esteja contribuindo. A finalidade do instituto é proteger o segurado e seus dependentes contra a perda abrupta de proteção previdenciária em situações de transição ou adversidade. O capítulo seguinte aprofundará a análise desse instituto; aqui, apresentamos seus contornos essenciais.</w:t>
      </w:r>
    </w:p>
    <w:p>
      <w:pPr>
        <w:spacing w:before="0" w:after="70" w:line="259" w:lineRule="auto"/>
        <w:ind w:firstLine="238"/>
        <w:jc w:val="both"/>
      </w:pPr>
      <w:r>
        <w:rPr>
          <w:rFonts w:ascii="EB Garamond" w:hAnsi="EB Garamond" w:cs="EB Garamond"/>
          <w:b w:val="0"/>
          <w:i w:val="0"/>
          <w:color w:val="201B16"/>
          <w:sz w:val="21"/>
        </w:rPr>
        <w:t>O período básico é de 12 meses após a cessação das contribuições ou do exercício de atividade remunerada. Esse prazo é prorrogado para 24 meses quando o segurado já tiver vertido mais de 120 contribuições mensais sem interrupção que acarrete a perda da qualidade. Adicionalmente, os prazos de 12 ou 24 meses são acrescidos de mais 12 meses para o segurado que comprovar situação de desemprego involuntário — totalizando, no limite máximo, 36 meses de manutenção.</w:t>
      </w:r>
    </w:p>
    <w:p>
      <w:pPr>
        <w:spacing w:before="0" w:after="70" w:line="259" w:lineRule="auto"/>
        <w:ind w:firstLine="238"/>
        <w:jc w:val="both"/>
      </w:pPr>
      <w:r>
        <w:rPr>
          <w:rFonts w:ascii="EB Garamond" w:hAnsi="EB Garamond" w:cs="EB Garamond"/>
          <w:b w:val="0"/>
          <w:i w:val="0"/>
          <w:color w:val="201B16"/>
          <w:sz w:val="21"/>
        </w:rPr>
        <w:t>Para o segurado facultativo, o período de graça é de apenas 6 meses após a cessação das contribuições. Quem está em gozo de benefício mantém a qualidade sem limite de prazo, com a ressalva introduzida pela Lei 13.846/2019 que excluiu dessa proteção o beneficiário de auxílio-acidente. O segurado retido ou recluso mantém-na por 12 meses após o livramento, e o incorporado às Forças Armadas por 3 meses após o licenciamento. O segurado acometido de doença de segregação compulsória mantém a qualidade por 12 meses após cessar a segregação.</w:t>
      </w:r>
    </w:p>
    <w:p>
      <w:pPr>
        <w:spacing w:before="0" w:after="70" w:line="259" w:lineRule="auto"/>
        <w:ind w:firstLine="238"/>
        <w:jc w:val="both"/>
      </w:pPr>
      <w:r>
        <w:rPr>
          <w:rFonts w:ascii="EB Garamond" w:hAnsi="EB Garamond" w:cs="EB Garamond"/>
          <w:b w:val="0"/>
          <w:i w:val="0"/>
          <w:color w:val="201B16"/>
          <w:sz w:val="21"/>
        </w:rPr>
        <w:t>A perda efetiva da qualidade de segurado não ocorre no último dia do período de graça, mas em momento posterior: no dia seguinte ao término do prazo de recolhimento da contribuição referente ao mês imediatamente posterior ao final do período de graça (§ 4º do art. 15). Na prática, isso significa que o segurado dispõe de um mês adicional além do período de graça, acrescido do prazo até o vencimento da contribuição (dia 15 do mês seguinte para o contribuinte individual), resultando em extensão de aproximadamente um mês e quinze dias.</w:t>
      </w:r>
    </w:p>
    <w:p>
      <w:pPr>
        <w:spacing w:before="0" w:after="70" w:line="259" w:lineRule="auto"/>
        <w:ind w:firstLine="238"/>
        <w:jc w:val="both"/>
      </w:pPr>
      <w:r>
        <w:rPr>
          <w:rFonts w:ascii="EB Garamond" w:hAnsi="EB Garamond" w:cs="EB Garamond"/>
          <w:b w:val="0"/>
          <w:i w:val="0"/>
          <w:color w:val="201B16"/>
          <w:sz w:val="21"/>
        </w:rPr>
        <w:t>A prova do desemprego involuntário para obtenção do terceiro acréscimo de 12 meses gerou extensa jurisprudência. A TNU, por meio da Súmula 27, firmou que a ausência de registro em órgão do Ministério do Trabalho não impede a comprovação do desemprego por outros meios admitidos em direito. O STJ, no Tema Repetitivo 1360 (rel. Min. Afrânio Vilela, j. 11/03/2026), consolidou e expandiu esse entendimento, fixando que o registro pode ser suprido por outros meios de prova, tanto na via administrativa quanto na judicial. A Corte ressalvou que a mera ausência de anotações na CTPS ou no CNIS não é suficiente isoladamente — exige-se prova positiva da condição de desempregado, tal como FGTS movimentado, recibo de seguro-desemprego, Termo de Rescisão ou documentação equivalente.</w:t>
      </w:r>
    </w:p>
    <w:tbl>
      <w:tblPr>
        <w:tblW w:type="auto" w:w="0"/>
        <w:jc w:val="center"/>
        <w:tblLayout w:type="autofit"/>
        <w:tblLook w:firstColumn="1" w:firstRow="1" w:lastColumn="0" w:lastRow="0" w:noHBand="0" w:noVBand="1" w:val="04A0"/>
        <w:tblW w:w="5000" w:type="pct"/>
      </w:tblPr>
      <w:tblGrid>
        <w:gridCol w:w="6350"/>
      </w:tblGrid>
      <w:t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rPr>
              <w:t>ATENÇÃO</w:t>
            </w:r>
          </w:p>
          <w:p>
            <w:pPr>
              <w:spacing w:before="0" w:after="60" w:line="247" w:lineRule="auto"/>
              <w:jc w:val="both"/>
            </w:pPr>
            <w:r>
              <w:rPr>
                <w:rFonts w:ascii="EB Garamond" w:hAnsi="EB Garamond" w:cs="EB Garamond"/>
                <w:b w:val="0"/>
                <w:i w:val="0"/>
                <w:color w:val="201B16"/>
                <w:sz w:val="19"/>
              </w:rPr>
              <w:t>A prorrogação do período de graça por desemprego involuntário alcança também o contribuinte individual. A TNU, no Tema 239 (PEDILEF 0504272-91.2018.4.05.8400, j. 28/04/2021), firmou a tese de que a prorrogação prevista no § 2º do art. 15 "estende-se ao segurado contribuinte individual, se comprovado que a cessação da atividade econômica por ele desempenhada decorreu de causa involuntária, além da ausência de atividade subsequente". Não basta, portanto, a simples dificuldade econômica — é necessária a demonstração de causa objetiva que tenha provocado a cessação da atividade.</w:t>
            </w:r>
          </w:p>
        </w:tc>
      </w:tr>
    </w:tbl>
    <w:p>
      <w:pPr>
        <w:spacing w:before="0" w:after="80" w:line="240" w:lineRule="auto"/>
      </w:pPr>
    </w:p>
    <w:p>
      <w:pPr>
        <w:spacing w:before="0" w:after="70" w:line="259" w:lineRule="auto"/>
        <w:jc w:val="both"/>
      </w:pPr>
      <w:r>
        <w:rPr>
          <w:rFonts w:ascii="EB Garamond" w:hAnsi="EB Garamond" w:cs="EB Garamond"/>
          <w:b w:val="0"/>
          <w:i w:val="0"/>
          <w:color w:val="201B16"/>
          <w:sz w:val="21"/>
        </w:rPr>
        <w:t>A EC 103/2019 trouxe repercussão indireta sobre o período de graça ao criar a exigência de contribuição em valor igual ou superior ao salário mínimo para que o mês seja considerado como tempo de contribuição e carência (art. 29, § 3º, da EC 103/2019, regulamentado pelos §§ 7º e 8º do art. 13 do Decreto 3.048/99, incluídos pelo Decreto 10.410/2020). Na nova sistemática, o período de graça tem início no primeiro dia do mês subsequente ao da última contribuição cujo valor tenha atingido o piso do salário mínimo. Contribuições em valor inferior ao mínimo — situação comum entre trabalhadores com múltiplos vínculos de curta duração ou com remuneração variável — somente serão computadas se o segurado promover a complementação, o agrupamento ou a utilização do excedente, nos termos do art. 29, § 5º, da mesma emenda. A regra afeta diretamente a contagem do período de graça e, por consequência, a manutenção da qualidade de segurado, tema que será examinado em profundidade no capítulo seguinte.</w:t>
      </w:r>
    </w:p>
    <w:p>
      <w:pPr>
        <w:spacing w:before="0" w:after="70" w:line="259" w:lineRule="auto"/>
        <w:ind w:firstLine="238"/>
        <w:jc w:val="both"/>
      </w:pPr>
      <w:r>
        <w:rPr>
          <w:rFonts w:ascii="EB Garamond" w:hAnsi="EB Garamond" w:cs="EB Garamond"/>
          <w:b w:val="0"/>
          <w:i w:val="0"/>
          <w:color w:val="201B16"/>
          <w:sz w:val="21"/>
        </w:rPr>
        <w:t>A perda da qualidade de segurado acarreta, como regra, a caducidade dos direitos previdenciários. O art. 102 da Lei 8.213/91 estabelece que a perda não prejudica o direito à aposentadoria cujos requisitos já tenham sido integralmente preenchidos. A Lei 10.666/2003, em seu art. 3º, reforça esse comando ao dispor que a perda da qualidade não será considerada para a concessão das aposentadorias por tempo de contribuição e especial. A Súmula 416 do STJ consagra: "é devida a pensão por morte aos dependentes do segurado que, apesar de ter perdido essa qualidade, preencheu os requisitos legais para a obtenção de aposentadoria até a data do seu óbito".</w:t>
      </w:r>
    </w:p>
    <w:p>
      <w:pPr>
        <w:spacing w:before="360" w:after="140" w:line="240" w:lineRule="auto"/>
        <w:jc w:val="left"/>
        <w:pBdr>
          <w:bottom w:val="single" w:sz="8" w:space="4" w:color="B89B5E"/>
        </w:pBdr>
        <w:keepNext/>
      </w:pPr>
      <w:r>
        <w:rPr>
          <w:rFonts w:ascii="EB Garamond" w:hAnsi="EB Garamond" w:cs="EB Garamond"/>
          <w:b/>
          <w:i w:val="0"/>
          <w:color w:val="3A3128"/>
          <w:sz w:val="31"/>
        </w:rPr>
        <w:t>2.6 Exclusão do Servidor Público e Regras Especiais</w:t>
      </w:r>
    </w:p>
    <w:p>
      <w:pPr>
        <w:spacing w:before="0" w:after="70" w:line="259" w:lineRule="auto"/>
        <w:jc w:val="both"/>
      </w:pPr>
      <w:r>
        <w:rPr>
          <w:rFonts w:ascii="EB Garamond" w:hAnsi="EB Garamond" w:cs="EB Garamond"/>
          <w:b w:val="0"/>
          <w:i w:val="0"/>
          <w:color w:val="201B16"/>
          <w:sz w:val="21"/>
        </w:rPr>
        <w:t>O art. 12 da Lei 8.213/91 exclui do RGPS o servidor civil ocupante de cargo efetivo e o militar da União, dos Estados, do Distrito Federal e dos Municípios, bem como os das respectivas autarquias e fundações, desde que amparados por regime próprio de previdência social. O Decreto 3.048/99, em seu art. 10, § 3º, define regime próprio como aquele que assegura pelo menos as aposentadorias e pensão por morte previstas no art. 40 da Constituição Federal. A exclusão decorre da coexistência de sistemas previdenciários paralelos expressamente autorizada pela Constituição (art. 40 para os servidores, art. 201 para os trabalhadores da iniciativa privada).</w:t>
      </w:r>
    </w:p>
    <w:p>
      <w:pPr>
        <w:spacing w:before="0" w:after="70" w:line="259" w:lineRule="auto"/>
        <w:ind w:firstLine="238"/>
        <w:jc w:val="both"/>
      </w:pPr>
      <w:r>
        <w:rPr>
          <w:rFonts w:ascii="EB Garamond" w:hAnsi="EB Garamond" w:cs="EB Garamond"/>
          <w:b w:val="0"/>
          <w:i w:val="0"/>
          <w:color w:val="201B16"/>
          <w:sz w:val="21"/>
        </w:rPr>
        <w:t>Se o ente público com o qual o servidor mantém vínculo funcional não ostentar regime próprio — situação comum em municípios de menor porte —, o servidor público titular de cargo efetivo será filiado ao RGPS como segurado empregado. O empregado público contratado pelo regime celetista é, em qualquer caso, vinculado ao RGPS.</w:t>
      </w:r>
    </w:p>
    <w:p>
      <w:pPr>
        <w:spacing w:before="0" w:after="70" w:line="259" w:lineRule="auto"/>
        <w:ind w:firstLine="238"/>
        <w:jc w:val="both"/>
      </w:pPr>
      <w:r>
        <w:rPr>
          <w:rFonts w:ascii="EB Garamond" w:hAnsi="EB Garamond" w:cs="EB Garamond"/>
          <w:b w:val="0"/>
          <w:i w:val="0"/>
          <w:color w:val="201B16"/>
          <w:sz w:val="21"/>
        </w:rPr>
        <w:t>O parágrafo único do art. 12 ressalva a hipótese de exercício concomitante: o servidor ou militar que exerce, simultaneamente, atividade abrangida pelo RGPS é segurado obrigatório em relação a essa atividade. Assim, o juiz federal que leciona em universidade particular é segurado obrigatório do RGPS na qualidade de contribuinte individual em relação à atividade docente, mantendo vinculação ao RPPS na condição de magistrado.</w:t>
      </w:r>
    </w:p>
    <w:p>
      <w:pPr>
        <w:spacing w:before="0" w:after="70" w:line="259" w:lineRule="auto"/>
        <w:ind w:firstLine="238"/>
        <w:jc w:val="both"/>
      </w:pPr>
      <w:r>
        <w:rPr>
          <w:rFonts w:ascii="EB Garamond" w:hAnsi="EB Garamond" w:cs="EB Garamond"/>
          <w:b w:val="0"/>
          <w:i w:val="0"/>
          <w:color w:val="201B16"/>
          <w:sz w:val="21"/>
        </w:rPr>
        <w:t>O art. 201, § 5º, da CF/88, com a redação dada pela EC 103/2019, veda a filiação ao RGPS, na qualidade de segurado facultativo, de pessoa participante de regime próprio. Essa vedação impede que o servidor público vinculado a RPPS opte por contribuir voluntariamente ao RGPS, salvo quando exerce efetivamente atividade remunerada abrangida pelo regime geral. A regra visa impedir que servidores públicos acumulem benefícios dos dois regimes sem a correspondente atividade contributiva no RGPS.</w:t>
      </w:r>
    </w:p>
    <w:p>
      <w:pPr>
        <w:spacing w:before="0" w:after="70" w:line="259" w:lineRule="auto"/>
        <w:ind w:firstLine="238"/>
        <w:jc w:val="both"/>
      </w:pPr>
      <w:r>
        <w:rPr>
          <w:rFonts w:ascii="EB Garamond" w:hAnsi="EB Garamond" w:cs="EB Garamond"/>
          <w:b w:val="0"/>
          <w:i w:val="0"/>
          <w:color w:val="201B16"/>
          <w:sz w:val="21"/>
        </w:rPr>
        <w:t>Os advogados nomeados pelo Presidente da República para compor o TSE ou os TREs (art. 119, II, e art. 120, § 1º, III, da CF) mantêm o mesmo enquadramento no RGPS de antes da investidura no cargo, nos termos do art. 9º, § 11, do Decreto 3.048/99. Trata-se de exceção à regra geral de enquadramento como contribuinte individual dos magistrados classistas e temporários.</w:t>
      </w:r>
    </w:p>
    <w:p>
      <w:pPr>
        <w:spacing w:before="0" w:after="70" w:line="259" w:lineRule="auto"/>
        <w:ind w:firstLine="238"/>
        <w:jc w:val="both"/>
      </w:pPr>
      <w:r>
        <w:rPr>
          <w:rFonts w:ascii="EB Garamond" w:hAnsi="EB Garamond" w:cs="EB Garamond"/>
          <w:b w:val="0"/>
          <w:i w:val="0"/>
          <w:color w:val="201B16"/>
          <w:sz w:val="21"/>
        </w:rPr>
        <w:t>A contagem recíproca de tempo de contribuição entre RGPS e RPPS, prevista no art. 201, § 9º, da Constituição Federal e regulamentada pela Lei n. 6.226, de 14 de julho de 1975, e pela Lei n. 6.887, de 10 de dezembro de 1980, permite ao segurado que tenha contribuído para ambos os regimes aproveitar, em um deles, o tempo de contribuição vertido no outro, para fins de aposentadoria. A contagem recíproca exige a emissão de Certidão de Tempo de Contribuição (CTC) pelo regime de origem, nos termos do art. 130 do Decreto 3.048/99, com a redação dada pelo Decreto 10.410/2020. A CTC deve conter a indicação precisa dos períodos de contribuição, das remunerações e das eventuais restrições. A EC 103/2019, em seu art. 25, § 1º, vedou a emissão de CTC sem a comprovação de contribuição efetiva, encerrando a possibilidade de contagem de tempo ficto — prática que gerava distorções, especialmente no cômputo de tempo de serviço militar e de licenças não remuneradas. Na prática dos JEFs, a contagem recíproca é frequentemente invocada por segurados que transitaram entre o serviço público e a iniciativa privada ao longo de suas carreiras, sendo indispensável verificar a regularidade da CTC e a inexistência de sobreposição de vínculos.</w:t>
      </w:r>
    </w:p>
    <w:p>
      <w:pPr>
        <w:spacing w:before="0" w:after="70" w:line="259" w:lineRule="auto"/>
        <w:ind w:firstLine="238"/>
        <w:jc w:val="both"/>
      </w:pPr>
      <w:r>
        <w:rPr>
          <w:rFonts w:ascii="EB Garamond" w:hAnsi="EB Garamond" w:cs="EB Garamond"/>
          <w:b w:val="0"/>
          <w:i w:val="0"/>
          <w:color w:val="201B16"/>
          <w:sz w:val="21"/>
        </w:rPr>
        <w:t>Quanto aos militares, a regra geral é a exclusão do RGPS, pois são amparados por regime próprio previsto nos arts. 42 e 142 da Constituição Federal. Os militares das Forças Armadas (Exército, Marinha e Aeronáutica) são regidos pela Lei n. 6.880, de 9 de dezembro de 1980 (Estatuto dos Militares), enquanto os militares dos Estados, do Distrito Federal e dos Territórios são regidos pelas legislações estaduais respectivas. O prestador de serviço militar obrigatório (conscrito), durante o período de incorporação, é segurado obrigatório do RGPS na condição de contribuinte individual (art. 11, § 2º, do Decreto 3.048/99), e após o licenciamento mantém a qualidade de segurado por até 3 meses (art. 15, V, da Lei 8.213/91).</w:t>
      </w:r>
    </w:p>
    <w:p>
      <w:pPr>
        <w:spacing w:before="360" w:after="140" w:line="240" w:lineRule="auto"/>
        <w:jc w:val="left"/>
        <w:pBdr>
          <w:bottom w:val="single" w:sz="8" w:space="4" w:color="B89B5E"/>
        </w:pBdr>
        <w:keepNext/>
      </w:pPr>
      <w:r>
        <w:rPr>
          <w:rFonts w:ascii="EB Garamond" w:hAnsi="EB Garamond" w:cs="EB Garamond"/>
          <w:b/>
          <w:i w:val="0"/>
          <w:color w:val="3A3128"/>
          <w:sz w:val="31"/>
        </w:rPr>
        <w:t>2.7 Conclusão</w:t>
      </w:r>
    </w:p>
    <w:p>
      <w:pPr>
        <w:spacing w:before="0" w:after="70" w:line="259" w:lineRule="auto"/>
        <w:jc w:val="both"/>
      </w:pPr>
      <w:r>
        <w:rPr>
          <w:rFonts w:ascii="EB Garamond" w:hAnsi="EB Garamond" w:cs="EB Garamond"/>
          <w:b w:val="0"/>
          <w:i w:val="0"/>
          <w:color w:val="201B16"/>
          <w:sz w:val="21"/>
        </w:rPr>
        <w:t>O sistema de segurados e dependentes do RGPS reflete a opção constitucional por um modelo de proteção previdenciária de alcance universal entre os trabalhadores. As cinco categorias de segurados obrigatórios — empregado, empregado doméstico, contribuinte individual, trabalhador avulso e segurado especial — abrangem virtualmente todas as formas de trabalho remunerado, enquanto a figura do segurado facultativo estende a possibilidade de proteção àqueles que, por opção ou circunstância, não exercem atividade econômica. A organização dos dependentes em três classes hierarquizadas, com regras próprias de presunção e comprovação de dependência econômica, completa o quadro protetivo.</w:t>
      </w:r>
    </w:p>
    <w:p>
      <w:pPr>
        <w:spacing w:before="0" w:after="70" w:line="259" w:lineRule="auto"/>
        <w:ind w:firstLine="238"/>
        <w:jc w:val="both"/>
      </w:pPr>
      <w:r>
        <w:rPr>
          <w:rFonts w:ascii="EB Garamond" w:hAnsi="EB Garamond" w:cs="EB Garamond"/>
          <w:b w:val="0"/>
          <w:i w:val="0"/>
          <w:color w:val="201B16"/>
          <w:sz w:val="21"/>
        </w:rPr>
        <w:t>A matéria não é estática. As sucessivas reformas legislativas — desde a EC 20/1998 até a EC 103/2019, passando por leis ordinárias como a LC 150/2015, a Lei 13.846/2019 e a Lei 15.108/2025 — vêm redesenhando continuamente os contornos do sistema. As alterações regulamentares promovidas pelo Decreto 10.410/2020 refinaram conceitos e procedimentos, com impacto direto na prática administrativa do INSS e na instrução processual nos JEFs.</w:t>
      </w:r>
    </w:p>
    <w:p>
      <w:pPr>
        <w:spacing w:before="0" w:after="70" w:line="259" w:lineRule="auto"/>
        <w:ind w:firstLine="238"/>
        <w:jc w:val="both"/>
      </w:pPr>
      <w:r>
        <w:rPr>
          <w:rFonts w:ascii="EB Garamond" w:hAnsi="EB Garamond" w:cs="EB Garamond"/>
          <w:b w:val="0"/>
          <w:i w:val="0"/>
          <w:color w:val="201B16"/>
          <w:sz w:val="21"/>
        </w:rPr>
        <w:t>Para o operador do direito previdenciário nos Juizados Especiais Federais, três aspectos merecem atenção permanente: primeiro, o enquadramento correto do segurado, que determina as regras de filiação, contribuição e carência aplicáveis; segundo, a comprovação adequada da condição de dependente, especialmente diante das exigências de prova material contemporânea introduzidas pela Lei 13.846/2019; terceiro, a verificação da qualidade de segurado na data do evento gerador, tema que será aprofundado no capítulo seguinte, dedicado ao período de carência e à manutenção da qualidade de segurado.</w:t>
      </w:r>
    </w:p>
    <w:p>
      <w:pPr>
        <w:spacing w:before="0" w:after="70" w:line="259" w:lineRule="auto"/>
        <w:ind w:firstLine="238"/>
        <w:jc w:val="both"/>
      </w:pPr>
      <w:r>
        <w:rPr>
          <w:rFonts w:ascii="EB Garamond" w:hAnsi="EB Garamond" w:cs="EB Garamond"/>
          <w:b w:val="0"/>
          <w:i w:val="0"/>
          <w:color w:val="201B16"/>
          <w:sz w:val="21"/>
        </w:rPr>
        <w:t>A evolução jurisprudencial — marcada por teses repetitivas do STJ, súmulas da TNU e temas de repercussão geral do STF — confere dinamismo a uma legislação que, por vezes, não acompanha a realidade socioeconômica do país. Questões como o reconhecimento do menor sob guarda como dependente, a extensão do período de graça ao contribuinte individual e a prova da atividade do segurado especial continuam gerando debates que exigem do magistrado e do advogado previdenciarista atualização constante e sensibilidade para as particularidades de cada caso concreto.</w:t>
      </w:r>
    </w:p>
    <w:p>
      <w:r>
        <w:br w:type="page"/>
      </w:r>
    </w:p>
    <w:p>
      <w:pPr>
        <w:spacing w:before="320" w:after="100" w:line="240" w:lineRule="auto"/>
        <w:jc w:val="center"/>
      </w:pPr>
      <w:r>
        <w:rPr>
          <w:rFonts w:ascii="EB Garamond" w:hAnsi="EB Garamond" w:cs="EB Garamond"/>
          <w:b/>
          <w:i w:val="0"/>
          <w:smallCaps/>
          <w:color w:val="3A3128"/>
          <w:sz w:val="24"/>
        </w:rPr>
        <w:t>REFERÊNCIAS</w:t>
      </w:r>
    </w:p>
    <w:p>
      <w:pPr>
        <w:spacing w:before="0" w:after="48" w:line="240" w:lineRule="auto"/>
        <w:ind w:left="272" w:hanging="272"/>
        <w:jc w:val="left"/>
      </w:pPr>
      <w:r>
        <w:rPr>
          <w:rFonts w:ascii="EB Garamond" w:hAnsi="EB Garamond" w:cs="EB Garamond"/>
          <w:b w:val="0"/>
          <w:i w:val="0"/>
          <w:color w:val="201B16"/>
          <w:sz w:val="18"/>
        </w:rPr>
        <w:t xml:space="preserve">CASTRO, Carlos Alberto Pereira de; LAZZARI, João Batista. </w:t>
      </w:r>
      <w:r>
        <w:rPr>
          <w:rFonts w:ascii="EB Garamond" w:hAnsi="EB Garamond" w:cs="EB Garamond"/>
          <w:b/>
          <w:i w:val="0"/>
          <w:color w:val="201B16"/>
          <w:sz w:val="18"/>
        </w:rPr>
        <w:t>Manual de Direito Previdenciário</w:t>
      </w:r>
      <w:r>
        <w:rPr>
          <w:rFonts w:ascii="EB Garamond" w:hAnsi="EB Garamond" w:cs="EB Garamond"/>
          <w:b w:val="0"/>
          <w:i w:val="0"/>
          <w:color w:val="201B16"/>
          <w:sz w:val="18"/>
        </w:rPr>
        <w:t>. 28. ed. Rio de Janeiro: Forense, 2025.</w:t>
      </w:r>
    </w:p>
    <w:p>
      <w:pPr>
        <w:spacing w:before="0" w:after="48" w:line="240" w:lineRule="auto"/>
        <w:ind w:left="272" w:hanging="272"/>
        <w:jc w:val="left"/>
      </w:pPr>
      <w:r>
        <w:rPr>
          <w:rFonts w:ascii="EB Garamond" w:hAnsi="EB Garamond" w:cs="EB Garamond"/>
          <w:b w:val="0"/>
          <w:i w:val="0"/>
          <w:color w:val="201B16"/>
          <w:sz w:val="18"/>
        </w:rPr>
        <w:t xml:space="preserve">HORVATH JÚNIOR, Miguel. </w:t>
      </w:r>
      <w:r>
        <w:rPr>
          <w:rFonts w:ascii="EB Garamond" w:hAnsi="EB Garamond" w:cs="EB Garamond"/>
          <w:b/>
          <w:i w:val="0"/>
          <w:color w:val="201B16"/>
          <w:sz w:val="18"/>
        </w:rPr>
        <w:t>Direito Previdenciário</w:t>
      </w:r>
      <w:r>
        <w:rPr>
          <w:rFonts w:ascii="EB Garamond" w:hAnsi="EB Garamond" w:cs="EB Garamond"/>
          <w:b w:val="0"/>
          <w:i w:val="0"/>
          <w:color w:val="201B16"/>
          <w:sz w:val="18"/>
        </w:rPr>
        <w:t>. 13. ed. São Paulo: Rideel, 2022.</w:t>
      </w:r>
    </w:p>
    <w:p>
      <w:pPr>
        <w:spacing w:before="0" w:after="48" w:line="240" w:lineRule="auto"/>
        <w:ind w:left="272" w:hanging="272"/>
        <w:jc w:val="left"/>
      </w:pPr>
      <w:r>
        <w:rPr>
          <w:rFonts w:ascii="EB Garamond" w:hAnsi="EB Garamond" w:cs="EB Garamond"/>
          <w:b w:val="0"/>
          <w:i w:val="0"/>
          <w:color w:val="201B16"/>
          <w:sz w:val="18"/>
        </w:rPr>
        <w:t xml:space="preserve">IBRAHIM, Fábio Zambitte; BRAGANÇA, Kerlly Huback; FOLMANN, Melissa. </w:t>
      </w:r>
      <w:r>
        <w:rPr>
          <w:rFonts w:ascii="EB Garamond" w:hAnsi="EB Garamond" w:cs="EB Garamond"/>
          <w:b/>
          <w:i w:val="0"/>
          <w:color w:val="201B16"/>
          <w:sz w:val="18"/>
        </w:rPr>
        <w:t>Curso de Direito Previdenciário</w:t>
      </w:r>
      <w:r>
        <w:rPr>
          <w:rFonts w:ascii="EB Garamond" w:hAnsi="EB Garamond" w:cs="EB Garamond"/>
          <w:b w:val="0"/>
          <w:i w:val="0"/>
          <w:color w:val="201B16"/>
          <w:sz w:val="18"/>
        </w:rPr>
        <w:t>. 28. ed. Niterói: Impetus, 2025.</w:t>
      </w:r>
    </w:p>
    <w:p>
      <w:pPr>
        <w:spacing w:before="0" w:after="48" w:line="240" w:lineRule="auto"/>
        <w:ind w:left="272" w:hanging="272"/>
        <w:jc w:val="left"/>
      </w:pPr>
      <w:r>
        <w:rPr>
          <w:rFonts w:ascii="EB Garamond" w:hAnsi="EB Garamond" w:cs="EB Garamond"/>
          <w:b w:val="0"/>
          <w:i w:val="0"/>
          <w:color w:val="201B16"/>
          <w:sz w:val="18"/>
        </w:rPr>
        <w:t xml:space="preserve">KERTZMAN, Ivan. </w:t>
      </w:r>
      <w:r>
        <w:rPr>
          <w:rFonts w:ascii="EB Garamond" w:hAnsi="EB Garamond" w:cs="EB Garamond"/>
          <w:b/>
          <w:i w:val="0"/>
          <w:color w:val="201B16"/>
          <w:sz w:val="18"/>
        </w:rPr>
        <w:t>Curso Prático de Direito Previdenciário</w:t>
      </w:r>
      <w:r>
        <w:rPr>
          <w:rFonts w:ascii="EB Garamond" w:hAnsi="EB Garamond" w:cs="EB Garamond"/>
          <w:b w:val="0"/>
          <w:i w:val="0"/>
          <w:color w:val="201B16"/>
          <w:sz w:val="18"/>
        </w:rPr>
        <w:t>. 22. ed. Salvador: JusPodivm, 2024.</w:t>
      </w:r>
    </w:p>
    <w:p>
      <w:pPr>
        <w:spacing w:before="0" w:after="48" w:line="240" w:lineRule="auto"/>
        <w:ind w:left="272" w:hanging="272"/>
        <w:jc w:val="left"/>
      </w:pPr>
      <w:r>
        <w:rPr>
          <w:rFonts w:ascii="EB Garamond" w:hAnsi="EB Garamond" w:cs="EB Garamond"/>
          <w:b w:val="0"/>
          <w:i w:val="0"/>
          <w:color w:val="201B16"/>
          <w:sz w:val="18"/>
        </w:rPr>
        <w:t xml:space="preserve">PORTO, Rafael Duarte de Oliveira. </w:t>
      </w:r>
      <w:r>
        <w:rPr>
          <w:rFonts w:ascii="EB Garamond" w:hAnsi="EB Garamond" w:cs="EB Garamond"/>
          <w:b/>
          <w:i w:val="0"/>
          <w:color w:val="201B16"/>
          <w:sz w:val="18"/>
        </w:rPr>
        <w:t>Manual de Direito Previdenciário</w:t>
      </w:r>
      <w:r>
        <w:rPr>
          <w:rFonts w:ascii="EB Garamond" w:hAnsi="EB Garamond" w:cs="EB Garamond"/>
          <w:b w:val="0"/>
          <w:i w:val="0"/>
          <w:color w:val="201B16"/>
          <w:sz w:val="18"/>
        </w:rPr>
        <w:t>. 2. ed. São Paulo: Editora JusPodivm, 2024.</w:t>
      </w:r>
    </w:p>
    <w:p>
      <w:pPr>
        <w:spacing w:before="0" w:after="48" w:line="240" w:lineRule="auto"/>
        <w:ind w:left="272" w:hanging="272"/>
        <w:jc w:val="left"/>
      </w:pPr>
      <w:r>
        <w:rPr>
          <w:rFonts w:ascii="EB Garamond" w:hAnsi="EB Garamond" w:cs="EB Garamond"/>
          <w:b w:val="0"/>
          <w:i w:val="0"/>
          <w:color w:val="201B16"/>
          <w:sz w:val="18"/>
        </w:rPr>
        <w:t xml:space="preserve">SANTOS, Marisa Ferreira dos; CALEJON, Rodrigo. </w:t>
      </w:r>
      <w:r>
        <w:rPr>
          <w:rFonts w:ascii="EB Garamond" w:hAnsi="EB Garamond" w:cs="EB Garamond"/>
          <w:b/>
          <w:i w:val="0"/>
          <w:color w:val="201B16"/>
          <w:sz w:val="18"/>
        </w:rPr>
        <w:t>Direito Previdenciário Esquematizado</w:t>
      </w:r>
      <w:r>
        <w:rPr>
          <w:rFonts w:ascii="EB Garamond" w:hAnsi="EB Garamond" w:cs="EB Garamond"/>
          <w:b w:val="0"/>
          <w:i w:val="0"/>
          <w:color w:val="201B16"/>
          <w:sz w:val="18"/>
        </w:rPr>
        <w:t>. 15. ed. São Paulo: SaraivaJur, 2025.</w:t>
      </w:r>
    </w:p>
    <w:p>
      <w:pPr>
        <w:spacing w:before="0" w:after="48" w:line="240" w:lineRule="auto"/>
        <w:ind w:left="272" w:hanging="272"/>
        <w:jc w:val="left"/>
      </w:pPr>
      <w:r>
        <w:rPr>
          <w:rFonts w:ascii="EB Garamond" w:hAnsi="EB Garamond" w:cs="EB Garamond"/>
          <w:b w:val="0"/>
          <w:i w:val="0"/>
          <w:color w:val="201B16"/>
          <w:sz w:val="18"/>
        </w:rPr>
        <w:t xml:space="preserve">SAVARIS, José Antonio. </w:t>
      </w:r>
      <w:r>
        <w:rPr>
          <w:rFonts w:ascii="EB Garamond" w:hAnsi="EB Garamond" w:cs="EB Garamond"/>
          <w:b/>
          <w:i w:val="0"/>
          <w:color w:val="201B16"/>
          <w:sz w:val="18"/>
        </w:rPr>
        <w:t>Direito Processual Previdenciário</w:t>
      </w:r>
      <w:r>
        <w:rPr>
          <w:rFonts w:ascii="EB Garamond" w:hAnsi="EB Garamond" w:cs="EB Garamond"/>
          <w:b w:val="0"/>
          <w:i w:val="0"/>
          <w:color w:val="201B16"/>
          <w:sz w:val="18"/>
        </w:rPr>
        <w:t>. 11. ed. Curitiba: Alteridade, 2023.</w:t>
      </w:r>
    </w:p>
    <w:sectPr w:rsidR="00FC693F" w:rsidRPr="0006063C" w:rsidSect="00034616">
      <w:headerReference w:type="default" r:id="rId9"/>
      <w:footerReference w:type="default" r:id="rId10"/>
      <w:footerReference w:type="first" r:id="rId11"/>
      <w:pgSz w:w="8391" w:h="11906"/>
      <w:pgMar w:top="935" w:right="879" w:bottom="964" w:left="1162" w:header="454" w:footer="425" w:gutter="0" w:mirrorMargins="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rPr>
      <w:t>Capítulo 2  |  Segurados e Dependentes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9" w:lineRule="auto"/>
      <w:jc w:val="both"/>
    </w:pPr>
    <w:rPr>
      <w:rFonts w:ascii="EB Garamond" w:hAnsi="EB Garamond"/>
      <w:color w:val="201B1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2 — Segurados e Dependentes</dc:title>
  <dc:subject>Direito Previdenciário</dc:subject>
  <dc:creator>python-docx</dc:creator>
  <cp:keywords>direito previdenciário; seguridade social; doutrina</cp:keywords>
  <dc:description>Diagramação em formato de capítulo de livro jurídico.</dc:description>
  <cp:lastModifiedBy/>
  <cp:revision>1</cp:revision>
  <dcterms:created xsi:type="dcterms:W3CDTF">2013-12-23T23:15:00Z</dcterms:created>
  <dcterms:modified xsi:type="dcterms:W3CDTF">2013-12-23T23:15:00Z</dcterms:modified>
  <cp:category/>
</cp:coreProperties>
</file>