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80" w:line="240" w:lineRule="auto"/>
        <w:jc w:val="center"/>
      </w:pPr>
      <w:r>
        <w:rPr>
          <w:rFonts w:ascii="Noto Sans" w:hAnsi="Noto Sans" w:cs="Noto Sans"/>
          <w:b/>
          <w:i w:val="0"/>
          <w:caps/>
          <w:color w:val="8A6A2A"/>
          <w:sz w:val="19"/>
        </w:rPr>
        <w:t>CAPÍTULO 3</w:t>
      </w:r>
    </w:p>
    <w:p>
      <w:pPr>
        <w:spacing w:before="0" w:after="160" w:line="240" w:lineRule="auto"/>
        <w:jc w:val="center"/>
      </w:pPr>
      <w:r>
        <w:rPr>
          <w:rFonts w:ascii="EB Garamond" w:hAnsi="EB Garamond" w:cs="EB Garamond"/>
          <w:b/>
          <w:i w:val="0"/>
          <w:color w:val="2F2923"/>
          <w:sz w:val="40"/>
        </w:rPr>
        <w:t>PERÍODO DE CARÊNCIA E MANUTENÇÃO DA QUALIDADE DE SEGURADO</w:t>
      </w:r>
    </w:p>
    <w:p>
      <w:pPr>
        <w:spacing w:before="0" w:after="240" w:line="240" w:lineRule="auto"/>
        <w:jc w:val="center"/>
      </w:pPr>
      <w:r>
        <w:rPr>
          <w:rFonts w:ascii="EB Garamond" w:hAnsi="EB Garamond" w:cs="EB Garamond"/>
          <w:b w:val="0"/>
          <w:i w:val="0"/>
          <w:color w:val="B78B37"/>
          <w:sz w:val="18"/>
        </w:rPr>
        <w:t>◆</w:t>
      </w:r>
    </w:p>
    <w:p>
      <w:pPr>
        <w:spacing w:before="0" w:after="70" w:line="259" w:lineRule="auto"/>
        <w:jc w:val="both"/>
      </w:pPr>
      <w:r>
        <w:rPr>
          <w:rFonts w:ascii="EB Garamond" w:hAnsi="EB Garamond" w:cs="EB Garamond"/>
          <w:b w:val="0"/>
          <w:i w:val="0"/>
          <w:color w:val="201B16"/>
          <w:sz w:val="21"/>
        </w:rPr>
        <w:t>O acesso aos benefícios previdenciários no Regime Geral de Previdência Social não se esgota na condição de segurado. Além da filiação e da ocorrência do evento coberto (incapacidade, idade avançada, morte, maternidade), a legislação exige, como regra, o cumprimento de um período mínimo de contribuições prévias, denominado carência. Paralelamente, a manutenção da qualidade de segurado constitui pressuposto de proteção que se prolonga, em determinadas hipóteses, mesmo após a cessação das contribuições, por meio do chamado período de graça.</w:t>
      </w:r>
    </w:p>
    <w:p>
      <w:pPr>
        <w:spacing w:before="0" w:after="70" w:line="259" w:lineRule="auto"/>
        <w:ind w:firstLine="238"/>
        <w:jc w:val="both"/>
      </w:pPr>
      <w:r>
        <w:rPr>
          <w:rFonts w:ascii="EB Garamond" w:hAnsi="EB Garamond" w:cs="EB Garamond"/>
          <w:b w:val="0"/>
          <w:i w:val="0"/>
          <w:color w:val="201B16"/>
          <w:sz w:val="21"/>
        </w:rPr>
        <w:t>Carência e qualidade de segurado são conceitos autônomos, mas funcionalmente conectados. A carência opera como filtro de acesso ao benefício, exigindo um histórico contributivo mínimo que demonstre vinculação efetiva ao sistema. A qualidade de segurado, por sua vez, define o arco temporal dentro do qual o trabalhador permanece sob a proteção previdenciária. A perda de qualquer desses requisitos impede, em regra, a concessão do benefício pleiteado. Compreender com precisão o alcance de cada instituto é indispensável para a prática nos Juizados Especiais Federais, onde a verificação da carência e da qualidade de segurado constitui questão preliminar em praticamente todas as ações previdenciárias.</w:t>
      </w:r>
    </w:p>
    <w:p>
      <w:pPr>
        <w:spacing w:before="0" w:after="70" w:line="259" w:lineRule="auto"/>
        <w:ind w:firstLine="238"/>
        <w:jc w:val="both"/>
      </w:pPr>
      <w:r>
        <w:rPr>
          <w:rFonts w:ascii="EB Garamond" w:hAnsi="EB Garamond" w:cs="EB Garamond"/>
          <w:b w:val="0"/>
          <w:i w:val="0"/>
          <w:color w:val="201B16"/>
          <w:sz w:val="21"/>
        </w:rPr>
        <w:t>A importância prática desses institutos revela-se na constatação de que carência e qualidade de segurado constituem, ao lado da ocorrência do fato gerador, os três pressupostos genéricos de concessão de benefícios previdenciários. A ausência de qualquer um deles, salvo nos casos expressamente ressalvados pela legislação, acarreta o indeferimento administrativo ou a improcedência do pedido judicial. Na experiência dos Juizados Especiais Federais, a análise desses pressupostos antecede o exame do mérito propriamente dito e, não raro, constitui o fundamento exclusivo da decisão. Observa que a compreensão articulada desses institutos constitui pré-requisito indispensável para o estudo das prestações em espécie, razão pela qual o autor os denomina "parte geral do plano de benefícios", destacando a conveniência de isolá-los para análise autônoma antes de adentrar os contornos específicos de cada benefício. Esse enfoque sistemático será adotado no presente capítulo, que busca esgotar os aspectos mais relevantes da carência e da qualidade de segurado para a prática previdenciária nos JEFs.</w:t>
      </w:r>
    </w:p>
    <w:p>
      <w:pPr>
        <w:spacing w:before="360" w:after="140" w:line="240" w:lineRule="auto"/>
        <w:jc w:val="left"/>
        <w:pBdr>
          <w:bottom w:val="single" w:sz="8" w:space="4" w:color="B89B5E"/>
        </w:pBdr>
        <w:keepNext/>
      </w:pPr>
      <w:r>
        <w:rPr>
          <w:rFonts w:ascii="EB Garamond" w:hAnsi="EB Garamond" w:cs="EB Garamond"/>
          <w:b/>
          <w:i w:val="0"/>
          <w:color w:val="3A3128"/>
          <w:sz w:val="31"/>
        </w:rPr>
        <w:t>3.1 Conceito e Natureza Jurídica da Carência</w:t>
      </w:r>
    </w:p>
    <w:p>
      <w:pPr>
        <w:spacing w:before="0" w:after="70" w:line="259" w:lineRule="auto"/>
        <w:jc w:val="both"/>
      </w:pPr>
      <w:r>
        <w:rPr>
          <w:rFonts w:ascii="EB Garamond" w:hAnsi="EB Garamond" w:cs="EB Garamond"/>
          <w:b w:val="0"/>
          <w:i w:val="0"/>
          <w:color w:val="201B16"/>
          <w:sz w:val="21"/>
        </w:rPr>
        <w:t>O art. 24 da Lei n. 8.213, de 24 de julho de 1991, define o período de carência como "o número mínimo de contribuições mensais indispensáveis para que o beneficiário faça jus ao benefício, consideradas a partir do transcurso do primeiro dia dos meses de suas competências". A doutrina majoritária classifica a carência como requisito objetivo de concessão do benefício previdenciário, ao lado da qualidade de segurado e da ocorrência do fato gerador. Ibrahim situa a carência na hipótese de incidência da norma previdenciária, conectando-a à função atuarial do sistema: assegurar que o acesso aos benefícios seja restrito a segurados com vínculo contributivo efetivo e contínuo.</w:t>
      </w:r>
    </w:p>
    <w:p>
      <w:pPr>
        <w:spacing w:before="0" w:after="70" w:line="259" w:lineRule="auto"/>
        <w:ind w:firstLine="238"/>
        <w:jc w:val="both"/>
      </w:pPr>
      <w:r>
        <w:rPr>
          <w:rFonts w:ascii="EB Garamond" w:hAnsi="EB Garamond" w:cs="EB Garamond"/>
          <w:b w:val="0"/>
          <w:i w:val="0"/>
          <w:color w:val="201B16"/>
          <w:sz w:val="21"/>
        </w:rPr>
        <w:t>Porto (2024) sintetiza o conceito com objetividade: a carência consiste em um número mínimo de contribuições mensais (ou de atividade laborativa, no caso do segurado especial) exigido para a concessão de certos benefícios. Assim, há benefícios que não exigem carência e outros que a exigem, sendo variável o número de contribuições mensais conforme a espécie. A simplicidade da definição contrasta com a complexidade de sua aplicação prática, que depende da correta identificação da categoria do segurado, do regime temporal aplicável e da natureza do evento gerador.</w:t>
      </w:r>
    </w:p>
    <w:p>
      <w:pPr>
        <w:spacing w:before="0" w:after="70" w:line="259" w:lineRule="auto"/>
        <w:ind w:firstLine="238"/>
        <w:jc w:val="both"/>
      </w:pPr>
      <w:r>
        <w:rPr>
          <w:rFonts w:ascii="EB Garamond" w:hAnsi="EB Garamond" w:cs="EB Garamond"/>
          <w:b w:val="0"/>
          <w:i w:val="0"/>
          <w:color w:val="201B16"/>
          <w:sz w:val="21"/>
        </w:rPr>
        <w:t>A natureza jurídica da carência é objeto de debate doutrinário. A corrente majoritária a classifica como condição objetiva de acesso ao benefício, de natureza diversa tanto da qualidade de segurado (que é condição subjetiva de proteção) quanto do fato gerador (que é o evento coberto pelo seguro). Trata-se, em essência, de requisito atuarial que reflete o princípio do equilíbrio financeiro e atuarial consagrado no art. 201, caput, da Constituição Federal: exige-se um período mínimo de contribuição para que o beneficiário demonstre participação efetiva no custeio do sistema antes de usufruir de suas prestações. Essa exigência distingue a previdência social da assistência social, na qual o acesso independe de contribuição prévia.</w:t>
      </w:r>
    </w:p>
    <w:p>
      <w:pPr>
        <w:spacing w:before="260" w:after="80" w:line="240" w:lineRule="auto"/>
        <w:jc w:val="left"/>
        <w:keepNext/>
      </w:pPr>
      <w:r>
        <w:rPr>
          <w:rFonts w:ascii="EB Garamond" w:hAnsi="EB Garamond" w:cs="EB Garamond"/>
          <w:b/>
          <w:i w:val="0"/>
          <w:color w:val="3A3128"/>
          <w:sz w:val="25"/>
        </w:rPr>
        <w:t>3.1.1 Carência versus Tempo de Contribuição</w:t>
      </w:r>
    </w:p>
    <w:p>
      <w:pPr>
        <w:spacing w:before="0" w:after="70" w:line="259" w:lineRule="auto"/>
        <w:jc w:val="both"/>
      </w:pPr>
      <w:r>
        <w:rPr>
          <w:rFonts w:ascii="EB Garamond" w:hAnsi="EB Garamond" w:cs="EB Garamond"/>
          <w:b w:val="0"/>
          <w:i w:val="0"/>
          <w:color w:val="201B16"/>
          <w:sz w:val="21"/>
        </w:rPr>
        <w:t>A distinção entre carência e tempo de contribuição é fundamental e, constitui uma das fontes mais frequentes de confusão na prática previdenciária. A carência é contada em número de contribuições mensais válidas, ao passo que o tempo de contribuição compreende o cômputo total de períodos laborais em dias, meses e anos, podendo incluir períodos indenizados, ficcionais e retroativos. Contribuições recolhidas em atraso, por exemplo, são computadas para tempo de contribuição, mas não necessariamente para carência (art. 27, II, da Lei 8.213/91). A Turma Nacional de Uniformização consolidou essa distinção no Tema 358 (rel. Juiz Federal Giovani Bigolin, j. 16/10/2024), fixando a tese de que "tempo de contribuição e carência são institutos distintos" e que "a carência consiste em contribuições tempestivas", esclarecendo ainda que "o art. 18 da EC n. 103/2019 não dispensa o requisito da carência para concessão de aposentadoria".</w:t>
      </w:r>
    </w:p>
    <w:p>
      <w:pPr>
        <w:spacing w:before="0" w:after="70" w:line="259" w:lineRule="auto"/>
        <w:ind w:firstLine="238"/>
        <w:jc w:val="both"/>
      </w:pPr>
      <w:r>
        <w:rPr>
          <w:rFonts w:ascii="EB Garamond" w:hAnsi="EB Garamond" w:cs="EB Garamond"/>
          <w:b w:val="0"/>
          <w:i w:val="0"/>
          <w:color w:val="201B16"/>
          <w:sz w:val="21"/>
        </w:rPr>
        <w:t>A distinção adquire relevância prática quando se considera que o segurado pode reunir tempo de contribuição suficiente para aposentadoria sem ter cumprido a carência correspondente, e vice-versa. Isso ocorre, por exemplo, quando o contribuinte individual recolhe contribuições em atraso para completar o tempo necessário: essas contribuições contam para tempo de contribuição, mas não para carência, exceto se recolhidas após o primeiro pagamento tempestivo e dentro do período de qualidade de segurado. A consequência é que dois segurados com idêntico tempo de contribuição podem ostentar situações radicalmente distintas quanto à carência, a depender da regularidade e da tempestividade de seus recolhimentos.</w:t>
      </w:r>
    </w:p>
    <w:p>
      <w:pPr>
        <w:spacing w:before="0" w:after="70" w:line="259" w:lineRule="auto"/>
        <w:ind w:firstLine="238"/>
        <w:jc w:val="both"/>
      </w:pPr>
      <w:r>
        <w:rPr>
          <w:rFonts w:ascii="EB Garamond" w:hAnsi="EB Garamond" w:cs="EB Garamond"/>
          <w:b w:val="0"/>
          <w:i w:val="0"/>
          <w:color w:val="201B16"/>
          <w:sz w:val="21"/>
        </w:rPr>
        <w:t>Porto (2024) oferece exemplo esclarecedor: para os benefícios programados (aposentadorias por idade, especial e por tempo de contribuição), que não exigem qualidade de segurado na data do requerimento por força do art. 3º da Lei n. 10.666/2003, basta reunir ao longo de toda a vida laborativa os 180 meses de contribuição exigidos como carência, ainda que de forma espaçada no tempo. Já para os benefícios não programados (auxílio por incapacidade temporária, aposentadoria por incapacidade permanente, salário-maternidade e auxílio-reclusão), o cômputo da carência deve observar contribuições sequenciais, de modo que entre todas elas não tenha havido perda da qualidade de segurado. A perda da qualidade acarreta, salvo as exceções legais, a caducidade da carência anteriormente cumprida.</w:t>
      </w:r>
    </w:p>
    <w:p>
      <w:pPr>
        <w:spacing w:before="260" w:after="80" w:line="240" w:lineRule="auto"/>
        <w:jc w:val="left"/>
        <w:keepNext/>
      </w:pPr>
      <w:r>
        <w:rPr>
          <w:rFonts w:ascii="EB Garamond" w:hAnsi="EB Garamond" w:cs="EB Garamond"/>
          <w:b/>
          <w:i w:val="0"/>
          <w:color w:val="3A3128"/>
          <w:sz w:val="25"/>
        </w:rPr>
        <w:t>3.1.2 Função Atuarial e Dimensão Constitucional da Carência</w:t>
      </w:r>
    </w:p>
    <w:p>
      <w:pPr>
        <w:spacing w:before="0" w:after="70" w:line="259" w:lineRule="auto"/>
        <w:jc w:val="both"/>
      </w:pPr>
      <w:r>
        <w:rPr>
          <w:rFonts w:ascii="EB Garamond" w:hAnsi="EB Garamond" w:cs="EB Garamond"/>
          <w:b w:val="0"/>
          <w:i w:val="0"/>
          <w:color w:val="201B16"/>
          <w:sz w:val="21"/>
        </w:rPr>
        <w:t>A carência desempenha função atuarial no sistema previdenciário ao evitar que segurados recém-ingressantes acessem imediatamente benefícios cujo custeio pressupõe contribuição mínima pretérita. Sem esse filtro, o sistema enfrentaria desequilíbrio financeiro decorrente da concessão de prestações a segurados que contribuíram por período ínfimo. A Constituição Federal, ao consagrar o princípio do equilíbrio financeiro e atuarial (art. 201, caput), fornece o fundamento para a exigência de carência, embora não a imponha diretamente, delegando ao legislador ordinário a definição dos períodos aplicáveis.</w:t>
      </w:r>
    </w:p>
    <w:p>
      <w:pPr>
        <w:spacing w:before="0" w:after="70" w:line="259" w:lineRule="auto"/>
        <w:ind w:firstLine="238"/>
        <w:jc w:val="both"/>
      </w:pPr>
      <w:r>
        <w:rPr>
          <w:rFonts w:ascii="EB Garamond" w:hAnsi="EB Garamond" w:cs="EB Garamond"/>
          <w:b w:val="0"/>
          <w:i w:val="0"/>
          <w:color w:val="201B16"/>
          <w:sz w:val="21"/>
        </w:rPr>
        <w:t>O Supremo Tribunal Federal, ao apreciar as ADIs 2.110 e 2.111, ofereceu relevante contribuição para a compreensão dos limites constitucionais da carência, reconhecendo que a exigência deve observar o princípio da isonomia e não pode criar discriminações injustificadas entre categorias de segurados. Essa decisão, que será examinada em detalhes adiante (seção 3.3.5), evidencia que a carência, embora legítima em sua função atuarial, encontra limites nos princípios constitucionais que regem a seguridade social.</w:t>
      </w:r>
    </w:p>
    <w:p>
      <w:pPr>
        <w:spacing w:before="360" w:after="140" w:line="240" w:lineRule="auto"/>
        <w:jc w:val="left"/>
        <w:pBdr>
          <w:bottom w:val="single" w:sz="8" w:space="4" w:color="B89B5E"/>
        </w:pBdr>
        <w:keepNext/>
      </w:pPr>
      <w:r>
        <w:rPr>
          <w:rFonts w:ascii="EB Garamond" w:hAnsi="EB Garamond" w:cs="EB Garamond"/>
          <w:b/>
          <w:i w:val="0"/>
          <w:color w:val="3A3128"/>
          <w:sz w:val="31"/>
        </w:rPr>
        <w:t>3.2 Prazos de Carência por Espécie de Benefício</w:t>
      </w:r>
    </w:p>
    <w:p>
      <w:pPr>
        <w:spacing w:before="0" w:after="70" w:line="259" w:lineRule="auto"/>
        <w:jc w:val="both"/>
      </w:pPr>
      <w:r>
        <w:rPr>
          <w:rFonts w:ascii="EB Garamond" w:hAnsi="EB Garamond" w:cs="EB Garamond"/>
          <w:b w:val="0"/>
          <w:i w:val="0"/>
          <w:color w:val="201B16"/>
          <w:sz w:val="21"/>
        </w:rPr>
        <w:t>O art. 25 da Lei 8.213/91 estabelece os períodos de carência exigidos para cada espécie de benefício, adotando critério que reflete a natureza e a previsibilidade do evento coberto: benefícios relacionados a eventos imprevisíveis exigem carência menor, enquanto aposentadorias programadas demandam período contributivo mais extenso.</w:t>
      </w:r>
    </w:p>
    <w:p>
      <w:pPr>
        <w:spacing w:before="260" w:after="80" w:line="240" w:lineRule="auto"/>
        <w:jc w:val="left"/>
        <w:keepNext/>
      </w:pPr>
      <w:r>
        <w:rPr>
          <w:rFonts w:ascii="EB Garamond" w:hAnsi="EB Garamond" w:cs="EB Garamond"/>
          <w:b/>
          <w:i w:val="0"/>
          <w:color w:val="3A3128"/>
          <w:sz w:val="25"/>
        </w:rPr>
        <w:t>3.2.1 Benefícios por Incapacidade: 12 Contribuições Mensais</w:t>
      </w:r>
    </w:p>
    <w:p>
      <w:pPr>
        <w:spacing w:before="0" w:after="70" w:line="259" w:lineRule="auto"/>
        <w:jc w:val="both"/>
      </w:pPr>
      <w:r>
        <w:rPr>
          <w:rFonts w:ascii="EB Garamond" w:hAnsi="EB Garamond" w:cs="EB Garamond"/>
          <w:b w:val="0"/>
          <w:i w:val="0"/>
          <w:color w:val="201B16"/>
          <w:sz w:val="21"/>
        </w:rPr>
        <w:t>O auxílio por incapacidade temporária (antigo auxílio-doença) e a aposentadoria por incapacidade permanente (antiga aposentadoria por invalidez) exigem 12 contribuições mensais (art. 25, inciso I). A carência relativamente reduzida se justifica pela natureza imprevisível do evento incapacitante: não seria razoável exigir período contributivo extenso para proteção contra riscos que independem da vontade do segurado. Observam que, uma vez perdida a qualidade de segurado, o art. 27-A exige que o segurado cumpra novamente metade da carência (6 contribuições) a partir da nova filiação para readquirir o direito ao benefício por incapacidade, regra que será examinada em detalhe na seção 3.8.</w:t>
      </w:r>
    </w:p>
    <w:p>
      <w:pPr>
        <w:spacing w:before="0" w:after="70" w:line="259" w:lineRule="auto"/>
        <w:ind w:firstLine="238"/>
        <w:jc w:val="both"/>
      </w:pPr>
      <w:r>
        <w:rPr>
          <w:rFonts w:ascii="EB Garamond" w:hAnsi="EB Garamond" w:cs="EB Garamond"/>
          <w:b w:val="0"/>
          <w:i w:val="0"/>
          <w:color w:val="201B16"/>
          <w:sz w:val="21"/>
        </w:rPr>
        <w:t>A nomenclatura dos benefícios por incapacidade foi alterada após a EC 103/2019. O INSS passou a adotar as denominações "aposentadoria por incapacidade permanente" e "auxílio por incapacidade temporária", decorrentes da nova redação do art. 201, I, da Constituição. Registra que a legislação ordinária ainda não incorporou formalmente a nova nomenclatura, embora o Decreto 10.410/2020 já a tenha adotado no Regulamento da Previdência Social.</w:t>
      </w:r>
    </w:p>
    <w:p>
      <w:pPr>
        <w:spacing w:before="260" w:after="80" w:line="240" w:lineRule="auto"/>
        <w:jc w:val="left"/>
        <w:keepNext/>
      </w:pPr>
      <w:r>
        <w:rPr>
          <w:rFonts w:ascii="EB Garamond" w:hAnsi="EB Garamond" w:cs="EB Garamond"/>
          <w:b/>
          <w:i w:val="0"/>
          <w:color w:val="3A3128"/>
          <w:sz w:val="25"/>
        </w:rPr>
        <w:t>3.2.2 Aposentadorias Programadas: 180 Contribuições Mensais</w:t>
      </w:r>
    </w:p>
    <w:p>
      <w:pPr>
        <w:spacing w:before="0" w:after="70" w:line="259" w:lineRule="auto"/>
        <w:jc w:val="both"/>
      </w:pPr>
      <w:r>
        <w:rPr>
          <w:rFonts w:ascii="EB Garamond" w:hAnsi="EB Garamond" w:cs="EB Garamond"/>
          <w:b w:val="0"/>
          <w:i w:val="0"/>
          <w:color w:val="201B16"/>
          <w:sz w:val="21"/>
        </w:rPr>
        <w:t>As aposentadorias por idade, por tempo de contribuição e especial demandam 180 contribuições mensais (art. 25, inciso II). Trata-se do período de carência mais extenso do sistema, coerente com a natureza programada desses benefícios: o segurado pode planejar antecipadamente o cumprimento dos requisitos. O Decreto 10.410/2020 estendeu a exigência de 180 contribuições à aposentadoria programada instituída pela EC 103/2019, que substituiu as antigas aposentadorias por idade e por tempo de contribuição para os segurados que ingressaram no RGPS após 13 de novembro de 2019.</w:t>
      </w:r>
    </w:p>
    <w:p>
      <w:pPr>
        <w:spacing w:before="0" w:after="70" w:line="259" w:lineRule="auto"/>
        <w:ind w:firstLine="238"/>
        <w:jc w:val="both"/>
      </w:pPr>
      <w:r>
        <w:rPr>
          <w:rFonts w:ascii="EB Garamond" w:hAnsi="EB Garamond" w:cs="EB Garamond"/>
          <w:b w:val="0"/>
          <w:i w:val="0"/>
          <w:color w:val="201B16"/>
          <w:sz w:val="21"/>
        </w:rPr>
        <w:t>A tabela de transição prevista no art. 142 da Lei 8.213/91 ainda pode ser relevante para situações pretéritas. Esse dispositivo estabelecia carência progressiva para segurados inscritos no RGPS antes de 25 de julho de 1991 (data de vigência da Lei 8.213/91), partindo de 60 contribuições mensais em 1991 e alcançando 180 contribuições a partir de 2011. A tabela foi integralmente cumprida e deixou de ter aplicação prática para novos requerimentos, mas permanece relevante para análise de direito adquirido em ações envolvendo segurados que preencheram requisitos antes de 2011.</w:t>
      </w:r>
    </w:p>
    <w:p>
      <w:pPr>
        <w:spacing w:before="260" w:after="80" w:line="240" w:lineRule="auto"/>
        <w:jc w:val="left"/>
        <w:keepNext/>
      </w:pPr>
      <w:r>
        <w:rPr>
          <w:rFonts w:ascii="EB Garamond" w:hAnsi="EB Garamond" w:cs="EB Garamond"/>
          <w:b/>
          <w:i w:val="0"/>
          <w:color w:val="3A3128"/>
          <w:sz w:val="25"/>
        </w:rPr>
        <w:t>3.2.3 Auxílio-Reclusão e Salário-Maternidade</w:t>
      </w:r>
    </w:p>
    <w:p>
      <w:pPr>
        <w:spacing w:before="0" w:after="70" w:line="259" w:lineRule="auto"/>
        <w:jc w:val="both"/>
      </w:pPr>
      <w:r>
        <w:rPr>
          <w:rFonts w:ascii="EB Garamond" w:hAnsi="EB Garamond" w:cs="EB Garamond"/>
          <w:b w:val="0"/>
          <w:i w:val="0"/>
          <w:color w:val="201B16"/>
          <w:sz w:val="21"/>
        </w:rPr>
        <w:t>O salário-maternidade das seguradas contribuinte individual, especial e facultativa exigia 10 contribuições mensais (art. 25, inciso III), enquanto o auxílio-reclusão passou a exigir 24 contribuições mensais (art. 25, inciso IV), nos termos da Lei n. 13.846, de 18 de junho de 2019.</w:t>
      </w:r>
    </w:p>
    <w:p>
      <w:pPr>
        <w:spacing w:before="0" w:after="70" w:line="259" w:lineRule="auto"/>
        <w:ind w:firstLine="238"/>
        <w:jc w:val="both"/>
      </w:pPr>
      <w:r>
        <w:rPr>
          <w:rFonts w:ascii="EB Garamond" w:hAnsi="EB Garamond" w:cs="EB Garamond"/>
          <w:b w:val="0"/>
          <w:i w:val="0"/>
          <w:color w:val="201B16"/>
          <w:sz w:val="21"/>
        </w:rPr>
        <w:t>Merece registro a alteração promovida pela Lei 13.846/2019 em relação ao auxílio-reclusão. Até a vigência da Medida Provisória n. 871/2019 (18/01/2019), o auxílio-reclusão dispensava carência, figurando no rol do art. 26, inciso I, da Lei 8.213/91. A partir dessa data, a prestação passou a exigir 24 contribuições mensais (art. 25, IV), a mais elevada carência entre os benefícios que não são aposentadoria. A modificação representou restrição significativa ao acesso de dependentes de segurados de baixa renda recolhidos à prisão em regime fechado, cumulando-se à exigência de baixa renda que a Emenda Constitucional n. 103/2019 posteriormente constitucionalizou.</w:t>
      </w:r>
    </w:p>
    <w:p>
      <w:pPr>
        <w:spacing w:before="0" w:after="70" w:line="259" w:lineRule="auto"/>
        <w:ind w:firstLine="238"/>
        <w:jc w:val="both"/>
      </w:pPr>
      <w:r>
        <w:rPr>
          <w:rFonts w:ascii="EB Garamond" w:hAnsi="EB Garamond" w:cs="EB Garamond"/>
          <w:b w:val="0"/>
          <w:i w:val="0"/>
          <w:color w:val="201B16"/>
          <w:sz w:val="21"/>
        </w:rPr>
        <w:t>registra que o auxílio-reclusão foi retirado do rol de benefícios dispensados de carência (art. 26, I) pela Lei 13.846/2019, passando-se a exigir carência de 24 contribuições mensais, a mais onerosa entre os benefícios não programados. A medida, conjugada com a constitucionalização do critério de baixa renda pela EC 103/2019, restringiu substancialmente o acesso a essa prestação. Do ponto de vista do operador do direito nos JEFs, a alteração impõe atenção redobrada ao regime temporal: requerimentos com fato gerador (recolhimento à prisão) anterior a 18 de janeiro de 2019 seguem o regime antigo (sem carência), enquanto os posteriores exigem 24 contribuições.</w:t>
      </w:r>
    </w:p>
    <w:p>
      <w:pPr>
        <w:spacing w:before="260" w:after="80" w:line="240" w:lineRule="auto"/>
        <w:jc w:val="left"/>
        <w:keepNext/>
      </w:pPr>
      <w:r>
        <w:rPr>
          <w:rFonts w:ascii="EB Garamond" w:hAnsi="EB Garamond" w:cs="EB Garamond"/>
          <w:b/>
          <w:i w:val="0"/>
          <w:color w:val="3A3128"/>
          <w:sz w:val="25"/>
        </w:rPr>
        <w:t>3.2.4 Impactos da EC 103/2019 nos Prazos de Carência</w:t>
      </w:r>
    </w:p>
    <w:p>
      <w:pPr>
        <w:spacing w:before="0" w:after="70" w:line="259" w:lineRule="auto"/>
        <w:jc w:val="both"/>
      </w:pPr>
      <w:r>
        <w:rPr>
          <w:rFonts w:ascii="EB Garamond" w:hAnsi="EB Garamond" w:cs="EB Garamond"/>
          <w:b w:val="0"/>
          <w:i w:val="0"/>
          <w:color w:val="201B16"/>
          <w:sz w:val="21"/>
        </w:rPr>
        <w:t>É relevante observar que a EC 103/2019, embora tenha promovido profunda reforma no sistema previdenciário, não alterou diretamente os períodos de carência previstos na Lei 8.213/91. A emenda, contudo, introduziu a exigência de tempo mínimo de contribuição de 20 anos para homens e 15 anos para mulheres nas novas regras de aposentadoria (art. 201, § 7º, I, da Constituição), o que representa, na prática, requisito superior à carência legal de 180 meses para os segurados do sexo masculino que ingressarem no RGPS após a reforma.</w:t>
      </w:r>
    </w:p>
    <w:p>
      <w:pPr>
        <w:spacing w:before="0" w:after="70" w:line="259" w:lineRule="auto"/>
        <w:ind w:firstLine="238"/>
        <w:jc w:val="both"/>
      </w:pPr>
      <w:r>
        <w:rPr>
          <w:rFonts w:ascii="EB Garamond" w:hAnsi="EB Garamond" w:cs="EB Garamond"/>
          <w:b w:val="0"/>
          <w:i w:val="0"/>
          <w:color w:val="201B16"/>
          <w:sz w:val="21"/>
        </w:rPr>
        <w:t>observam que a EC 103/2019, em seu art. 19, fixou regra transitória segundo a qual, até que lei ordinária discipline a matéria, a carência para a aposentadoria programada será de 15 anos de contribuição para a mulher e 20 anos para o homem. Trata-se, na prática, de equiparação entre carência e tempo mínimo de contribuição, superando a distinção que anteriormente existia entre os dois institutos para as aposentadorias programadas. A PEC 133/2019, conhecida como PEC paralela, propôs a redução do tempo mínimo do homem para 15 anos, mas até o presente momento não foi aprovada.</w:t>
      </w:r>
    </w:p>
    <w:tbl>
      <w:tblPr>
        <w:tblW w:type="auto" w:w="0"/>
        <w:jc w:val="center"/>
        <w:tblLayout w:type="autofit"/>
        <w:tblLook w:firstColumn="1" w:firstRow="1" w:lastColumn="0" w:lastRow="0" w:noHBand="0" w:noVBand="1" w:val="04A0"/>
        <w:tblW w:w="5000" w:type="pct"/>
      </w:tblPr>
      <w:tblGrid>
        <w:gridCol w:w="6350"/>
      </w:tblGrid>
      <w:tr>
        <w:tc>
          <w:tcPr>
            <w:tcW w:type="dxa" w:w="6350"/>
            <w:vAlign w:val="top"/>
            <w:tcMar>
              <w:top w:w="150" w:type="dxa"/>
              <w:bottom w:w="150" w:type="dxa"/>
              <w:left w:w="220" w:type="dxa"/>
              <w:right w:w="180" w:type="dxa"/>
            </w:tcMar>
            <w:shd w:fill="EEF3F7" w:val="clear"/>
            <w:tcBorders>
              <w:top w:val="single" w:sz="7" w:space="0" w:color="D2C9B8"/>
              <w:bottom w:val="single" w:sz="7" w:space="0" w:color="D2C9B8"/>
              <w:right w:val="single" w:sz="7" w:space="0" w:color="D2C9B8"/>
              <w:left w:val="single" w:sz="24" w:space="0" w:color="4D6F8A"/>
            </w:tcBorders>
          </w:tcPr>
          <w:p>
            <w:pPr>
              <w:spacing w:before="0" w:after="60" w:line="240" w:lineRule="auto"/>
              <w:jc w:val="left"/>
            </w:pPr>
            <w:r>
              <w:rPr>
                <w:rFonts w:ascii="Noto Sans" w:hAnsi="Noto Sans" w:cs="Noto Sans"/>
                <w:b/>
                <w:i w:val="0"/>
                <w:caps/>
                <w:color w:val="4D6F8A"/>
                <w:sz w:val="16"/>
              </w:rPr>
              <w:t>JURISPRUDÊNCIA EM DESTAQUE</w:t>
            </w:r>
          </w:p>
          <w:p>
            <w:pPr>
              <w:spacing w:before="0" w:after="60" w:line="247" w:lineRule="auto"/>
              <w:jc w:val="both"/>
            </w:pPr>
            <w:r>
              <w:rPr>
                <w:rFonts w:ascii="EB Garamond" w:hAnsi="EB Garamond" w:cs="EB Garamond"/>
                <w:b w:val="0"/>
                <w:i w:val="0"/>
                <w:color w:val="201B16"/>
                <w:sz w:val="19"/>
              </w:rPr>
              <w:t>O Supremo Tribunal Federal, no julgamento conjunto das ADIs 2.110 e 2.111 (rel. Min. Edson Fachin, Plenário, j. 21/03/2024), declarou inconstitucional a exigência de carência de 10 contribuições mensais prevista no inciso III do art. 25 da Lei 8.213/91 para o salário-maternidade das seguradas contribuinte individual, especial e facultativa. O fundamento central foi a violação ao princípio da isonomia: a exigência recaía exclusivamente sobre essas categorias, ao passo que empregadas, domésticas e avulsas eram dispensadas de carência (art. 26, VI). A decisão foi proferida por maioria de 6 votos e seus efeitos retroagem à data de publicação da Lei n. 9.876/1999 (29/11/1999), que havia inserido o inciso III.</w:t>
            </w:r>
          </w:p>
        </w:tc>
      </w:tr>
    </w:tbl>
    <w:p>
      <w:pPr>
        <w:spacing w:before="0" w:after="80" w:line="240" w:lineRule="auto"/>
      </w:pPr>
    </w:p>
    <w:p>
      <w:pPr>
        <w:spacing w:before="360" w:after="140" w:line="240" w:lineRule="auto"/>
        <w:jc w:val="left"/>
        <w:pBdr>
          <w:bottom w:val="single" w:sz="8" w:space="4" w:color="B89B5E"/>
        </w:pBdr>
        <w:keepNext/>
      </w:pPr>
      <w:r>
        <w:rPr>
          <w:rFonts w:ascii="EB Garamond" w:hAnsi="EB Garamond" w:cs="EB Garamond"/>
          <w:b/>
          <w:i w:val="0"/>
          <w:color w:val="3A3128"/>
          <w:sz w:val="31"/>
        </w:rPr>
        <w:t>3.3 Dispensa de Carência</w:t>
      </w:r>
    </w:p>
    <w:p>
      <w:pPr>
        <w:spacing w:before="0" w:after="70" w:line="259" w:lineRule="auto"/>
        <w:jc w:val="both"/>
      </w:pPr>
      <w:r>
        <w:rPr>
          <w:rFonts w:ascii="EB Garamond" w:hAnsi="EB Garamond" w:cs="EB Garamond"/>
          <w:b w:val="0"/>
          <w:i w:val="0"/>
          <w:color w:val="201B16"/>
          <w:sz w:val="21"/>
        </w:rPr>
        <w:t>O art. 26 da Lei 8.213/91 enumera as prestações cuja concessão independe de carência. A norma contempla duas categorias de hipóteses: benefícios intrinsecamente dispensados (pensão por morte, salário-família, auxílio-acidente, serviço social e reabilitação profissional) e benefícios condicionalmente dispensados, nos quais a isenção depende da natureza do evento causador. A compreensão detalhada dessas hipóteses é essencial para a prática nos JEFs, pois a dispensa de carência frequentemente constitui o fundamento central do pedido inicial em ações previdenciárias.</w:t>
      </w:r>
    </w:p>
    <w:p>
      <w:pPr>
        <w:spacing w:before="260" w:after="80" w:line="240" w:lineRule="auto"/>
        <w:jc w:val="left"/>
        <w:keepNext/>
      </w:pPr>
      <w:r>
        <w:rPr>
          <w:rFonts w:ascii="EB Garamond" w:hAnsi="EB Garamond" w:cs="EB Garamond"/>
          <w:b/>
          <w:i w:val="0"/>
          <w:color w:val="3A3128"/>
          <w:sz w:val="25"/>
        </w:rPr>
        <w:t>3.3.1 Benefícios Intrinsecamente Dispensados</w:t>
      </w:r>
    </w:p>
    <w:p>
      <w:pPr>
        <w:spacing w:before="0" w:after="70" w:line="259" w:lineRule="auto"/>
        <w:jc w:val="both"/>
      </w:pPr>
      <w:r>
        <w:rPr>
          <w:rFonts w:ascii="EB Garamond" w:hAnsi="EB Garamond" w:cs="EB Garamond"/>
          <w:b w:val="0"/>
          <w:i w:val="0"/>
          <w:color w:val="201B16"/>
          <w:sz w:val="21"/>
        </w:rPr>
        <w:t>O primeiro grupo de benefícios dispensados de carência abrange aqueles cuja natureza é incompatível com a exigência de período contributivo prévio. A pensão por morte, o salário-família e o auxílio-acidente independem de carência por expressa disposição do art. 26, I, da Lei 8.213/91. O serviço social e a reabilitação profissional, que são serviços (e não benefícios em sentido estrito), também figuram no rol de prestações dispensadas (art. 26, V).</w:t>
      </w:r>
    </w:p>
    <w:p>
      <w:pPr>
        <w:spacing w:before="0" w:after="70" w:line="259" w:lineRule="auto"/>
        <w:ind w:firstLine="238"/>
        <w:jc w:val="both"/>
      </w:pPr>
      <w:r>
        <w:rPr>
          <w:rFonts w:ascii="EB Garamond" w:hAnsi="EB Garamond" w:cs="EB Garamond"/>
          <w:b w:val="0"/>
          <w:i w:val="0"/>
          <w:color w:val="201B16"/>
          <w:sz w:val="21"/>
        </w:rPr>
        <w:t>destaca a natureza distinta dessas hipóteses: a pensão por morte, o salário-família e o auxílio-acidente são benefícios em espécie, destinados a cobrir eventos cuja ocorrência independe de qualquer previsibilidade; já o serviço social e a reabilitação profissional são serviços que integram o plano de prestações do RGPS e cuja finalidade seria frustrada pela imposição de carência.</w:t>
      </w:r>
    </w:p>
    <w:p>
      <w:pPr>
        <w:spacing w:before="0" w:after="70" w:line="259" w:lineRule="auto"/>
        <w:ind w:firstLine="238"/>
        <w:jc w:val="both"/>
      </w:pPr>
      <w:r>
        <w:rPr>
          <w:rFonts w:ascii="EB Garamond" w:hAnsi="EB Garamond" w:cs="EB Garamond"/>
          <w:b w:val="0"/>
          <w:i w:val="0"/>
          <w:color w:val="201B16"/>
          <w:sz w:val="21"/>
        </w:rPr>
        <w:t>O segurado especial possui regra própria: a carência é substituída pela exigência de comprovação do exercício de atividade rural pelo período equivalente ao que se exige como carência dos demais segurados (art. 39, I, da Lei 8.213/91). Observa que, embora no linguajar forense seja comum tratar esse período de atividade rural como "carência", tecnicamente não se trata de carência propriamente dita, mas de requisito funcional equivalente.</w:t>
      </w:r>
    </w:p>
    <w:p>
      <w:pPr>
        <w:spacing w:before="260" w:after="80" w:line="240" w:lineRule="auto"/>
        <w:jc w:val="left"/>
        <w:keepNext/>
      </w:pPr>
      <w:r>
        <w:rPr>
          <w:rFonts w:ascii="EB Garamond" w:hAnsi="EB Garamond" w:cs="EB Garamond"/>
          <w:b/>
          <w:i w:val="0"/>
          <w:color w:val="3A3128"/>
          <w:sz w:val="25"/>
        </w:rPr>
        <w:t>3.3.2 Dispensa por Acidente de Qualquer Natureza</w:t>
      </w:r>
    </w:p>
    <w:p>
      <w:pPr>
        <w:spacing w:before="0" w:after="70" w:line="259" w:lineRule="auto"/>
        <w:jc w:val="both"/>
      </w:pPr>
      <w:r>
        <w:rPr>
          <w:rFonts w:ascii="EB Garamond" w:hAnsi="EB Garamond" w:cs="EB Garamond"/>
          <w:b w:val="0"/>
          <w:i w:val="0"/>
          <w:color w:val="201B16"/>
          <w:sz w:val="21"/>
        </w:rPr>
        <w:t>A hipótese de maior relevância prática é a do inciso II do art. 26, que dispensa a carência para auxílio por incapacidade temporária e aposentadoria por incapacidade permanente nos casos de "acidente de qualquer natureza ou causa" e de "doença profissional ou do trabalho", bem como quando o segurado, após filiar-se ao RGPS, for acometido de doença grave constante de lista elaborada pelos Ministérios da Saúde e da Previdência Social. A doutrina é convergente na interpretação de que a expressão "acidente de qualquer natureza" abrange tanto o acidente de trabalho (art. 19 da Lei 8.213/91) quanto o acidente de qualquer outra causa, inclusive doméstico, de trânsito ou esportivo.</w:t>
      </w:r>
    </w:p>
    <w:p>
      <w:pPr>
        <w:spacing w:before="0" w:after="70" w:line="259" w:lineRule="auto"/>
        <w:ind w:firstLine="238"/>
        <w:jc w:val="both"/>
      </w:pPr>
      <w:r>
        <w:rPr>
          <w:rFonts w:ascii="EB Garamond" w:hAnsi="EB Garamond" w:cs="EB Garamond"/>
          <w:b w:val="0"/>
          <w:i w:val="0"/>
          <w:color w:val="201B16"/>
          <w:sz w:val="21"/>
        </w:rPr>
        <w:t>A amplitude da expressão legal merece destaque: a lei não distingue entre acidente de trabalho e acidente comum para fins de dispensa de carência. A dispensa abrange toda e qualquer incapacidade decorrente de evento acidentário, independentemente do nexo com a atividade laboral. A distinção entre acidente de trabalho e acidente de outra natureza permanece relevante para outros fins (como a estabilidade provisória do art. 118 da Lei 8.213/91 e o cálculo diferenciado da aposentadoria por incapacidade permanente após a EC 103/2019), mas não para a carência.</w:t>
      </w:r>
    </w:p>
    <w:p>
      <w:pPr>
        <w:spacing w:before="260" w:after="80" w:line="240" w:lineRule="auto"/>
        <w:jc w:val="left"/>
        <w:keepNext/>
      </w:pPr>
      <w:r>
        <w:rPr>
          <w:rFonts w:ascii="EB Garamond" w:hAnsi="EB Garamond" w:cs="EB Garamond"/>
          <w:b/>
          <w:i w:val="0"/>
          <w:color w:val="3A3128"/>
          <w:sz w:val="25"/>
        </w:rPr>
        <w:t>3.3.3 Doenças Graves e o Rol do Art. 151</w:t>
      </w:r>
    </w:p>
    <w:p>
      <w:pPr>
        <w:spacing w:before="0" w:after="70" w:line="259" w:lineRule="auto"/>
        <w:jc w:val="both"/>
      </w:pPr>
      <w:r>
        <w:rPr>
          <w:rFonts w:ascii="EB Garamond" w:hAnsi="EB Garamond" w:cs="EB Garamond"/>
          <w:b w:val="0"/>
          <w:i w:val="0"/>
          <w:color w:val="201B16"/>
          <w:sz w:val="21"/>
        </w:rPr>
        <w:t>O rol de doenças graves que dispensam carência encontra-se atualmente disciplinado por duas fontes normativas complementares. O art. 151 da Lei 8.213/91 enumera, em caráter transitório, as doenças que dispensam carência até a elaboração da lista ministerial prevista no inciso II do art. 26. A Portaria Interministerial MTP/MS n. 22, de 31 de agosto de 2022, atualizou e ampliou esse rol, estabelecendo as seguintes doenças e afecções: (I) tuberculose ativa; (II) hanseníase; (III) transtorno mental grave, desde que cursando com alienação mental; (IV) neoplasia maligna; (V) cegueira; (VI) paralisia irreversível e incapacitante; (VII) cardiopatia grave; (VIII) doença de Parkinson; (IX) espondilite anquilosante; (X) nefropatia grave; (XI) estado avançado da doença de Paget (osteíte deformante); (XII) síndrome da deficiência imunológica adquirida (AIDS); (XIII) contaminação por radiação, com base em conclusão da medicina especializada; (XIV) hepatopatia grave; (XV) esclerose múltipla; (XVI) acidente vascular encefálico (agudo); e (XVII) abdome agudo cirúrgico.</w:t>
      </w:r>
    </w:p>
    <w:p>
      <w:pPr>
        <w:spacing w:before="0" w:after="70" w:line="259" w:lineRule="auto"/>
        <w:ind w:firstLine="238"/>
        <w:jc w:val="both"/>
      </w:pPr>
      <w:r>
        <w:rPr>
          <w:rFonts w:ascii="EB Garamond" w:hAnsi="EB Garamond" w:cs="EB Garamond"/>
          <w:b w:val="0"/>
          <w:i w:val="0"/>
          <w:color w:val="201B16"/>
          <w:sz w:val="21"/>
        </w:rPr>
        <w:t>As doenças listadas nos incisos XVI e XVII (AVE agudo e abdome agudo cirúrgico) constituem novidade da Portaria Interministerial de 2022 e serão enquadradas como isentas de carência quando apresentarem quadro de evolução aguda e atenderem a critérios de gravidade. Essas inclusões refletem a orientação do art. 26, II, da Lei 8.213/91, que exige "especificidade e gravidade que mereçam tratamento particularizado" como critério para figurar na lista.</w:t>
      </w:r>
    </w:p>
    <w:p>
      <w:pPr>
        <w:spacing w:before="0" w:after="70" w:line="259" w:lineRule="auto"/>
        <w:ind w:firstLine="238"/>
        <w:jc w:val="both"/>
      </w:pPr>
      <w:r>
        <w:rPr>
          <w:rFonts w:ascii="EB Garamond" w:hAnsi="EB Garamond" w:cs="EB Garamond"/>
          <w:b w:val="0"/>
          <w:i w:val="0"/>
          <w:color w:val="201B16"/>
          <w:sz w:val="21"/>
        </w:rPr>
        <w:t>A questão sobre a taxatividade desse rol foi enfrentada pela TNU no Tema 220 (j. Maio/2021), que firmou tese em três pontos: o rol é exaustivo quanto às hipóteses de dispensa; a lista de doenças admite, contudo, interpretação extensiva, desde que demonstrada especificidade e gravidade equivalente; e a gravidez de alto risco, com recomendação médica de afastamento superior a 15 dias, autoriza a dispensa de carência para benefícios por incapacidade.</w:t>
      </w:r>
    </w:p>
    <w:tbl>
      <w:tblPr>
        <w:tblW w:type="auto" w:w="0"/>
        <w:jc w:val="center"/>
        <w:tblLayout w:type="autofit"/>
        <w:tblLook w:firstColumn="1" w:firstRow="1" w:lastColumn="0" w:lastRow="0" w:noHBand="0" w:noVBand="1" w:val="04A0"/>
        <w:tblW w:w="5000" w:type="pct"/>
      </w:tblPr>
      <w:tblGrid>
        <w:gridCol w:w="6350"/>
      </w:tblGrid>
      <w:tr>
        <w:tc>
          <w:tcPr>
            <w:tcW w:type="dxa" w:w="6350"/>
            <w:vAlign w:val="top"/>
            <w:tcMar>
              <w:top w:w="150" w:type="dxa"/>
              <w:bottom w:w="150" w:type="dxa"/>
              <w:left w:w="220" w:type="dxa"/>
              <w:right w:w="180" w:type="dxa"/>
            </w:tcMar>
            <w:shd w:fill="F0F4ED" w:val="clear"/>
            <w:tcBorders>
              <w:top w:val="single" w:sz="7" w:space="0" w:color="D2C9B8"/>
              <w:bottom w:val="single" w:sz="7" w:space="0" w:color="D2C9B8"/>
              <w:right w:val="single" w:sz="7" w:space="0" w:color="D2C9B8"/>
              <w:left w:val="single" w:sz="24" w:space="0" w:color="6E8563"/>
            </w:tcBorders>
          </w:tcPr>
          <w:p>
            <w:pPr>
              <w:spacing w:before="0" w:after="60" w:line="240" w:lineRule="auto"/>
              <w:jc w:val="left"/>
            </w:pPr>
            <w:r>
              <w:rPr>
                <w:rFonts w:ascii="Noto Sans" w:hAnsi="Noto Sans" w:cs="Noto Sans"/>
                <w:b/>
                <w:i w:val="0"/>
                <w:caps/>
                <w:color w:val="6E8563"/>
                <w:sz w:val="16"/>
              </w:rPr>
              <w:t>NA PRÁTICA</w:t>
            </w:r>
          </w:p>
          <w:p>
            <w:pPr>
              <w:spacing w:before="0" w:after="60" w:line="247" w:lineRule="auto"/>
              <w:jc w:val="both"/>
            </w:pPr>
            <w:r>
              <w:rPr>
                <w:rFonts w:ascii="EB Garamond" w:hAnsi="EB Garamond" w:cs="EB Garamond"/>
                <w:b w:val="0"/>
                <w:i w:val="0"/>
                <w:color w:val="201B16"/>
                <w:sz w:val="19"/>
              </w:rPr>
              <w:t>A distinção entre taxatividade e possibilidade de interpretação extensiva do rol de doenças é de enorme relevância para a atuação nos JEFs. Na prática, o operador do direito deve observar: (a) se a doença do segurado está expressamente prevista no art. 151 ou na Portaria Interministerial MTP/MS 22/2022, caso em que a dispensa é automática; (b) se a doença, embora não listada, apresenta especificidade e gravidade equivalentes às doenças do rol, caso em que pode ser sustentada a dispensa por interpretação extensiva, nos termos do Tema 220/TNU; e (c) se se trata de gravidez de alto risco com afastamento superior a 15 dias, hipótese incluída pela TNU na cobertura da dispensa. Em todos os casos, a prova pericial é indispensável para demonstrar a natureza e gravidade da doença.</w:t>
            </w:r>
          </w:p>
        </w:tc>
      </w:tr>
    </w:tbl>
    <w:p>
      <w:pPr>
        <w:spacing w:before="0" w:after="80" w:line="240" w:lineRule="auto"/>
      </w:pPr>
    </w:p>
    <w:p>
      <w:pPr>
        <w:spacing w:before="260" w:after="80" w:line="240" w:lineRule="auto"/>
        <w:jc w:val="left"/>
        <w:keepNext/>
      </w:pPr>
      <w:r>
        <w:rPr>
          <w:rFonts w:ascii="EB Garamond" w:hAnsi="EB Garamond" w:cs="EB Garamond"/>
          <w:b/>
          <w:i w:val="0"/>
          <w:color w:val="3A3128"/>
          <w:sz w:val="25"/>
        </w:rPr>
        <w:t>3.3.4 Doença Preexistente e a Distinção DID/DII</w:t>
      </w:r>
    </w:p>
    <w:tbl>
      <w:tblPr>
        <w:tblW w:type="auto" w:w="0"/>
        <w:jc w:val="center"/>
        <w:tblLayout w:type="autofit"/>
        <w:tblLook w:firstColumn="1" w:firstRow="1" w:lastColumn="0" w:lastRow="0" w:noHBand="0" w:noVBand="1" w:val="04A0"/>
        <w:tblW w:w="5000" w:type="pct"/>
      </w:tblPr>
      <w:tblGrid>
        <w:gridCol w:w="6350"/>
      </w:tblGrid>
      <w:tr>
        <w:tc>
          <w:tcPr>
            <w:tcW w:type="dxa" w:w="6350"/>
            <w:vAlign w:val="top"/>
            <w:tcMar>
              <w:top w:w="150" w:type="dxa"/>
              <w:bottom w:w="150" w:type="dxa"/>
              <w:left w:w="220" w:type="dxa"/>
              <w:right w:w="180" w:type="dxa"/>
            </w:tcMar>
            <w:shd w:fill="F7F1E6" w:val="clear"/>
            <w:tcBorders>
              <w:top w:val="single" w:sz="7" w:space="0" w:color="D2C9B8"/>
              <w:bottom w:val="single" w:sz="7" w:space="0" w:color="D2C9B8"/>
              <w:right w:val="single" w:sz="7" w:space="0" w:color="D2C9B8"/>
              <w:left w:val="single" w:sz="24" w:space="0" w:color="B78B37"/>
            </w:tcBorders>
          </w:tcPr>
          <w:p>
            <w:pPr>
              <w:spacing w:before="0" w:after="60" w:line="240" w:lineRule="auto"/>
              <w:jc w:val="left"/>
            </w:pPr>
            <w:r>
              <w:rPr>
                <w:rFonts w:ascii="Noto Sans" w:hAnsi="Noto Sans" w:cs="Noto Sans"/>
                <w:b/>
                <w:i w:val="0"/>
                <w:caps/>
                <w:color w:val="B78B37"/>
                <w:sz w:val="16"/>
              </w:rPr>
              <w:t>ATENÇÃO</w:t>
            </w:r>
          </w:p>
          <w:p>
            <w:pPr>
              <w:spacing w:before="0" w:after="60" w:line="247" w:lineRule="auto"/>
              <w:jc w:val="both"/>
            </w:pPr>
            <w:r>
              <w:rPr>
                <w:rFonts w:ascii="EB Garamond" w:hAnsi="EB Garamond" w:cs="EB Garamond"/>
                <w:b w:val="0"/>
                <w:i w:val="0"/>
                <w:color w:val="201B16"/>
                <w:sz w:val="19"/>
              </w:rPr>
              <w:t>A questão da doença preexistente à filiação exige atenção redobrada. O art. 26, II, pressupõe que a doença tenha se manifestado após a filiação ao RGPS. Quando o segurado reingressa no sistema já portador de enfermidade, não faz jus à dispensa de carência. A jurisprudência, contudo, consolidou distinção fundamental entre a data de início da doença (DID) e a data de início da incapacidade (DII): o dado juridicamente relevante não é quando surgiu a doença, mas quando se instalou a incapacidade laboral. O art. 42, § 2º, da Lei 8.213/91 permite expressamente o benefício quando a incapacidade sobrevém por motivo de progressão ou agravamento de doença preexistente. Savaris (2023) enfatiza que o juiz, nesses casos, deve determinar prova pericial ampla para verificar se houve progressão posterior à filiação.</w:t>
            </w:r>
          </w:p>
        </w:tc>
      </w:tr>
    </w:tbl>
    <w:p>
      <w:pPr>
        <w:spacing w:before="0" w:after="80" w:line="240" w:lineRule="auto"/>
      </w:pPr>
    </w:p>
    <w:p>
      <w:pPr>
        <w:spacing w:before="0" w:after="70" w:line="259" w:lineRule="auto"/>
        <w:jc w:val="both"/>
      </w:pPr>
      <w:r>
        <w:rPr>
          <w:rFonts w:ascii="EB Garamond" w:hAnsi="EB Garamond" w:cs="EB Garamond"/>
          <w:b w:val="0"/>
          <w:i w:val="0"/>
          <w:color w:val="201B16"/>
          <w:sz w:val="21"/>
        </w:rPr>
        <w:t>Porto (2024) formula a regra com precisão: caso o segurado já fosse portador da doença antes da filiação, não cabe dispensa de carência em qualquer hipótese. Contudo, se a incapacidade sobrevier por motivo de progressão ou agravamento da doença ou lesão preexistente, a concessão do benefício será admitida desde que cumprida a carência exigida. Trata-se de leitura conjugada do art. 26, II, com o art. 42, § 2º, e o art. 59, § 1º, da Lei 8.213/91.</w:t>
      </w:r>
    </w:p>
    <w:p>
      <w:pPr>
        <w:spacing w:before="0" w:after="70" w:line="259" w:lineRule="auto"/>
        <w:ind w:firstLine="238"/>
        <w:jc w:val="both"/>
      </w:pPr>
      <w:r>
        <w:rPr>
          <w:rFonts w:ascii="EB Garamond" w:hAnsi="EB Garamond" w:cs="EB Garamond"/>
          <w:b w:val="0"/>
          <w:i w:val="0"/>
          <w:color w:val="201B16"/>
          <w:sz w:val="21"/>
        </w:rPr>
        <w:t>registram que a jurisprudência dominante firmou-se no sentido de que a contingência se configura com a existência da incapacidade total e permanente (ou temporária), e não com a mera existência da doença. Nesse sentido, a Súmula 53 da TNU dispõe que "Não há direito a auxílio-doença ou a aposentadoria por invalidez quando a incapacidade para o trabalho é preexistente ao reingresso do segurado no Regime Geral de Previdência Social". A distinção entre doença preexistente (que não impede o benefício) e incapacidade preexistente (que impede) é crucial para a análise dos casos concretos nos JEFs.</w:t>
      </w:r>
    </w:p>
    <w:p>
      <w:pPr>
        <w:spacing w:before="0" w:after="70" w:line="259" w:lineRule="auto"/>
        <w:ind w:firstLine="238"/>
        <w:jc w:val="both"/>
      </w:pPr>
      <w:r>
        <w:rPr>
          <w:rFonts w:ascii="EB Garamond" w:hAnsi="EB Garamond" w:cs="EB Garamond"/>
          <w:b w:val="0"/>
          <w:i w:val="0"/>
          <w:color w:val="201B16"/>
          <w:sz w:val="21"/>
        </w:rPr>
        <w:t>Situação particular envolve os portadores do vírus HIV. A Súmula 78 da TNU dispõe que, "Comprovado que o requerente de benefício é portador do vírus HIV, cabe ao julgador verificar as condições pessoais, sociais, econômicas e culturais, de forma a analisar a incapacidade em sentido amplo, em face da elevada estigmatização social da doença". Observam que a jurisprudência se divide entre exigir a manifestação de doenças oportunistas (incapacidade clínica) e reconhecer a incapacidade pela simples contaminação (incapacidade social), notando que o estigma e o preconceito frequentemente transformam portadores do HIV em incapazes do ponto de vista socioprofissional, ainda que clinicamente aptos ao trabalho.</w:t>
      </w:r>
    </w:p>
    <w:p>
      <w:pPr>
        <w:spacing w:before="260" w:after="80" w:line="240" w:lineRule="auto"/>
        <w:jc w:val="left"/>
        <w:keepNext/>
      </w:pPr>
      <w:r>
        <w:rPr>
          <w:rFonts w:ascii="EB Garamond" w:hAnsi="EB Garamond" w:cs="EB Garamond"/>
          <w:b/>
          <w:i w:val="0"/>
          <w:color w:val="3A3128"/>
          <w:sz w:val="25"/>
        </w:rPr>
        <w:t>3.3.5 Salário-Maternidade: Inconstitucionalidade da Carência</w:t>
      </w:r>
    </w:p>
    <w:p>
      <w:pPr>
        <w:spacing w:before="0" w:after="70" w:line="259" w:lineRule="auto"/>
        <w:jc w:val="both"/>
      </w:pPr>
      <w:r>
        <w:rPr>
          <w:rFonts w:ascii="EB Garamond" w:hAnsi="EB Garamond" w:cs="EB Garamond"/>
          <w:b w:val="0"/>
          <w:i w:val="0"/>
          <w:color w:val="201B16"/>
          <w:sz w:val="21"/>
        </w:rPr>
        <w:t>O salário-maternidade das seguradas empregada, trabalhadora avulsa e empregada doméstica é dispensado de carência pelo inciso VI do art. 26. Após a declaração de inconstitucionalidade do inciso III do art. 25 pelo STF nas ADIs 2.110 e 2.111, com efeitos retroativos a novembro de 1999, o salário-maternidade de todas as categorias de seguradas passou a independer de carência, resultado que a doutrina já defendia com fundamento na isonomia constitucional.</w:t>
      </w:r>
    </w:p>
    <w:p>
      <w:pPr>
        <w:spacing w:before="0" w:after="70" w:line="259" w:lineRule="auto"/>
        <w:ind w:firstLine="238"/>
        <w:jc w:val="both"/>
      </w:pPr>
      <w:r>
        <w:rPr>
          <w:rFonts w:ascii="EB Garamond" w:hAnsi="EB Garamond" w:cs="EB Garamond"/>
          <w:b w:val="0"/>
          <w:i w:val="0"/>
          <w:color w:val="201B16"/>
          <w:sz w:val="21"/>
        </w:rPr>
        <w:t>A decisão do STF merece análise detida. O fundamento central foi a violação ao princípio da isonomia (art. 5º, caput, da Constituição Federal): a exigência de carência de 10 contribuições mensais recaía exclusivamente sobre seguradas contribuinte individual, especial e facultativa, enquanto empregadas, domésticas e avulsas eram integralmente dispensadas. Não havia justificativa razoável para essa distinção, que penalizava precisamente as categorias com menor proteção laboral. A retroatividade dos efeitos à data de publicação da Lei n. 9.876/1999 (29/11/1999) significa que ações envolvendo salário-maternidade negado por falta de carência durante todo o período entre 1999 e 2024 podem ser revisitadas, o que representa significativo impacto para ações em tramitação nos JEFs.</w:t>
      </w:r>
    </w:p>
    <w:p>
      <w:pPr>
        <w:spacing w:before="360" w:after="140" w:line="240" w:lineRule="auto"/>
        <w:jc w:val="left"/>
        <w:pBdr>
          <w:bottom w:val="single" w:sz="8" w:space="4" w:color="B89B5E"/>
        </w:pBdr>
        <w:keepNext/>
      </w:pPr>
      <w:r>
        <w:rPr>
          <w:rFonts w:ascii="EB Garamond" w:hAnsi="EB Garamond" w:cs="EB Garamond"/>
          <w:b/>
          <w:i w:val="0"/>
          <w:color w:val="3A3128"/>
          <w:sz w:val="31"/>
        </w:rPr>
        <w:t>3.4 Contagem do Período de Carência</w:t>
      </w:r>
    </w:p>
    <w:p>
      <w:pPr>
        <w:spacing w:before="0" w:after="70" w:line="259" w:lineRule="auto"/>
        <w:jc w:val="both"/>
      </w:pPr>
      <w:r>
        <w:rPr>
          <w:rFonts w:ascii="EB Garamond" w:hAnsi="EB Garamond" w:cs="EB Garamond"/>
          <w:b w:val="0"/>
          <w:i w:val="0"/>
          <w:color w:val="201B16"/>
          <w:sz w:val="21"/>
        </w:rPr>
        <w:t>O art. 27 da Lei 8.213/91 estabelece regras distintas de contagem conforme a categoria do segurado, refletindo a diferente posição que cada categoria ocupa em relação à responsabilidade pelo recolhimento das contribuições. A compreensão dessas regras é essencial para o cálculo correto da carência, que constitui uma das tarefas mais frequentes e complexas na análise de requerimentos previdenciários nos JEFs.</w:t>
      </w:r>
    </w:p>
    <w:p>
      <w:pPr>
        <w:spacing w:before="260" w:after="80" w:line="240" w:lineRule="auto"/>
        <w:jc w:val="left"/>
        <w:keepNext/>
      </w:pPr>
      <w:r>
        <w:rPr>
          <w:rFonts w:ascii="EB Garamond" w:hAnsi="EB Garamond" w:cs="EB Garamond"/>
          <w:b/>
          <w:i w:val="0"/>
          <w:color w:val="3A3128"/>
          <w:sz w:val="25"/>
        </w:rPr>
        <w:t>3.4.1 Segurados Empregado e Trabalhador Avulso</w:t>
      </w:r>
    </w:p>
    <w:p>
      <w:pPr>
        <w:spacing w:before="0" w:after="70" w:line="259" w:lineRule="auto"/>
        <w:jc w:val="both"/>
      </w:pPr>
      <w:r>
        <w:rPr>
          <w:rFonts w:ascii="EB Garamond" w:hAnsi="EB Garamond" w:cs="EB Garamond"/>
          <w:b w:val="0"/>
          <w:i w:val="0"/>
          <w:color w:val="201B16"/>
          <w:sz w:val="21"/>
        </w:rPr>
        <w:t>Para empregados e trabalhadores avulsos, a carência é contada a partir da data de filiação ao RGPS (art. 27, inciso I). A razão é simples: o empregado não é responsável pelo recolhimento de sua contribuição, que incumbe ao empregador. Seria injusto imputar ao segurado empregado as consequências da inadimplência patronal.</w:t>
      </w:r>
    </w:p>
    <w:p>
      <w:pPr>
        <w:spacing w:before="0" w:after="70" w:line="259" w:lineRule="auto"/>
        <w:ind w:firstLine="238"/>
        <w:jc w:val="both"/>
      </w:pPr>
      <w:r>
        <w:rPr>
          <w:rFonts w:ascii="EB Garamond" w:hAnsi="EB Garamond" w:cs="EB Garamond"/>
          <w:b w:val="0"/>
          <w:i w:val="0"/>
          <w:color w:val="201B16"/>
          <w:sz w:val="21"/>
        </w:rPr>
        <w:t>A diferença entre as duas regras é substancial. O segurado empregado conta a carência desde a filiação, mesmo que o empregador não tenha efetivamente recolhido as contribuições, cabendo ao INSS cobrar o débito do empregador sem prejuízo do direito do segurado. Essa proteção decorre do princípio da automaticidade das prestações previdenciárias, que impede que a responsabilidade pelo inadimplemento do empregador seja transferida ao trabalhador. O mesmo raciocínio aplica-se ao trabalhador avulso, que, nos termos do art. 7º, XXXIV, da Constituição Federal, goza de igualdade de direitos em relação ao empregado.</w:t>
      </w:r>
    </w:p>
    <w:p>
      <w:pPr>
        <w:spacing w:before="0" w:after="70" w:line="259" w:lineRule="auto"/>
        <w:ind w:firstLine="238"/>
        <w:jc w:val="both"/>
      </w:pPr>
      <w:r>
        <w:rPr>
          <w:rFonts w:ascii="EB Garamond" w:hAnsi="EB Garamond" w:cs="EB Garamond"/>
          <w:b w:val="0"/>
          <w:i w:val="0"/>
          <w:color w:val="201B16"/>
          <w:sz w:val="21"/>
        </w:rPr>
        <w:t>Porto (2024) enfatiza que a regra do art. 27, I, aplica-se também quando o contribuinte individual não é responsável pelo recolhimento de sua própria contribuição. O § 4º do art. 26 do Decreto 3.048/99 dispõe que, para o contribuinte individual cujo recolhimento é de responsabilidade do empregador ou contratante, a carência é computada a partir do exercício da atividade remunerada, tal como para o empregado. Essa distinção é relevante na prática, pois nem todo contribuinte individual é responsável tributário pelo próprio recolhimento.</w:t>
      </w:r>
    </w:p>
    <w:p>
      <w:pPr>
        <w:spacing w:before="260" w:after="80" w:line="240" w:lineRule="auto"/>
        <w:jc w:val="left"/>
        <w:keepNext/>
      </w:pPr>
      <w:r>
        <w:rPr>
          <w:rFonts w:ascii="EB Garamond" w:hAnsi="EB Garamond" w:cs="EB Garamond"/>
          <w:b/>
          <w:i w:val="0"/>
          <w:color w:val="3A3128"/>
          <w:sz w:val="25"/>
        </w:rPr>
        <w:t>3.4.2 O Empregado Doméstico Antes e Depois da LC 150/2015</w:t>
      </w:r>
    </w:p>
    <w:p>
      <w:pPr>
        <w:spacing w:before="0" w:after="70" w:line="259" w:lineRule="auto"/>
        <w:jc w:val="both"/>
      </w:pPr>
      <w:r>
        <w:rPr>
          <w:rFonts w:ascii="EB Garamond" w:hAnsi="EB Garamond" w:cs="EB Garamond"/>
          <w:b w:val="0"/>
          <w:i w:val="0"/>
          <w:color w:val="201B16"/>
          <w:sz w:val="21"/>
        </w:rPr>
        <w:t>A situação do empregado doméstico merece tratamento destacado em razão da evolução legislativa que sofreu. Antes da Lei Complementar n. 150, de 1º de junho de 2015, o empregado doméstico não estava expressamente incluído no inciso I do art. 27, o que gerava a aplicação do regime mais rigoroso do inciso II (contagem a partir do efetivo recolhimento). A doutrina criticava essa exclusão, pois o doméstico, à semelhança do empregado comum, não era responsável pelo recolhimento de sua contribuição. A TNU e o STJ (AgResp 331.748) proferiram decisões afastando essa limitação antes mesmo da alteração legislativa.</w:t>
      </w:r>
    </w:p>
    <w:p>
      <w:pPr>
        <w:spacing w:before="0" w:after="70" w:line="259" w:lineRule="auto"/>
        <w:ind w:firstLine="238"/>
        <w:jc w:val="both"/>
      </w:pPr>
      <w:r>
        <w:rPr>
          <w:rFonts w:ascii="EB Garamond" w:hAnsi="EB Garamond" w:cs="EB Garamond"/>
          <w:b w:val="0"/>
          <w:i w:val="0"/>
          <w:color w:val="201B16"/>
          <w:sz w:val="21"/>
        </w:rPr>
        <w:t>A LC 150/2015 corrigiu a distorção ao incluir expressamente o empregado doméstico no inciso I do art. 27, passando a carência a ser contada desde a data de filiação, e não mais do efetivo recolhimento. O Decreto 10.410/2020 detalhou a aplicação temporal da regra em três dispositivos inseridos no art. 26 do Regulamento (§§ 4º-A, 4º-B e 4º-C): (a) a partir da competência junho de 2015, presume-se o recolhimento das contribuições descontadas pelo empregador doméstico; (b) para o empregado doméstico filiado ao RGPS nessa condição até 31 de maio de 2015, o período de carência é contado a partir da data do efetivo recolhimento da primeira contribuição sem atraso; e (c) para o período de filiação comprovado como empregado doméstico sem comprovação do recolhimento, será reconhecido o direito ao benefício no valor de um salário mínimo.</w:t>
      </w:r>
    </w:p>
    <w:tbl>
      <w:tblPr>
        <w:tblW w:type="auto" w:w="0"/>
        <w:jc w:val="center"/>
        <w:tblLayout w:type="autofit"/>
        <w:tblLook w:firstColumn="1" w:firstRow="1" w:lastColumn="0" w:lastRow="0" w:noHBand="0" w:noVBand="1" w:val="04A0"/>
        <w:tblW w:w="5000" w:type="pct"/>
      </w:tblPr>
      <w:tblGrid>
        <w:gridCol w:w="6350"/>
      </w:tblGrid>
      <w:tr>
        <w:tc>
          <w:tcPr>
            <w:tcW w:type="dxa" w:w="6350"/>
            <w:vAlign w:val="top"/>
            <w:tcMar>
              <w:top w:w="150" w:type="dxa"/>
              <w:bottom w:w="150" w:type="dxa"/>
              <w:left w:w="220" w:type="dxa"/>
              <w:right w:w="180" w:type="dxa"/>
            </w:tcMar>
            <w:shd w:fill="F0F4ED" w:val="clear"/>
            <w:tcBorders>
              <w:top w:val="single" w:sz="7" w:space="0" w:color="D2C9B8"/>
              <w:bottom w:val="single" w:sz="7" w:space="0" w:color="D2C9B8"/>
              <w:right w:val="single" w:sz="7" w:space="0" w:color="D2C9B8"/>
              <w:left w:val="single" w:sz="24" w:space="0" w:color="6E8563"/>
            </w:tcBorders>
          </w:tcPr>
          <w:p>
            <w:pPr>
              <w:spacing w:before="0" w:after="60" w:line="240" w:lineRule="auto"/>
              <w:jc w:val="left"/>
            </w:pPr>
            <w:r>
              <w:rPr>
                <w:rFonts w:ascii="Noto Sans" w:hAnsi="Noto Sans" w:cs="Noto Sans"/>
                <w:b/>
                <w:i w:val="0"/>
                <w:caps/>
                <w:color w:val="6E8563"/>
                <w:sz w:val="16"/>
              </w:rPr>
              <w:t>NA PRÁTICA</w:t>
            </w:r>
          </w:p>
          <w:p>
            <w:pPr>
              <w:spacing w:before="0" w:after="60" w:line="247" w:lineRule="auto"/>
              <w:jc w:val="both"/>
            </w:pPr>
            <w:r>
              <w:rPr>
                <w:rFonts w:ascii="EB Garamond" w:hAnsi="EB Garamond" w:cs="EB Garamond"/>
                <w:b w:val="0"/>
                <w:i w:val="0"/>
                <w:color w:val="201B16"/>
                <w:sz w:val="19"/>
              </w:rPr>
              <w:t>A regra de transição do empregado doméstico é particularmente relevante nos JEFs para ações envolvendo benefícios com fato gerador anterior a junho de 2015. Ao analisar o CNIS de segurado que foi empregado doméstico antes da LC 150/2015, o operador do direito deve: (a) verificar se há recolhimentos efetivos registrados, pois a carência anterior a 01/06/2015 só é computada a partir do primeiro recolhimento tempestivo; (b) identificar se o empregador doméstico foi regularizado pelo eSocial, que passou a operar para a categoria a partir de outubro de 2015; e (c) considerar que, mesmo sem comprovação de recolhimento, o segurado pode ter direito ao benefício no valor de um salário mínimo, nos termos do § 4º-C do art. 26 do Decreto 3.048/99.</w:t>
            </w:r>
          </w:p>
        </w:tc>
      </w:tr>
    </w:tbl>
    <w:p>
      <w:pPr>
        <w:spacing w:before="0" w:after="80" w:line="240" w:lineRule="auto"/>
      </w:pPr>
    </w:p>
    <w:p>
      <w:pPr>
        <w:spacing w:before="260" w:after="80" w:line="240" w:lineRule="auto"/>
        <w:jc w:val="left"/>
        <w:keepNext/>
      </w:pPr>
      <w:r>
        <w:rPr>
          <w:rFonts w:ascii="EB Garamond" w:hAnsi="EB Garamond" w:cs="EB Garamond"/>
          <w:b/>
          <w:i w:val="0"/>
          <w:color w:val="3A3128"/>
          <w:sz w:val="25"/>
        </w:rPr>
        <w:t>3.4.3 Contribuinte Individual, Segurado Especial e Facultativo</w:t>
      </w:r>
    </w:p>
    <w:p>
      <w:pPr>
        <w:spacing w:before="0" w:after="70" w:line="259" w:lineRule="auto"/>
        <w:jc w:val="both"/>
      </w:pPr>
      <w:r>
        <w:rPr>
          <w:rFonts w:ascii="EB Garamond" w:hAnsi="EB Garamond" w:cs="EB Garamond"/>
          <w:b w:val="0"/>
          <w:i w:val="0"/>
          <w:color w:val="201B16"/>
          <w:sz w:val="21"/>
        </w:rPr>
        <w:t>Para contribuintes individuais, segurados especiais e facultativos, a contagem inicia na data do efetivo pagamento da primeira contribuição sem atraso, não sendo consideradas as contribuições recolhidas com atraso referentes a competências anteriores (art. 27, inciso II). Porto (2024) sintetiza: uma vez feita a primeira contribuição tempestiva, caso haja atraso no recolhimento das subsequentes, a jurisprudência admite o pagamento a destempo como computável para carência, desde que não tenha havido perda da qualidade de segurado.</w:t>
      </w:r>
    </w:p>
    <w:p>
      <w:pPr>
        <w:spacing w:before="0" w:after="70" w:line="259" w:lineRule="auto"/>
        <w:ind w:firstLine="238"/>
        <w:jc w:val="both"/>
      </w:pPr>
      <w:r>
        <w:rPr>
          <w:rFonts w:ascii="EB Garamond" w:hAnsi="EB Garamond" w:cs="EB Garamond"/>
          <w:b w:val="0"/>
          <w:i w:val="0"/>
          <w:color w:val="201B16"/>
          <w:sz w:val="21"/>
        </w:rPr>
        <w:t>O contribuinte individual tem a carência condicionada ao recolhimento tempestivo, o que gera consequências práticas severas para trabalhadores autônomos com histórico irregular de pagamentos. A Súmula 52 da TNU estabelece que, "Para fins de concessão de pensão por morte, é incabível a regularização do recolhimento de contribuições de segurado contribuinte individual posteriormente a seu óbito, exceto quando as contribuições devam ser arrecadadas por empresa tomadora de serviços". Na mesma linha, o § 5º-B do art. 18 do Decreto 3.048/99, incluído pelo Decreto 10.410/2020, veda a inscrição post mortem de contribuinte individual e de segurado facultativo.</w:t>
      </w:r>
    </w:p>
    <w:p>
      <w:pPr>
        <w:spacing w:before="0" w:after="70" w:line="259" w:lineRule="auto"/>
        <w:ind w:firstLine="238"/>
        <w:jc w:val="both"/>
      </w:pPr>
      <w:r>
        <w:rPr>
          <w:rFonts w:ascii="EB Garamond" w:hAnsi="EB Garamond" w:cs="EB Garamond"/>
          <w:b w:val="0"/>
          <w:i w:val="0"/>
          <w:color w:val="201B16"/>
          <w:sz w:val="21"/>
        </w:rPr>
        <w:t>A TNU, no Tema 192 (PEDILEF 2009.71.50.019216-5/RS, rel. Juiz Federal André Carvalho Monteiro, j. 20/02/2013), firmou tese esclarecedora: contribuições recolhidas com atraso anteriores ao pagamento da primeira contribuição sem atraso não são computadas para fins de carência; contribuições recolhidas com atraso posteriores ao primeiro pagamento tempestivo podem ser computadas, desde que não tenha havido perda da qualidade de segurado no intervalo. Na prática, o marco inicial da carência para o contribuinte individual é fixado pelo primeiro recolhimento pontual, e toda contribuição em atraso anterior a esse marco vale apenas para tempo de contribuição, não para carência.</w:t>
      </w:r>
    </w:p>
    <w:p>
      <w:pPr>
        <w:spacing w:before="0" w:after="70" w:line="259" w:lineRule="auto"/>
        <w:ind w:firstLine="238"/>
        <w:jc w:val="both"/>
      </w:pPr>
      <w:r>
        <w:rPr>
          <w:rFonts w:ascii="EB Garamond" w:hAnsi="EB Garamond" w:cs="EB Garamond"/>
          <w:b w:val="0"/>
          <w:i w:val="0"/>
          <w:color w:val="201B16"/>
          <w:sz w:val="21"/>
        </w:rPr>
        <w:t>O Conselho de Recursos da Previdência Social consolidou esse entendimento no Enunciado 5, incisos III e IV, que estabelecem: as contribuições recolhidas em atraso pelo contribuinte individual após o período de graça não são computadas como carência nem para fins de manutenção da qualidade de segurado, mas apenas como tempo de contribuição; havendo perda da qualidade de segurado, somente são consideradas para carência as contribuições efetivadas sem atraso, após nova filiação. Essa posição da instância administrativa reforça a orientação jurisprudencial e é frequentemente invocada nas contestações do INSS nos JEFs.</w:t>
      </w:r>
    </w:p>
    <w:tbl>
      <w:tblPr>
        <w:tblW w:type="auto" w:w="0"/>
        <w:jc w:val="center"/>
        <w:tblLayout w:type="autofit"/>
        <w:tblLook w:firstColumn="1" w:firstRow="1" w:lastColumn="0" w:lastRow="0" w:noHBand="0" w:noVBand="1" w:val="04A0"/>
        <w:tblW w:w="5000" w:type="pct"/>
      </w:tblPr>
      <w:tblGrid>
        <w:gridCol w:w="6350"/>
      </w:tblGrid>
      <w:tr>
        <w:tc>
          <w:tcPr>
            <w:tcW w:type="dxa" w:w="6350"/>
            <w:vAlign w:val="top"/>
            <w:tcMar>
              <w:top w:w="150" w:type="dxa"/>
              <w:bottom w:w="150" w:type="dxa"/>
              <w:left w:w="220" w:type="dxa"/>
              <w:right w:w="180" w:type="dxa"/>
            </w:tcMar>
            <w:shd w:fill="F0F4ED" w:val="clear"/>
            <w:tcBorders>
              <w:top w:val="single" w:sz="7" w:space="0" w:color="D2C9B8"/>
              <w:bottom w:val="single" w:sz="7" w:space="0" w:color="D2C9B8"/>
              <w:right w:val="single" w:sz="7" w:space="0" w:color="D2C9B8"/>
              <w:left w:val="single" w:sz="24" w:space="0" w:color="6E8563"/>
            </w:tcBorders>
          </w:tcPr>
          <w:p>
            <w:pPr>
              <w:spacing w:before="0" w:after="60" w:line="240" w:lineRule="auto"/>
              <w:jc w:val="left"/>
            </w:pPr>
            <w:r>
              <w:rPr>
                <w:rFonts w:ascii="Noto Sans" w:hAnsi="Noto Sans" w:cs="Noto Sans"/>
                <w:b/>
                <w:i w:val="0"/>
                <w:caps/>
                <w:color w:val="6E8563"/>
                <w:sz w:val="16"/>
              </w:rPr>
              <w:t>NA PRÁTICA</w:t>
            </w:r>
          </w:p>
          <w:p>
            <w:pPr>
              <w:spacing w:before="0" w:after="60" w:line="247" w:lineRule="auto"/>
              <w:jc w:val="both"/>
            </w:pPr>
            <w:r>
              <w:rPr>
                <w:rFonts w:ascii="EB Garamond" w:hAnsi="EB Garamond" w:cs="EB Garamond"/>
                <w:b w:val="0"/>
                <w:i w:val="0"/>
                <w:color w:val="201B16"/>
                <w:sz w:val="19"/>
              </w:rPr>
              <w:t>Nos JEFs, é frequente que contribuintes individuais apresentem CNIS com recolhimentos irregulares. Ao analisar o direito à aposentadoria ou a benefício por incapacidade, o advogado deve verificar: (a) a data do primeiro recolhimento sem atraso, que define o marco inicial da carência; (b) se houve perda da qualidade de segurado no período, o que reinicia a contagem conforme o art. 27-A; e (c) se as contribuições em atraso posteriores ao marco estão dentro de período com qualidade de segurado mantida. A mera existência de 180 contribuições no CNIS não garante o cumprimento da carência se parte delas foi recolhida com atraso antes do primeiro pagamento tempestivo.</w:t>
            </w:r>
          </w:p>
        </w:tc>
      </w:tr>
    </w:tbl>
    <w:p>
      <w:pPr>
        <w:spacing w:before="0" w:after="80" w:line="240" w:lineRule="auto"/>
      </w:pPr>
    </w:p>
    <w:p>
      <w:pPr>
        <w:spacing w:before="260" w:after="80" w:line="240" w:lineRule="auto"/>
        <w:jc w:val="left"/>
        <w:keepNext/>
      </w:pPr>
      <w:r>
        <w:rPr>
          <w:rFonts w:ascii="EB Garamond" w:hAnsi="EB Garamond" w:cs="EB Garamond"/>
          <w:b/>
          <w:i w:val="0"/>
          <w:color w:val="3A3128"/>
          <w:sz w:val="25"/>
        </w:rPr>
        <w:t>3.4.4 Cômputo de Períodos de Afastamento por Incapacidade</w:t>
      </w:r>
    </w:p>
    <w:p>
      <w:pPr>
        <w:spacing w:before="0" w:after="70" w:line="259" w:lineRule="auto"/>
        <w:jc w:val="both"/>
      </w:pPr>
      <w:r>
        <w:rPr>
          <w:rFonts w:ascii="EB Garamond" w:hAnsi="EB Garamond" w:cs="EB Garamond"/>
          <w:b w:val="0"/>
          <w:i w:val="0"/>
          <w:color w:val="201B16"/>
          <w:sz w:val="21"/>
        </w:rPr>
        <w:t>Uma questão recorrente nos JEFs é o cômputo de períodos em gozo de benefício por incapacidade para fins de carência. A Súmula 73 da TNU dispõe que "O tempo de gozo de auxílio-doença ou de aposentadoria por invalidez não decorrentes de acidente de trabalho só pode ser computado como tempo de contribuição ou para fins de carência quando intercalado entre períodos nos quais houve recolhimento de contribuições para a previdência social". O STJ adota entendimento similar, exigindo a intercalação entre períodos contributivos.</w:t>
      </w:r>
    </w:p>
    <w:p>
      <w:pPr>
        <w:spacing w:before="0" w:after="70" w:line="259" w:lineRule="auto"/>
        <w:ind w:firstLine="238"/>
        <w:jc w:val="both"/>
      </w:pPr>
      <w:r>
        <w:rPr>
          <w:rFonts w:ascii="EB Garamond" w:hAnsi="EB Garamond" w:cs="EB Garamond"/>
          <w:b w:val="0"/>
          <w:i w:val="0"/>
          <w:color w:val="201B16"/>
          <w:sz w:val="21"/>
        </w:rPr>
        <w:t>registra que, com raciocínio análogo, o STJ entende que o período de recebimento de auxílio-doença não acidentário deve ser considerado no cômputo do prazo de carência da aposentadoria por idade, se intercalado com períodos contributivos. A exigência de intercalação visa impedir que segurados com longos períodos de afastamento por incapacidade, desacompanhados de qualquer contribuição posterior, computem esse tempo para carência.</w:t>
      </w:r>
    </w:p>
    <w:p>
      <w:pPr>
        <w:spacing w:before="0" w:after="70" w:line="259" w:lineRule="auto"/>
        <w:ind w:firstLine="238"/>
        <w:jc w:val="both"/>
      </w:pPr>
      <w:r>
        <w:rPr>
          <w:rFonts w:ascii="EB Garamond" w:hAnsi="EB Garamond" w:cs="EB Garamond"/>
          <w:b w:val="0"/>
          <w:i w:val="0"/>
          <w:color w:val="201B16"/>
          <w:sz w:val="21"/>
        </w:rPr>
        <w:t>O Supremo Tribunal Federal reconheceu a repercussão geral da matéria no Tema 1.125, comprometendo-se a definir se o período em que o segurado esteve em gozo de auxílio-doença ou aposentadoria por invalidez pode ser computado como tempo de contribuição para fins de carência, independentemente da intercalação com períodos contributivos. A eventual superação da exigência de intercalação pelo STF teria impacto significativo na concessão de aposentadorias e demais benefícios, ampliando o cômputo de carência para segurados com histórico extenso de afastamento por incapacidade.</w:t>
      </w:r>
    </w:p>
    <w:tbl>
      <w:tblPr>
        <w:tblW w:type="auto" w:w="0"/>
        <w:jc w:val="center"/>
        <w:tblLayout w:type="autofit"/>
        <w:tblLook w:firstColumn="1" w:firstRow="1" w:lastColumn="0" w:lastRow="0" w:noHBand="0" w:noVBand="1" w:val="04A0"/>
        <w:tblW w:w="5000" w:type="pct"/>
      </w:tblPr>
      <w:tblGrid>
        <w:gridCol w:w="6350"/>
      </w:tblGrid>
      <w:tr>
        <w:tc>
          <w:tcPr>
            <w:tcW w:type="dxa" w:w="6350"/>
            <w:vAlign w:val="top"/>
            <w:tcMar>
              <w:top w:w="150" w:type="dxa"/>
              <w:bottom w:w="150" w:type="dxa"/>
              <w:left w:w="220" w:type="dxa"/>
              <w:right w:w="180" w:type="dxa"/>
            </w:tcMar>
            <w:shd w:fill="F7F1E6" w:val="clear"/>
            <w:tcBorders>
              <w:top w:val="single" w:sz="7" w:space="0" w:color="D2C9B8"/>
              <w:bottom w:val="single" w:sz="7" w:space="0" w:color="D2C9B8"/>
              <w:right w:val="single" w:sz="7" w:space="0" w:color="D2C9B8"/>
              <w:left w:val="single" w:sz="24" w:space="0" w:color="B78B37"/>
            </w:tcBorders>
          </w:tcPr>
          <w:p>
            <w:pPr>
              <w:spacing w:before="0" w:after="60" w:line="240" w:lineRule="auto"/>
              <w:jc w:val="left"/>
            </w:pPr>
            <w:r>
              <w:rPr>
                <w:rFonts w:ascii="Noto Sans" w:hAnsi="Noto Sans" w:cs="Noto Sans"/>
                <w:b/>
                <w:i w:val="0"/>
                <w:caps/>
                <w:color w:val="B78B37"/>
                <w:sz w:val="16"/>
              </w:rPr>
              <w:t>ATENÇÃO</w:t>
            </w:r>
          </w:p>
          <w:p>
            <w:pPr>
              <w:spacing w:before="0" w:after="60" w:line="247" w:lineRule="auto"/>
              <w:jc w:val="both"/>
            </w:pPr>
            <w:r>
              <w:rPr>
                <w:rFonts w:ascii="EB Garamond" w:hAnsi="EB Garamond" w:cs="EB Garamond"/>
                <w:b w:val="0"/>
                <w:i w:val="0"/>
                <w:color w:val="201B16"/>
                <w:sz w:val="19"/>
              </w:rPr>
              <w:t>Enquanto o STF não julgar o mérito do Tema 1.125 (repercussão geral), a orientação vigente é a da Súmula 73 da TNU: o período de gozo de benefício por incapacidade não acidentário só conta para carência quando intercalado entre períodos contributivos. Para benefícios por incapacidade decorrentes de acidente de trabalho, o período de afastamento é computado para carência independentemente de intercalação, nos termos do art. 60, III, do Decreto 3.048/99. Essa distinção entre benefício acidentário e não acidentário deve ser observada na análise dos casos concretos.</w:t>
            </w:r>
          </w:p>
        </w:tc>
      </w:tr>
    </w:tbl>
    <w:p>
      <w:pPr>
        <w:spacing w:before="0" w:after="80" w:line="240" w:lineRule="auto"/>
      </w:pPr>
    </w:p>
    <w:p>
      <w:pPr>
        <w:spacing w:before="360" w:after="140" w:line="240" w:lineRule="auto"/>
        <w:jc w:val="left"/>
        <w:pBdr>
          <w:bottom w:val="single" w:sz="8" w:space="4" w:color="B89B5E"/>
        </w:pBdr>
        <w:keepNext/>
      </w:pPr>
      <w:r>
        <w:rPr>
          <w:rFonts w:ascii="EB Garamond" w:hAnsi="EB Garamond" w:cs="EB Garamond"/>
          <w:b/>
          <w:i w:val="0"/>
          <w:color w:val="3A3128"/>
          <w:sz w:val="31"/>
        </w:rPr>
        <w:t>3.5 Contribuição Inferior ao Mínimo e os Mecanismos da EC 103/2019</w:t>
      </w:r>
    </w:p>
    <w:p>
      <w:pPr>
        <w:spacing w:before="0" w:after="70" w:line="259" w:lineRule="auto"/>
        <w:jc w:val="both"/>
      </w:pPr>
      <w:r>
        <w:rPr>
          <w:rFonts w:ascii="EB Garamond" w:hAnsi="EB Garamond" w:cs="EB Garamond"/>
          <w:b w:val="0"/>
          <w:i w:val="0"/>
          <w:color w:val="201B16"/>
          <w:sz w:val="21"/>
        </w:rPr>
        <w:t>A EC 103/2019 introduziu regra com profundo impacto na contagem de carência dos segurados de baixa renda. O § 14 do art. 195 da Constituição Federal, na redação dada pela emenda, estabeleceu que "o segurado somente terá reconhecidas como tempo de contribuição ao Regime Geral de Previdência Social as competências cuja contribuição seja igual ou superior à contribuição mínima mensal exigida para sua categoria". Essa disposição atinge diretamente trabalhadores que recebem remuneração inferior ao salário mínimo mensal, cujas contribuições ficam abaixo do piso.</w:t>
      </w:r>
    </w:p>
    <w:p>
      <w:pPr>
        <w:spacing w:before="0" w:after="70" w:line="259" w:lineRule="auto"/>
        <w:ind w:firstLine="238"/>
        <w:jc w:val="both"/>
      </w:pPr>
      <w:r>
        <w:rPr>
          <w:rFonts w:ascii="EB Garamond" w:hAnsi="EB Garamond" w:cs="EB Garamond"/>
          <w:b w:val="0"/>
          <w:i w:val="0"/>
          <w:color w:val="201B16"/>
          <w:sz w:val="21"/>
        </w:rPr>
        <w:t>Para mitigar o impacto dessa regra sobre trabalhadores vulneráveis, o mesmo dispositivo constitucional previu três mecanismos: (a) a complementação da contribuição, mediante recolhimento da diferença entre o valor efetivamente pago e a contribuição mínima mensal; (b) a utilização do excedente de contribuição superior ao mínimo em outra competência para suprir a insuficiência em competência diversa; e (c) o agrupamento de contribuições inferiores ao mínimo de diferentes competências para alcançar o valor mínimo mensal exigido.</w:t>
      </w:r>
    </w:p>
    <w:p>
      <w:pPr>
        <w:spacing w:before="0" w:after="70" w:line="259" w:lineRule="auto"/>
        <w:ind w:firstLine="238"/>
        <w:jc w:val="both"/>
      </w:pPr>
      <w:r>
        <w:rPr>
          <w:rFonts w:ascii="EB Garamond" w:hAnsi="EB Garamond" w:cs="EB Garamond"/>
          <w:b w:val="0"/>
          <w:i w:val="0"/>
          <w:color w:val="201B16"/>
          <w:sz w:val="21"/>
        </w:rPr>
        <w:t>Os §§ 7º e 8º do art. 13 do Decreto 3.048/99, inseridos pelo Decreto 10.410/2020, regulamentaram a matéria, dispondo que a contribuição recolhida em valor inferior ao salário mínimo não será útil para a manutenção da qualidade de segurado, de modo que o período de graça se inicia no primeiro dia do mês subsequente ao da última contribuição com valor igual ou superior ao salário mínimo, salvo se o segurado se valer dos mecanismos de complementação, utilização ou agrupamento.</w:t>
      </w:r>
    </w:p>
    <w:p>
      <w:pPr>
        <w:spacing w:before="0" w:after="70" w:line="259" w:lineRule="auto"/>
        <w:ind w:firstLine="238"/>
        <w:jc w:val="both"/>
      </w:pPr>
      <w:r>
        <w:rPr>
          <w:rFonts w:ascii="EB Garamond" w:hAnsi="EB Garamond" w:cs="EB Garamond"/>
          <w:b w:val="0"/>
          <w:i w:val="0"/>
          <w:color w:val="201B16"/>
          <w:sz w:val="21"/>
        </w:rPr>
        <w:t>A TNU contribuiu para a densificação desse tema com o Tema 349 (Processo 0504229-18.2022.4.05.8400/RN, rel. Juiz Federal Neian Milhomem Cruz, j. 16/10/2024), que fixou a tese de que o recolhimento de contribuição previdenciária em valor inferior ao mínimo mensal da categoria, na ausência de previsão legal, não impede o reconhecimento da qualidade de segurado obrigatório, inclusive após o advento da EC n. 103/2019. A decisão protege trabalhadores de baixa renda cujas contribuições ficam abaixo do piso mensal, assegurando que a qualidade de segurado não seja recusada pelo INSS com fundamento no valor insuficiente do recolhimento.</w:t>
      </w:r>
    </w:p>
    <w:tbl>
      <w:tblPr>
        <w:tblW w:type="auto" w:w="0"/>
        <w:jc w:val="center"/>
        <w:tblLayout w:type="autofit"/>
        <w:tblLook w:firstColumn="1" w:firstRow="1" w:lastColumn="0" w:lastRow="0" w:noHBand="0" w:noVBand="1" w:val="04A0"/>
        <w:tblW w:w="5000" w:type="pct"/>
      </w:tblPr>
      <w:tblGrid>
        <w:gridCol w:w="6350"/>
      </w:tblGrid>
      <w:tr>
        <w:tc>
          <w:tcPr>
            <w:tcW w:type="dxa" w:w="6350"/>
            <w:vAlign w:val="top"/>
            <w:tcMar>
              <w:top w:w="150" w:type="dxa"/>
              <w:bottom w:w="150" w:type="dxa"/>
              <w:left w:w="220" w:type="dxa"/>
              <w:right w:w="180" w:type="dxa"/>
            </w:tcMar>
            <w:shd w:fill="F0F4ED" w:val="clear"/>
            <w:tcBorders>
              <w:top w:val="single" w:sz="7" w:space="0" w:color="D2C9B8"/>
              <w:bottom w:val="single" w:sz="7" w:space="0" w:color="D2C9B8"/>
              <w:right w:val="single" w:sz="7" w:space="0" w:color="D2C9B8"/>
              <w:left w:val="single" w:sz="24" w:space="0" w:color="6E8563"/>
            </w:tcBorders>
          </w:tcPr>
          <w:p>
            <w:pPr>
              <w:spacing w:before="0" w:after="60" w:line="240" w:lineRule="auto"/>
              <w:jc w:val="left"/>
            </w:pPr>
            <w:r>
              <w:rPr>
                <w:rFonts w:ascii="Noto Sans" w:hAnsi="Noto Sans" w:cs="Noto Sans"/>
                <w:b/>
                <w:i w:val="0"/>
                <w:caps/>
                <w:color w:val="6E8563"/>
                <w:sz w:val="16"/>
              </w:rPr>
              <w:t>NA PRÁTICA</w:t>
            </w:r>
          </w:p>
          <w:p>
            <w:pPr>
              <w:spacing w:before="0" w:after="60" w:line="247" w:lineRule="auto"/>
              <w:jc w:val="both"/>
            </w:pPr>
            <w:r>
              <w:rPr>
                <w:rFonts w:ascii="EB Garamond" w:hAnsi="EB Garamond" w:cs="EB Garamond"/>
                <w:b w:val="0"/>
                <w:i w:val="0"/>
                <w:color w:val="201B16"/>
                <w:sz w:val="19"/>
              </w:rPr>
              <w:t>A questão da contribuição inferior ao mínimo é especialmente relevante para trabalhadores intermitentes (art. 443, § 3º, da CLT), diaristas que prestam serviço por menos de três dias na semana a um mesmo contratante, e segurados com múltiplos vínculos de baixa remuneração. Nos JEFs, ao verificar o CNIS do segurado, o operador do direito deve atentar para competências em que a remuneração registrada é inferior ao salário mínimo. Nessas competências, três providências podem ser adotadas: (a) complementar a contribuição, mediante GPS com o código específico; (b) agrupar contribuições de competências distintas; ou (c) invocar o Tema 349/TNU para sustentar que a qualidade de segurado não foi perdida. A orientação do INSS, consubstanciada nos §§ 7º e 8º do art. 13 do Decreto 3.048/99, tende a desconsiderar essas competências, cabendo ao Judiciário a correção caso a caso.</w:t>
            </w:r>
          </w:p>
        </w:tc>
      </w:tr>
    </w:tbl>
    <w:p>
      <w:pPr>
        <w:spacing w:before="0" w:after="80" w:line="240" w:lineRule="auto"/>
      </w:pPr>
    </w:p>
    <w:p>
      <w:pPr>
        <w:spacing w:before="0" w:after="70" w:line="259" w:lineRule="auto"/>
        <w:jc w:val="both"/>
      </w:pPr>
      <w:r>
        <w:rPr>
          <w:rFonts w:ascii="EB Garamond" w:hAnsi="EB Garamond" w:cs="EB Garamond"/>
          <w:b w:val="0"/>
          <w:i w:val="0"/>
          <w:color w:val="201B16"/>
          <w:sz w:val="21"/>
        </w:rPr>
        <w:t>Registre-se a tensão entre a posição da TNU no Tema 349 e a regulamentação do Decreto 10.410/2020. O Decreto estabelece, nos §§ 7º e 8º do art. 13 do RPS, que a contribuição inferior ao mínimo não é útil para manutenção da qualidade de segurado nem para carência. A TNU, contudo, firmou que essa restrição não encontra amparo na legislação e que a EC 103/2019, ao prever os mecanismos de complementação, utilização e agrupamento, não autorizou a desconsideração automática das competências com contribuição abaixo do piso. A consequência prática é que o INSS indeferirá administrativamente os benefícios com base no Decreto, mas o Judiciário, com base no Tema 349, tenderá a reconhecer a qualidade de segurado e o cômputo para carência. Para os segurados que optam pela alíquota reduzida de 11% (art. 21, § 2º, da Lei 8.212/91), excluindo o direito à aposentadoria por tempo de contribuição, ou pela alíquota de 5% (segurado facultativo de baixa renda e microempreendedor individual), a complementação posterior é expressamente admitida pela legislação, mediante recolhimento da diferença acrescida de juros moratórios. Destacam que esse período contributivo com alíquota reduzida, embora não conte para aposentadoria por tempo de contribuição, é plenamente válido para os demais benefícios (incapacidade, idade, pensão por morte), desde que observados os requisitos de carência e qualidade de segurado.</w:t>
      </w:r>
    </w:p>
    <w:p>
      <w:pPr>
        <w:spacing w:before="360" w:after="140" w:line="240" w:lineRule="auto"/>
        <w:jc w:val="left"/>
        <w:pBdr>
          <w:bottom w:val="single" w:sz="8" w:space="4" w:color="B89B5E"/>
        </w:pBdr>
        <w:keepNext/>
      </w:pPr>
      <w:r>
        <w:rPr>
          <w:rFonts w:ascii="EB Garamond" w:hAnsi="EB Garamond" w:cs="EB Garamond"/>
          <w:b/>
          <w:i w:val="0"/>
          <w:color w:val="3A3128"/>
          <w:sz w:val="31"/>
        </w:rPr>
        <w:t>3.6 Manutenção da Qualidade de Segurado e Período de Graça</w:t>
      </w:r>
    </w:p>
    <w:p>
      <w:pPr>
        <w:spacing w:before="0" w:after="70" w:line="259" w:lineRule="auto"/>
        <w:jc w:val="both"/>
      </w:pPr>
      <w:r>
        <w:rPr>
          <w:rFonts w:ascii="EB Garamond" w:hAnsi="EB Garamond" w:cs="EB Garamond"/>
          <w:b w:val="0"/>
          <w:i w:val="0"/>
          <w:color w:val="201B16"/>
          <w:sz w:val="21"/>
        </w:rPr>
        <w:t>Conforme exposto no capítulo anterior ao tratar dos segurados obrigatórios e facultativos, o art. 15 da Lei 8.213/91 estabelece o período de graça, durante o qual o segurado mantém essa qualidade e todos os direitos perante a Previdência Social, independentemente de contribuições. Cumpre agora aprofundar a análise desse instituto, que constitui um dos temas de maior incidência prática nos JEFs. Horvath Júnior (2022) identifica no período de graça expressão do fundamento solidarístico da previdência social: o instituto impede a cessação abrupta da proteção em momentos de vulnerabilidade, quando circunstâncias alheias à vontade do segurado, como o desemprego involuntário ou a doença, impedem a continuidade contributiva.</w:t>
      </w:r>
    </w:p>
    <w:p>
      <w:pPr>
        <w:spacing w:before="0" w:after="70" w:line="259" w:lineRule="auto"/>
        <w:ind w:firstLine="238"/>
        <w:jc w:val="both"/>
      </w:pPr>
      <w:r>
        <w:rPr>
          <w:rFonts w:ascii="EB Garamond" w:hAnsi="EB Garamond" w:cs="EB Garamond"/>
          <w:b w:val="0"/>
          <w:i w:val="0"/>
          <w:color w:val="201B16"/>
          <w:sz w:val="21"/>
        </w:rPr>
        <w:t>Porto (2024) apresenta o período de graça como modalidade de manutenção extraordinária da qualidade de segurado, distinguindo-a da manutenção ordinária, que se dá pela contribuição (segurado facultativo) ou pela permanência em relação contributiva (segurado obrigatório). A expressão "período de graça" traduz exatamente essa ideia: trata-se da manutenção "gratuita" da qualidade de segurado durante período variável, conforme as circunstâncias que motivaram a cessação contributiva.</w:t>
      </w:r>
    </w:p>
    <w:p>
      <w:pPr>
        <w:spacing w:before="260" w:after="80" w:line="240" w:lineRule="auto"/>
        <w:jc w:val="left"/>
        <w:keepNext/>
      </w:pPr>
      <w:r>
        <w:rPr>
          <w:rFonts w:ascii="EB Garamond" w:hAnsi="EB Garamond" w:cs="EB Garamond"/>
          <w:b/>
          <w:i w:val="0"/>
          <w:color w:val="3A3128"/>
          <w:sz w:val="25"/>
        </w:rPr>
        <w:t>3.6.1 Fundamento e Hipóteses Legais</w:t>
      </w:r>
    </w:p>
    <w:p>
      <w:pPr>
        <w:spacing w:before="0" w:after="70" w:line="259" w:lineRule="auto"/>
        <w:jc w:val="both"/>
      </w:pPr>
      <w:r>
        <w:rPr>
          <w:rFonts w:ascii="EB Garamond" w:hAnsi="EB Garamond" w:cs="EB Garamond"/>
          <w:b w:val="0"/>
          <w:i w:val="0"/>
          <w:color w:val="201B16"/>
          <w:sz w:val="21"/>
        </w:rPr>
        <w:t>O período básico é de 12 meses após a cessação das contribuições ou do exercício de atividade remunerada (art. 15, II). Para o segurado em gozo de benefício, a qualidade é mantida sem limite de prazo (inciso I), com a ressalva introduzida pela Lei 13.846/2019 que excluiu dessa proteção o beneficiário de auxílio-acidente. Registra que a inserção dessa exceção ocorreu com o advento da Lei 13.846/2019 e que, até então, não estava expresso que a percepção isolada do auxílio-acidente não permitiria a manutenção da qualidade de segurado, havendo forte controvérsia doutrinária em razão da natureza meramente indenizatória desse benefício. Ademais, o STJ firmou que a manutenção da qualidade prevista no art. 15, I, inclui os benefícios deferidos por decisão de caráter provisório, ainda que futuramente revogada (AREsp 2.023.456).</w:t>
      </w:r>
    </w:p>
    <w:p>
      <w:pPr>
        <w:spacing w:before="0" w:after="70" w:line="259" w:lineRule="auto"/>
        <w:ind w:firstLine="238"/>
        <w:jc w:val="both"/>
      </w:pPr>
      <w:r>
        <w:rPr>
          <w:rFonts w:ascii="EB Garamond" w:hAnsi="EB Garamond" w:cs="EB Garamond"/>
          <w:b w:val="0"/>
          <w:i w:val="0"/>
          <w:color w:val="201B16"/>
          <w:sz w:val="21"/>
        </w:rPr>
        <w:t>O segurado acometido de doença de segregação compulsória mantém a qualidade por 12 meses após cessar a segregação (inciso III). O segurado retido ou recluso conserva-a por 12 meses após o livramento (inciso IV), sendo relevante registrar que, conforme se depreende do parágrafo único do art. 118 do Decreto 3.048/99, aquele que ostentava qualidade de segurado por ocasião da reclusão a mantém enquanto recluso, independentemente da duração do encarceramento. O incorporado às Forças Armadas dispõe de 3 meses após o licenciamento (inciso V), e o segurado facultativo de 6 meses após a cessação das contribuições (inciso VI). Ademais, nos termos do art. 11, § 1º, XI, do Decreto 3.048/99, o segurado recolhido à prisão sob regime fechado ou semiaberto que preste serviço dentro ou fora da unidade penal poderá inscrever-se como segurado facultativo, o que constitui via adicional de manutenção da qualidade de segurado durante o período de reclusão.</w:t>
      </w:r>
    </w:p>
    <w:p>
      <w:pPr>
        <w:spacing w:before="0" w:after="70" w:line="259" w:lineRule="auto"/>
        <w:ind w:firstLine="238"/>
        <w:jc w:val="both"/>
      </w:pPr>
      <w:r>
        <w:rPr>
          <w:rFonts w:ascii="EB Garamond" w:hAnsi="EB Garamond" w:cs="EB Garamond"/>
          <w:b w:val="0"/>
          <w:i w:val="0"/>
          <w:color w:val="201B16"/>
          <w:sz w:val="21"/>
        </w:rPr>
        <w:t>Durante o período de graça, a qualidade de segurado está preservada, o que permite ao interessado conservar todos os seus direitos perante a Previdência Social (§ 3º do art. 15). Observa que, em regra, o período de graça não é computado como tempo de contribuição, servindo apenas para manter os direitos inerentes à qualidade de segurado e à carência eventualmente já cumprida. Caso ocorra, finalmente, a perda da qualidade, será necessária nova filiação nos mesmos moldes da filiação original para readquiri-la.</w:t>
      </w:r>
    </w:p>
    <w:p>
      <w:pPr>
        <w:spacing w:before="260" w:after="80" w:line="240" w:lineRule="auto"/>
        <w:jc w:val="left"/>
        <w:keepNext/>
      </w:pPr>
      <w:r>
        <w:rPr>
          <w:rFonts w:ascii="EB Garamond" w:hAnsi="EB Garamond" w:cs="EB Garamond"/>
          <w:b/>
          <w:i w:val="0"/>
          <w:color w:val="3A3128"/>
          <w:sz w:val="25"/>
        </w:rPr>
        <w:t>3.6.2 Mecanismos de Prorrogação</w:t>
      </w:r>
    </w:p>
    <w:p>
      <w:pPr>
        <w:spacing w:before="0" w:after="70" w:line="259" w:lineRule="auto"/>
        <w:jc w:val="both"/>
      </w:pPr>
      <w:r>
        <w:rPr>
          <w:rFonts w:ascii="EB Garamond" w:hAnsi="EB Garamond" w:cs="EB Garamond"/>
          <w:b w:val="0"/>
          <w:i w:val="0"/>
          <w:color w:val="201B16"/>
          <w:sz w:val="21"/>
        </w:rPr>
        <w:t>Dois mecanismos de prorrogação ampliam o período básico do inciso II. O § 1º do art. 15 estende o prazo para 24 meses quando o segurado já tiver vertido mais de 120 contribuições mensais sem interrupção que acarrete a perda da qualidade. O § 2º acrescenta 12 meses adicionais quando comprovada situação de desemprego involuntário. A combinação desses dois acréscimos pode elevar o período de graça ao máximo de 36 meses.</w:t>
      </w:r>
    </w:p>
    <w:p>
      <w:pPr>
        <w:spacing w:before="0" w:after="70" w:line="259" w:lineRule="auto"/>
        <w:ind w:firstLine="238"/>
        <w:jc w:val="both"/>
      </w:pPr>
      <w:r>
        <w:rPr>
          <w:rFonts w:ascii="EB Garamond" w:hAnsi="EB Garamond" w:cs="EB Garamond"/>
          <w:b w:val="0"/>
          <w:i w:val="0"/>
          <w:color w:val="201B16"/>
          <w:sz w:val="21"/>
        </w:rPr>
        <w:t>esclarece que as duas situações de prorrogação podem ser aproveitadas isoladamente (atingindo-se, em qualquer caso, 24 meses) ou cumuladas, hipótese em que o prazo total alcança 36 meses. Essa cumulação é expressamente admitida pela jurisprudência e constitui cenário relativamente comum nos JEFs: segurados com longo histórico contributivo que, ao perder o emprego, acumulam a prorrogação por 120 contribuições (§ 1º) com a prorrogação por desemprego involuntário (§ 2º).</w:t>
      </w:r>
    </w:p>
    <w:tbl>
      <w:tblPr>
        <w:tblW w:type="auto" w:w="0"/>
        <w:jc w:val="center"/>
        <w:tblLayout w:type="autofit"/>
        <w:tblLook w:firstColumn="1" w:firstRow="1" w:lastColumn="0" w:lastRow="0" w:noHBand="0" w:noVBand="1" w:val="04A0"/>
        <w:tblW w:w="5000" w:type="pct"/>
      </w:tblPr>
      <w:tblGrid>
        <w:gridCol w:w="6350"/>
      </w:tblGrid>
      <w:tr>
        <w:tc>
          <w:tcPr>
            <w:tcW w:type="dxa" w:w="6350"/>
            <w:vAlign w:val="top"/>
            <w:tcMar>
              <w:top w:w="150" w:type="dxa"/>
              <w:bottom w:w="150" w:type="dxa"/>
              <w:left w:w="220" w:type="dxa"/>
              <w:right w:w="180" w:type="dxa"/>
            </w:tcMar>
            <w:shd w:fill="EEF3F7" w:val="clear"/>
            <w:tcBorders>
              <w:top w:val="single" w:sz="7" w:space="0" w:color="D2C9B8"/>
              <w:bottom w:val="single" w:sz="7" w:space="0" w:color="D2C9B8"/>
              <w:right w:val="single" w:sz="7" w:space="0" w:color="D2C9B8"/>
              <w:left w:val="single" w:sz="24" w:space="0" w:color="4D6F8A"/>
            </w:tcBorders>
          </w:tcPr>
          <w:p>
            <w:pPr>
              <w:spacing w:before="0" w:after="60" w:line="240" w:lineRule="auto"/>
              <w:jc w:val="left"/>
            </w:pPr>
            <w:r>
              <w:rPr>
                <w:rFonts w:ascii="Noto Sans" w:hAnsi="Noto Sans" w:cs="Noto Sans"/>
                <w:b/>
                <w:i w:val="0"/>
                <w:caps/>
                <w:color w:val="4D6F8A"/>
                <w:sz w:val="16"/>
              </w:rPr>
              <w:t>JURISPRUDÊNCIA EM DESTAQUE</w:t>
            </w:r>
          </w:p>
          <w:p>
            <w:pPr>
              <w:spacing w:before="0" w:after="60" w:line="247" w:lineRule="auto"/>
              <w:jc w:val="both"/>
            </w:pPr>
            <w:r>
              <w:rPr>
                <w:rFonts w:ascii="EB Garamond" w:hAnsi="EB Garamond" w:cs="EB Garamond"/>
                <w:b w:val="0"/>
                <w:i w:val="0"/>
                <w:color w:val="201B16"/>
                <w:sz w:val="19"/>
              </w:rPr>
              <w:t>A TNU, no Tema 365 (Processo 0500120-68.2021.4.05.8311/PE, Juíza Federal Lílian Oliveira da Costa Tourinho, voto vencedor, j. 12/11/2025), firmou a tese de que "não é possível computar o período de gozo de benefício por incapacidade intercalado entre contribuições para fins de verificação das mais de 120 contribuições mensais exigidas para a prorrogação do período de graça, na forma do art. 15, § 1º, da Lei n. 8.213/91". A decisão impede que segurados com longos períodos de afastamento por incapacidade se beneficiem da prorrogação automática do período de graça (de 12 para 24 meses) sem terem efetivamente vertido as contribuições exigidas.</w:t>
            </w:r>
          </w:p>
        </w:tc>
      </w:tr>
    </w:tbl>
    <w:p>
      <w:pPr>
        <w:spacing w:before="0" w:after="80" w:line="240" w:lineRule="auto"/>
      </w:pPr>
    </w:p>
    <w:p>
      <w:pPr>
        <w:spacing w:before="260" w:after="80" w:line="240" w:lineRule="auto"/>
        <w:jc w:val="left"/>
        <w:keepNext/>
      </w:pPr>
      <w:r>
        <w:rPr>
          <w:rFonts w:ascii="EB Garamond" w:hAnsi="EB Garamond" w:cs="EB Garamond"/>
          <w:b/>
          <w:i w:val="0"/>
          <w:color w:val="3A3128"/>
          <w:sz w:val="25"/>
        </w:rPr>
        <w:t>3.6.3 Cálculo da Data Exata de Perda da Qualidade</w:t>
      </w:r>
    </w:p>
    <w:p>
      <w:pPr>
        <w:spacing w:before="0" w:after="70" w:line="259" w:lineRule="auto"/>
        <w:jc w:val="both"/>
      </w:pPr>
      <w:r>
        <w:rPr>
          <w:rFonts w:ascii="EB Garamond" w:hAnsi="EB Garamond" w:cs="EB Garamond"/>
          <w:b w:val="0"/>
          <w:i w:val="0"/>
          <w:color w:val="201B16"/>
          <w:sz w:val="21"/>
        </w:rPr>
        <w:t>A perda efetiva da qualidade de segurado não ocorre no último dia do período de graça, mas em momento posterior, conforme a regra do § 4º do art. 15. Segundo esse dispositivo, a perda se dá no dia seguinte ao término do prazo de recolhimento da contribuição referente ao mês imediatamente posterior ao final do período de graça. O Decreto 3.048/99, em seu art. 14, complementa: o reconhecimento da perda ocorre no dia seguinte ao do vencimento da contribuição do contribuinte individual relativa ao mês imediatamente posterior ao término dos prazos.</w:t>
      </w:r>
    </w:p>
    <w:p>
      <w:pPr>
        <w:spacing w:before="0" w:after="70" w:line="259" w:lineRule="auto"/>
        <w:ind w:firstLine="238"/>
        <w:jc w:val="both"/>
      </w:pPr>
      <w:r>
        <w:rPr>
          <w:rFonts w:ascii="EB Garamond" w:hAnsi="EB Garamond" w:cs="EB Garamond"/>
          <w:b w:val="0"/>
          <w:i w:val="0"/>
          <w:color w:val="201B16"/>
          <w:sz w:val="21"/>
        </w:rPr>
        <w:t>Na prática administrativa e na contagem judicial, isso significa que o segurado dispõe de um mês adicional além do período de graça propriamente dito, acrescido do prazo até o vencimento da contribuição daquele mês. Porto (2024) oferece exemplo numérico esclarecedor: se o período de graça é de 12 meses e o último mês de trabalho foi janeiro de 2015, o período de graça vai de fevereiro de 2015 até janeiro de 2016; para não perder a qualidade, o segurado precisaria voltar a contribuir em fevereiro de 2016, cujo recolhimento vence em 15 de março de 2016 (para o contribuinte individual), resultando em período efetivo de proteção de 13 meses e 15 dias. A mesma extensão aplica-se aos demais prazos.</w:t>
      </w:r>
    </w:p>
    <w:p>
      <w:pPr>
        <w:spacing w:before="0" w:after="70" w:line="259" w:lineRule="auto"/>
        <w:ind w:firstLine="238"/>
        <w:jc w:val="both"/>
      </w:pPr>
      <w:r>
        <w:rPr>
          <w:rFonts w:ascii="EB Garamond" w:hAnsi="EB Garamond" w:cs="EB Garamond"/>
          <w:b w:val="0"/>
          <w:i w:val="0"/>
          <w:color w:val="201B16"/>
          <w:sz w:val="21"/>
        </w:rPr>
        <w:t>Esse cálculo exige atenção minuciosa, pois um erro de dias pode alterar a conclusão sobre a manutenção ou perda da qualidade de segurado na data do evento gerador. Nos JEFs, o cálculo preciso dessa data é determinante para o resultado do processo, especialmente em ações de pensão por morte (em que o evento é o óbito) e de benefícios por incapacidade (em que o evento é a data de início da incapacidade).</w:t>
      </w:r>
    </w:p>
    <w:p>
      <w:pPr>
        <w:spacing w:before="360" w:after="140" w:line="240" w:lineRule="auto"/>
        <w:jc w:val="left"/>
        <w:pBdr>
          <w:bottom w:val="single" w:sz="8" w:space="4" w:color="B89B5E"/>
        </w:pBdr>
        <w:keepNext/>
      </w:pPr>
      <w:r>
        <w:rPr>
          <w:rFonts w:ascii="EB Garamond" w:hAnsi="EB Garamond" w:cs="EB Garamond"/>
          <w:b/>
          <w:i w:val="0"/>
          <w:color w:val="3A3128"/>
          <w:sz w:val="31"/>
        </w:rPr>
        <w:t>3.7 Prorrogação do Período de Graça e Jurisprudência</w:t>
      </w:r>
    </w:p>
    <w:p>
      <w:pPr>
        <w:spacing w:before="0" w:after="70" w:line="259" w:lineRule="auto"/>
        <w:jc w:val="both"/>
      </w:pPr>
      <w:r>
        <w:rPr>
          <w:rFonts w:ascii="EB Garamond" w:hAnsi="EB Garamond" w:cs="EB Garamond"/>
          <w:b w:val="0"/>
          <w:i w:val="0"/>
          <w:color w:val="201B16"/>
          <w:sz w:val="21"/>
        </w:rPr>
        <w:t>A prova do desemprego involuntário para obtenção do acréscimo de 12 meses previsto no § 2º do art. 15 constitui uma das questões mais judicializadas no direito previdenciário brasileiro. A lei exige comprovação por meio de "registro no órgão próprio do Ministério do Trabalho e da Previdência Social", o que suscitou longa controvérsia sobre a taxatividade desse meio de prova.</w:t>
      </w:r>
    </w:p>
    <w:p>
      <w:pPr>
        <w:spacing w:before="260" w:after="80" w:line="240" w:lineRule="auto"/>
        <w:jc w:val="left"/>
        <w:keepNext/>
      </w:pPr>
      <w:r>
        <w:rPr>
          <w:rFonts w:ascii="EB Garamond" w:hAnsi="EB Garamond" w:cs="EB Garamond"/>
          <w:b/>
          <w:i w:val="0"/>
          <w:color w:val="3A3128"/>
          <w:sz w:val="25"/>
        </w:rPr>
        <w:t>3.7.1 Prova do Desemprego Involuntário</w:t>
      </w:r>
    </w:p>
    <w:p>
      <w:pPr>
        <w:spacing w:before="0" w:after="70" w:line="259" w:lineRule="auto"/>
        <w:jc w:val="both"/>
      </w:pPr>
      <w:r>
        <w:rPr>
          <w:rFonts w:ascii="EB Garamond" w:hAnsi="EB Garamond" w:cs="EB Garamond"/>
          <w:b w:val="0"/>
          <w:i w:val="0"/>
          <w:color w:val="201B16"/>
          <w:sz w:val="21"/>
        </w:rPr>
        <w:t>A TNU, por meio da Súmula 27, firmou que a ausência de registro em órgão do Ministério do Trabalho não impede a comprovação do desemprego por outros meios admitidos em direito. Porto (2024), em nota doutrinária, registra que o STJ exige prova mais robusta do que a mera ausência de anotação posterior na CTPS, ou seja, a prova negativa não é suficiente; é necessário elemento positivo que demonstre a condição de desempregado.</w:t>
      </w:r>
    </w:p>
    <w:p>
      <w:pPr>
        <w:spacing w:before="0" w:after="70" w:line="259" w:lineRule="auto"/>
        <w:ind w:firstLine="238"/>
        <w:jc w:val="both"/>
      </w:pPr>
      <w:r>
        <w:rPr>
          <w:rFonts w:ascii="EB Garamond" w:hAnsi="EB Garamond" w:cs="EB Garamond"/>
          <w:b w:val="0"/>
          <w:i w:val="0"/>
          <w:color w:val="201B16"/>
          <w:sz w:val="21"/>
        </w:rPr>
        <w:t>O Superior Tribunal de Justiça, no julgamento do Tema Repetitivo 1360 (rel. Min. Afrânio Vilela, j. 11/03/2026), consolidou e expandiu esse entendimento, fixando que o registro perante o Ministério do Trabalho pode ser suprido por outros meios de prova, tanto na via administrativa quanto na judicial, desde que demonstrada a situação de desemprego involuntário. A Corte ressalvou que a mera ausência de anotações na CTPS ou no CNIS não é suficiente isoladamente, exigindo prova positiva da condição de desempregado, como FGTS movimentado, recibo de seguro-desemprego, Termo de Rescisão ou documentação equivalente.</w:t>
      </w:r>
    </w:p>
    <w:p>
      <w:pPr>
        <w:spacing w:before="260" w:after="80" w:line="240" w:lineRule="auto"/>
        <w:jc w:val="left"/>
        <w:keepNext/>
      </w:pPr>
      <w:r>
        <w:rPr>
          <w:rFonts w:ascii="EB Garamond" w:hAnsi="EB Garamond" w:cs="EB Garamond"/>
          <w:b/>
          <w:i w:val="0"/>
          <w:color w:val="3A3128"/>
          <w:sz w:val="25"/>
        </w:rPr>
        <w:t>3.7.2 Extensão ao Contribuinte Individual</w:t>
      </w:r>
    </w:p>
    <w:p>
      <w:pPr>
        <w:spacing w:before="0" w:after="70" w:line="259" w:lineRule="auto"/>
        <w:jc w:val="both"/>
      </w:pPr>
      <w:r>
        <w:rPr>
          <w:rFonts w:ascii="EB Garamond" w:hAnsi="EB Garamond" w:cs="EB Garamond"/>
          <w:b w:val="0"/>
          <w:i w:val="0"/>
          <w:color w:val="201B16"/>
          <w:sz w:val="21"/>
        </w:rPr>
        <w:t>A prorrogação por desemprego involuntário alcança também o contribuinte individual. A TNU, no Tema 239 (PEDILEF 0504272-91.2018.4.05.8400, j. 28/04/2021), firmou a tese de que a prorrogação prevista no § 2º do art. 15 estende-se ao segurado contribuinte individual, quando comprovado que a cessação da atividade econômica decorreu de causa involuntária, além da ausência de atividade subsequente. Savaris (2023), que foi pioneiro na defesa dessa extensão antes de seu acolhimento jurisprudencial, fundamenta a tese no princípio da adequada proteção previdenciária, sustentando que o período de graça é concretização do direito fundamental à proteção social.</w:t>
      </w:r>
    </w:p>
    <w:p>
      <w:pPr>
        <w:spacing w:before="0" w:after="70" w:line="259" w:lineRule="auto"/>
        <w:ind w:firstLine="238"/>
        <w:jc w:val="both"/>
      </w:pPr>
      <w:r>
        <w:rPr>
          <w:rFonts w:ascii="EB Garamond" w:hAnsi="EB Garamond" w:cs="EB Garamond"/>
          <w:b w:val="0"/>
          <w:i w:val="0"/>
          <w:color w:val="201B16"/>
          <w:sz w:val="21"/>
        </w:rPr>
        <w:t>Porto (2024) anota que, tradicionalmente, entendia-se que o termo "desempregado" abarcaria apenas o segurado empregado (inclusive o doméstico e o trabalhador avulso) em situação de desemprego. A evolução jurisprudencial, contudo, expandiu o conceito para incluir o contribuinte individual que comprove situação de "desocupação" (termo tecnicamente mais adequado que "desemprego" para essa categoria). A ressalva é que o contribuinte individual deve demonstrar não apenas a cessação involuntária de sua atividade, mas também a ausência de atividade remunerada subsequente.</w:t>
      </w:r>
    </w:p>
    <w:p>
      <w:pPr>
        <w:spacing w:before="260" w:after="80" w:line="240" w:lineRule="auto"/>
        <w:jc w:val="left"/>
        <w:keepNext/>
      </w:pPr>
      <w:r>
        <w:rPr>
          <w:rFonts w:ascii="EB Garamond" w:hAnsi="EB Garamond" w:cs="EB Garamond"/>
          <w:b/>
          <w:i w:val="0"/>
          <w:color w:val="3A3128"/>
          <w:sz w:val="25"/>
        </w:rPr>
        <w:t>3.7.3 Limbo Previdenciário</w:t>
      </w:r>
    </w:p>
    <w:p>
      <w:pPr>
        <w:spacing w:before="0" w:after="70" w:line="259" w:lineRule="auto"/>
        <w:jc w:val="both"/>
      </w:pPr>
      <w:r>
        <w:rPr>
          <w:rFonts w:ascii="EB Garamond" w:hAnsi="EB Garamond" w:cs="EB Garamond"/>
          <w:b w:val="0"/>
          <w:i w:val="0"/>
          <w:color w:val="201B16"/>
          <w:sz w:val="21"/>
        </w:rPr>
        <w:t>Situação peculiar envolve o chamado limbo previdenciário, que ocorre quando o INSS cessa o benefício por incapacidade, considerando o segurado apto ao trabalho, mas o empregador recusa seu retorno por considerá-lo inapto. A TNU enfrentou a questão no Tema 300 (Processo 05130308820204058400, j. 07/12/2022), fixando que, nessa hipótese, a qualidade de segurado se mantém até o encerramento do vínculo de trabalho, que ocorrerá com a rescisão contratual, momento a partir do qual se inicia a contagem do período de graça do art. 15, inciso II. A tese protege o segurado em situação de vulnerabilidade, impedindo que a perda da qualidade seja contada a partir da cessação do benefício pelo INSS quando o trabalhador permanece vinculado ao emprego sem poder exercê-lo nem contribuir.</w:t>
      </w:r>
    </w:p>
    <w:p>
      <w:pPr>
        <w:spacing w:before="0" w:after="70" w:line="259" w:lineRule="auto"/>
        <w:ind w:firstLine="238"/>
        <w:jc w:val="both"/>
      </w:pPr>
      <w:r>
        <w:rPr>
          <w:rFonts w:ascii="EB Garamond" w:hAnsi="EB Garamond" w:cs="EB Garamond"/>
          <w:b w:val="0"/>
          <w:i w:val="0"/>
          <w:color w:val="201B16"/>
          <w:sz w:val="21"/>
        </w:rPr>
        <w:t>A situação do limbo previdenciário merece atenção especial nos JEFs porque envolve simultaneamente o direito previdenciário e o direito do trabalho. O trabalhador que se encontra nessa situação não recebe remuneração do empregador (que recusa o retorno) nem benefício previdenciário (que foi cessado), ficando em completo desamparo. A tese firmada no Tema 300/TNU garante que, ao menos para fins previdenciários, a qualidade de segurado seja preservada durante o período de limbo, mas não resolve a questão trabalhista. Nos JEFs, a solução usual é o restabelecimento do benefício por incapacidade quando demonstrada a persistência da incapacidade, ou a fixação do termo inicial do período de graça na data da efetiva rescisão contratual.</w:t>
      </w:r>
    </w:p>
    <w:p>
      <w:pPr>
        <w:spacing w:before="260" w:after="80" w:line="240" w:lineRule="auto"/>
        <w:jc w:val="left"/>
        <w:keepNext/>
      </w:pPr>
      <w:r>
        <w:rPr>
          <w:rFonts w:ascii="EB Garamond" w:hAnsi="EB Garamond" w:cs="EB Garamond"/>
          <w:b/>
          <w:i w:val="0"/>
          <w:color w:val="3A3128"/>
          <w:sz w:val="25"/>
        </w:rPr>
        <w:t>3.7.4 Início da Contagem após Cessação de Benefício por Incapacidade</w:t>
      </w:r>
    </w:p>
    <w:p>
      <w:pPr>
        <w:spacing w:before="0" w:after="70" w:line="259" w:lineRule="auto"/>
        <w:jc w:val="both"/>
      </w:pPr>
      <w:r>
        <w:rPr>
          <w:rFonts w:ascii="EB Garamond" w:hAnsi="EB Garamond" w:cs="EB Garamond"/>
          <w:b w:val="0"/>
          <w:i w:val="0"/>
          <w:color w:val="201B16"/>
          <w:sz w:val="21"/>
        </w:rPr>
        <w:t>O início da contagem do período de graça após a cessação de benefício por incapacidade foi uniformizado pela TNU no Tema 251 (Processo 0501223-27.2018.4.05.8405/RN, rel. Juíza Federal Isadora Segalla Afanasieff, j. 16/10/2020): "o início da contagem do período de graça para o segurado que se encontra em gozo de auxílio-doença, para fins de aplicação do disposto no art. 15, inciso II e §§ 1º e 2º da Lei n. 8.213/1991, é o primeiro dia do mês seguinte à data de cessação do benefício previdenciário por incapacidade". Essa uniformização é essencial para o cálculo preciso da qualidade de segurado em ações de concessão de novos benefícios ou de pensão por morte.</w:t>
      </w:r>
    </w:p>
    <w:tbl>
      <w:tblPr>
        <w:tblW w:type="auto" w:w="0"/>
        <w:jc w:val="center"/>
        <w:tblLayout w:type="autofit"/>
        <w:tblLook w:firstColumn="1" w:firstRow="1" w:lastColumn="0" w:lastRow="0" w:noHBand="0" w:noVBand="1" w:val="04A0"/>
        <w:tblW w:w="5000" w:type="pct"/>
      </w:tblPr>
      <w:tblGrid>
        <w:gridCol w:w="6350"/>
      </w:tblGrid>
      <w:tr>
        <w:tc>
          <w:tcPr>
            <w:tcW w:type="dxa" w:w="6350"/>
            <w:vAlign w:val="top"/>
            <w:tcMar>
              <w:top w:w="150" w:type="dxa"/>
              <w:bottom w:w="150" w:type="dxa"/>
              <w:left w:w="220" w:type="dxa"/>
              <w:right w:w="180" w:type="dxa"/>
            </w:tcMar>
            <w:shd w:fill="F0F4ED" w:val="clear"/>
            <w:tcBorders>
              <w:top w:val="single" w:sz="7" w:space="0" w:color="D2C9B8"/>
              <w:bottom w:val="single" w:sz="7" w:space="0" w:color="D2C9B8"/>
              <w:right w:val="single" w:sz="7" w:space="0" w:color="D2C9B8"/>
              <w:left w:val="single" w:sz="24" w:space="0" w:color="6E8563"/>
            </w:tcBorders>
          </w:tcPr>
          <w:p>
            <w:pPr>
              <w:spacing w:before="0" w:after="60" w:line="240" w:lineRule="auto"/>
              <w:jc w:val="left"/>
            </w:pPr>
            <w:r>
              <w:rPr>
                <w:rFonts w:ascii="Noto Sans" w:hAnsi="Noto Sans" w:cs="Noto Sans"/>
                <w:b/>
                <w:i w:val="0"/>
                <w:caps/>
                <w:color w:val="6E8563"/>
                <w:sz w:val="16"/>
              </w:rPr>
              <w:t>NA PRÁTICA</w:t>
            </w:r>
          </w:p>
          <w:p>
            <w:pPr>
              <w:spacing w:before="0" w:after="60" w:line="247" w:lineRule="auto"/>
              <w:jc w:val="both"/>
            </w:pPr>
            <w:r>
              <w:rPr>
                <w:rFonts w:ascii="EB Garamond" w:hAnsi="EB Garamond" w:cs="EB Garamond"/>
                <w:b w:val="0"/>
                <w:i w:val="0"/>
                <w:color w:val="201B16"/>
                <w:sz w:val="19"/>
              </w:rPr>
              <w:t>Ao verificar a qualidade de segurado em ações previdenciárias nos JEFs, o advogado deve calcular o período de graça observando a seguinte sequência: (1) identificar a data de cessação das contribuições ou do último benefício por incapacidade (Tema 251/TNU: primeiro dia do mês seguinte à cessação); (2) verificar se o segurado conta com mais de 120 contribuições efetivas (prorrogação para 24 meses, conforme o § 1º, exigindo contribuições efetivas nos termos do Tema 365/TNU, sem cômputo de período em gozo de benefício por incapacidade intercalado); (3) verificar se há prova de desemprego involuntário (acréscimo de 12 meses, conforme o § 2º, admitindo qualquer meio de prova nos termos do Tema 1360/STJ e extensível ao contribuinte individual conforme Tema 239/TNU); (4) aplicar a regra do § 4º para determinar a data exata da perda (dia seguinte ao vencimento da contribuição do mês imediatamente posterior ao término do período de graça); e (5) em caso de limbo previdenciário, considerar o Tema 300/TNU para fixar o termo inicial da contagem na data da rescisão contratual. Esse cálculo determina se o segurado detinha qualidade na data do evento gerador (incapacidade, óbito, recolhimento à prisão).</w:t>
            </w:r>
          </w:p>
        </w:tc>
      </w:tr>
    </w:tbl>
    <w:p>
      <w:pPr>
        <w:spacing w:before="0" w:after="80" w:line="240" w:lineRule="auto"/>
      </w:pPr>
    </w:p>
    <w:p>
      <w:pPr>
        <w:spacing w:before="360" w:after="140" w:line="240" w:lineRule="auto"/>
        <w:jc w:val="left"/>
        <w:pBdr>
          <w:bottom w:val="single" w:sz="8" w:space="4" w:color="B89B5E"/>
        </w:pBdr>
        <w:keepNext/>
      </w:pPr>
      <w:r>
        <w:rPr>
          <w:rFonts w:ascii="EB Garamond" w:hAnsi="EB Garamond" w:cs="EB Garamond"/>
          <w:b/>
          <w:i w:val="0"/>
          <w:color w:val="3A3128"/>
          <w:sz w:val="31"/>
        </w:rPr>
        <w:t>3.8 Perda e Reaquisição da Qualidade de Segurado</w:t>
      </w:r>
    </w:p>
    <w:p>
      <w:pPr>
        <w:spacing w:before="0" w:after="70" w:line="259" w:lineRule="auto"/>
        <w:jc w:val="both"/>
      </w:pPr>
      <w:r>
        <w:rPr>
          <w:rFonts w:ascii="EB Garamond" w:hAnsi="EB Garamond" w:cs="EB Garamond"/>
          <w:b w:val="0"/>
          <w:i w:val="0"/>
          <w:color w:val="201B16"/>
          <w:sz w:val="21"/>
        </w:rPr>
        <w:t>A perda da qualidade de segurado produz, como efeito principal, a caducidade dos direitos inerentes a essa condição, nos termos do art. 102 da Lei 8.213/91. O ex-segurado perde o acesso a benefícios cujo fato gerador ocorra após a perda, e seus dependentes ficam desprotegidos para fins de pensão por morte e auxílio-reclusão. Porto (2024) sintetiza a consequência: perdida a qualidade de segurado, será necessária nova filiação ("refiliação"), nos mesmos moldes da filiação original, para readquiri-la. Para os benefícios não programados, a perda acarreta também a caducidade da carência anteriormente cumprida. Há, contudo, exceções relevantes que merecem exame detalhado.</w:t>
      </w:r>
    </w:p>
    <w:p>
      <w:pPr>
        <w:spacing w:before="260" w:after="80" w:line="240" w:lineRule="auto"/>
        <w:jc w:val="left"/>
        <w:keepNext/>
      </w:pPr>
      <w:r>
        <w:rPr>
          <w:rFonts w:ascii="EB Garamond" w:hAnsi="EB Garamond" w:cs="EB Garamond"/>
          <w:b/>
          <w:i w:val="0"/>
          <w:color w:val="3A3128"/>
          <w:sz w:val="25"/>
        </w:rPr>
        <w:t>3.8.1 Efeitos da Perda e Exceções Legais</w:t>
      </w:r>
    </w:p>
    <w:p>
      <w:pPr>
        <w:spacing w:before="0" w:after="70" w:line="259" w:lineRule="auto"/>
        <w:jc w:val="both"/>
      </w:pPr>
      <w:r>
        <w:rPr>
          <w:rFonts w:ascii="EB Garamond" w:hAnsi="EB Garamond" w:cs="EB Garamond"/>
          <w:b w:val="0"/>
          <w:i w:val="0"/>
          <w:color w:val="201B16"/>
          <w:sz w:val="21"/>
        </w:rPr>
        <w:t>A primeira exceção é o direito adquirido à aposentadoria. O § 1º do art. 102 estabelece que a perda da qualidade não prejudica o direito à aposentadoria cujos requisitos já tenham sido integralmente preenchidos segundo a legislação vigente à época. A Lei n. 10.666, de 8 de maio de 2003, ampliou esse entendimento em seu art. 3º, dispondo que a perda da qualidade de segurado não será considerada para a concessão das aposentadorias por tempo de contribuição e especial. Essa norma dispensa a manutenção da qualidade de segurado para essas espécies de aposentadoria, bastando o cumprimento da carência e do tempo exigidos. O Decreto 3.048/99, em seus §§ 5º e 6º do art. 13, estendeu a mesma lógica à aposentadoria por idade, desde que o segurado conte com a carência mínima exigida.</w:t>
      </w:r>
    </w:p>
    <w:p>
      <w:pPr>
        <w:spacing w:before="0" w:after="70" w:line="259" w:lineRule="auto"/>
        <w:ind w:firstLine="238"/>
        <w:jc w:val="both"/>
      </w:pPr>
      <w:r>
        <w:rPr>
          <w:rFonts w:ascii="EB Garamond" w:hAnsi="EB Garamond" w:cs="EB Garamond"/>
          <w:b w:val="0"/>
          <w:i w:val="0"/>
          <w:color w:val="201B16"/>
          <w:sz w:val="21"/>
        </w:rPr>
        <w:t>observam que a regra do art. 102, § 1º, constitui norma que respeita o direito adquirido do segurado e que tem reflexo na cobertura previdenciária até de seus dependentes. Não teria sentido que, cumpridos os requisitos para aposentar-se, deixando o segurado de contribuir e perdendo essa condição, perdesse o direito ao benefício. A regra foi repetida pelo art. 3º da Lei n. 10.666/2003, acolhendo entendimento então dominante na jurisprudência.</w:t>
      </w:r>
    </w:p>
    <w:p>
      <w:pPr>
        <w:spacing w:before="0" w:after="70" w:line="259" w:lineRule="auto"/>
        <w:ind w:firstLine="238"/>
        <w:jc w:val="both"/>
      </w:pPr>
      <w:r>
        <w:rPr>
          <w:rFonts w:ascii="EB Garamond" w:hAnsi="EB Garamond" w:cs="EB Garamond"/>
          <w:b w:val="0"/>
          <w:i w:val="0"/>
          <w:color w:val="201B16"/>
          <w:sz w:val="21"/>
        </w:rPr>
        <w:t>A segunda exceção protege os dependentes. O § 2º do art. 102 veda a concessão de pensão por morte aos dependentes do segurado que falecer após a perda da qualidade, salvo se o falecido já havia preenchido todos os requisitos para aposentadoria na forma do § 1º. Essa ressalva é aplicação direta da Súmula 416 do STJ, que consagra o entendimento de que "é devida a pensão por morte aos dependentes do segurado que, apesar de ter perdido essa qualidade, preencheu os requisitos legais para a obtenção de aposentadoria até a data do seu óbito". A identificação do regime jurídico aplicável segue o princípio consagrado na Súmula 340 do STJ, segundo a qual a lei vigente na data do óbito é a que rege a concessão da pensão, o que exige atenção ao marco temporal em ações envolvendo óbitos ocorridos antes e depois da EC 103/2019.</w:t>
      </w:r>
    </w:p>
    <w:p>
      <w:pPr>
        <w:spacing w:before="260" w:after="80" w:line="240" w:lineRule="auto"/>
        <w:jc w:val="left"/>
        <w:keepNext/>
      </w:pPr>
      <w:r>
        <w:rPr>
          <w:rFonts w:ascii="EB Garamond" w:hAnsi="EB Garamond" w:cs="EB Garamond"/>
          <w:b/>
          <w:i w:val="0"/>
          <w:color w:val="3A3128"/>
          <w:sz w:val="25"/>
        </w:rPr>
        <w:t>3.8.2 A Regra Geral do Art. 24, Parágrafo Único</w:t>
      </w:r>
    </w:p>
    <w:p>
      <w:pPr>
        <w:spacing w:before="0" w:after="70" w:line="259" w:lineRule="auto"/>
        <w:jc w:val="both"/>
      </w:pPr>
      <w:r>
        <w:rPr>
          <w:rFonts w:ascii="EB Garamond" w:hAnsi="EB Garamond" w:cs="EB Garamond"/>
          <w:b w:val="0"/>
          <w:i w:val="0"/>
          <w:color w:val="201B16"/>
          <w:sz w:val="21"/>
        </w:rPr>
        <w:t>A reaquisição da qualidade de segurado após sua perda suscita a questão do aproveitamento das contribuições anteriores para fins de carência. O art. 24, parágrafo único, da Lei 8.213/91 estabelece regra geral segundo a qual as contribuições anteriores à perda da qualidade só serão computadas para carência depois que o segurado contar, a partir da nova filiação, com no mínimo um terço do número de contribuições exigidas para o benefício pretendido. Na prática, para aposentadorias que exigem 180 contribuições, é necessário reunir 60 novas contribuições para aproveitar as anteriores; para benefícios por incapacidade que exigem 12, bastariam 4.</w:t>
      </w:r>
    </w:p>
    <w:p>
      <w:pPr>
        <w:spacing w:before="0" w:after="70" w:line="259" w:lineRule="auto"/>
        <w:ind w:firstLine="238"/>
        <w:jc w:val="both"/>
      </w:pPr>
      <w:r>
        <w:rPr>
          <w:rFonts w:ascii="EB Garamond" w:hAnsi="EB Garamond" w:cs="EB Garamond"/>
          <w:b w:val="0"/>
          <w:i w:val="0"/>
          <w:color w:val="201B16"/>
          <w:sz w:val="21"/>
        </w:rPr>
        <w:t>Essa regra geral aplica-se aos benefícios não abrangidos pelo art. 27-A, que constitui norma especial. Na prática atual, o campo de aplicação residual do art. 24, parágrafo único, é relativamente restrito, sendo mais frequente a invocação do art. 27-A para benefícios por incapacidade, salário-maternidade e auxílio-reclusão.</w:t>
      </w:r>
    </w:p>
    <w:p>
      <w:pPr>
        <w:spacing w:before="260" w:after="80" w:line="240" w:lineRule="auto"/>
        <w:jc w:val="left"/>
        <w:keepNext/>
      </w:pPr>
      <w:r>
        <w:rPr>
          <w:rFonts w:ascii="EB Garamond" w:hAnsi="EB Garamond" w:cs="EB Garamond"/>
          <w:b/>
          <w:i w:val="0"/>
          <w:color w:val="3A3128"/>
          <w:sz w:val="25"/>
        </w:rPr>
        <w:t>3.8.3 O Art. 27-A e a Regra da Metade</w:t>
      </w:r>
    </w:p>
    <w:p>
      <w:pPr>
        <w:spacing w:before="0" w:after="70" w:line="259" w:lineRule="auto"/>
        <w:jc w:val="both"/>
      </w:pPr>
      <w:r>
        <w:rPr>
          <w:rFonts w:ascii="EB Garamond" w:hAnsi="EB Garamond" w:cs="EB Garamond"/>
          <w:b w:val="0"/>
          <w:i w:val="0"/>
          <w:color w:val="201B16"/>
          <w:sz w:val="21"/>
        </w:rPr>
        <w:t>A Lei 13.846/2019 inseriu o art. 27-A, que constitui norma especial para benefícios por incapacidade, salário-maternidade e auxílio-reclusão. Por essa regra, o segurado que perdeu a qualidade deve contar, a partir da nova filiação, com metade dos períodos previstos nos incisos I, III e IV do art. 25. Na prática, para benefícios por incapacidade, a exigência é de 6 contribuições (metade de 12) após a nova filiação; para o auxílio-reclusão, 12 contribuições (metade de 24). Essa norma representou agravamento em relação à regra anterior: sob o regime do parágrafo único do art. 24, bastavam 4 contribuições (um terço de 12) para readquirir o aproveitamento pleno das contribuições pretéritas.</w:t>
      </w:r>
    </w:p>
    <w:p>
      <w:pPr>
        <w:spacing w:before="0" w:after="70" w:line="259" w:lineRule="auto"/>
        <w:ind w:firstLine="238"/>
        <w:jc w:val="both"/>
      </w:pPr>
      <w:r>
        <w:rPr>
          <w:rFonts w:ascii="EB Garamond" w:hAnsi="EB Garamond" w:cs="EB Garamond"/>
          <w:b w:val="0"/>
          <w:i w:val="0"/>
          <w:color w:val="201B16"/>
          <w:sz w:val="21"/>
        </w:rPr>
        <w:t>Porto (2024) denomina essa exigência de "resgate da carência" ou "carência de reingresso", observando que a regra da metade foi introduzida pela MP 871/2019 e estabilizada pela Lei 13.846/2019. Após o cumprimento da carência de reingresso, o segurado pode aproveitar as contribuições anteriores à perda da qualidade para completar a carência total exigida para o benefício.</w:t>
      </w:r>
    </w:p>
    <w:p>
      <w:pPr>
        <w:spacing w:before="0" w:after="70" w:line="259" w:lineRule="auto"/>
        <w:ind w:firstLine="238"/>
        <w:jc w:val="both"/>
      </w:pPr>
      <w:r>
        <w:rPr>
          <w:rFonts w:ascii="EB Garamond" w:hAnsi="EB Garamond" w:cs="EB Garamond"/>
          <w:b w:val="0"/>
          <w:i w:val="0"/>
          <w:color w:val="201B16"/>
          <w:sz w:val="21"/>
        </w:rPr>
        <w:t>Exemplo prático: segurado contribuinte individual que verteu 120 contribuições, perdeu a qualidade de segurado por cessação das contribuições e, após dois anos, refiliou-se ao RGPS. Para obter auxílio por incapacidade temporária (carência de 12 contribuições), deve cumprir 6 novas contribuições tempestivas (metade de 12) após a refiliação. Cumprida essa "carência de reingresso", as 120 contribuições anteriores são reaproveitadas, e o segurado terá 126 contribuições computadas para carência. Se, contudo, não cumprir as 6 contribuições necessárias antes do evento incapacitante, não terá direito ao benefício por falta de carência, mesmo tendo vertido 120 contribuições ao longo de sua vida laboral.</w:t>
      </w:r>
    </w:p>
    <w:p>
      <w:pPr>
        <w:spacing w:before="260" w:after="80" w:line="240" w:lineRule="auto"/>
        <w:jc w:val="left"/>
        <w:keepNext/>
      </w:pPr>
      <w:r>
        <w:rPr>
          <w:rFonts w:ascii="EB Garamond" w:hAnsi="EB Garamond" w:cs="EB Garamond"/>
          <w:b/>
          <w:i w:val="0"/>
          <w:color w:val="3A3128"/>
          <w:sz w:val="25"/>
        </w:rPr>
        <w:t>3.8.4 Histórico Legislativo do Art. 27-A (2016-2019)</w:t>
      </w:r>
    </w:p>
    <w:tbl>
      <w:tblPr>
        <w:tblW w:type="auto" w:w="0"/>
        <w:jc w:val="center"/>
        <w:tblLayout w:type="autofit"/>
        <w:tblLook w:firstColumn="1" w:firstRow="1" w:lastColumn="0" w:lastRow="0" w:noHBand="0" w:noVBand="1" w:val="04A0"/>
        <w:tblW w:w="5000" w:type="pct"/>
      </w:tblPr>
      <w:tblGrid>
        <w:gridCol w:w="6350"/>
      </w:tblGrid>
      <w:tr>
        <w:tc>
          <w:tcPr>
            <w:tcW w:type="dxa" w:w="6350"/>
            <w:vAlign w:val="top"/>
            <w:tcMar>
              <w:top w:w="150" w:type="dxa"/>
              <w:bottom w:w="150" w:type="dxa"/>
              <w:left w:w="220" w:type="dxa"/>
              <w:right w:w="180" w:type="dxa"/>
            </w:tcMar>
            <w:shd w:fill="F7F1E6" w:val="clear"/>
            <w:tcBorders>
              <w:top w:val="single" w:sz="7" w:space="0" w:color="D2C9B8"/>
              <w:bottom w:val="single" w:sz="7" w:space="0" w:color="D2C9B8"/>
              <w:right w:val="single" w:sz="7" w:space="0" w:color="D2C9B8"/>
              <w:left w:val="single" w:sz="24" w:space="0" w:color="B78B37"/>
            </w:tcBorders>
          </w:tcPr>
          <w:p>
            <w:pPr>
              <w:spacing w:before="0" w:after="60" w:line="240" w:lineRule="auto"/>
              <w:jc w:val="left"/>
            </w:pPr>
            <w:r>
              <w:rPr>
                <w:rFonts w:ascii="Noto Sans" w:hAnsi="Noto Sans" w:cs="Noto Sans"/>
                <w:b/>
                <w:i w:val="0"/>
                <w:caps/>
                <w:color w:val="B78B37"/>
                <w:sz w:val="16"/>
              </w:rPr>
              <w:t>ATENÇÃO</w:t>
            </w:r>
          </w:p>
          <w:p>
            <w:pPr>
              <w:spacing w:before="0" w:after="60" w:line="247" w:lineRule="auto"/>
              <w:jc w:val="both"/>
            </w:pPr>
            <w:r>
              <w:rPr>
                <w:rFonts w:ascii="EB Garamond" w:hAnsi="EB Garamond" w:cs="EB Garamond"/>
                <w:b w:val="0"/>
                <w:i w:val="0"/>
                <w:color w:val="201B16"/>
                <w:sz w:val="19"/>
              </w:rPr>
              <w:t>O histórico legislativo do art. 27-A revela instabilidade normativa sem precedentes. Entre julho de 2016 e junho de 2019, o regime de reaquisição da carência após a perda da qualidade foi alterado cinco vezes: MP 739/2016 (exigiu carência integral, expirou sem conversão), MP 767/2017, Lei 13.457/2017 (converteu a MP 767), MP 871/2019 (introduziu a regra da metade) e Lei 13.846/2019 (converteu a MP 871 e estabilizou a regra vigente). Registra que, nesse período, o operador do direito precisou lidar com cinco regimes distintos em menos de três anos. Para ações nos JEFs envolvendo incapacidade surgida entre 2016 e 2019, é essencial verificar qual regime estava vigente na data de início da incapacidade.</w:t>
            </w:r>
          </w:p>
        </w:tc>
      </w:tr>
    </w:tbl>
    <w:p>
      <w:pPr>
        <w:spacing w:before="0" w:after="80" w:line="240" w:lineRule="auto"/>
      </w:pPr>
    </w:p>
    <w:p>
      <w:pPr>
        <w:spacing w:before="0" w:after="70" w:line="259" w:lineRule="auto"/>
        <w:jc w:val="both"/>
      </w:pPr>
      <w:r>
        <w:rPr>
          <w:rFonts w:ascii="EB Garamond" w:hAnsi="EB Garamond" w:cs="EB Garamond"/>
          <w:b w:val="0"/>
          <w:i w:val="0"/>
          <w:color w:val="201B16"/>
          <w:sz w:val="21"/>
        </w:rPr>
        <w:t>A cronologia detalhada é indispensável para a correta aplicação do direito intertemporal:</w:t>
      </w:r>
    </w:p>
    <w:p>
      <w:pPr>
        <w:spacing w:before="0" w:after="70" w:line="259" w:lineRule="auto"/>
        <w:ind w:firstLine="238"/>
        <w:jc w:val="both"/>
      </w:pPr>
      <w:r>
        <w:rPr>
          <w:rFonts w:ascii="EB Garamond" w:hAnsi="EB Garamond" w:cs="EB Garamond"/>
          <w:b w:val="0"/>
          <w:i w:val="0"/>
          <w:color w:val="201B16"/>
          <w:sz w:val="21"/>
        </w:rPr>
        <w:t>(a) Regime anterior a 18/07/2016: aplicava-se exclusivamente o art. 24, parágrafo único, com exigência de um terço da carência (4 contribuições para benefícios por incapacidade com carência de 12). Não havia o art. 27-A.</w:t>
      </w:r>
    </w:p>
    <w:p>
      <w:pPr>
        <w:spacing w:before="0" w:after="70" w:line="259" w:lineRule="auto"/>
        <w:ind w:firstLine="238"/>
        <w:jc w:val="both"/>
      </w:pPr>
      <w:r>
        <w:rPr>
          <w:rFonts w:ascii="EB Garamond" w:hAnsi="EB Garamond" w:cs="EB Garamond"/>
          <w:b w:val="0"/>
          <w:i w:val="0"/>
          <w:color w:val="201B16"/>
          <w:sz w:val="21"/>
        </w:rPr>
        <w:t>(b) MP 739/2016 (18/07/2016 a 04/01/2017): introduziu pela primeira vez o art. 27-A, exigindo o cumprimento integral da carência após a perda da qualidade, sem aproveitamento de contribuições pretéritas. A medida era extremamente restritiva e expirou sem conversão em lei.</w:t>
      </w:r>
    </w:p>
    <w:p>
      <w:pPr>
        <w:spacing w:before="0" w:after="70" w:line="259" w:lineRule="auto"/>
        <w:ind w:firstLine="238"/>
        <w:jc w:val="both"/>
      </w:pPr>
      <w:r>
        <w:rPr>
          <w:rFonts w:ascii="EB Garamond" w:hAnsi="EB Garamond" w:cs="EB Garamond"/>
          <w:b w:val="0"/>
          <w:i w:val="0"/>
          <w:color w:val="201B16"/>
          <w:sz w:val="21"/>
        </w:rPr>
        <w:t>(c) MP 767/2017 (06/01/2017 a 26/06/2017): reintroduziu o art. 27-A com redação semelhante à da MP 739/2016, mantendo a exigência de carência integral. Foi posteriormente convertida na Lei 13.457/2017.</w:t>
      </w:r>
    </w:p>
    <w:p>
      <w:pPr>
        <w:spacing w:before="0" w:after="70" w:line="259" w:lineRule="auto"/>
        <w:ind w:firstLine="238"/>
        <w:jc w:val="both"/>
      </w:pPr>
      <w:r>
        <w:rPr>
          <w:rFonts w:ascii="EB Garamond" w:hAnsi="EB Garamond" w:cs="EB Garamond"/>
          <w:b w:val="0"/>
          <w:i w:val="0"/>
          <w:color w:val="201B16"/>
          <w:sz w:val="21"/>
        </w:rPr>
        <w:t>(d) Lei 13.457/2017 (27/06/2017 a 17/01/2019): converteu a MP 767/2017, estabelecendo a exigência de metade da carência para benefícios por incapacidade e salário-maternidade.</w:t>
      </w:r>
    </w:p>
    <w:p>
      <w:pPr>
        <w:spacing w:before="0" w:after="70" w:line="259" w:lineRule="auto"/>
        <w:ind w:firstLine="238"/>
        <w:jc w:val="both"/>
      </w:pPr>
      <w:r>
        <w:rPr>
          <w:rFonts w:ascii="EB Garamond" w:hAnsi="EB Garamond" w:cs="EB Garamond"/>
          <w:b w:val="0"/>
          <w:i w:val="0"/>
          <w:color w:val="201B16"/>
          <w:sz w:val="21"/>
        </w:rPr>
        <w:t>(e) MP 871/2019 (18/01/2019 a 17/06/2019): reformulou o art. 27-A, mantendo a regra da metade e incluindo expressamente o auxílio-reclusão (que havia passado a exigir carência de 24 contribuições pela mesma MP).</w:t>
      </w:r>
    </w:p>
    <w:p>
      <w:pPr>
        <w:spacing w:before="0" w:after="70" w:line="259" w:lineRule="auto"/>
        <w:ind w:firstLine="238"/>
        <w:jc w:val="both"/>
      </w:pPr>
      <w:r>
        <w:rPr>
          <w:rFonts w:ascii="EB Garamond" w:hAnsi="EB Garamond" w:cs="EB Garamond"/>
          <w:b w:val="0"/>
          <w:i w:val="0"/>
          <w:color w:val="201B16"/>
          <w:sz w:val="21"/>
        </w:rPr>
        <w:t>(f) Lei 13.846/2019 (a partir de 18/06/2019): converteu a MP 871/2019 e estabilizou o regime vigente, com a regra da metade aplicável a benefícios por incapacidade (6 contribuições), salário-maternidade e auxílio-reclusão (12 contribuições).</w:t>
      </w:r>
    </w:p>
    <w:p>
      <w:pPr>
        <w:spacing w:before="0" w:after="70" w:line="259" w:lineRule="auto"/>
        <w:ind w:firstLine="238"/>
        <w:jc w:val="both"/>
      </w:pPr>
      <w:r>
        <w:rPr>
          <w:rFonts w:ascii="EB Garamond" w:hAnsi="EB Garamond" w:cs="EB Garamond"/>
          <w:b w:val="0"/>
          <w:i w:val="0"/>
          <w:color w:val="201B16"/>
          <w:sz w:val="21"/>
        </w:rPr>
        <w:t>A aplicação do princípio tempus regit actum impõe que se identifique qual regime estava vigente na data do fato gerador. Para benefícios por incapacidade, o marco relevante é a data de início da incapacidade (DII); para o auxílio-reclusão, a data do recolhimento à prisão; para o salário-maternidade, a data do parto ou do evento que gera o direito ao benefício. A importância dessa verificação temporal não pode ser subestimada: um segurado que perdeu a qualidade em março de 2017 e sofreu incapacidade em maio de 2017, sob o regime da Lei 13.457/2017, precisava cumprir metade da carência (6 contribuições) após a refiliação. Se o mesmo segurado tivesse sofrido a incapacidade em dezembro de 2016, sob o regime da MP 739/2016, precisaria cumprir a carência integral (12 contribuições), resultado substancialmente mais gravoso. E se a incapacidade tivesse ocorrido em fevereiro de 2017, após a caducidade da MP 739/2016 e antes da edição da MP 767/2017, aplicava-se a regra geral do art. 24, parágrafo único (um terço, ou seja, 4 contribuições), regime mais favorável. Essa oscilação normativa exige do advogado e do juiz nos JEFs meticulosa atenção à cronologia legislativa.</w:t>
      </w:r>
    </w:p>
    <w:p>
      <w:pPr>
        <w:spacing w:before="260" w:after="80" w:line="240" w:lineRule="auto"/>
        <w:jc w:val="left"/>
        <w:keepNext/>
      </w:pPr>
      <w:r>
        <w:rPr>
          <w:rFonts w:ascii="EB Garamond" w:hAnsi="EB Garamond" w:cs="EB Garamond"/>
          <w:b/>
          <w:i w:val="0"/>
          <w:color w:val="3A3128"/>
          <w:sz w:val="25"/>
        </w:rPr>
        <w:t>3.8.5 Complementação de Contribuições após o Óbito</w:t>
      </w:r>
    </w:p>
    <w:p>
      <w:pPr>
        <w:spacing w:before="0" w:after="70" w:line="259" w:lineRule="auto"/>
        <w:jc w:val="both"/>
      </w:pPr>
      <w:r>
        <w:rPr>
          <w:rFonts w:ascii="EB Garamond" w:hAnsi="EB Garamond" w:cs="EB Garamond"/>
          <w:b w:val="0"/>
          <w:i w:val="0"/>
          <w:color w:val="201B16"/>
          <w:sz w:val="21"/>
        </w:rPr>
        <w:t>Merece destaque, por fim, a possibilidade de complementação de contribuições após o óbito do segurado. A TNU, no Tema 286 (rel. Juiz Federal Ivanir César Ireno Júnior, j. 23/06/2022), admitiu que os dependentes complementem, após o óbito, as contribuições recolhidas em vida pelo segurado contribuinte de baixa renda (de 5% para 11% ou 20%), nos termos do art. 21, § 2º, II, "b", da Lei 8.212/91, em caso de não validação das contribuições originais. Essa complementação não se confunde com o recolhimento intempestivo de contribuições, que permanece vedado pela jurisprudência consolidada. A distinção é relevante: complementar a alíquota de contribuição tempestiva é permitido; recolher contribuição intempestiva após o óbito para criar carência é vedado.</w:t>
      </w:r>
    </w:p>
    <w:p>
      <w:pPr>
        <w:spacing w:before="0" w:after="70" w:line="259" w:lineRule="auto"/>
        <w:ind w:firstLine="238"/>
        <w:jc w:val="both"/>
      </w:pPr>
      <w:r>
        <w:rPr>
          <w:rFonts w:ascii="EB Garamond" w:hAnsi="EB Garamond" w:cs="EB Garamond"/>
          <w:b w:val="0"/>
          <w:i w:val="0"/>
          <w:color w:val="201B16"/>
          <w:sz w:val="21"/>
        </w:rPr>
        <w:t>Porto (2024) anota que o novo § 5º-B do art. 18 do Decreto 3.048/99, incluído pelo Decreto 10.410/2020, vedou expressamente a inscrição post mortem de segurado contribuinte individual e de segurado facultativo, reforçando a impossibilidade de criação retroativa de situações contributivas após o falecimento. A Súmula 52 da TNU reforça essa distinção ao estabelecer que é incabível a regularização do recolhimento de contribuições de segurado contribuinte individual posteriormente a seu óbito, exceto quando as contribuições devam ser arrecadadas por empresa tomadora de serviços. A regra protege a integridade atuarial do sistema, impedindo que dependentes criem retroativamente situações contributivas que nunca existiram, mas admite a mera complementação de alíquota quando o segurado já havia recolhido tempestivamente, ainda que em valor insuficiente para gerar todos os efeitos previdenciários.</w:t>
      </w:r>
    </w:p>
    <w:tbl>
      <w:tblPr>
        <w:tblW w:type="auto" w:w="0"/>
        <w:jc w:val="center"/>
        <w:tblLayout w:type="autofit"/>
        <w:tblLook w:firstColumn="1" w:firstRow="1" w:lastColumn="0" w:lastRow="0" w:noHBand="0" w:noVBand="1" w:val="04A0"/>
        <w:tblW w:w="5000" w:type="pct"/>
      </w:tblPr>
      <w:tblGrid>
        <w:gridCol w:w="6350"/>
      </w:tblGrid>
      <w:tr>
        <w:tc>
          <w:tcPr>
            <w:tcW w:type="dxa" w:w="6350"/>
            <w:vAlign w:val="top"/>
            <w:tcMar>
              <w:top w:w="150" w:type="dxa"/>
              <w:bottom w:w="150" w:type="dxa"/>
              <w:left w:w="220" w:type="dxa"/>
              <w:right w:w="180" w:type="dxa"/>
            </w:tcMar>
            <w:shd w:fill="EEF3F7" w:val="clear"/>
            <w:tcBorders>
              <w:top w:val="single" w:sz="7" w:space="0" w:color="D2C9B8"/>
              <w:bottom w:val="single" w:sz="7" w:space="0" w:color="D2C9B8"/>
              <w:right w:val="single" w:sz="7" w:space="0" w:color="D2C9B8"/>
              <w:left w:val="single" w:sz="24" w:space="0" w:color="4D6F8A"/>
            </w:tcBorders>
          </w:tcPr>
          <w:p>
            <w:pPr>
              <w:spacing w:before="0" w:after="60" w:line="240" w:lineRule="auto"/>
              <w:jc w:val="left"/>
            </w:pPr>
            <w:r>
              <w:rPr>
                <w:rFonts w:ascii="Noto Sans" w:hAnsi="Noto Sans" w:cs="Noto Sans"/>
                <w:b/>
                <w:i w:val="0"/>
                <w:caps/>
                <w:color w:val="4D6F8A"/>
                <w:sz w:val="16"/>
              </w:rPr>
              <w:t>JURISPRUDÊNCIA EM DESTAQUE</w:t>
            </w:r>
          </w:p>
          <w:p>
            <w:pPr>
              <w:spacing w:before="0" w:after="60" w:line="247" w:lineRule="auto"/>
              <w:jc w:val="both"/>
            </w:pPr>
            <w:r>
              <w:rPr>
                <w:rFonts w:ascii="EB Garamond" w:hAnsi="EB Garamond" w:cs="EB Garamond"/>
                <w:b w:val="0"/>
                <w:i w:val="0"/>
                <w:color w:val="201B16"/>
                <w:sz w:val="19"/>
              </w:rPr>
              <w:t>A conjugação dos Temas 286 e 349 da TNU oferece proteção significativa aos dependentes de segurados de baixa renda. O Tema 349 assegura que a contribuição em valor inferior ao mínimo não impede o reconhecimento da qualidade de segurado obrigatório; o Tema 286 admite a complementação post mortem da alíquota reduzida. Assim, os dependentes de segurado falecido que recolheu durante toda a vida contribuições de 5% sobre o salário mínimo podem complementar essas contribuições para obter pensão por morte com cômputo integral da carência. Essa combinação de teses é especialmente relevante para ações de pensão por morte nos JEFs envolvendo segurados que contribuíram como microempreendedores individuais (MEI) ou como segurados facultativos de baixa renda.</w:t>
            </w:r>
          </w:p>
        </w:tc>
      </w:tr>
    </w:tbl>
    <w:p>
      <w:pPr>
        <w:spacing w:before="0" w:after="80" w:line="240" w:lineRule="auto"/>
      </w:pPr>
    </w:p>
    <w:p>
      <w:pPr>
        <w:spacing w:before="360" w:after="140" w:line="240" w:lineRule="auto"/>
        <w:jc w:val="left"/>
        <w:pBdr>
          <w:bottom w:val="single" w:sz="8" w:space="4" w:color="B89B5E"/>
        </w:pBdr>
        <w:keepNext/>
      </w:pPr>
      <w:r>
        <w:rPr>
          <w:rFonts w:ascii="EB Garamond" w:hAnsi="EB Garamond" w:cs="EB Garamond"/>
          <w:b/>
          <w:i w:val="0"/>
          <w:color w:val="3A3128"/>
          <w:sz w:val="31"/>
        </w:rPr>
        <w:t>3.9 Conclusão</w:t>
      </w:r>
    </w:p>
    <w:p>
      <w:pPr>
        <w:spacing w:before="0" w:after="70" w:line="259" w:lineRule="auto"/>
        <w:jc w:val="both"/>
      </w:pPr>
      <w:r>
        <w:rPr>
          <w:rFonts w:ascii="EB Garamond" w:hAnsi="EB Garamond" w:cs="EB Garamond"/>
          <w:b w:val="0"/>
          <w:i w:val="0"/>
          <w:color w:val="201B16"/>
          <w:sz w:val="21"/>
        </w:rPr>
        <w:t>Sustentamos que o sistema de perda e reaquisição da qualidade de segurado, tal como configurado pela conjugação dos arts. 15, 24 (parágrafo único), 27-A e 102 da Lei 8.213/91, constitui mecanismo complexo que demanda do operador do direito atenção tanto ao regime temporal aplicável quanto à natureza do benefício pretendido. A regra da metade do art. 27-A, embora represente agravamento em relação ao regime anterior, ainda preserva espaço de proteção razoável ao permitir que segurados com histórico contributivo anterior reaproveitem esse tempo após período relativamente curto de nova filiação. A proteção dos dependentes, assegurada pela conjugação da Súmula 416 do STJ com o § 2º do art. 102, constitui garantia essencial que impede o desamparo completo das famílias de ex-segurados que preencheram requisitos de aposentadoria antes da perda da qualidade.</w:t>
      </w:r>
    </w:p>
    <w:p>
      <w:pPr>
        <w:spacing w:before="0" w:after="70" w:line="259" w:lineRule="auto"/>
        <w:ind w:firstLine="238"/>
        <w:jc w:val="both"/>
      </w:pPr>
      <w:r>
        <w:rPr>
          <w:rFonts w:ascii="EB Garamond" w:hAnsi="EB Garamond" w:cs="EB Garamond"/>
          <w:b w:val="0"/>
          <w:i w:val="0"/>
          <w:color w:val="201B16"/>
          <w:sz w:val="21"/>
        </w:rPr>
        <w:t>A análise empreendida neste capítulo evidencia que carência e qualidade de segurado, embora conceitos juridicamente autônomos, operam em interdependência funcional. A carência pressupõe a qualidade de segurado para os benefícios não programados; a perda da qualidade acarreta, como efeito reflexo, a caducidade da carência para esses mesmos benefícios. A compreensão integrada desses institutos, à luz da jurisprudência atual da TNU e do STJ, é condição sine qua non para a correta análise dos requerimentos previdenciários, tanto na esfera administrativa quanto na judicial, com especial destaque para a prática nos Juizados Especiais Federais.</w:t>
      </w:r>
    </w:p>
    <w:p>
      <w:r>
        <w:br w:type="page"/>
      </w:r>
    </w:p>
    <w:p>
      <w:pPr>
        <w:spacing w:before="320" w:after="100" w:line="240" w:lineRule="auto"/>
        <w:jc w:val="center"/>
      </w:pPr>
      <w:r>
        <w:rPr>
          <w:rFonts w:ascii="EB Garamond" w:hAnsi="EB Garamond" w:cs="EB Garamond"/>
          <w:b/>
          <w:i w:val="0"/>
          <w:smallCaps/>
          <w:color w:val="3A3128"/>
          <w:sz w:val="24"/>
        </w:rPr>
        <w:t>REFERÊNCIAS</w:t>
      </w:r>
    </w:p>
    <w:p>
      <w:pPr>
        <w:spacing w:before="0" w:after="48" w:line="240" w:lineRule="auto"/>
        <w:ind w:left="272" w:hanging="272"/>
        <w:jc w:val="left"/>
      </w:pPr>
      <w:r>
        <w:rPr>
          <w:rFonts w:ascii="EB Garamond" w:hAnsi="EB Garamond" w:cs="EB Garamond"/>
          <w:b w:val="0"/>
          <w:i w:val="0"/>
          <w:color w:val="201B16"/>
          <w:sz w:val="18"/>
        </w:rPr>
        <w:t xml:space="preserve">CASTRO, Carlos Alberto Pereira de; LAZZARI, João Batista. </w:t>
      </w:r>
      <w:r>
        <w:rPr>
          <w:rFonts w:ascii="EB Garamond" w:hAnsi="EB Garamond" w:cs="EB Garamond"/>
          <w:b/>
          <w:i w:val="0"/>
          <w:color w:val="201B16"/>
          <w:sz w:val="18"/>
        </w:rPr>
        <w:t>Manual de Direito Previdenciário</w:t>
      </w:r>
      <w:r>
        <w:rPr>
          <w:rFonts w:ascii="EB Garamond" w:hAnsi="EB Garamond" w:cs="EB Garamond"/>
          <w:b w:val="0"/>
          <w:i w:val="0"/>
          <w:color w:val="201B16"/>
          <w:sz w:val="18"/>
        </w:rPr>
        <w:t>. 28. ed. Rio de Janeiro: Forense, 2025.</w:t>
      </w:r>
    </w:p>
    <w:p>
      <w:pPr>
        <w:spacing w:before="0" w:after="48" w:line="240" w:lineRule="auto"/>
        <w:ind w:left="272" w:hanging="272"/>
        <w:jc w:val="left"/>
      </w:pPr>
      <w:r>
        <w:rPr>
          <w:rFonts w:ascii="EB Garamond" w:hAnsi="EB Garamond" w:cs="EB Garamond"/>
          <w:b w:val="0"/>
          <w:i w:val="0"/>
          <w:color w:val="201B16"/>
          <w:sz w:val="18"/>
        </w:rPr>
        <w:t xml:space="preserve">HORVATH JÚNIOR, Miguel. </w:t>
      </w:r>
      <w:r>
        <w:rPr>
          <w:rFonts w:ascii="EB Garamond" w:hAnsi="EB Garamond" w:cs="EB Garamond"/>
          <w:b/>
          <w:i w:val="0"/>
          <w:color w:val="201B16"/>
          <w:sz w:val="18"/>
        </w:rPr>
        <w:t>Direito Previdenciário</w:t>
      </w:r>
      <w:r>
        <w:rPr>
          <w:rFonts w:ascii="EB Garamond" w:hAnsi="EB Garamond" w:cs="EB Garamond"/>
          <w:b w:val="0"/>
          <w:i w:val="0"/>
          <w:color w:val="201B16"/>
          <w:sz w:val="18"/>
        </w:rPr>
        <w:t>. 13. ed. São Paulo: Rideel, 2022.</w:t>
      </w:r>
    </w:p>
    <w:p>
      <w:pPr>
        <w:spacing w:before="0" w:after="48" w:line="240" w:lineRule="auto"/>
        <w:ind w:left="272" w:hanging="272"/>
        <w:jc w:val="left"/>
      </w:pPr>
      <w:r>
        <w:rPr>
          <w:rFonts w:ascii="EB Garamond" w:hAnsi="EB Garamond" w:cs="EB Garamond"/>
          <w:b w:val="0"/>
          <w:i w:val="0"/>
          <w:color w:val="201B16"/>
          <w:sz w:val="18"/>
        </w:rPr>
        <w:t xml:space="preserve">IBRAHIM, Fábio Zambitte; BRAGANÇA, Kerlly Huback; FOLMANN, Melissa. </w:t>
      </w:r>
      <w:r>
        <w:rPr>
          <w:rFonts w:ascii="EB Garamond" w:hAnsi="EB Garamond" w:cs="EB Garamond"/>
          <w:b/>
          <w:i w:val="0"/>
          <w:color w:val="201B16"/>
          <w:sz w:val="18"/>
        </w:rPr>
        <w:t>Curso de Direito Previdenciário</w:t>
      </w:r>
      <w:r>
        <w:rPr>
          <w:rFonts w:ascii="EB Garamond" w:hAnsi="EB Garamond" w:cs="EB Garamond"/>
          <w:b w:val="0"/>
          <w:i w:val="0"/>
          <w:color w:val="201B16"/>
          <w:sz w:val="18"/>
        </w:rPr>
        <w:t>. 28. ed. Niterói: Impetus, 2025.</w:t>
      </w:r>
    </w:p>
    <w:p>
      <w:pPr>
        <w:spacing w:before="0" w:after="48" w:line="240" w:lineRule="auto"/>
        <w:ind w:left="272" w:hanging="272"/>
        <w:jc w:val="left"/>
      </w:pPr>
      <w:r>
        <w:rPr>
          <w:rFonts w:ascii="EB Garamond" w:hAnsi="EB Garamond" w:cs="EB Garamond"/>
          <w:b w:val="0"/>
          <w:i w:val="0"/>
          <w:color w:val="201B16"/>
          <w:sz w:val="18"/>
        </w:rPr>
        <w:t xml:space="preserve">KERTZMAN, Ivan. </w:t>
      </w:r>
      <w:r>
        <w:rPr>
          <w:rFonts w:ascii="EB Garamond" w:hAnsi="EB Garamond" w:cs="EB Garamond"/>
          <w:b/>
          <w:i w:val="0"/>
          <w:color w:val="201B16"/>
          <w:sz w:val="18"/>
        </w:rPr>
        <w:t>Curso Prático de Direito Previdenciário</w:t>
      </w:r>
      <w:r>
        <w:rPr>
          <w:rFonts w:ascii="EB Garamond" w:hAnsi="EB Garamond" w:cs="EB Garamond"/>
          <w:b w:val="0"/>
          <w:i w:val="0"/>
          <w:color w:val="201B16"/>
          <w:sz w:val="18"/>
        </w:rPr>
        <w:t>. 22. ed. Salvador: JusPodivm, 2024.</w:t>
      </w:r>
    </w:p>
    <w:p>
      <w:pPr>
        <w:spacing w:before="0" w:after="48" w:line="240" w:lineRule="auto"/>
        <w:ind w:left="272" w:hanging="272"/>
        <w:jc w:val="left"/>
      </w:pPr>
      <w:r>
        <w:rPr>
          <w:rFonts w:ascii="EB Garamond" w:hAnsi="EB Garamond" w:cs="EB Garamond"/>
          <w:b w:val="0"/>
          <w:i w:val="0"/>
          <w:color w:val="201B16"/>
          <w:sz w:val="18"/>
        </w:rPr>
        <w:t xml:space="preserve">PORTO, Rafael Duarte de Oliveira. </w:t>
      </w:r>
      <w:r>
        <w:rPr>
          <w:rFonts w:ascii="EB Garamond" w:hAnsi="EB Garamond" w:cs="EB Garamond"/>
          <w:b/>
          <w:i w:val="0"/>
          <w:color w:val="201B16"/>
          <w:sz w:val="18"/>
        </w:rPr>
        <w:t>Manual de Direito Previdenciário</w:t>
      </w:r>
      <w:r>
        <w:rPr>
          <w:rFonts w:ascii="EB Garamond" w:hAnsi="EB Garamond" w:cs="EB Garamond"/>
          <w:b w:val="0"/>
          <w:i w:val="0"/>
          <w:color w:val="201B16"/>
          <w:sz w:val="18"/>
        </w:rPr>
        <w:t>. 2. ed. São Paulo: Editora JusPodivm, 2024.</w:t>
      </w:r>
    </w:p>
    <w:p>
      <w:pPr>
        <w:spacing w:before="0" w:after="48" w:line="240" w:lineRule="auto"/>
        <w:ind w:left="272" w:hanging="272"/>
        <w:jc w:val="left"/>
      </w:pPr>
      <w:r>
        <w:rPr>
          <w:rFonts w:ascii="EB Garamond" w:hAnsi="EB Garamond" w:cs="EB Garamond"/>
          <w:b w:val="0"/>
          <w:i w:val="0"/>
          <w:color w:val="201B16"/>
          <w:sz w:val="18"/>
        </w:rPr>
        <w:t xml:space="preserve">SANTOS, Marisa Ferreira dos; CALEJON, Rodrigo. </w:t>
      </w:r>
      <w:r>
        <w:rPr>
          <w:rFonts w:ascii="EB Garamond" w:hAnsi="EB Garamond" w:cs="EB Garamond"/>
          <w:b/>
          <w:i w:val="0"/>
          <w:color w:val="201B16"/>
          <w:sz w:val="18"/>
        </w:rPr>
        <w:t>Direito Previdenciário Esquematizado</w:t>
      </w:r>
      <w:r>
        <w:rPr>
          <w:rFonts w:ascii="EB Garamond" w:hAnsi="EB Garamond" w:cs="EB Garamond"/>
          <w:b w:val="0"/>
          <w:i w:val="0"/>
          <w:color w:val="201B16"/>
          <w:sz w:val="18"/>
        </w:rPr>
        <w:t>. 15. ed. São Paulo: SaraivaJur, 2025.</w:t>
      </w:r>
    </w:p>
    <w:p>
      <w:pPr>
        <w:spacing w:before="0" w:after="48" w:line="240" w:lineRule="auto"/>
        <w:ind w:left="272" w:hanging="272"/>
        <w:jc w:val="left"/>
      </w:pPr>
      <w:r>
        <w:rPr>
          <w:rFonts w:ascii="EB Garamond" w:hAnsi="EB Garamond" w:cs="EB Garamond"/>
          <w:b w:val="0"/>
          <w:i w:val="0"/>
          <w:color w:val="201B16"/>
          <w:sz w:val="18"/>
        </w:rPr>
        <w:t xml:space="preserve">SAVARIS, José Antonio. </w:t>
      </w:r>
      <w:r>
        <w:rPr>
          <w:rFonts w:ascii="EB Garamond" w:hAnsi="EB Garamond" w:cs="EB Garamond"/>
          <w:b/>
          <w:i w:val="0"/>
          <w:color w:val="201B16"/>
          <w:sz w:val="18"/>
        </w:rPr>
        <w:t>Direito Processual Previdenciário</w:t>
      </w:r>
      <w:r>
        <w:rPr>
          <w:rFonts w:ascii="EB Garamond" w:hAnsi="EB Garamond" w:cs="EB Garamond"/>
          <w:b w:val="0"/>
          <w:i w:val="0"/>
          <w:color w:val="201B16"/>
          <w:sz w:val="18"/>
        </w:rPr>
        <w:t>. 11. ed. Curitiba: Alteridade, 2023.</w:t>
      </w:r>
    </w:p>
    <w:sectPr w:rsidR="00FC693F" w:rsidRPr="0006063C" w:rsidSect="00034616">
      <w:headerReference w:type="default" r:id="rId9"/>
      <w:footerReference w:type="default" r:id="rId10"/>
      <w:footerReference w:type="first" r:id="rId11"/>
      <w:pgSz w:w="8391" w:h="11906"/>
      <w:pgMar w:top="935" w:right="879" w:bottom="964" w:left="1162" w:header="454" w:footer="425" w:gutter="0" w:mirrorMargins="1"/>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EB Garamond" w:hAnsi="EB Garamond"/>
        <w:color w:val="6B6256"/>
        <w:sz w:val="18"/>
      </w:rPr>
      <w:fldChar w:fldCharType="begin"/>
    </w:r>
    <w:r>
      <w:rPr>
        <w:rFonts w:ascii="EB Garamond" w:hAnsi="EB Garamond"/>
        <w:color w:val="6B6256"/>
        <w:sz w:val="18"/>
      </w:rPr>
      <w:instrText xml:space="preserve"> PAGE </w:instrText>
    </w:r>
    <w:r>
      <w:rPr>
        <w:rFonts w:ascii="EB Garamond" w:hAnsi="EB Garamond"/>
        <w:sz w:val="18"/>
      </w:rPr>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EB Garamond" w:hAnsi="EB Garamond"/>
        <w:color w:val="6B6256"/>
        <w:sz w:val="18"/>
      </w:rPr>
      <w:fldChar w:fldCharType="begin"/>
    </w:r>
    <w:r>
      <w:rPr>
        <w:rFonts w:ascii="EB Garamond" w:hAnsi="EB Garamond"/>
        <w:color w:val="6B6256"/>
        <w:sz w:val="18"/>
      </w:rPr>
      <w:instrText xml:space="preserve"> PAGE </w:instrText>
    </w:r>
    <w:r>
      <w:rPr>
        <w:rFonts w:ascii="EB Garamond" w:hAnsi="EB Garamond"/>
        <w:sz w:val="18"/>
      </w:rP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4" w:space="2" w:color="D7CDBB"/>
      </w:pBdr>
    </w:pPr>
    <w:r>
      <w:rPr>
        <w:rFonts w:ascii="EB Garamond" w:hAnsi="EB Garamond" w:cs="EB Garamond"/>
        <w:b w:val="0"/>
        <w:i w:val="0"/>
        <w:smallCaps/>
        <w:color w:val="6B6256"/>
        <w:sz w:val="17"/>
      </w:rPr>
      <w:t>Capítulo 3  |  Período de Carência e Manutenção da Qualidade de Segurado</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mirrorMargins w:val="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70" w:line="259" w:lineRule="auto"/>
      <w:jc w:val="both"/>
    </w:pPr>
    <w:rPr>
      <w:rFonts w:ascii="EB Garamond" w:hAnsi="EB Garamond"/>
      <w:color w:val="201B16"/>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Capítulo 3 — Período de Carência e Manutenção da Qualidade de Segurado</dc:title>
  <dc:subject>Direito Previdenciário</dc:subject>
  <dc:creator>python-docx</dc:creator>
  <cp:keywords>direito previdenciário; seguridade social; doutrina</cp:keywords>
  <dc:description>Diagramação em formato de capítulo de livro jurídico.</dc:description>
  <cp:lastModifiedBy/>
  <cp:revision>1</cp:revision>
  <dcterms:created xsi:type="dcterms:W3CDTF">2013-12-23T23:15:00Z</dcterms:created>
  <dcterms:modified xsi:type="dcterms:W3CDTF">2013-12-23T23:15:00Z</dcterms:modified>
  <cp:category/>
</cp:coreProperties>
</file>