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566573"/>
          <w:sz w:val="20"/>
          <w:szCs w:val="20"/>
        </w:rPr>
        <w:t xml:space="preserve">PARTE I</w:t>
      </w:r>
    </w:p>
    <w:p>
      <w:pPr>
        <w:spacing w:after="100" w:before="100"/>
        <w:jc w:val="center"/>
      </w:pPr>
      <w:r>
        <w:rPr>
          <w:rFonts w:ascii="Arial" w:cs="Arial" w:eastAsia="Arial" w:hAnsi="Arial"/>
          <w:color w:val="566573"/>
          <w:sz w:val="20"/>
          <w:szCs w:val="20"/>
        </w:rPr>
        <w:t xml:space="preserve">Fundamentos do Regime Geral de Previdência Social</w:t>
      </w:r>
    </w:p>
    <w:p>
      <w:pPr>
        <w:pBdr>
          <w:bottom w:val="single" w:color="2E86C1" w:sz="8" w:space="8"/>
        </w:pBdr>
        <w:spacing w:after="400" w:before="200"/>
        <w:jc w:val="center"/>
      </w:pPr>
      <w:r>
        <w:rPr>
          <w:rFonts w:ascii="Arial" w:cs="Arial" w:eastAsia="Arial" w:hAnsi="Arial"/>
          <w:b/>
          <w:bCs/>
          <w:color w:val="1B4F72"/>
          <w:sz w:val="32"/>
          <w:szCs w:val="32"/>
        </w:rPr>
        <w:t xml:space="preserve">Capítulo 5 — Reconhecimento, Cômputo e Averbação de Tempo de Contribuição</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5.1 Introdução: A Centralidade do Tempo de Contribuição no Direito Previdenciário</w:t>
      </w:r>
    </w:p>
    <w:p>
      <w:pPr>
        <w:spacing w:after="100" w:before="100"/>
        <w:jc w:val="both"/>
      </w:pPr>
      <w:r>
        <w:rPr>
          <w:rFonts w:ascii="Arial" w:cs="Arial" w:eastAsia="Arial" w:hAnsi="Arial"/>
          <w:sz w:val="21"/>
          <w:szCs w:val="21"/>
        </w:rPr>
        <w:t xml:space="preserve">O tempo de contribuição constitui o eixo gravitacional do sistema previdenciário brasileiro. Sua correta apuração determina não apenas o direito à aposentadoria, mas também o valor do benefício, a aplicação das regras de transição e a possibilidade de acumulação de tempo em regimes distintos. Para o advogado que atua nos Juizados Especiais Federais, compreender os mecanismos de reconhecimento, cômputo e averbação é pressuposto de qualquer estratégia previdenciária eficaz.</w:t>
      </w:r>
    </w:p>
    <w:p>
      <w:pPr>
        <w:spacing w:after="100" w:before="100"/>
        <w:jc w:val="both"/>
      </w:pPr>
      <w:r>
        <w:rPr>
          <w:rFonts w:ascii="Arial" w:cs="Arial" w:eastAsia="Arial" w:hAnsi="Arial"/>
          <w:sz w:val="21"/>
          <w:szCs w:val="21"/>
        </w:rPr>
        <w:t xml:space="preserve">A EC 103/2019 elevou a importância do tempo de contribuição ao convertê-lo em requisito cumulativo com a idade mínima para todas as modalidades de aposentadoria programada. Antes da Reforma, a aposentadoria por tempo de contribuição prescindia de idade mínima (exceto pela incidência do fator previdenciário); após a EC 103, o tempo de contribuição opera sempre em conjugação com requisito etário, seja na regra definitiva, seja nas regras de transição. A consequência prática é que cada mês reconhecido pode ser decisivo para o enquadramento do segurado na regra mais favorável.</w:t>
      </w:r>
    </w:p>
    <w:p>
      <w:pPr>
        <w:spacing w:after="100" w:before="100"/>
        <w:jc w:val="both"/>
      </w:pPr>
      <w:r>
        <w:rPr>
          <w:rFonts w:ascii="Arial" w:cs="Arial" w:eastAsia="Arial" w:hAnsi="Arial"/>
          <w:sz w:val="21"/>
          <w:szCs w:val="21"/>
        </w:rPr>
        <w:t xml:space="preserve">Neste capítulo, percorreremos o itinerário completo da prova e do cômputo do tempo de contribuição: desde a fonte primária de informações — o Cadastro Nacional de Informações Sociais (CNIS) — até situações específicas que exigem tratamento diferenciado, como a atividade rural anterior a novembro de 1991, o serviço militar obrigatório, o tempo de aluno-aprendiz, a contagem recíproca entre regimes, as atividades concomitantes, a vedação ao tempo fictício, a conversão de tempo especial em comum e os acordos internacionais previdenciários.</w:t>
      </w:r>
    </w:p>
    <w:p>
      <w:pPr>
        <w:spacing w:after="100" w:before="100"/>
        <w:jc w:val="both"/>
      </w:pPr>
      <w:r>
        <w:rPr>
          <w:rFonts w:ascii="Arial" w:cs="Arial" w:eastAsia="Arial" w:hAnsi="Arial"/>
          <w:sz w:val="21"/>
          <w:szCs w:val="21"/>
        </w:rPr>
        <w:t xml:space="preserve">A abordagem é deliberadamente prática e orientada ao litígio previdenciário. O objetivo não é esgotar discussões acadêmicas sobre a natureza jurídica do tempo de contribuição, mas fornecer ao operador do Direito que milita nos JEFs as ferramentas conceituais e jurisprudenciais necessárias para fundamentar pedidos de reconhecimento de tempo, impugnar indeferimentos administrativos e construir teses processuais sólidas e bem fundamentadas. Os quadros comparativos, exemplos numéricos e boxes de prática forense servirão como guia para situações concretas da advocacia previdenciária. A jurisprudência citada é atual e vinculante, permitindo ao leitor fundamentar suas peças processuais com segurança e precisão.</w:t>
      </w:r>
    </w:p>
    <w:p>
      <w:pPr>
        <w:spacing w:after="100" w:before="100"/>
        <w:jc w:val="both"/>
      </w:pPr>
      <w:r>
        <w:rPr>
          <w:rFonts w:ascii="Arial" w:cs="Arial" w:eastAsia="Arial" w:hAnsi="Arial"/>
          <w:sz w:val="21"/>
          <w:szCs w:val="21"/>
        </w:rPr>
        <w:t xml:space="preserve">A estrutura do capítulo segue ordem lógica: inicia pelo CNIS (repositório central de informações) e sua retificação; prossegue com os períodos especiais de cômputo (rural, militar, aluno-aprendiz); examina a contagem recíproca e seu instrumento formal (CTC); analisa as atividades concomitantes e a vedação ao tempo fictício; encerra com a conversão de tempo especial em comum e os acordos internacionais. Cada seção contém fundamentação legal, jurisprudencial e doutrinária, acompanhada de boxes práticos e exemplos numéricos que facilitam a aplicação imediata pelo profissional.</w:t>
      </w:r>
    </w:p>
    <w:p>
      <w:pPr>
        <w:spacing w:after="100" w:before="100"/>
        <w:jc w:val="both"/>
      </w:pPr>
      <w:r>
        <w:rPr>
          <w:rFonts w:ascii="Arial" w:cs="Arial" w:eastAsia="Arial" w:hAnsi="Arial"/>
          <w:sz w:val="21"/>
          <w:szCs w:val="21"/>
        </w:rPr>
        <w:t xml:space="preserve">Antes de ingressar nos temas específicos, convém fixar uma distinção essencial: tempo de contribuição não se confunde com carência, conforme demonstrado no Capítulo 3. Enquanto a carência exige contribuições efetivamente recolhidas em competências determinadas, o tempo de contribuição admite períodos computáveis por força de lei mesmo sem recolhimento — como é o caso paradigmático da atividade rural anterior a novembro de 1991. Da mesma forma, contribuições em atraso indenizadas na forma do art. 45-A da Lei 8.212/91 (Capítulo 4) geram tempo de contribuição, mas não contam para carência. Essa distinção permeia todo o capítulo e tem consequências decisivas na concessão de benefícios.</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5.2 CNIS: O Cadastro Nacional de Informações Sociais</w:t>
      </w:r>
    </w:p>
    <w:p>
      <w:pPr>
        <w:spacing w:after="140" w:before="280"/>
      </w:pPr>
      <w:r>
        <w:rPr>
          <w:rFonts w:ascii="Arial" w:cs="Arial" w:eastAsia="Arial" w:hAnsi="Arial"/>
          <w:b/>
          <w:bCs/>
          <w:color w:val="2E86C1"/>
          <w:sz w:val="23"/>
          <w:szCs w:val="23"/>
        </w:rPr>
        <w:t xml:space="preserve">5.2.1 Natureza jurídica e força probatória</w:t>
      </w:r>
    </w:p>
    <w:p>
      <w:pPr>
        <w:spacing w:after="100" w:before="100"/>
        <w:jc w:val="both"/>
      </w:pPr>
      <w:r>
        <w:rPr>
          <w:rFonts w:ascii="Arial" w:cs="Arial" w:eastAsia="Arial" w:hAnsi="Arial"/>
          <w:sz w:val="21"/>
          <w:szCs w:val="21"/>
        </w:rPr>
        <w:t xml:space="preserve">O Cadastro Nacional de Informações Sociais é o repositório eletrônico que concentra os dados relativos a vínculos empregatícios, remunerações, contribuições e filiações dos segurados do RGPS. Instituído pela Lei 8.212/91 e regulamentado pelo Decreto 3.048/99, o CNIS assumiu papel central na administração previdenciária brasileira a partir de 1997, quando passou a ser alimentado sistematicamente pelo sistema de arrecadação.</w:t>
      </w:r>
    </w:p>
    <w:p>
      <w:pPr>
        <w:spacing w:after="100" w:before="100"/>
        <w:jc w:val="both"/>
      </w:pPr>
      <w:r>
        <w:rPr>
          <w:rFonts w:ascii="Arial" w:cs="Arial" w:eastAsia="Arial" w:hAnsi="Arial"/>
          <w:sz w:val="21"/>
          <w:szCs w:val="21"/>
        </w:rPr>
        <w:t xml:space="preserve">O art. 29-A da Lei 8.213/91 confere ao CNIS a natureza de fonte primária de informações para cálculo e concessão de benefícios. Nos termos do § 5º do mesmo dispositivo, os dados constantes do CNIS valem, para todos os efeitos, como prova de filiação à Previdência Social, tempo de contribuição e salários de contribuição. Trata-se de presunção legal de veracidade, que dispensa o segurado de apresentar documentos adicionais quando os registros do CNIS estiverem completos e regulares.</w:t>
      </w:r>
    </w:p>
    <w:p>
      <w:pPr>
        <w:spacing w:after="100" w:before="100"/>
        <w:jc w:val="both"/>
      </w:pPr>
      <w:r>
        <w:rPr>
          <w:rFonts w:ascii="Arial" w:cs="Arial" w:eastAsia="Arial" w:hAnsi="Arial"/>
          <w:sz w:val="21"/>
          <w:szCs w:val="21"/>
        </w:rPr>
        <w:t xml:space="preserve">A presunção, contudo, é relativa (juris tantum). O art. 19-B do Decreto 3.048/99 explicita que as informações do CNIS são passíveis de contestação tanto pelo segurado quanto pela Administração. O segurado pode demonstrar que os dados registrados não correspondem à realidade — por exemplo, que o salário de contribuição era superior ao informado pelo empregador, ou que existiu vínculo empregatício não registrado. De sua parte, o INSS pode questionar informações cuja regularidade seja duvidosa, especialmente aquelas inseridas extemporaneamente no sistema.</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Dica prática: CNIS como ponto de partida</w:t>
            </w:r>
          </w:p>
          <w:p>
            <w:pPr>
              <w:spacing w:after="40" w:before="40"/>
            </w:pPr>
            <w:r>
              <w:rPr>
                <w:rFonts w:ascii="Arial" w:cs="Arial" w:eastAsia="Arial" w:hAnsi="Arial"/>
                <w:sz w:val="19"/>
                <w:szCs w:val="19"/>
              </w:rPr>
              <w:t xml:space="preserve">Antes de qualquer ação previdenciária, o primeiro passo do advogado deve ser a obtenção do extrato do CNIS atualizado (via Meu INSS ou requerimento administrativo). A análise do CNIS revela: (a) vínculos reconhecidos e seus períodos; (b) remunerações registradas; (c) lacunas contributivas; (d) indicadores de extemporaneidade; (e) marcações de pendência. Cada inconsistência identificada no CNIS é potencial fundamento para ação de retificação ou reconhecimento de tempo.</w:t>
            </w:r>
          </w:p>
        </w:tc>
      </w:tr>
    </w:tbl>
    <w:p>
      <w:pPr>
        <w:spacing w:after="200"/>
      </w:pPr>
    </w:p>
    <w:p>
      <w:pPr>
        <w:spacing w:after="140" w:before="280"/>
      </w:pPr>
      <w:r>
        <w:rPr>
          <w:rFonts w:ascii="Arial" w:cs="Arial" w:eastAsia="Arial" w:hAnsi="Arial"/>
          <w:b/>
          <w:bCs/>
          <w:color w:val="2E86C1"/>
          <w:sz w:val="23"/>
          <w:szCs w:val="23"/>
        </w:rPr>
        <w:t xml:space="preserve">5.2.2 Alimentação do CNIS</w:t>
      </w:r>
    </w:p>
    <w:p>
      <w:pPr>
        <w:spacing w:after="100" w:before="100"/>
        <w:jc w:val="both"/>
      </w:pPr>
      <w:r>
        <w:rPr>
          <w:rFonts w:ascii="Arial" w:cs="Arial" w:eastAsia="Arial" w:hAnsi="Arial"/>
          <w:sz w:val="21"/>
          <w:szCs w:val="21"/>
        </w:rPr>
        <w:t xml:space="preserve">O CNIS é alimentado por múltiplas fontes, cuja evolução reflete a modernização da arrecadação previdenciária: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eSocial (a partir de 2018, faseado): Sistema de escrituração digital das obrigações fiscais, previdenciárias e trabalhistas que substituiu a GFIP/SEFIP para empregadores. Transmite automaticamente ao CNIS as informações de vínculos, remunerações e eventos trabalhistas.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GFIP/SEFIP (1999 a 2018): Guia de Recolhimento do FGTS e de Informações à Previdência Social — principal meio de alimentação do CNIS durante quase duas décadas. Ainda existem registros remanescentes desse período no sistema.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GPS (contribuintes individuais e facultativos): Guia da Previdência Social — utilizada para recolhimentos avulsos. O pagamento da GPS gera registro no CNIS do período contributivo correspondente.</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RAIS e CAGED (complementação): Relação Anual de Informações Sociais e Cadastro Geral de Empregados e Desempregados — fontes complementares que alimentam o CNIS com dados de admissões, desligamentos e remunerações.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CTC e informações de RPPS: Certidões de Tempo de Contribuição expedidas por regimes próprios alimentam o CNIS quando averbadas no RGPS.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Informações das Forças Armadas: Dados do serviço militar transmitidos pelos órgãos militares ao CNIS.</w:t>
      </w:r>
    </w:p>
    <w:p>
      <w:pPr>
        <w:spacing w:after="100" w:before="100"/>
        <w:jc w:val="both"/>
      </w:pPr>
      <w:r>
        <w:rPr>
          <w:rFonts w:ascii="Arial" w:cs="Arial" w:eastAsia="Arial" w:hAnsi="Arial"/>
          <w:sz w:val="21"/>
          <w:szCs w:val="21"/>
        </w:rPr>
        <w:t xml:space="preserve">A multiplicidade de fontes gera, inevitavelmente, inconsistências. Vínculos informados pela RAIS podem não coincidir com os registrados na GFIP; remunerações declaradas no eSocial podem divergir de valores constantes da CTPS. Cada inconsistência é potencial foco de controvérsia administrativa ou judicial.</w:t>
      </w:r>
    </w:p>
    <w:p>
      <w:pPr>
        <w:spacing w:after="140" w:before="280"/>
      </w:pPr>
      <w:r>
        <w:rPr>
          <w:rFonts w:ascii="Arial" w:cs="Arial" w:eastAsia="Arial" w:hAnsi="Arial"/>
          <w:b/>
          <w:bCs/>
          <w:color w:val="2E86C1"/>
          <w:sz w:val="23"/>
          <w:szCs w:val="23"/>
        </w:rPr>
        <w:t xml:space="preserve">5.2.3 Extemporaneidade e indicadores de pendência</w:t>
      </w:r>
    </w:p>
    <w:p>
      <w:pPr>
        <w:spacing w:after="100" w:before="100"/>
        <w:jc w:val="both"/>
      </w:pPr>
      <w:r>
        <w:rPr>
          <w:rFonts w:ascii="Arial" w:cs="Arial" w:eastAsia="Arial" w:hAnsi="Arial"/>
          <w:sz w:val="21"/>
          <w:szCs w:val="21"/>
        </w:rPr>
        <w:t xml:space="preserve">O Decreto 3.048/99, em seu art. 19-C, trata das informações inseridas extemporaneamente no CNIS — isto é, após o prazo de 120 dias contados do fato gerador. Essas informações ficam pendentes de confirmação, e o INSS pode exigir documentos comprobatórios adicionais antes de reconhecê-las para efeitos previdenciários.</w:t>
      </w:r>
    </w:p>
    <w:p>
      <w:pPr>
        <w:spacing w:after="100" w:before="100"/>
        <w:jc w:val="both"/>
      </w:pPr>
      <w:r>
        <w:rPr>
          <w:rFonts w:ascii="Arial" w:cs="Arial" w:eastAsia="Arial" w:hAnsi="Arial"/>
          <w:sz w:val="21"/>
          <w:szCs w:val="21"/>
        </w:rPr>
        <w:t xml:space="preserve">Na prática administrativa, o INSS utiliza indicadores no CNIS para sinalizar potenciais irregularidades: o indicador "PEXT" (pendência de extemporaneidade), o indicador "PREC" (pendência de reclamatória trabalhista), o indicador "PVIN-IRREG" (vínculo irregular) e outros. A presença desses indicadores não significa necessariamente que o vínculo ou a remuneração sejam inválidos, mas impõe ao segurado o ônus de apresentar prova complementar.</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Alerta: Extemporaneidade não invalida automaticamente o vínculo</w:t>
            </w:r>
          </w:p>
          <w:p>
            <w:pPr>
              <w:spacing w:after="40" w:before="40"/>
            </w:pPr>
            <w:r>
              <w:rPr>
                <w:rFonts w:ascii="Arial" w:cs="Arial" w:eastAsia="Arial" w:hAnsi="Arial"/>
                <w:sz w:val="19"/>
                <w:szCs w:val="19"/>
              </w:rPr>
              <w:t xml:space="preserve">É frequente o INSS indeferir pedidos de cômputo de tempo exclusivamente com fundamento na extemporaneidade dos dados no CNIS. Essa prática é equivocada. A extemporaneidade gera presunção relativa de irregularidade, mas o segurado pode supri-la mediante apresentação de documentos contemporâneos ao vínculo: CTPS com anotações regulares, contracheques, extratos de FGTS, termos de rescisão contratual, declaração do empregador. A TNU Súmula 75 é expressa: "A CTPS em que não conste rasura ou emenda goza de presunção relativa de veracidade, constituindo meio de prova suficiente do tempo de serviço para efeitos previdenciários, mesmo quando as anotações não constem do CNIS."</w:t>
            </w:r>
          </w:p>
        </w:tc>
      </w:tr>
    </w:tbl>
    <w:p>
      <w:pPr>
        <w:spacing w:after="200"/>
      </w:pPr>
    </w:p>
    <w:p>
      <w:pPr>
        <w:spacing w:after="140" w:before="280"/>
      </w:pPr>
      <w:r>
        <w:rPr>
          <w:rFonts w:ascii="Arial" w:cs="Arial" w:eastAsia="Arial" w:hAnsi="Arial"/>
          <w:b/>
          <w:bCs/>
          <w:color w:val="2E86C1"/>
          <w:sz w:val="23"/>
          <w:szCs w:val="23"/>
        </w:rPr>
        <w:t xml:space="preserve">5.2.4 CNIS e a inversão do ônus da prova</w:t>
      </w:r>
    </w:p>
    <w:p>
      <w:pPr>
        <w:spacing w:after="100" w:before="100"/>
        <w:jc w:val="both"/>
      </w:pPr>
      <w:r>
        <w:rPr>
          <w:rFonts w:ascii="Arial" w:cs="Arial" w:eastAsia="Arial" w:hAnsi="Arial"/>
          <w:sz w:val="21"/>
          <w:szCs w:val="21"/>
        </w:rPr>
        <w:t xml:space="preserve">A sistemática do art. 29-A da Lei 8.213/91 opera verdadeira inversão do ônus probatório em matéria previdenciária. Quando os dados do CNIS são completos e regulares, o ônus de demonstrar irregularidade recai sobre o INSS. Quando existem lacunas ou indicadores de pendência, o ônus retorna ao segurado, que deve apresentar documentação comprobatória.</w:t>
      </w:r>
    </w:p>
    <w:p>
      <w:pPr>
        <w:spacing w:after="100" w:before="100"/>
        <w:jc w:val="both"/>
      </w:pPr>
      <w:r>
        <w:rPr>
          <w:rFonts w:ascii="Arial" w:cs="Arial" w:eastAsia="Arial" w:hAnsi="Arial"/>
          <w:sz w:val="21"/>
          <w:szCs w:val="21"/>
        </w:rPr>
        <w:t xml:space="preserve">Essa dinâmica tem consequências processuais relevantes nos JEFs. O juiz deve analisar o CNIS como ponto de partida probatório: se o INSS indeferiu o benefício desconsiderando dados regulares do CNIS, há presunção de irregularidade do ato administrativo. Se, ao contrário, o segurado pretende reconhecer período não registrado no CNIS, deve trazer aos autos prova robusta da existência do vínculo ou da atividade.</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6"/>
              <w:left w:val="single" w:color="2E86C1" w:sz="6"/>
              <w:bottom w:val="single" w:color="2E86C1" w:sz="6"/>
              <w:right w:val="single" w:color="2E86C1" w:sz="6"/>
            </w:tcBorders>
            <w:shd w:fill="EBF5FB" w:val="clear"/>
            <w:tcMar>
              <w:top w:type="dxa" w:w="120"/>
              <w:left w:type="dxa" w:w="200"/>
              <w:bottom w:type="dxa" w:w="120"/>
              <w:right w:type="dxa" w:w="200"/>
            </w:tcMar>
          </w:tcPr>
          <w:p>
            <w:pPr>
              <w:spacing w:after="60" w:before="60"/>
            </w:pPr>
            <w:r>
              <w:rPr>
                <w:rFonts w:ascii="Arial" w:cs="Arial" w:eastAsia="Arial" w:hAnsi="Arial"/>
                <w:b/>
                <w:bCs/>
                <w:color w:val="2E86C1"/>
                <w:sz w:val="20"/>
                <w:szCs w:val="20"/>
              </w:rPr>
              <w:t xml:space="preserve">TNU Súmula 75 — CTPS e CNIS</w:t>
            </w:r>
          </w:p>
          <w:p>
            <w:pPr>
              <w:spacing w:after="40" w:before="40"/>
            </w:pPr>
            <w:r>
              <w:rPr>
                <w:rFonts w:ascii="Arial" w:cs="Arial" w:eastAsia="Arial" w:hAnsi="Arial"/>
                <w:sz w:val="19"/>
                <w:szCs w:val="19"/>
              </w:rPr>
              <w:t xml:space="preserve">"A Carteira de Trabalho e Previdência Social em que não conste rasura ou emenda goza de presunção relativa de veracidade, constituindo meio de prova suficiente do tempo de serviço para efeitos previdenciários, mesmo quando as anotações não constem do CNIS." O enunciado reconhece que o CNIS não é exclusivo e que documentos tradicionais — como a CTPS sem defeitos formais — mantêm plena eficácia probatória mesmo quando o sistema informatizado não contempla o vínculo.</w:t>
            </w:r>
          </w:p>
        </w:tc>
      </w:tr>
    </w:tbl>
    <w:p>
      <w:pPr>
        <w:spacing w:after="200"/>
      </w:pPr>
    </w:p>
    <w:p>
      <w:pPr>
        <w:spacing w:after="140" w:before="280"/>
      </w:pPr>
      <w:r>
        <w:rPr>
          <w:rFonts w:ascii="Arial" w:cs="Arial" w:eastAsia="Arial" w:hAnsi="Arial"/>
          <w:b/>
          <w:bCs/>
          <w:color w:val="2E86C1"/>
          <w:sz w:val="23"/>
          <w:szCs w:val="23"/>
        </w:rPr>
        <w:t xml:space="preserve">5.2.5 Reclamatória trabalhista e reflexos no CNIS</w:t>
      </w:r>
    </w:p>
    <w:p>
      <w:pPr>
        <w:spacing w:after="100" w:before="100"/>
        <w:jc w:val="both"/>
      </w:pPr>
      <w:r>
        <w:rPr>
          <w:rFonts w:ascii="Arial" w:cs="Arial" w:eastAsia="Arial" w:hAnsi="Arial"/>
          <w:sz w:val="21"/>
          <w:szCs w:val="21"/>
        </w:rPr>
        <w:t xml:space="preserve">Questão de enorme relevância prática é o reflexo das sentenças trabalhistas no CNIS. Quando o segurado obtém reconhecimento de vínculo empregatício na Justiça do Trabalho, a sentença transitada em julgado deve ser comunicada ao INSS para inclusão no CNIS. Contudo, o INSS frequentemente resiste à averbação de vínculos reconhecidos judicialmente, especialmente quando a sentença trabalhista é proferida sem amplo contraditório previdenciário (o INSS não é parte na reclamatória trabalhista).</w:t>
      </w:r>
    </w:p>
    <w:p>
      <w:pPr>
        <w:spacing w:after="100" w:before="100"/>
        <w:jc w:val="both"/>
      </w:pPr>
      <w:r>
        <w:rPr>
          <w:rFonts w:ascii="Arial" w:cs="Arial" w:eastAsia="Arial" w:hAnsi="Arial"/>
          <w:sz w:val="21"/>
          <w:szCs w:val="21"/>
        </w:rPr>
        <w:t xml:space="preserve">A jurisprudência dos TRFs e da TNU é consolidada no sentido de que a sentença trabalhista constitui início de prova material do vínculo empregatício, mas não vincula o INSS de forma absoluta quando proferida com base exclusivamente em revelia do empregador ou em acordo judicial homologado sem instrução probatória. Nesses casos, o INSS pode exigir documentos complementares para confirmar a existência efetiva do vínculo.</w:t>
      </w:r>
    </w:p>
    <w:p>
      <w:pPr>
        <w:spacing w:after="100" w:before="100"/>
        <w:jc w:val="both"/>
      </w:pPr>
      <w:r>
        <w:rPr>
          <w:rFonts w:ascii="Arial" w:cs="Arial" w:eastAsia="Arial" w:hAnsi="Arial"/>
          <w:sz w:val="21"/>
          <w:szCs w:val="21"/>
        </w:rPr>
        <w:t xml:space="preserve">No CNIS, os vínculos decorrentes de reclamatória trabalhista recebem o indicador "PREC" (pendência de reclamatória), sinalizando que a inclusão foi feita por via judicial e que pode haver necessidade de verificação adicional. O indicador não invalida o vínculo, mas autoriza o INSS a requerer documentação complementar.</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Reclamatória trabalhista como prova no JEF</w:t>
            </w:r>
          </w:p>
          <w:p>
            <w:pPr>
              <w:spacing w:after="40" w:before="40"/>
            </w:pPr>
            <w:r>
              <w:rPr>
                <w:rFonts w:ascii="Arial" w:cs="Arial" w:eastAsia="Arial" w:hAnsi="Arial"/>
                <w:sz w:val="19"/>
                <w:szCs w:val="19"/>
              </w:rPr>
              <w:t xml:space="preserve">Ao instruir ação previdenciária com vínculo reconhecido em reclamatória trabalhista, o advogado deve juntar: (a) cópia integral da sentença trabalhista (não apenas certidão de objeto e pé); (b) provas documentais produzidas no processo trabalhista (contracheques, depoimentos testemunhais); (c) comprovante de recolhimento das contribuições previdenciárias determinado pela sentença trabalhista (ou certidão de que o empregador foi condenado ao recolhimento). Essa documentação robustece o pedido e dificulta a recusa do INSS.</w:t>
            </w:r>
          </w:p>
        </w:tc>
      </w:tr>
    </w:tbl>
    <w:p>
      <w:pPr>
        <w:spacing w:after="200"/>
      </w:pPr>
    </w:p>
    <w:p>
      <w:pPr>
        <w:spacing w:after="140" w:before="280"/>
      </w:pPr>
      <w:r>
        <w:rPr>
          <w:rFonts w:ascii="Arial" w:cs="Arial" w:eastAsia="Arial" w:hAnsi="Arial"/>
          <w:b/>
          <w:bCs/>
          <w:color w:val="2E86C1"/>
          <w:sz w:val="23"/>
          <w:szCs w:val="23"/>
        </w:rPr>
        <w:t xml:space="preserve">5.2.6 O CNIS como instrumento de planejamento previdenciário</w:t>
      </w:r>
    </w:p>
    <w:p>
      <w:pPr>
        <w:spacing w:after="100" w:before="100"/>
        <w:jc w:val="both"/>
      </w:pPr>
      <w:r>
        <w:rPr>
          <w:rFonts w:ascii="Arial" w:cs="Arial" w:eastAsia="Arial" w:hAnsi="Arial"/>
          <w:sz w:val="21"/>
          <w:szCs w:val="21"/>
        </w:rPr>
        <w:t xml:space="preserve">Para além de sua função probatória, o CNIS constitui ferramenta indispensável de planejamento previdenciário. A análise do extrato permite identificar: (a) a data provável de implementação dos requisitos para aposentadoria; (b) a regra de transição mais favorável ao segurado; (c) lacunas contributivas que podem ser supridas (mediante recolhimento em atraso ou reconhecimento de tempo); (d) remunerações inconsistentes que impactam negativamente o cálculo do benefício.</w:t>
      </w:r>
    </w:p>
    <w:p>
      <w:pPr>
        <w:spacing w:after="100" w:before="100"/>
        <w:jc w:val="both"/>
      </w:pPr>
      <w:r>
        <w:rPr>
          <w:rFonts w:ascii="Arial" w:cs="Arial" w:eastAsia="Arial" w:hAnsi="Arial"/>
          <w:sz w:val="21"/>
          <w:szCs w:val="21"/>
        </w:rPr>
        <w:t xml:space="preserve">O advogado previdenciário deve dominar a leitura do CNIS e compreender seus códigos e indicadores. O extrato pode ser obtido gratuitamente pelo portal Meu INSS (www.meu.inss.gov.br) ou pelo aplicativo do INSS. A versão detalhada (CNIS analítico) contém informações sobre remunerações, códigos de afastamento, indicadores de pendência e data de inclusão de cada registro — dados essenciais para identificar inconsistências e planejar a estratégia processual.</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5.3 Retificação de Dados do CNIS</w:t>
      </w:r>
    </w:p>
    <w:p>
      <w:pPr>
        <w:spacing w:after="140" w:before="280"/>
      </w:pPr>
      <w:r>
        <w:rPr>
          <w:rFonts w:ascii="Arial" w:cs="Arial" w:eastAsia="Arial" w:hAnsi="Arial"/>
          <w:b/>
          <w:bCs/>
          <w:color w:val="2E86C1"/>
          <w:sz w:val="23"/>
          <w:szCs w:val="23"/>
        </w:rPr>
        <w:t xml:space="preserve">5.3.1 Via administrativa (INSS)</w:t>
      </w:r>
    </w:p>
    <w:p>
      <w:pPr>
        <w:spacing w:after="100" w:before="100"/>
        <w:jc w:val="both"/>
      </w:pPr>
      <w:r>
        <w:rPr>
          <w:rFonts w:ascii="Arial" w:cs="Arial" w:eastAsia="Arial" w:hAnsi="Arial"/>
          <w:sz w:val="21"/>
          <w:szCs w:val="21"/>
        </w:rPr>
        <w:t xml:space="preserve">O art. 29-A, § 2º, da Lei 8.213/91 assegura ao segurado o direito de solicitar, a qualquer tempo, a inclusão, exclusão ou retificação de informações constantes do CNIS. O requerimento deve ser dirigido ao INSS, acompanhado dos documentos que demonstrem a divergência entre os dados registrados e a realidade contributiva.</w:t>
      </w:r>
    </w:p>
    <w:p>
      <w:pPr>
        <w:spacing w:after="100" w:before="100"/>
        <w:jc w:val="both"/>
      </w:pPr>
      <w:r>
        <w:rPr>
          <w:rFonts w:ascii="Arial" w:cs="Arial" w:eastAsia="Arial" w:hAnsi="Arial"/>
          <w:sz w:val="21"/>
          <w:szCs w:val="21"/>
        </w:rPr>
        <w:t xml:space="preserve">A IN INSS/PRES 128/2022 disciplina o procedimento de retificação administrativa em seus arts. 85 a 88. O art. 85 determina que o INSS deve considerar os dados do CNIS independentemente de apresentação de documentos pelo segurado, quando estes estiverem regulares. O art. 86 trata da hipótese de discordância: o segurado apresenta documentos para demonstrar que os dados registrados são incorretos ou incompletos. O art. 87 prevê a retificação de ofício pelo INSS quando este detectar inconsistências nos registros. O art. 88 trata especificamente da análise diferenciada de vínculos inseridos extemporaneamente (após 120 dias do fato gerador).</w:t>
      </w:r>
    </w:p>
    <w:p>
      <w:pPr>
        <w:spacing w:after="100" w:before="100"/>
        <w:jc w:val="both"/>
      </w:pPr>
      <w:r>
        <w:rPr>
          <w:rFonts w:ascii="Arial" w:cs="Arial" w:eastAsia="Arial" w:hAnsi="Arial"/>
          <w:sz w:val="21"/>
          <w:szCs w:val="21"/>
        </w:rPr>
        <w:t xml:space="preserve">Os documentos aceitos para retificação incluem, de forma exemplificativa: CTPS com anotações regulares, contracheques ou recibos de pagamento, declaração do empregador em formulário próprio, termos de rescisão contratual homologados, comprovantes de depósito de FGTS, ação trabalhista com sentença transitada em julgado, entre outros. A IN 128/2022 admite cópias simples (em papel ou digitalizadas), dispensando autenticação administrativa, salvo em casos de fundada dúvida quanto à autenticidade.</w:t>
      </w:r>
    </w:p>
    <w:p>
      <w:pPr>
        <w:spacing w:after="100" w:before="100"/>
        <w:jc w:val="both"/>
      </w:pPr>
      <w:r>
        <w:rPr>
          <w:rFonts w:ascii="Arial" w:cs="Arial" w:eastAsia="Arial" w:hAnsi="Arial"/>
          <w:sz w:val="21"/>
          <w:szCs w:val="21"/>
        </w:rPr>
        <w:t xml:space="preserve">O prazo para decisão administrativa é de 30 dias (art. 41-A, § 5º, Lei 8.213/91), embora na prática o INSS frequentemente exceda esse prazo. O silêncio administrativo após 30 dias caracteriza mora da Administração e autoriza o ajuizamento de ação judicial sem necessidade de aguardar decisão expressa.</w:t>
      </w:r>
    </w:p>
    <w:p>
      <w:pPr>
        <w:spacing w:after="140" w:before="280"/>
      </w:pPr>
      <w:r>
        <w:rPr>
          <w:rFonts w:ascii="Arial" w:cs="Arial" w:eastAsia="Arial" w:hAnsi="Arial"/>
          <w:b/>
          <w:bCs/>
          <w:color w:val="2E86C1"/>
          <w:sz w:val="23"/>
          <w:szCs w:val="23"/>
        </w:rPr>
        <w:t xml:space="preserve">5.3.2 Via judicial (JEF)</w:t>
      </w:r>
    </w:p>
    <w:p>
      <w:pPr>
        <w:spacing w:after="100" w:before="100"/>
        <w:jc w:val="both"/>
      </w:pPr>
      <w:r>
        <w:rPr>
          <w:rFonts w:ascii="Arial" w:cs="Arial" w:eastAsia="Arial" w:hAnsi="Arial"/>
          <w:sz w:val="21"/>
          <w:szCs w:val="21"/>
        </w:rPr>
        <w:t xml:space="preserve">A via judicial é cabível quando o INSS indefere o pedido de retificação administrativa ou quando permanece inerte após o prazo legal. A competência é do Juizado Especial Federal quando o valor da causa (diferença no benefício) não ultrapassar 60 salários mínimos (R$ 97.260,00 em 2026).</w:t>
      </w:r>
    </w:p>
    <w:p>
      <w:pPr>
        <w:spacing w:after="100" w:before="100"/>
        <w:jc w:val="both"/>
      </w:pPr>
      <w:r>
        <w:rPr>
          <w:rFonts w:ascii="Arial" w:cs="Arial" w:eastAsia="Arial" w:hAnsi="Arial"/>
          <w:sz w:val="21"/>
          <w:szCs w:val="21"/>
        </w:rPr>
        <w:t xml:space="preserve">Questão relevante diz respeito ao prévio requerimento administrativo. O STF, no RE 631.240 (Tema 350), fixou a necessidade de prévio requerimento administrativo como condição para o ajuizamento de ação previdenciária. Assim, o segurado deve primeiramente requerer a retificação ao INSS antes de buscar a via judicial. Exceções existem: quando o INSS adota posição notoriamente contrária ao pedido (dispensando a submissão formal), ou quando o segurado comprova que o pedido seria inútil diante da prática administrativa consolidada.</w:t>
      </w:r>
    </w:p>
    <w:p>
      <w:pPr>
        <w:spacing w:after="100" w:before="100"/>
        <w:jc w:val="both"/>
      </w:pPr>
      <w:r>
        <w:rPr>
          <w:rFonts w:ascii="Arial" w:cs="Arial" w:eastAsia="Arial" w:hAnsi="Arial"/>
          <w:sz w:val="21"/>
          <w:szCs w:val="21"/>
        </w:rPr>
        <w:t xml:space="preserve">Na ação judicial de retificação do CNIS, o juiz pode determinar:</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 inclusão de vínculos não registrados, mediante prova documental e testemunhal;</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 correção de remunerações incorretas, com base em documentos contemporâneos;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 exclusão de indicadores de pendência indevidos;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O reconhecimento de períodos contributivos não computados;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 unificação de NIT/PIS quando o segurado possui cadastros duplicados.</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Modelo de fundamentação — Retificação de CNIS no JEF</w:t>
            </w:r>
          </w:p>
          <w:p>
            <w:pPr>
              <w:spacing w:after="40" w:before="40"/>
            </w:pPr>
            <w:r>
              <w:rPr>
                <w:rFonts w:ascii="Arial" w:cs="Arial" w:eastAsia="Arial" w:hAnsi="Arial"/>
                <w:sz w:val="19"/>
                <w:szCs w:val="19"/>
              </w:rPr>
              <w:t xml:space="preserve">Em petições iniciais de retificação de CNIS, é fundamental: (1) individualizar cada período ou dado objeto de retificação; (2) indicar o que consta no CNIS e o que deveria constar; (3) apresentar a documentação comprobatória de cada divergência; (4) explicitar o impacto da retificação no direito ao benefício. A objetividade facilita a instrução e acelera o julgamento. Evite pedidos genéricos ("retificar todo o CNIS") — o juiz precisa saber exatamente o que está sendo pedido e por quê.</w:t>
            </w:r>
          </w:p>
        </w:tc>
      </w:tr>
    </w:tbl>
    <w:p>
      <w:pPr>
        <w:spacing w:after="200"/>
      </w:pPr>
    </w:p>
    <w:p>
      <w:pPr>
        <w:spacing w:after="140" w:before="280"/>
      </w:pPr>
      <w:r>
        <w:rPr>
          <w:rFonts w:ascii="Arial" w:cs="Arial" w:eastAsia="Arial" w:hAnsi="Arial"/>
          <w:b/>
          <w:bCs/>
          <w:color w:val="2E86C1"/>
          <w:sz w:val="23"/>
          <w:szCs w:val="23"/>
        </w:rPr>
        <w:t xml:space="preserve">5.3.3 Retificação de remunerações — impacto no cálculo do benefício</w:t>
      </w:r>
    </w:p>
    <w:p>
      <w:pPr>
        <w:spacing w:after="100" w:before="100"/>
        <w:jc w:val="both"/>
      </w:pPr>
      <w:r>
        <w:rPr>
          <w:rFonts w:ascii="Arial" w:cs="Arial" w:eastAsia="Arial" w:hAnsi="Arial"/>
          <w:sz w:val="21"/>
          <w:szCs w:val="21"/>
        </w:rPr>
        <w:t xml:space="preserve">Além da retificação de vínculos e períodos, é igualmente relevante a retificação dos valores de remuneração registrados no CNIS. Salários de contribuição incorretos (geralmente inferiores ao efetivamente recebido) impactam diretamente o cálculo do salário de benefício, reduzindo o valor da aposentadoria. Essa situação é especialmente comum em vínculos antigos (décadas de 1980 e 1990), quando o preenchimento da GFIP era manual e sujeito a erros frequentes.</w:t>
      </w:r>
    </w:p>
    <w:p>
      <w:pPr>
        <w:spacing w:after="100" w:before="100"/>
        <w:jc w:val="both"/>
      </w:pPr>
      <w:r>
        <w:rPr>
          <w:rFonts w:ascii="Arial" w:cs="Arial" w:eastAsia="Arial" w:hAnsi="Arial"/>
          <w:sz w:val="21"/>
          <w:szCs w:val="21"/>
        </w:rPr>
        <w:t xml:space="preserve">Para a retificação de remunerações, o segurado deve apresentar documentos que comprovem os valores efetivamente recebidos: contracheques, fichas financeiras, declarações de imposto de renda com rendimentos informados pelo empregador, ou sentença trabalhista que fixou os valores corretos. Na ausência de documentos específicos do período, a jurisprudência admite a utilização de registros de acordos coletivos ou convenções da categoria profissional como parâmetro subsidiário.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Impacto financeiro da retificação de remunerações</w:t>
            </w:r>
          </w:p>
          <w:p>
            <w:pPr>
              <w:spacing w:after="40" w:before="40"/>
            </w:pPr>
            <w:r>
              <w:rPr>
                <w:rFonts w:ascii="Arial" w:cs="Arial" w:eastAsia="Arial" w:hAnsi="Arial"/>
                <w:sz w:val="19"/>
                <w:szCs w:val="19"/>
              </w:rPr>
              <w:t xml:space="preserve">Considere um segurado cujo CNIS registra salário de contribuição de R$ 1.000,00 em determinado período, quando na verdade recebia R$ 2.000,00 (conforme contracheques preservados). Se esse período integra o cálculo do salário de benefício (média dos 80% maiores SC), a retificação pode incrementar significativamente o valor da aposentadoria. Para segurados com poucos anos de contribuição acima do mínimo, a correção de remunerações pode representar diferença de centenas de reais mensais no benefício. A verificação detalhada dos valores registrados no CNIS deve ser etapa obrigatória do planejamento previdenciário.</w:t>
            </w:r>
          </w:p>
        </w:tc>
      </w:tr>
    </w:tbl>
    <w:p>
      <w:pPr>
        <w:spacing w:after="200"/>
      </w:pPr>
    </w:p>
    <w:p>
      <w:pPr>
        <w:spacing w:after="140" w:before="280"/>
      </w:pPr>
      <w:r>
        <w:rPr>
          <w:rFonts w:ascii="Arial" w:cs="Arial" w:eastAsia="Arial" w:hAnsi="Arial"/>
          <w:b/>
          <w:bCs/>
          <w:color w:val="2E86C1"/>
          <w:sz w:val="23"/>
          <w:szCs w:val="23"/>
        </w:rPr>
        <w:t xml:space="preserve">5.3.4 Retificação decorrente de sentença trabalhista</w:t>
      </w:r>
    </w:p>
    <w:p>
      <w:pPr>
        <w:spacing w:after="100" w:before="100"/>
        <w:jc w:val="both"/>
      </w:pPr>
      <w:r>
        <w:rPr>
          <w:rFonts w:ascii="Arial" w:cs="Arial" w:eastAsia="Arial" w:hAnsi="Arial"/>
          <w:sz w:val="21"/>
          <w:szCs w:val="21"/>
        </w:rPr>
        <w:t xml:space="preserve">Quando o segurado obtém sentença trabalhista reconhecendo diferenças salariais ou verbas não pagas, os valores devem ser refletidos no CNIS para fins previdenciários. O procedimento regular é: (a) na fase de execução trabalhista, são calculadas as contribuições previdenciárias incidentes sobre as diferenças; (b) o empregador é condenado ao recolhimento (GPS judicial); (c) os valores são incluídos no CNIS pelo sistema informatizado da Receita Federal/INSS.</w:t>
      </w:r>
    </w:p>
    <w:p>
      <w:pPr>
        <w:spacing w:after="100" w:before="100"/>
        <w:jc w:val="both"/>
      </w:pPr>
      <w:r>
        <w:rPr>
          <w:rFonts w:ascii="Arial" w:cs="Arial" w:eastAsia="Arial" w:hAnsi="Arial"/>
          <w:sz w:val="21"/>
          <w:szCs w:val="21"/>
        </w:rPr>
        <w:t xml:space="preserve">Na prática, falhas no sistema fazem com que muitos valores de sentenças trabalhistas não sejam refletidos no CNIS. O segurado deve verificar, após a execução trabalhista, se os valores foram efetivamente incluídos. Caso contrário, deve requerer a retificação ao INSS, instruindo o pedido com: certidão de objeto e pé da ação trabalhista, planilha de cálculos judiciais, comprovantes de recolhimento das contribuições previdenciárias (GPS judicial) e sentença/acórdão.</w:t>
      </w:r>
    </w:p>
    <w:p>
      <w:pPr>
        <w:spacing w:after="140" w:before="280"/>
      </w:pPr>
      <w:r>
        <w:rPr>
          <w:rFonts w:ascii="Arial" w:cs="Arial" w:eastAsia="Arial" w:hAnsi="Arial"/>
          <w:b/>
          <w:bCs/>
          <w:color w:val="2E86C1"/>
          <w:sz w:val="23"/>
          <w:szCs w:val="23"/>
        </w:rPr>
        <w:t xml:space="preserve">5.3.5 Retificação e o prazo decadencial — questão controversa</w:t>
      </w:r>
    </w:p>
    <w:p>
      <w:pPr>
        <w:spacing w:after="100" w:before="100"/>
        <w:jc w:val="both"/>
      </w:pPr>
      <w:r>
        <w:rPr>
          <w:rFonts w:ascii="Arial" w:cs="Arial" w:eastAsia="Arial" w:hAnsi="Arial"/>
          <w:sz w:val="21"/>
          <w:szCs w:val="21"/>
        </w:rPr>
        <w:t xml:space="preserve">Uma questão recorrente é se o prazo decadencial de 10 anos do art. 103 da Lei 8.213/91 aplica-se à retificação do CNIS. A resposta depende do contexto: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Retificação para concessão de novo benefício: Não há decadência, pois o segurado ainda não está aposentado. A retificação é pressuposto da concessão, e o direito de requerer benefício não decai (apenas prescreve).</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Retificação para revisão de benefício já concedido: Aplica-se o prazo decadencial de 10 anos contados do primeiro pagamento. Se o segurado pretende incluir períodos ou corrigir remunerações para majorar benefício já concedido, deve observar esse prazo.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Retificação como ação autônoma (sem pedido de benefício): Há divergência. A corrente majoritária entende que a retificação de dados cadastrais não se sujeita a prazo decadencial, pois não se confunde com "revisão do ato de concessão." O CNIS é registro administrativo cuja correção pode ser requerida a qualquer tempo (art. 29-A, § 2º: "a qualquer tempo").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6"/>
              <w:left w:val="single" w:color="2E86C1" w:sz="6"/>
              <w:bottom w:val="single" w:color="2E86C1" w:sz="6"/>
              <w:right w:val="single" w:color="2E86C1" w:sz="6"/>
            </w:tcBorders>
            <w:shd w:fill="EBF5FB" w:val="clear"/>
            <w:tcMar>
              <w:top w:type="dxa" w:w="120"/>
              <w:left w:type="dxa" w:w="200"/>
              <w:bottom w:type="dxa" w:w="120"/>
              <w:right w:type="dxa" w:w="200"/>
            </w:tcMar>
          </w:tcPr>
          <w:p>
            <w:pPr>
              <w:spacing w:after="60" w:before="60"/>
            </w:pPr>
            <w:r>
              <w:rPr>
                <w:rFonts w:ascii="Arial" w:cs="Arial" w:eastAsia="Arial" w:hAnsi="Arial"/>
                <w:b/>
                <w:bCs/>
                <w:color w:val="2E86C1"/>
                <w:sz w:val="20"/>
                <w:szCs w:val="20"/>
              </w:rPr>
              <w:t xml:space="preserve">Retificação de CNIS não se sujeita à decadência do art. 103</w:t>
            </w:r>
          </w:p>
          <w:p>
            <w:pPr>
              <w:spacing w:after="40" w:before="40"/>
            </w:pPr>
            <w:r>
              <w:rPr>
                <w:rFonts w:ascii="Arial" w:cs="Arial" w:eastAsia="Arial" w:hAnsi="Arial"/>
                <w:sz w:val="19"/>
                <w:szCs w:val="19"/>
              </w:rPr>
              <w:t xml:space="preserve">A TNU e diversos TRFs consolidaram o entendimento de que o pedido de retificação de dados do CNIS não se confunde com o pedido de revisão do ato de concessão de benefício. O direito de ter seus dados cadastrais corretos é imprescritível e não decai, pois decorre da própria personalidade. Contudo, se a retificação é veículo para obter diferenças financeiras em benefício já concedido, os efeitos financeiros retroativos ficam limitados à prescrição quinquenal e o direito revisional sujeito à decadência decenal.</w:t>
            </w:r>
          </w:p>
        </w:tc>
      </w:tr>
    </w:tbl>
    <w:p>
      <w:pPr>
        <w:spacing w:after="200"/>
      </w:pPr>
    </w:p>
    <w:p>
      <w:pPr>
        <w:spacing w:after="140" w:before="280"/>
      </w:pPr>
      <w:r>
        <w:rPr>
          <w:rFonts w:ascii="Arial" w:cs="Arial" w:eastAsia="Arial" w:hAnsi="Arial"/>
          <w:b/>
          <w:bCs/>
          <w:color w:val="2E86C1"/>
          <w:sz w:val="23"/>
          <w:szCs w:val="23"/>
        </w:rPr>
        <w:t xml:space="preserve">5.3.6 Competência e cumulação de pedidos</w:t>
      </w:r>
    </w:p>
    <w:p>
      <w:pPr>
        <w:spacing w:after="100" w:before="100"/>
        <w:jc w:val="both"/>
      </w:pPr>
      <w:r>
        <w:rPr>
          <w:rFonts w:ascii="Arial" w:cs="Arial" w:eastAsia="Arial" w:hAnsi="Arial"/>
          <w:sz w:val="21"/>
          <w:szCs w:val="21"/>
        </w:rPr>
        <w:t xml:space="preserve">A ação de retificação do CNIS pode ser cumulada com o pedido de concessão ou revisão do benefício na mesma demanda, desde que observado o limite de alçada do JEF. Na prática, a cumulação é a estratégia mais eficiente: o juiz reconhece o tempo, retifica o CNIS e, na mesma sentença, concede ou revisa o benefício. Essa cumulação evita a multiplicação de processos e a necessidade de novo requerimento administrativo após a retificação judicial.</w:t>
      </w:r>
    </w:p>
    <w:p>
      <w:pPr>
        <w:spacing w:after="100" w:before="100"/>
        <w:jc w:val="both"/>
      </w:pPr>
      <w:r>
        <w:rPr>
          <w:rFonts w:ascii="Arial" w:cs="Arial" w:eastAsia="Arial" w:hAnsi="Arial"/>
          <w:sz w:val="21"/>
          <w:szCs w:val="21"/>
        </w:rPr>
        <w:t xml:space="preserve">A competência para a retificação do CNIS é sempre da Justiça Federal (art. 109, I, CF), por envolver o INSS (autarquia federal). Quando a retificação decorre de sentença trabalhista, o segurado pode apresentá-la administrativamente ao INSS; se este recusar a averbação, a via adequada é o JEF, não a Justiça do Trabalho (que já esgotou sua competência ao julgar a relação de emprego).</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5.4 Atividade Rural Anterior a Novembro de 1991</w:t>
      </w:r>
    </w:p>
    <w:p>
      <w:pPr>
        <w:spacing w:after="140" w:before="280"/>
      </w:pPr>
      <w:r>
        <w:rPr>
          <w:rFonts w:ascii="Arial" w:cs="Arial" w:eastAsia="Arial" w:hAnsi="Arial"/>
          <w:b/>
          <w:bCs/>
          <w:color w:val="2E86C1"/>
          <w:sz w:val="23"/>
          <w:szCs w:val="23"/>
        </w:rPr>
        <w:t xml:space="preserve">5.4.1 Fundamento legal e regra geral</w:t>
      </w:r>
    </w:p>
    <w:p>
      <w:pPr>
        <w:spacing w:after="100" w:before="100"/>
        <w:jc w:val="both"/>
      </w:pPr>
      <w:r>
        <w:rPr>
          <w:rFonts w:ascii="Arial" w:cs="Arial" w:eastAsia="Arial" w:hAnsi="Arial"/>
          <w:sz w:val="21"/>
          <w:szCs w:val="21"/>
        </w:rPr>
        <w:t xml:space="preserve">O art. 55, § 2º, da Lei 8.213/91, combinado com o art. 143 do mesmo diploma, permite o cômputo de tempo de serviço rural anterior à vigência da Lei (25 de julho de 1991) como tempo de contribuição, independentemente do recolhimento de contribuições previdenciárias. Trata-se de norma de transição que reconheceu a atividade rural exercida em período no qual não existia obrigatoriedade de contribuição para a grande maioria dos trabalhadores rurais.</w:t>
      </w:r>
    </w:p>
    <w:p>
      <w:pPr>
        <w:spacing w:after="100" w:before="100"/>
        <w:jc w:val="both"/>
      </w:pPr>
      <w:r>
        <w:rPr>
          <w:rFonts w:ascii="Arial" w:cs="Arial" w:eastAsia="Arial" w:hAnsi="Arial"/>
          <w:sz w:val="21"/>
          <w:szCs w:val="21"/>
        </w:rPr>
        <w:t xml:space="preserve">A regra aplica-se ao segurado especial (regime de economia familiar) e ao empregado rural que exerceu atividade antes da Lei 8.213/91. A distinção é relevante: o segurado especial tem seu tempo computado independentemente de contribuição, mesmo para períodos posteriores a 1991, por força do art. 39, I, da Lei 8.213/91 (para aposentadoria por idade rural); já o contribuinte individual rural que exerceu atividade após novembro de 1991 precisa indenizar o período na forma do art. 45-A da Lei 8.212/91 para ter o tempo reconhecido (cf. Capítulo 4).</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Distinção fundamental: efeito do cômputo rural pré-1991</w:t>
            </w:r>
          </w:p>
          <w:p>
            <w:pPr>
              <w:spacing w:after="40" w:before="40"/>
            </w:pPr>
            <w:r>
              <w:rPr>
                <w:rFonts w:ascii="Arial" w:cs="Arial" w:eastAsia="Arial" w:hAnsi="Arial"/>
                <w:sz w:val="19"/>
                <w:szCs w:val="19"/>
              </w:rPr>
              <w:t xml:space="preserve">O tempo rural anterior a novembro de 1991 conta como tempo de contribuição, mas NÃO como carência (art. 55, § 2º, parte final, Lei 8.213/91). Isso significa que o segurado pode usar esse período para completar os anos exigidos de tempo de contribuição nas regras de transição, mas não pode utilizá-lo para atingir as 180 contribuições de carência. Exceção: o trabalhador rural com registro em CTPS (empregado rural formal) tem o período contado também para carência, pois a obrigação de recolhimento era do empregador.</w:t>
            </w:r>
          </w:p>
        </w:tc>
      </w:tr>
    </w:tbl>
    <w:p>
      <w:pPr>
        <w:spacing w:after="200"/>
      </w:pPr>
    </w:p>
    <w:p>
      <w:pPr>
        <w:spacing w:after="140" w:before="280"/>
      </w:pPr>
      <w:r>
        <w:rPr>
          <w:rFonts w:ascii="Arial" w:cs="Arial" w:eastAsia="Arial" w:hAnsi="Arial"/>
          <w:b/>
          <w:bCs/>
          <w:color w:val="2E86C1"/>
          <w:sz w:val="23"/>
          <w:szCs w:val="23"/>
        </w:rPr>
        <w:t xml:space="preserve">5.4.2 Exigência de início de prova material</w:t>
      </w:r>
    </w:p>
    <w:p>
      <w:pPr>
        <w:spacing w:after="100" w:before="100"/>
        <w:jc w:val="both"/>
      </w:pPr>
      <w:r>
        <w:rPr>
          <w:rFonts w:ascii="Arial" w:cs="Arial" w:eastAsia="Arial" w:hAnsi="Arial"/>
          <w:sz w:val="21"/>
          <w:szCs w:val="21"/>
        </w:rPr>
        <w:t xml:space="preserve">A comprovação da atividade rural exige início de prova material, nos termos do art. 55, § 3º, da Lei 8.213/91 e da Súmula 149 do STJ: "A prova exclusivamente testemunhal não basta à comprovação da atividade rurícola, para efeito da obtenção de benefício previdenciário." A exigência tem dupla finalidade: prevenir fraudes e assegurar um mínimo de documentação que empreste verossimilhança ao relato do segurado.</w:t>
      </w:r>
    </w:p>
    <w:p>
      <w:pPr>
        <w:spacing w:after="100" w:before="100"/>
        <w:jc w:val="both"/>
      </w:pPr>
      <w:r>
        <w:rPr>
          <w:rFonts w:ascii="Arial" w:cs="Arial" w:eastAsia="Arial" w:hAnsi="Arial"/>
          <w:sz w:val="21"/>
          <w:szCs w:val="21"/>
        </w:rPr>
        <w:t xml:space="preserve">A jurisprudência consolidada admite como início de prova material uma ampla gama de documentos, desde que contemporâneos à época dos fatos alegados (TNU Súmula 34). São exemplos frequentes: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Certidão de casamento com qualificação do cônjuge como lavrador/agricultor;</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Certidão de nascimento dos filhos com indicação da profissão rural dos pais;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Certificado de reservista com profissão "lavrador" ou "agricultor";</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Título de eleitor com qualificação rural;</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Ficha de inscrição em sindicato rural;</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Documentos do INCRA (certificado de cadastro, DAP/CAF);</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Notas fiscais de produtor rural;</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Contratos de arrendamento ou parceria;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Declaração de aptidão ao PRONAF (DAP) ou Cadastro Nacional da Agricultura Familiar (CAF);</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Comprovante de recebimento de benefício rural por membro da família;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Histórico escolar de escola rural;</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Escritura de imóvel rural;</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Prontuário médico com indicação da profissão rural.</w:t>
      </w:r>
    </w:p>
    <w:p>
      <w:pPr>
        <w:spacing w:after="140" w:before="280"/>
      </w:pPr>
      <w:r>
        <w:rPr>
          <w:rFonts w:ascii="Arial" w:cs="Arial" w:eastAsia="Arial" w:hAnsi="Arial"/>
          <w:b/>
          <w:bCs/>
          <w:color w:val="2E86C1"/>
          <w:sz w:val="23"/>
          <w:szCs w:val="23"/>
        </w:rPr>
        <w:t xml:space="preserve">5.4.3 Extensão temporal da prova — Súmula 577/STJ</w:t>
      </w:r>
    </w:p>
    <w:p>
      <w:pPr>
        <w:spacing w:after="100" w:before="100"/>
        <w:jc w:val="both"/>
      </w:pPr>
      <w:r>
        <w:rPr>
          <w:rFonts w:ascii="Arial" w:cs="Arial" w:eastAsia="Arial" w:hAnsi="Arial"/>
          <w:sz w:val="21"/>
          <w:szCs w:val="21"/>
        </w:rPr>
        <w:t xml:space="preserve">A Súmula 577 do STJ estabelece que "é possível reconhecer o tempo de serviço rural anterior ao documento mais antigo apresentado, desde que amparado em convincente prova testemunhal colhida sob o contraditório." Essa súmula tem grande impacto prático: o segurado que apresenta como documento mais antigo uma certidão de casamento de 1985 (com qualificação de "lavrador") pode ter reconhecido período rural anterior a 1985, desde que a prova testemunhal seja convincente e coerente.</w:t>
      </w:r>
    </w:p>
    <w:p>
      <w:pPr>
        <w:spacing w:after="100" w:before="100"/>
        <w:jc w:val="both"/>
      </w:pPr>
      <w:r>
        <w:rPr>
          <w:rFonts w:ascii="Arial" w:cs="Arial" w:eastAsia="Arial" w:hAnsi="Arial"/>
          <w:sz w:val="21"/>
          <w:szCs w:val="21"/>
        </w:rPr>
        <w:t xml:space="preserve">A extensão temporal, contudo, possui limites. A prova testemunhal deve ser robusta, com depoimentos de testemunhas que efetivamente presenciaram o trabalho rural no período anterior ao documento. Testemunhas com conhecimento indireto (ouviram dizer que o segurado trabalhava na roça) não suprem a exigência. Além disso, a extensão deve ser razoável: reconhecer cinco ou seis anos antes do documento mais antigo é admissível; reconhecer décadas sem qualquer referência documental intermediária é temerário.</w:t>
      </w:r>
    </w:p>
    <w:p>
      <w:pPr>
        <w:spacing w:after="140" w:before="280"/>
      </w:pPr>
      <w:r>
        <w:rPr>
          <w:rFonts w:ascii="Arial" w:cs="Arial" w:eastAsia="Arial" w:hAnsi="Arial"/>
          <w:b/>
          <w:bCs/>
          <w:color w:val="2E86C1"/>
          <w:sz w:val="23"/>
          <w:szCs w:val="23"/>
        </w:rPr>
        <w:t xml:space="preserve">5.4.4 Documentos em nome de terceiros — cônjuge e família</w:t>
      </w:r>
    </w:p>
    <w:p>
      <w:pPr>
        <w:spacing w:after="100" w:before="100"/>
        <w:jc w:val="both"/>
      </w:pPr>
      <w:r>
        <w:rPr>
          <w:rFonts w:ascii="Arial" w:cs="Arial" w:eastAsia="Arial" w:hAnsi="Arial"/>
          <w:sz w:val="21"/>
          <w:szCs w:val="21"/>
        </w:rPr>
        <w:t xml:space="preserve">A TNU, no Tema 327, firmou o entendimento de que documentação em nome do cônjuge ou companheiro, na condição de empregado rural, constitui início de prova material para fins de concessão de benefício previdenciário ao outro cônjuge. Essa orientação é complementada pela Súmula 6 da TNU ("A certidão de casamento ou outro documento idôneo que evidencie a condição de trabalhador rural do cônjuge constitui início razoável de prova material da atividade rurícola") e pela Súmula 73 do TRF4.</w:t>
      </w:r>
    </w:p>
    <w:p>
      <w:pPr>
        <w:spacing w:after="100" w:before="100"/>
        <w:jc w:val="both"/>
      </w:pPr>
      <w:r>
        <w:rPr>
          <w:rFonts w:ascii="Arial" w:cs="Arial" w:eastAsia="Arial" w:hAnsi="Arial"/>
          <w:sz w:val="21"/>
          <w:szCs w:val="21"/>
        </w:rPr>
        <w:t xml:space="preserve">Na prática, isso significa que a esposa do trabalhador rural pode utilizar documentos em nome do marido (e vice-versa) como início de prova material de sua própria atividade rural, desde que demonstrada a participação no regime de economia familiar. A mesma lógica aplica-se a filhos que trabalharam na propriedade da família: documentos em nome dos pais servem como ponto de partida para a comprovação.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6"/>
              <w:left w:val="single" w:color="2E86C1" w:sz="6"/>
              <w:bottom w:val="single" w:color="2E86C1" w:sz="6"/>
              <w:right w:val="single" w:color="2E86C1" w:sz="6"/>
            </w:tcBorders>
            <w:shd w:fill="EBF5FB" w:val="clear"/>
            <w:tcMar>
              <w:top w:type="dxa" w:w="120"/>
              <w:left w:type="dxa" w:w="200"/>
              <w:bottom w:type="dxa" w:w="120"/>
              <w:right w:type="dxa" w:w="200"/>
            </w:tcMar>
          </w:tcPr>
          <w:p>
            <w:pPr>
              <w:spacing w:after="60" w:before="60"/>
            </w:pPr>
            <w:r>
              <w:rPr>
                <w:rFonts w:ascii="Arial" w:cs="Arial" w:eastAsia="Arial" w:hAnsi="Arial"/>
                <w:b/>
                <w:bCs/>
                <w:color w:val="2E86C1"/>
                <w:sz w:val="20"/>
                <w:szCs w:val="20"/>
              </w:rPr>
              <w:t xml:space="preserve">STJ Tema 629 — REsp 1.352.721/SP — Cômputo de atividade rural</w:t>
            </w:r>
          </w:p>
          <w:p>
            <w:pPr>
              <w:spacing w:after="40" w:before="40"/>
            </w:pPr>
            <w:r>
              <w:rPr>
                <w:rFonts w:ascii="Arial" w:cs="Arial" w:eastAsia="Arial" w:hAnsi="Arial"/>
                <w:sz w:val="19"/>
                <w:szCs w:val="19"/>
              </w:rPr>
              <w:t xml:space="preserve">O STJ fixou a tese de que "o tempo de serviço do segurado trabalhador rural, anterior à data de início de vigência da Lei n. 8.213/91, pode ser computado para fins de aposentadoria no Regime Geral de Previdência Social, independentemente do recolhimento de contribuições, exceto para efeito de carência." Importante desdobramento processual: quando não há início de prova material suficiente, a ação deve ser extinta sem resolução do mérito (art. 485, IV, CPC), possibilitando nova propositura com documentação mais robusta. A extinção com mérito (improcedência) forma coisa julgada material e impede nova ação com o mesmo fundamento.</w:t>
            </w:r>
          </w:p>
        </w:tc>
      </w:tr>
    </w:tbl>
    <w:p>
      <w:pPr>
        <w:spacing w:after="200"/>
      </w:pPr>
    </w:p>
    <w:p>
      <w:pPr>
        <w:spacing w:after="140" w:before="280"/>
      </w:pPr>
      <w:r>
        <w:rPr>
          <w:rFonts w:ascii="Arial" w:cs="Arial" w:eastAsia="Arial" w:hAnsi="Arial"/>
          <w:b/>
          <w:bCs/>
          <w:color w:val="2E86C1"/>
          <w:sz w:val="23"/>
          <w:szCs w:val="23"/>
        </w:rPr>
        <w:t xml:space="preserve">5.4.5 O limite etário e o trabalho rural na infância</w:t>
      </w:r>
    </w:p>
    <w:p>
      <w:pPr>
        <w:spacing w:after="100" w:before="100"/>
        <w:jc w:val="both"/>
      </w:pPr>
      <w:r>
        <w:rPr>
          <w:rFonts w:ascii="Arial" w:cs="Arial" w:eastAsia="Arial" w:hAnsi="Arial"/>
          <w:sz w:val="21"/>
          <w:szCs w:val="21"/>
        </w:rPr>
        <w:t xml:space="preserve">Questão frequente nos JEFs diz respeito à idade mínima para o reconhecimento de trabalho rural. A Constituição Federal proíbe o trabalho de menores de 16 anos (salvo como aprendiz a partir dos 14 — art. 7º, XXXIII). Contudo, a jurisprudência previdenciária consolidou o entendimento de que a vedação constitucional visa proteger o menor, não prejudicá-lo: se o menor efetivamente trabalhou, o reconhecimento do tempo é direito seu, sob pena de penalizá-lo duplamente (trabalhou irregularmente na infância e ainda se veria privado do cômputo do período).</w:t>
      </w:r>
    </w:p>
    <w:p>
      <w:pPr>
        <w:spacing w:after="100" w:before="100"/>
        <w:jc w:val="both"/>
      </w:pPr>
      <w:r>
        <w:rPr>
          <w:rFonts w:ascii="Arial" w:cs="Arial" w:eastAsia="Arial" w:hAnsi="Arial"/>
          <w:sz w:val="21"/>
          <w:szCs w:val="21"/>
        </w:rPr>
        <w:t xml:space="preserve">A TNU e os TRFs reconhecem atividade rural a partir dos 12 anos de idade (idade mínima usual na jurisprudência, embora haja precedentes que admitem períodos a partir dos 10 anos em casos excepcionais). Essa posição encontra respaldo na realidade socioeconômica do campo brasileiro, onde o trabalho infantil em regime de economia familiar era — e em muitas regiões ainda é — prática generalizada.</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Estratégia processual: comprovação de atividade rural na infância/adolescência</w:t>
            </w:r>
          </w:p>
          <w:p>
            <w:pPr>
              <w:spacing w:after="40" w:before="40"/>
            </w:pPr>
            <w:r>
              <w:rPr>
                <w:rFonts w:ascii="Arial" w:cs="Arial" w:eastAsia="Arial" w:hAnsi="Arial"/>
                <w:sz w:val="19"/>
                <w:szCs w:val="19"/>
              </w:rPr>
              <w:t xml:space="preserve">Para períodos rurais na infância (12 a 16 anos), a estratégia probatória deve ser reforçada: (a) documentos da família (pais como proprietários rurais ou empregados rurais); (b) certidão de escola rural demonstrando endereço no campo; (c) testemunhas que presenciaram o trabalho do menor; (d) declarações de sindicato rural. É útil incluir na petição inicial a fundamentação constitucional da tese (proteção do menor que efetivamente trabalhou) e citar a jurisprudência dominante da TNU sobre o tema.</w:t>
            </w:r>
          </w:p>
        </w:tc>
      </w:tr>
    </w:tbl>
    <w:p>
      <w:pPr>
        <w:spacing w:after="200"/>
      </w:pPr>
    </w:p>
    <w:p>
      <w:pPr>
        <w:spacing w:after="140" w:before="280"/>
      </w:pPr>
      <w:r>
        <w:rPr>
          <w:rFonts w:ascii="Arial" w:cs="Arial" w:eastAsia="Arial" w:hAnsi="Arial"/>
          <w:b/>
          <w:bCs/>
          <w:color w:val="2E86C1"/>
          <w:sz w:val="23"/>
          <w:szCs w:val="23"/>
        </w:rPr>
        <w:t xml:space="preserve">5.4.6 Descontinuidade da atividade rural e descaracterização</w:t>
      </w:r>
    </w:p>
    <w:p>
      <w:pPr>
        <w:spacing w:after="100" w:before="100"/>
        <w:jc w:val="both"/>
      </w:pPr>
      <w:r>
        <w:rPr>
          <w:rFonts w:ascii="Arial" w:cs="Arial" w:eastAsia="Arial" w:hAnsi="Arial"/>
          <w:sz w:val="21"/>
          <w:szCs w:val="21"/>
        </w:rPr>
        <w:t xml:space="preserve">Questão recorrente nos JEFs é a descontinuidade da atividade rural e seus efeitos sobre o reconhecimento do tempo. O segurado que intercalou períodos rurais com períodos urbanos pode ter dificuldades em demonstrar a contemporaneidade da prova material e a continuidade do trabalho agrícola.</w:t>
      </w:r>
    </w:p>
    <w:p>
      <w:pPr>
        <w:spacing w:after="100" w:before="100"/>
        <w:jc w:val="both"/>
      </w:pPr>
      <w:r>
        <w:rPr>
          <w:rFonts w:ascii="Arial" w:cs="Arial" w:eastAsia="Arial" w:hAnsi="Arial"/>
          <w:sz w:val="21"/>
          <w:szCs w:val="21"/>
        </w:rPr>
        <w:t xml:space="preserve">A jurisprudência dos TRFs e da TNU tem sido relativamente flexível nesse aspecto. O STJ, no Tema 1.007, reconheceu que "tempo rural remoto e descontínuo, anterior à Lei 8.213/91, pode ser computado para aposentadoria híbrida sem recolhimento de contribuições, independentemente da predominância do labor misto ou do tipo de trabalho no implemento etário." A orientação aplica-se também ao cômputo de tempo rural para aposentadoria por tempo de contribuição, desde que o período específico esteja adequadamente comprovado.</w:t>
      </w:r>
    </w:p>
    <w:p>
      <w:pPr>
        <w:spacing w:after="100" w:before="100"/>
        <w:jc w:val="both"/>
      </w:pPr>
      <w:r>
        <w:rPr>
          <w:rFonts w:ascii="Arial" w:cs="Arial" w:eastAsia="Arial" w:hAnsi="Arial"/>
          <w:sz w:val="21"/>
          <w:szCs w:val="21"/>
        </w:rPr>
        <w:t xml:space="preserve">A descaracterização da condição de segurado especial (para período pós-1991) pode decorrer de: (a) exercício de atividade urbana por período superior a 120 dias no ano; (b) aquisição de propriedade com área superior a 4 módulos fiscais (ressalvado o entendimento do STJ Tema 1.115, que admite análise caso a caso); (c) obtenção de renda significativa de fonte não rural; (d) contratação de empregados permanentes (limite de 2 empregados admitido pela Lei 11.718/2008). Cada uma dessas circunstâncias exige análise individualizada pelo juiz.</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Descontinuidade não impede cômputo parcial</w:t>
            </w:r>
          </w:p>
          <w:p>
            <w:pPr>
              <w:spacing w:after="40" w:before="40"/>
            </w:pPr>
            <w:r>
              <w:rPr>
                <w:rFonts w:ascii="Arial" w:cs="Arial" w:eastAsia="Arial" w:hAnsi="Arial"/>
                <w:sz w:val="19"/>
                <w:szCs w:val="19"/>
              </w:rPr>
              <w:t xml:space="preserve">O fato de o segurado ter se afastado da atividade rural por determinado período (por exemplo, trabalhou no campo de 1975 a 1985, migrou para a cidade de 1986 a 1990, e retornou ao campo em 1991) não impede o reconhecimento do período efetivamente comprovado (1975-1985). O cômputo é parcial: reconhece-se o que foi demonstrado. A descontinuidade pode fragilizar a prova testemunhal (testemunhas que conheceram o segurado apenas no segundo período rural não podem atestar o primeiro), mas não constitui impedimento legal ao reconhecimento dos períodos documentados.</w:t>
            </w:r>
          </w:p>
        </w:tc>
      </w:tr>
    </w:tbl>
    <w:p>
      <w:pPr>
        <w:spacing w:after="200"/>
      </w:pPr>
    </w:p>
    <w:p>
      <w:pPr>
        <w:spacing w:after="140" w:before="280"/>
      </w:pPr>
      <w:r>
        <w:rPr>
          <w:rFonts w:ascii="Arial" w:cs="Arial" w:eastAsia="Arial" w:hAnsi="Arial"/>
          <w:b/>
          <w:bCs/>
          <w:color w:val="2E86C1"/>
          <w:sz w:val="23"/>
          <w:szCs w:val="23"/>
        </w:rPr>
        <w:t xml:space="preserve">5.4.7 Atividade rural e aposentadoria por tempo de contribuição urbana</w:t>
      </w:r>
    </w:p>
    <w:p>
      <w:pPr>
        <w:spacing w:after="100" w:before="100"/>
        <w:jc w:val="both"/>
      </w:pPr>
      <w:r>
        <w:rPr>
          <w:rFonts w:ascii="Arial" w:cs="Arial" w:eastAsia="Arial" w:hAnsi="Arial"/>
          <w:sz w:val="21"/>
          <w:szCs w:val="21"/>
        </w:rPr>
        <w:t xml:space="preserve">Um dos pedidos mais frequentes nos JEFs é o cômputo de atividade rural (geralmente da infância/adolescência) para somar ao tempo de contribuição urbana e viabilizar aposentadoria por tempo de contribuição ou enquadramento em regra de transição. Nesse cenário, o segurado que trabalhou na roça dos 12 aos 20 anos e depois migrou para a cidade pode agregar até 8 anos de tempo rural ao tempo urbano, potencialmente antecipando em vários anos a data de implementação dos requisitos para aposentadoria.</w:t>
      </w:r>
    </w:p>
    <w:p>
      <w:pPr>
        <w:spacing w:after="100" w:before="100"/>
        <w:jc w:val="both"/>
      </w:pPr>
      <w:r>
        <w:rPr>
          <w:rFonts w:ascii="Arial" w:cs="Arial" w:eastAsia="Arial" w:hAnsi="Arial"/>
          <w:sz w:val="21"/>
          <w:szCs w:val="21"/>
        </w:rPr>
        <w:t xml:space="preserve">A viabilidade desse pedido depende de prova material adequada (certidão de nascimento com pais rurais, certidão de casamento dos pais, matrícula em escola rural, certificado de reservista com profissão "lavrador", documentos do INCRA da família, etc.) e de prova testemunhal convincente. Para períodos remotos (décadas de 1960 a 1980), a dificuldade probatória é significativa, mas não intransponível.</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Exemplo: impacto do reconhecimento de tempo rural na aposentadoria</w:t>
            </w:r>
          </w:p>
          <w:p>
            <w:pPr>
              <w:spacing w:after="40" w:before="40"/>
            </w:pPr>
            <w:r>
              <w:rPr>
                <w:rFonts w:ascii="Arial" w:cs="Arial" w:eastAsia="Arial" w:hAnsi="Arial"/>
                <w:sz w:val="19"/>
                <w:szCs w:val="19"/>
              </w:rPr>
              <w:t xml:space="preserve">Maria trabalhou na roça com os pais de 1978 (quando tinha 12 anos) até 1986 (quando migrou para a cidade aos 20 anos). Apresenta: certidão de nascimento com pai qualificado como "lavrador"; matrícula em escola rural (1980-1984); certificado de reservista do irmão com profissão "agricultor"; duas testemunhas que confirmam o trabalho familiar. Se reconhecido, o período rural (8 anos) soma-se aos 27 anos de tempo urbano comprovado, totalizando 35 anos de contribuição — suficiente para enquadramento na regra de transição por pontos (com a pontuação necessária em 2026). Sem o reconhecimento rural, Maria precisaria trabalhar mais 8 anos para atingir o requisito.</w:t>
            </w:r>
          </w:p>
        </w:tc>
      </w:tr>
    </w:tbl>
    <w:p>
      <w:pPr>
        <w:spacing w:after="200"/>
      </w:pPr>
    </w:p>
    <w:p>
      <w:pPr>
        <w:spacing w:after="140" w:before="280"/>
      </w:pPr>
      <w:r>
        <w:rPr>
          <w:rFonts w:ascii="Arial" w:cs="Arial" w:eastAsia="Arial" w:hAnsi="Arial"/>
          <w:b/>
          <w:bCs/>
          <w:color w:val="2E86C1"/>
          <w:sz w:val="23"/>
          <w:szCs w:val="23"/>
        </w:rPr>
        <w:t xml:space="preserve">5.4.8 Atividade rural pós-1991: a exigência de contribuição ou indenização</w:t>
      </w:r>
    </w:p>
    <w:p>
      <w:pPr>
        <w:spacing w:after="100" w:before="100"/>
        <w:jc w:val="both"/>
      </w:pPr>
      <w:r>
        <w:rPr>
          <w:rFonts w:ascii="Arial" w:cs="Arial" w:eastAsia="Arial" w:hAnsi="Arial"/>
          <w:sz w:val="21"/>
          <w:szCs w:val="21"/>
        </w:rPr>
        <w:t xml:space="preserve">Para períodos posteriores a novembro de 1991, o tratamento varia conforme a categoria do segurado: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Segurado especial (art. 11, VII): Continua com direito à aposentadoria por idade rural (55/60 anos) sem necessidade de contribuição, bastando a comprovação de 180 meses de atividade rural (art. 39, I, Lei 8.213/91). Porém, se pretender aposentadoria por tempo de contribuição, o período pós-1991 somente será computado mediante recolhimento ou indenização.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Contribuinte individual rural (art. 11, V, "a"): O período posterior a 1991 exige recolhimento de contribuições ou indenização (art. 45-A, Lei 8.212/91) para cômputo como tempo de contribuição.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Empregado rural (art. 11, I, "a"): O recolhimento é obrigação do empregador. Se o empregador não recolheu, o período é reconhecido com base na relação de emprego comprovada, independentemente da efetivação do recolhimento (o empregado não pode ser prejudicado pela inadimplência patronal).</w:t>
      </w:r>
    </w:p>
    <w:p>
      <w:pPr>
        <w:spacing w:after="100" w:before="100"/>
        <w:jc w:val="both"/>
      </w:pPr>
      <w:r>
        <w:rPr>
          <w:rFonts w:ascii="Arial" w:cs="Arial" w:eastAsia="Arial" w:hAnsi="Arial"/>
          <w:sz w:val="21"/>
          <w:szCs w:val="21"/>
        </w:rPr>
        <w:t xml:space="preserve">A TNU Súmula 74 sintetiza a matéria: "O exercício de atividade rural posterior a novembro de 1991, comprovado mediante início de prova material, autoriza o cômputo como tempo de contribuição, independentemente do recolhimento das contribuições previdenciárias relativas ao período rural." Esse enunciado refere-se especificamente ao segurado especial, cuja contribuição social incide sobre a receita bruta da comercialização da produção (art. 25, Lei 8.212/91), não sobre salário de contribuição individual.</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5.5 Tempo de Serviço Militar Obrigatório</w:t>
      </w:r>
    </w:p>
    <w:p>
      <w:pPr>
        <w:spacing w:after="140" w:before="280"/>
      </w:pPr>
      <w:r>
        <w:rPr>
          <w:rFonts w:ascii="Arial" w:cs="Arial" w:eastAsia="Arial" w:hAnsi="Arial"/>
          <w:b/>
          <w:bCs/>
          <w:color w:val="2E86C1"/>
          <w:sz w:val="23"/>
          <w:szCs w:val="23"/>
        </w:rPr>
        <w:t xml:space="preserve">5.5.1 Fundamento legal e natureza do cômputo</w:t>
      </w:r>
    </w:p>
    <w:p>
      <w:pPr>
        <w:spacing w:after="100" w:before="100"/>
        <w:jc w:val="both"/>
      </w:pPr>
      <w:r>
        <w:rPr>
          <w:rFonts w:ascii="Arial" w:cs="Arial" w:eastAsia="Arial" w:hAnsi="Arial"/>
          <w:sz w:val="21"/>
          <w:szCs w:val="21"/>
        </w:rPr>
        <w:t xml:space="preserve">O art. 55, inciso I, da Lei 8.213/91 assegura o cômputo, como tempo de contribuição, do período de serviço militar, inclusive o obrigatório. Trata-se de disposição expressa que não exige filiação prévia ao RGPS nem recolhimento de contribuição pelo militar durante o período de serviço. O fundamento é constitucional: o art. 143 da Constituição Federal impõe o serviço militar como obrigação de todos os brasileiros do sexo masculino, não podendo essa imposição estatal gerar prejuízo previdenciário ao cidadão.</w:t>
      </w:r>
    </w:p>
    <w:p>
      <w:pPr>
        <w:spacing w:after="100" w:before="100"/>
        <w:jc w:val="both"/>
      </w:pPr>
      <w:r>
        <w:rPr>
          <w:rFonts w:ascii="Arial" w:cs="Arial" w:eastAsia="Arial" w:hAnsi="Arial"/>
          <w:sz w:val="21"/>
          <w:szCs w:val="21"/>
        </w:rPr>
        <w:t xml:space="preserve">O cômputo abrange tanto o serviço militar obrigatório (conscrito) quanto o serviço militar voluntário (engajamento posterior), e aplica-se a todas as Forças Armadas (Exército, Marinha e Aeronáutica), bem como às Forças Auxiliares (Polícias Militares e Corpos de Bombeiros, quando em serviço federal).</w:t>
      </w:r>
    </w:p>
    <w:p>
      <w:pPr>
        <w:spacing w:after="100" w:before="100"/>
        <w:jc w:val="both"/>
      </w:pPr>
      <w:r>
        <w:rPr>
          <w:rFonts w:ascii="Arial" w:cs="Arial" w:eastAsia="Arial" w:hAnsi="Arial"/>
          <w:sz w:val="21"/>
          <w:szCs w:val="21"/>
        </w:rPr>
        <w:t xml:space="preserve">O período de serviço militar obrigatório é geralmente de 12 meses, podendo estender-se em situações excepcionais (engajamento, situação de conflito, etc.). Na prática previdenciária, o cômputo desse período é relativamente simples: basta a apresentação do Certificado de Reservista com as datas de incorporação e licenciamento.</w:t>
      </w:r>
    </w:p>
    <w:p>
      <w:pPr>
        <w:spacing w:after="140" w:before="280"/>
      </w:pPr>
      <w:r>
        <w:rPr>
          <w:rFonts w:ascii="Arial" w:cs="Arial" w:eastAsia="Arial" w:hAnsi="Arial"/>
          <w:b/>
          <w:bCs/>
          <w:color w:val="2E86C1"/>
          <w:sz w:val="23"/>
          <w:szCs w:val="23"/>
        </w:rPr>
        <w:t xml:space="preserve">5.5.2 Documentos comprobatórios</w:t>
      </w:r>
    </w:p>
    <w:p>
      <w:pPr>
        <w:spacing w:after="100" w:before="100"/>
        <w:jc w:val="both"/>
      </w:pPr>
      <w:r>
        <w:rPr>
          <w:rFonts w:ascii="Arial" w:cs="Arial" w:eastAsia="Arial" w:hAnsi="Arial"/>
          <w:sz w:val="21"/>
          <w:szCs w:val="21"/>
        </w:rPr>
        <w:t xml:space="preserve">A IN INSS/PRES 128/2022, em seu art. 83, especifica os documentos aceitos para comprovação do tempo de serviço militar:</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Certificado de Reservista: Documento padrão que consigna as datas de incorporação e licenciamento. É o meio de prova mais comum e geralmente suficiente.</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Certidão expedida pelo órgão militar competente: Documento mais detalhado, emitido pelo Ministério da Defesa ou pela respectiva Força, contendo período exato de serviço, datas e eventuais afastamentos.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Informação transmitida ao CNIS pelas Forças Armadas: Dados inseridos diretamente no sistema informatizado, dispensando a apresentação de documento pelo segurado.</w:t>
      </w:r>
    </w:p>
    <w:p>
      <w:pPr>
        <w:spacing w:after="100" w:before="100"/>
        <w:jc w:val="both"/>
      </w:pPr>
      <w:r>
        <w:rPr>
          <w:rFonts w:ascii="Arial" w:cs="Arial" w:eastAsia="Arial" w:hAnsi="Arial"/>
          <w:sz w:val="21"/>
          <w:szCs w:val="21"/>
        </w:rPr>
        <w:t xml:space="preserve">Quando o Certificado de Reservista não contém as datas específicas de incorporação e licenciamento (modelos mais antigos), o segurado deve requerer certidão ao órgão militar. Essa certidão pode ser obtida nas Juntas de Serviço Militar ou diretamente junto à unidade onde serviu.</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Cômputo do serviço militar na prática</w:t>
            </w:r>
          </w:p>
          <w:p>
            <w:pPr>
              <w:spacing w:after="40" w:before="40"/>
            </w:pPr>
            <w:r>
              <w:rPr>
                <w:rFonts w:ascii="Arial" w:cs="Arial" w:eastAsia="Arial" w:hAnsi="Arial"/>
                <w:sz w:val="19"/>
                <w:szCs w:val="19"/>
              </w:rPr>
              <w:t xml:space="preserve">Embora aparentemente simples, o cômputo do serviço militar pode gerar controvérsias em situações específicas: (a) quando o segurado serviu em período anterior à sua primeira filiação ao RGPS — o cômputo é devido mesmo assim; (b) quando o serviço militar coincide parcialmente com outro vínculo — não há concomitância vedada, pois o art. 96 proíbe apenas concomitância entre RGPS e RPPS; (c) quando o Certificado de Reservista foi extraviado — a certidão militar é meio de prova admitido. Na prática dos JEFs, o indeferimento pelo INSS do cômputo de serviço militar é relativamente raro, mas ocorre quando o segurado não possui documentação ou quando há dúvida sobre o período efetivo.</w:t>
            </w:r>
          </w:p>
        </w:tc>
      </w:tr>
    </w:tbl>
    <w:p>
      <w:pPr>
        <w:spacing w:after="200"/>
      </w:pPr>
    </w:p>
    <w:p>
      <w:pPr>
        <w:spacing w:after="140" w:before="280"/>
      </w:pPr>
      <w:r>
        <w:rPr>
          <w:rFonts w:ascii="Arial" w:cs="Arial" w:eastAsia="Arial" w:hAnsi="Arial"/>
          <w:b/>
          <w:bCs/>
          <w:color w:val="2E86C1"/>
          <w:sz w:val="23"/>
          <w:szCs w:val="23"/>
        </w:rPr>
        <w:t xml:space="preserve">5.5.3 Efeitos do cômputo</w:t>
      </w:r>
    </w:p>
    <w:p>
      <w:pPr>
        <w:spacing w:after="100" w:before="100"/>
        <w:jc w:val="both"/>
      </w:pPr>
      <w:r>
        <w:rPr>
          <w:rFonts w:ascii="Arial" w:cs="Arial" w:eastAsia="Arial" w:hAnsi="Arial"/>
          <w:sz w:val="21"/>
          <w:szCs w:val="21"/>
        </w:rPr>
        <w:t xml:space="preserve">O tempo de serviço militar obrigatório, quando computado no RGPS: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Conta como tempo de contribuição para todos os efeitos (aposentadoria, regras de transição, pontuação);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Conta para carência, segundo entendimento consolidado (o segurado não pode ser prejudicado pela imposição estatal);</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Não gera obrigação de indenização ou recolhimento retroativo;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Pode ser certificado via CTC quando o segurado pretende averbá-lo em RPPS.</w:t>
      </w:r>
    </w:p>
    <w:p>
      <w:pPr>
        <w:spacing w:after="100" w:before="100"/>
        <w:jc w:val="both"/>
      </w:pPr>
      <w:r>
        <w:rPr>
          <w:rFonts w:ascii="Arial" w:cs="Arial" w:eastAsia="Arial" w:hAnsi="Arial"/>
          <w:sz w:val="21"/>
          <w:szCs w:val="21"/>
        </w:rPr>
        <w:t xml:space="preserve">A questão da contagem para carência merece aprofundamento. Embora o art. 55, § 2º, da Lei 8.213/91 ressalve a carência para a atividade rural, não há ressalva equivalente para o serviço militar. A interpretação dominante nos tribunais é de que o serviço militar conta integralmente, inclusive para carência, dado que a imposição estatal substitui a contribuição que o segurado teria recolhido se estivesse no mercado de trabalho civil.</w:t>
      </w:r>
    </w:p>
    <w:p>
      <w:pPr>
        <w:spacing w:after="140" w:before="280"/>
      </w:pPr>
      <w:r>
        <w:rPr>
          <w:rFonts w:ascii="Arial" w:cs="Arial" w:eastAsia="Arial" w:hAnsi="Arial"/>
          <w:b/>
          <w:bCs/>
          <w:color w:val="2E86C1"/>
          <w:sz w:val="23"/>
          <w:szCs w:val="23"/>
        </w:rPr>
        <w:t xml:space="preserve">5.5.4 Tiro de Guerra e outros serviços auxiliares</w:t>
      </w:r>
    </w:p>
    <w:p>
      <w:pPr>
        <w:spacing w:after="100" w:before="100"/>
        <w:jc w:val="both"/>
      </w:pPr>
      <w:r>
        <w:rPr>
          <w:rFonts w:ascii="Arial" w:cs="Arial" w:eastAsia="Arial" w:hAnsi="Arial"/>
          <w:sz w:val="21"/>
          <w:szCs w:val="21"/>
        </w:rPr>
        <w:t xml:space="preserve">Questão que surge com frequência é a do Tiro de Guerra — modalidade de serviço militar obrigatório prestado em municípios que não possuem Organização Militar. O período de Tiro de Guerra é geralmente inferior ao serviço militar regular (em torno de 6 a 10 meses), mas é igualmente reconhecido como tempo de contribuição. O documento comprobatório é o Certificado de Reservista de 2ª categoria ou a certidão do Tiro de Guerra.</w:t>
      </w:r>
    </w:p>
    <w:p>
      <w:pPr>
        <w:spacing w:after="100" w:before="100"/>
        <w:jc w:val="both"/>
      </w:pPr>
      <w:r>
        <w:rPr>
          <w:rFonts w:ascii="Arial" w:cs="Arial" w:eastAsia="Arial" w:hAnsi="Arial"/>
          <w:sz w:val="21"/>
          <w:szCs w:val="21"/>
        </w:rPr>
        <w:t xml:space="preserve">Outra hipótese é o CPOR (Centro de Preparação de Oficiais da Reserva) e o NPOR (Núcleo de Preparação de Oficiais da Reserva), nos quais o reservista frequenta cursos de formação por período determinado. O tempo de CPOR/NPOR também é computável como tempo de contribuição, mediante certidão específica do órgão militar.</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Dica: consulta ao sistema do Exército para obtenção de certidão</w:t>
            </w:r>
          </w:p>
          <w:p>
            <w:pPr>
              <w:spacing w:after="40" w:before="40"/>
            </w:pPr>
            <w:r>
              <w:rPr>
                <w:rFonts w:ascii="Arial" w:cs="Arial" w:eastAsia="Arial" w:hAnsi="Arial"/>
                <w:sz w:val="19"/>
                <w:szCs w:val="19"/>
              </w:rPr>
              <w:t xml:space="preserve">Quando o segurado perdeu o Certificado de Reservista ou quando o documento não contém as datas precisas, a certidão pode ser obtida junto ao Centro de Recrutamento Regional (CRR) da área de alistamento ou pelo portal de serviços das Forças Armadas. Para o Exército: https://www.eb.mil.br (serviços ao cidadão). Para Marinha e Aeronáutica: respectivos portais ou unidades militares. O prazo de emissão varia de 15 a 60 dias. A certidão é gratuita.</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5.6 Tempo de Aluno-Aprendiz</w:t>
      </w:r>
    </w:p>
    <w:p>
      <w:pPr>
        <w:spacing w:after="140" w:before="280"/>
      </w:pPr>
      <w:r>
        <w:rPr>
          <w:rFonts w:ascii="Arial" w:cs="Arial" w:eastAsia="Arial" w:hAnsi="Arial"/>
          <w:b/>
          <w:bCs/>
          <w:color w:val="2E86C1"/>
          <w:sz w:val="23"/>
          <w:szCs w:val="23"/>
        </w:rPr>
        <w:t xml:space="preserve">5.6.1 Origem e fundamento — Súmula 96/TCU</w:t>
      </w:r>
    </w:p>
    <w:p>
      <w:pPr>
        <w:spacing w:after="100" w:before="100"/>
        <w:jc w:val="both"/>
      </w:pPr>
      <w:r>
        <w:rPr>
          <w:rFonts w:ascii="Arial" w:cs="Arial" w:eastAsia="Arial" w:hAnsi="Arial"/>
          <w:sz w:val="21"/>
          <w:szCs w:val="21"/>
        </w:rPr>
        <w:t xml:space="preserve">A Súmula 96 do Tribunal de Contas da União estabelece: "Conta-se para todos os efeitos, como tempo de serviço público, o período de trabalho prestado, na qualidade de aluno-aprendiz, em Escola Pública Profissional, desde que comprovada a retribuição pecuniária à conta do Orçamento, admitindo-se, como tal, o recebimento de alimentação, fardamento, material escolar e parcela de renda auferida com a execução de encomendas para terceiros."</w:t>
      </w:r>
    </w:p>
    <w:p>
      <w:pPr>
        <w:spacing w:after="100" w:before="100"/>
        <w:jc w:val="both"/>
      </w:pPr>
      <w:r>
        <w:rPr>
          <w:rFonts w:ascii="Arial" w:cs="Arial" w:eastAsia="Arial" w:hAnsi="Arial"/>
          <w:sz w:val="21"/>
          <w:szCs w:val="21"/>
        </w:rPr>
        <w:t xml:space="preserve">Embora a Súmula tenha sido editada no contexto do serviço público, sua aplicação estendeu-se ao RGPS por força do art. 62, inciso VI, do Decreto 3.048/99, que inclui expressamente o período de aluno-aprendiz em escola técnica federal entre os períodos computáveis como tempo de contribuição.</w:t>
      </w:r>
    </w:p>
    <w:p>
      <w:pPr>
        <w:spacing w:after="100" w:before="100"/>
        <w:jc w:val="both"/>
      </w:pPr>
      <w:r>
        <w:rPr>
          <w:rFonts w:ascii="Arial" w:cs="Arial" w:eastAsia="Arial" w:hAnsi="Arial"/>
          <w:sz w:val="21"/>
          <w:szCs w:val="21"/>
        </w:rPr>
        <w:t xml:space="preserve">O período típico abrangido situa-se entre as décadas de 1950 e 1990, quando as Escolas Técnicas Federais (ETFs), Escolas Agrotécnicas Federais e instituições como SENAI e SENAC mantinham programas de formação profissional nos quais os alunos executavam trabalhos produtivos para terceiros, com retribuição — em dinheiro, alimentação ou fardamento — custeada pelo orçamento público.</w:t>
      </w:r>
    </w:p>
    <w:p>
      <w:pPr>
        <w:spacing w:after="140" w:before="280"/>
      </w:pPr>
      <w:r>
        <w:rPr>
          <w:rFonts w:ascii="Arial" w:cs="Arial" w:eastAsia="Arial" w:hAnsi="Arial"/>
          <w:b/>
          <w:bCs/>
          <w:color w:val="2E86C1"/>
          <w:sz w:val="23"/>
          <w:szCs w:val="23"/>
        </w:rPr>
        <w:t xml:space="preserve">5.6.2 Requisitos para o cômputo — TNU Tema 216</w:t>
      </w:r>
    </w:p>
    <w:p>
      <w:pPr>
        <w:spacing w:after="100" w:before="100"/>
        <w:jc w:val="both"/>
      </w:pPr>
      <w:r>
        <w:rPr>
          <w:rFonts w:ascii="Arial" w:cs="Arial" w:eastAsia="Arial" w:hAnsi="Arial"/>
          <w:sz w:val="21"/>
          <w:szCs w:val="21"/>
        </w:rPr>
        <w:t xml:space="preserve">A TNU, no Tema 216 (PEDILEF 0525048-76.2017.4.05.8100/CE, julgado em 14/02/2020), fixou critérios mais rigorosos para o cômputo do tempo de aluno-aprendiz, alterando a Súmula 18 da TNU. Os requisitos são cumulativos:</w:t>
      </w:r>
    </w:p>
    <w:p>
      <w:pPr>
        <w:spacing w:after="60" w:before="60"/>
        <w:ind w:left="360"/>
      </w:pPr>
      <w:r>
        <w:rPr>
          <w:rFonts w:ascii="Arial" w:cs="Arial" w:eastAsia="Arial" w:hAnsi="Arial"/>
          <w:b/>
          <w:bCs/>
          <w:sz w:val="21"/>
          <w:szCs w:val="21"/>
        </w:rPr>
        <w:t xml:space="preserve">1. </w:t>
      </w:r>
      <w:r>
        <w:rPr>
          <w:rFonts w:ascii="Arial" w:cs="Arial" w:eastAsia="Arial" w:hAnsi="Arial"/>
          <w:sz w:val="21"/>
          <w:szCs w:val="21"/>
        </w:rPr>
        <w:t xml:space="preserve">Retribuição consistente em pagamento pecuniário ou assistência material — o aluno deve ter recebido alguma forma de contraprestação (dinheiro, alimentação, fardamento, material escolar, parcela de renda);</w:t>
      </w:r>
    </w:p>
    <w:p>
      <w:pPr>
        <w:spacing w:after="60" w:before="60"/>
        <w:ind w:left="360"/>
      </w:pPr>
      <w:r>
        <w:rPr>
          <w:rFonts w:ascii="Arial" w:cs="Arial" w:eastAsia="Arial" w:hAnsi="Arial"/>
          <w:b/>
          <w:bCs/>
          <w:sz w:val="21"/>
          <w:szCs w:val="21"/>
        </w:rPr>
        <w:t xml:space="preserve">2. </w:t>
      </w:r>
      <w:r>
        <w:rPr>
          <w:rFonts w:ascii="Arial" w:cs="Arial" w:eastAsia="Arial" w:hAnsi="Arial"/>
          <w:sz w:val="21"/>
          <w:szCs w:val="21"/>
        </w:rPr>
        <w:t xml:space="preserve">À conta do Orçamento — a retribuição deve provir de verba orçamentária pública, não de recursos privados;</w:t>
      </w:r>
    </w:p>
    <w:p>
      <w:pPr>
        <w:spacing w:after="60" w:before="60"/>
        <w:ind w:left="360"/>
      </w:pPr>
      <w:r>
        <w:rPr>
          <w:rFonts w:ascii="Arial" w:cs="Arial" w:eastAsia="Arial" w:hAnsi="Arial"/>
          <w:b/>
          <w:bCs/>
          <w:sz w:val="21"/>
          <w:szCs w:val="21"/>
        </w:rPr>
        <w:t xml:space="preserve">3. </w:t>
      </w:r>
      <w:r>
        <w:rPr>
          <w:rFonts w:ascii="Arial" w:cs="Arial" w:eastAsia="Arial" w:hAnsi="Arial"/>
          <w:sz w:val="21"/>
          <w:szCs w:val="21"/>
        </w:rPr>
        <w:t xml:space="preserve">Como contraprestação por labor — não se trata de mera bolsa de estudo ou assistência estudantil, mas de remuneração por trabalho efetivamente prestado;</w:t>
      </w:r>
    </w:p>
    <w:p>
      <w:pPr>
        <w:spacing w:after="60" w:before="60"/>
        <w:ind w:left="360"/>
      </w:pPr>
      <w:r>
        <w:rPr>
          <w:rFonts w:ascii="Arial" w:cs="Arial" w:eastAsia="Arial" w:hAnsi="Arial"/>
          <w:b/>
          <w:bCs/>
          <w:sz w:val="21"/>
          <w:szCs w:val="21"/>
        </w:rPr>
        <w:t xml:space="preserve">4. </w:t>
      </w:r>
      <w:r>
        <w:rPr>
          <w:rFonts w:ascii="Arial" w:cs="Arial" w:eastAsia="Arial" w:hAnsi="Arial"/>
          <w:sz w:val="21"/>
          <w:szCs w:val="21"/>
        </w:rPr>
        <w:t xml:space="preserve">Na execução de bens e serviços destinados a terceiros — o trabalho deve ter natureza produtiva, com destinação a terceiros (oficinas que produziam peças, serrarias que beneficiavam madeira para clientes, oficinas mecânicas que atendiam o público externo, etc.).</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Requisitos cumulativos do TNU Tema 216</w:t>
            </w:r>
          </w:p>
          <w:p>
            <w:pPr>
              <w:spacing w:after="40" w:before="40"/>
            </w:pPr>
            <w:r>
              <w:rPr>
                <w:rFonts w:ascii="Arial" w:cs="Arial" w:eastAsia="Arial" w:hAnsi="Arial"/>
                <w:sz w:val="19"/>
                <w:szCs w:val="19"/>
              </w:rPr>
              <w:t xml:space="preserve">O entendimento atual da TNU é mais restritivo que a literalidade da Súmula 96/TCU. Não basta comprovar que o aluno recebia alimentação e fardamento: é necessário demonstrar que a retribuição era contraprestação por labor produtivo destinado a terceiros, não mera atividade didática interna. Assim, o simples fato de frequentar escola técnica federal com auxílio-alimentação não garante o cômputo do tempo — é preciso provar que o aluno efetivamente trabalhou na produção de bens ou serviços para o público externo.</w:t>
            </w:r>
          </w:p>
        </w:tc>
      </w:tr>
    </w:tbl>
    <w:p>
      <w:pPr>
        <w:spacing w:after="200"/>
      </w:pPr>
    </w:p>
    <w:p>
      <w:pPr>
        <w:spacing w:after="140" w:before="280"/>
      </w:pPr>
      <w:r>
        <w:rPr>
          <w:rFonts w:ascii="Arial" w:cs="Arial" w:eastAsia="Arial" w:hAnsi="Arial"/>
          <w:b/>
          <w:bCs/>
          <w:color w:val="2E86C1"/>
          <w:sz w:val="23"/>
          <w:szCs w:val="23"/>
        </w:rPr>
        <w:t xml:space="preserve">5.6.3 Prova do tempo de aluno-aprendiz</w:t>
      </w:r>
    </w:p>
    <w:p>
      <w:pPr>
        <w:spacing w:after="100" w:before="100"/>
        <w:jc w:val="both"/>
      </w:pPr>
      <w:r>
        <w:rPr>
          <w:rFonts w:ascii="Arial" w:cs="Arial" w:eastAsia="Arial" w:hAnsi="Arial"/>
          <w:sz w:val="21"/>
          <w:szCs w:val="21"/>
        </w:rPr>
        <w:t xml:space="preserve">A comprovação exige documentos emitidos pela instituição de ensino: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Certidão da escola contendo: período de matrícula, natureza do curso, informação sobre execução de encomendas para terceiros, fonte de retribuição;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Ficha individual do aluno com registros de pagamento ou assistência material;</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Listas de pagamento ou planilhas demonstrando retribuição à conta do orçamento;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Documentos comprobatórios da natureza produtiva — contratos de prestação de serviços a terceiros, notas fiscais de produtos fabricados, registros de oficinas que atendiam público externo.</w:t>
      </w:r>
    </w:p>
    <w:p>
      <w:pPr>
        <w:spacing w:after="100" w:before="100"/>
        <w:jc w:val="both"/>
      </w:pPr>
      <w:r>
        <w:rPr>
          <w:rFonts w:ascii="Arial" w:cs="Arial" w:eastAsia="Arial" w:hAnsi="Arial"/>
          <w:sz w:val="21"/>
          <w:szCs w:val="21"/>
        </w:rPr>
        <w:t xml:space="preserve">A dificuldade probatória é agravada pelo tempo decorrido: muitas ETFs foram transformadas em Institutos Federais (IFs) e nem sempre mantiveram acervos completos das décadas de 1960 a 1980. O segurado deve buscar certidões junto às instituições sucessoras e, na impossibilidade, requerer justificação judicial para suprir a ausência documental.</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Dica: requerimento de certidão ao Instituto Federal</w:t>
            </w:r>
          </w:p>
          <w:p>
            <w:pPr>
              <w:spacing w:after="40" w:before="40"/>
            </w:pPr>
            <w:r>
              <w:rPr>
                <w:rFonts w:ascii="Arial" w:cs="Arial" w:eastAsia="Arial" w:hAnsi="Arial"/>
                <w:sz w:val="19"/>
                <w:szCs w:val="19"/>
              </w:rPr>
              <w:t xml:space="preserve">Antes de ajuizar ação, o advogado deve requerer formalmente ao Instituto Federal (sucessor da antiga ETF) certidão circunstanciada contendo: (a) período de matrícula do aluno; (b) existência de programa de aprendizagem com produção para terceiros; (c) natureza da retribuição (pecuniária, alimentação, fardamento); (d) origem orçamentária da retribuição. Se a instituição declarar impossibilidade de fornecer tais informações, o documento de recusa serve como prova da dificuldade probatória e justifica a produção de prova testemunhal em juízo.</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5.7 Contagem Recíproca entre Regimes (RGPS/RPPS)</w:t>
      </w:r>
    </w:p>
    <w:p>
      <w:pPr>
        <w:spacing w:after="140" w:before="280"/>
      </w:pPr>
      <w:r>
        <w:rPr>
          <w:rFonts w:ascii="Arial" w:cs="Arial" w:eastAsia="Arial" w:hAnsi="Arial"/>
          <w:b/>
          <w:bCs/>
          <w:color w:val="2E86C1"/>
          <w:sz w:val="23"/>
          <w:szCs w:val="23"/>
        </w:rPr>
        <w:t xml:space="preserve">5.7.1 Fundamento constitucional e legislativo</w:t>
      </w:r>
    </w:p>
    <w:p>
      <w:pPr>
        <w:spacing w:after="100" w:before="100"/>
        <w:jc w:val="both"/>
      </w:pPr>
      <w:r>
        <w:rPr>
          <w:rFonts w:ascii="Arial" w:cs="Arial" w:eastAsia="Arial" w:hAnsi="Arial"/>
          <w:sz w:val="21"/>
          <w:szCs w:val="21"/>
        </w:rPr>
        <w:t xml:space="preserve">A contagem recíproca — possibilidade de somar tempo de contribuição cumprido no RGPS com tempo de contribuição cumprido em Regime Próprio de Previdência Social (RPPS), e vice-versa, para efeito de aposentadoria — encontra fundamento no art. 201, § 9º, da Constituição Federal: "Para fins de aposentadoria, será assegurada a contagem recíproca do tempo de contribuição entre o Regime Geral de Previdência Social e os regimes próprios de previdência social, e destes entre si, observada a compensação financeira, de acordo com os critérios estabelecidos em lei."</w:t>
      </w:r>
    </w:p>
    <w:p>
      <w:pPr>
        <w:spacing w:after="100" w:before="100"/>
        <w:jc w:val="both"/>
      </w:pPr>
      <w:r>
        <w:rPr>
          <w:rFonts w:ascii="Arial" w:cs="Arial" w:eastAsia="Arial" w:hAnsi="Arial"/>
          <w:sz w:val="21"/>
          <w:szCs w:val="21"/>
        </w:rPr>
        <w:t xml:space="preserve">O dispositivo constitucional consagra três elementos: (a) o direito à contagem recíproca; (b) a obrigatoriedade de compensação financeira entre regimes; (c) a remissão à lei para critérios operacionais. A legislação infraconstitucional que disciplina a matéria inclui a Lei 6.226/75 (primeira a prever contagem recíproca para servidores federais), a Lei 6.864/80 (extensão a estados e municípios), os arts. 94 a 99 da Lei 8.213/91 e a Lei 9.796/99 (compensação previdenciária).</w:t>
      </w:r>
    </w:p>
    <w:p>
      <w:pPr>
        <w:spacing w:after="140" w:before="280"/>
      </w:pPr>
      <w:r>
        <w:rPr>
          <w:rFonts w:ascii="Arial" w:cs="Arial" w:eastAsia="Arial" w:hAnsi="Arial"/>
          <w:b/>
          <w:bCs/>
          <w:color w:val="2E86C1"/>
          <w:sz w:val="23"/>
          <w:szCs w:val="23"/>
        </w:rPr>
        <w:t xml:space="preserve">5.7.2 Mecanismo da contagem recíproca</w:t>
      </w:r>
    </w:p>
    <w:p>
      <w:pPr>
        <w:spacing w:after="100" w:before="100"/>
        <w:jc w:val="both"/>
      </w:pPr>
      <w:r>
        <w:rPr>
          <w:rFonts w:ascii="Arial" w:cs="Arial" w:eastAsia="Arial" w:hAnsi="Arial"/>
          <w:sz w:val="21"/>
          <w:szCs w:val="21"/>
        </w:rPr>
        <w:t xml:space="preserve">O mecanismo opera da seguinte forma: o segurado que contribuiu para mais de um regime previdenciário (RGPS e RPPS, ou diferentes RPPSs) pode somar os períodos contributivos para fins de aposentadoria em um único regime. O regime onde o segurado se aposentará é denominado "regime instituidor"; o regime onde as contribuições foram vertidas é o "regime de origem". O instrumento formal dessa soma é a Certidão de Tempo de Contribuição (CTC), emitida pelo regime de origem e averbada no regime instituidor.</w:t>
      </w:r>
    </w:p>
    <w:p>
      <w:pPr>
        <w:spacing w:after="100" w:before="100"/>
        <w:jc w:val="both"/>
      </w:pPr>
      <w:r>
        <w:rPr>
          <w:rFonts w:ascii="Arial" w:cs="Arial" w:eastAsia="Arial" w:hAnsi="Arial"/>
          <w:sz w:val="21"/>
          <w:szCs w:val="21"/>
        </w:rPr>
        <w:t xml:space="preserve">A compensação financeira opera entre os regimes para evitar enriquecimento sem causa: o regime de origem (que arrecadou as contribuições) compensa financeiramente o regime instituidor (que pagará o benefício) proporcionalmente ao tempo certificado. Esse mecanismo é disciplinado pela Lei 9.796/99 e operacionalizado pelo sistema COMPREV (Compensação Previdenciária).</w:t>
      </w:r>
    </w:p>
    <w:p>
      <w:pPr>
        <w:spacing w:after="140" w:before="280"/>
      </w:pPr>
      <w:r>
        <w:rPr>
          <w:rFonts w:ascii="Arial" w:cs="Arial" w:eastAsia="Arial" w:hAnsi="Arial"/>
          <w:b/>
          <w:bCs/>
          <w:color w:val="2E86C1"/>
          <w:sz w:val="23"/>
          <w:szCs w:val="23"/>
        </w:rPr>
        <w:t xml:space="preserve">5.7.3 Vedações legais</w:t>
      </w:r>
    </w:p>
    <w:p>
      <w:pPr>
        <w:spacing w:after="100" w:before="100"/>
        <w:jc w:val="both"/>
      </w:pPr>
      <w:r>
        <w:rPr>
          <w:rFonts w:ascii="Arial" w:cs="Arial" w:eastAsia="Arial" w:hAnsi="Arial"/>
          <w:sz w:val="21"/>
          <w:szCs w:val="21"/>
        </w:rPr>
        <w:t xml:space="preserve">O art. 96 da Lei 8.213/91 estabelece vedações expressas à contagem recíproca: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Contagem simultânea (inciso I): O mesmo tempo não pode ser computado em mais de um regime simultaneamente. Se o segurado contribuiu para RGPS e RPPS no mesmo período (por exemplo, era servidor municipal e mantinha atividade privada paralela), somente pode usar o período em um dos regimes.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Dupla aposentadoria com mesmo tempo (inciso II): Vedado utilizar o mesmo período para obter aposentadoria em dois regimes distintos.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Contagem sem CTC (inciso VII): A contagem recíproca exige emissão formal de CTC pelo regime de origem.</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Desaverbação de tempo que gerou vantagens (inciso VIII): Proibida a desaverbação (retirada) de tempo que tenha sido utilizado para obtenção de vantagens remuneratórias ao servidor em atividade (como anuênios, quinquênios, progressão funcional).</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Vedação de desaverbação — armadilha para o segurado</w:t>
            </w:r>
          </w:p>
          <w:p>
            <w:pPr>
              <w:spacing w:after="40" w:before="40"/>
            </w:pPr>
            <w:r>
              <w:rPr>
                <w:rFonts w:ascii="Arial" w:cs="Arial" w:eastAsia="Arial" w:hAnsi="Arial"/>
                <w:sz w:val="19"/>
                <w:szCs w:val="19"/>
              </w:rPr>
              <w:t xml:space="preserve">O servidor público que utilizou tempo de serviço para obter progressão funcional ou anuênios não pode desaverbar esse tempo para levá-lo ao RGPS (ou a outro RPPS). A vedação do art. 96, VIII, é absoluta. Assim, o advogado deve verificar, antes de requerer CTC, se o tempo pretendido foi utilizado para qualquer vantagem no cargo público. Se foi, o tempo está "comprometido" e não pode ser certificado. Exceção reconhecida pela jurisprudência: tempo excedente, que não impactou a composição de qualquer vantagem, pode ser certificado.</w:t>
            </w:r>
          </w:p>
        </w:tc>
      </w:tr>
    </w:tbl>
    <w:p>
      <w:pPr>
        <w:spacing w:after="200"/>
      </w:pPr>
    </w:p>
    <w:p>
      <w:pPr>
        <w:spacing w:after="140" w:before="280"/>
      </w:pPr>
      <w:r>
        <w:rPr>
          <w:rFonts w:ascii="Arial" w:cs="Arial" w:eastAsia="Arial" w:hAnsi="Arial"/>
          <w:b/>
          <w:bCs/>
          <w:color w:val="2E86C1"/>
          <w:sz w:val="23"/>
          <w:szCs w:val="23"/>
        </w:rPr>
        <w:t xml:space="preserve">5.7.4 Situações práticas nos JEFs</w:t>
      </w:r>
    </w:p>
    <w:p>
      <w:pPr>
        <w:spacing w:after="100" w:before="100"/>
        <w:jc w:val="both"/>
      </w:pPr>
      <w:r>
        <w:rPr>
          <w:rFonts w:ascii="Arial" w:cs="Arial" w:eastAsia="Arial" w:hAnsi="Arial"/>
          <w:sz w:val="21"/>
          <w:szCs w:val="21"/>
        </w:rPr>
        <w:t xml:space="preserve">Nos Juizados Especiais Federais, as questões de contagem recíproca surgem em diversos cenários: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Ex-servidor que busca aposentadoria no RGPS: O segurado que deixou o serviço público sem se aposentar pelo RPPS pode requerer CTC e averbá-la no RGPS, somando o tempo de serviço público ao tempo de atividade privada.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Servidor que ingressou no serviço público após atividade privada: Situação inversa — o segurado que trabalhou na iniciativa privada e depois tomou posse em cargo público pode levar o tempo de RGPS para o RPPS (via CTC emitida pelo INSS). Essa hipótese é mais comum na Justiça Estadual ou Federal não-JEF.</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Negativa de emissão de CTC pelo INSS: Quando o INSS se recusa a emitir CTC (por pendências contributivas, dados inconsistentes no CNIS, etc.), o segurado pode ajuizar ação no JEF para obter a certificação.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Negativa de averbação de CTC pelo RPPS: Quando o regime próprio se recusa a averbar CTC emitida pelo INSS, a competência depende do ente: se for RPPS federal (União), a ação vai para a Justiça Federal; se for RPPS estadual ou municipal, para a Justiça Estadual ou a Justiça Federal conforme a circunstância.</w:t>
      </w:r>
    </w:p>
    <w:p>
      <w:pPr>
        <w:spacing w:after="140" w:before="280"/>
      </w:pPr>
      <w:r>
        <w:rPr>
          <w:rFonts w:ascii="Arial" w:cs="Arial" w:eastAsia="Arial" w:hAnsi="Arial"/>
          <w:b/>
          <w:bCs/>
          <w:color w:val="2E86C1"/>
          <w:sz w:val="23"/>
          <w:szCs w:val="23"/>
        </w:rPr>
        <w:t xml:space="preserve">5.7.5 Compensação previdenciária (COMPREV) — aspectos operacionais</w:t>
      </w:r>
    </w:p>
    <w:p>
      <w:pPr>
        <w:spacing w:after="100" w:before="100"/>
        <w:jc w:val="both"/>
      </w:pPr>
      <w:r>
        <w:rPr>
          <w:rFonts w:ascii="Arial" w:cs="Arial" w:eastAsia="Arial" w:hAnsi="Arial"/>
          <w:sz w:val="21"/>
          <w:szCs w:val="21"/>
        </w:rPr>
        <w:t xml:space="preserve">A compensação previdenciária entre regimes, disciplinada pela Lei 9.796/99 e operacionalizada pelo Decreto 10.188/2019 (que revogou o Decreto 3.112/99), funciona como mecanismo de acerto financeiro entre o regime de origem e o regime instituidor. Os fundamentos legais, o funcionamento do sistema e os aspectos tributários da compensação são tratados em detalhes no Capítulo 4 (seção 4.17). Nesta seção, examinamos apenas os aspectos operacionais relevantes para a contagem recíproca e a emissão de CTC. Quando um segurado se aposenta em determinado regime utilizando tempo contribuído em outro, o regime de origem deve compensar financeiramente o regime instituidor, proporcionalmente ao tempo certificado.</w:t>
      </w:r>
    </w:p>
    <w:p>
      <w:pPr>
        <w:spacing w:after="100" w:before="100"/>
        <w:jc w:val="both"/>
      </w:pPr>
      <w:r>
        <w:rPr>
          <w:rFonts w:ascii="Arial" w:cs="Arial" w:eastAsia="Arial" w:hAnsi="Arial"/>
          <w:sz w:val="21"/>
          <w:szCs w:val="21"/>
        </w:rPr>
        <w:t xml:space="preserve">O sistema COMPREV (Compensação Previdenciária) é a plataforma informatizada que operacionaliza essa compensação. Os requisitos para que um RPPS participe do COMPREV incluem: (a) Certificado de Regularidade Previdenciária (CRP) válido; (b) Certidão Negativa de Débito ou CPD-EN em relação às contribuições previdenciárias; (c) cadastro atualizado no sistema.</w:t>
      </w:r>
    </w:p>
    <w:p>
      <w:pPr>
        <w:spacing w:after="100" w:before="100"/>
        <w:jc w:val="both"/>
      </w:pPr>
      <w:r>
        <w:rPr>
          <w:rFonts w:ascii="Arial" w:cs="Arial" w:eastAsia="Arial" w:hAnsi="Arial"/>
          <w:sz w:val="21"/>
          <w:szCs w:val="21"/>
        </w:rPr>
        <w:t xml:space="preserve">Na prática dos JEFs, a compensação previdenciária raramente é matéria de litígio direto entre o segurado e o INSS. As disputas sobre compensação ocorrem entre os próprios regimes (RGPS × RPPS ou RPPS × RPPS). Contudo, situações podem surgir quando o INSS condiciona a concessão de benefício ao resultado da compensação, ou quando alega que a CTC apresenta irregularidades que impedem o processamento no COMPREV. Em tais casos, o segurado não pode ser prejudicado por questões burocráticas internas entre regimes.</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6"/>
              <w:left w:val="single" w:color="2E86C1" w:sz="6"/>
              <w:bottom w:val="single" w:color="2E86C1" w:sz="6"/>
              <w:right w:val="single" w:color="2E86C1" w:sz="6"/>
            </w:tcBorders>
            <w:shd w:fill="EBF5FB" w:val="clear"/>
            <w:tcMar>
              <w:top w:type="dxa" w:w="120"/>
              <w:left w:type="dxa" w:w="200"/>
              <w:bottom w:type="dxa" w:w="120"/>
              <w:right w:type="dxa" w:w="200"/>
            </w:tcMar>
          </w:tcPr>
          <w:p>
            <w:pPr>
              <w:spacing w:after="60" w:before="60"/>
            </w:pPr>
            <w:r>
              <w:rPr>
                <w:rFonts w:ascii="Arial" w:cs="Arial" w:eastAsia="Arial" w:hAnsi="Arial"/>
                <w:b/>
                <w:bCs/>
                <w:color w:val="2E86C1"/>
                <w:sz w:val="20"/>
                <w:szCs w:val="20"/>
              </w:rPr>
              <w:t xml:space="preserve">Compensação entre regimes — segurado não é parte</w:t>
            </w:r>
          </w:p>
          <w:p>
            <w:pPr>
              <w:spacing w:after="40" w:before="40"/>
            </w:pPr>
            <w:r>
              <w:rPr>
                <w:rFonts w:ascii="Arial" w:cs="Arial" w:eastAsia="Arial" w:hAnsi="Arial"/>
                <w:sz w:val="19"/>
                <w:szCs w:val="19"/>
              </w:rPr>
              <w:t xml:space="preserve">A jurisprudência é firme: o segurado não pode ser prejudicado pela ausência de compensação financeira entre regimes. Se cumpriu os requisitos para a aposentadoria mediante contagem recíproca, o benefício deve ser concedido independentemente da efetivação da compensação no COMPREV. Eventuais pendências financeiras entre os regimes devem ser resolvidas entre eles próprios, sem reflexo na concessão do benefício ao segurado.</w:t>
            </w:r>
          </w:p>
        </w:tc>
      </w:tr>
    </w:tbl>
    <w:p>
      <w:pPr>
        <w:spacing w:after="200"/>
      </w:pPr>
    </w:p>
    <w:p>
      <w:pPr>
        <w:spacing w:after="140" w:before="280"/>
      </w:pPr>
      <w:r>
        <w:rPr>
          <w:rFonts w:ascii="Arial" w:cs="Arial" w:eastAsia="Arial" w:hAnsi="Arial"/>
          <w:b/>
          <w:bCs/>
          <w:color w:val="2E86C1"/>
          <w:sz w:val="23"/>
          <w:szCs w:val="23"/>
        </w:rPr>
        <w:t xml:space="preserve">5.7.6 Contagem recíproca e a EC 103/2019</w:t>
      </w:r>
    </w:p>
    <w:p>
      <w:pPr>
        <w:spacing w:after="100" w:before="100"/>
        <w:jc w:val="both"/>
      </w:pPr>
      <w:r>
        <w:rPr>
          <w:rFonts w:ascii="Arial" w:cs="Arial" w:eastAsia="Arial" w:hAnsi="Arial"/>
          <w:sz w:val="21"/>
          <w:szCs w:val="21"/>
        </w:rPr>
        <w:t xml:space="preserve">A EC 103/2019 não alterou o direito à contagem recíproca (que permanece assegurado pelo art. 201, § 9º, CF), mas trouxe impacto indireto relevante. O art. 201, § 9º-A, incluído pela EC 103, reitera a obrigatoriedade de compensação e remete à lei a disciplina dos critérios de cálculo. Ademais, a vedação ao tempo fictício (art. 25, § 2º) tem reflexos na contagem recíproca: períodos de "tempo fictício" reconhecidos por legislações estaduais anteriores à EC 20/1998 não podem ser objeto de CTC para averbação no RGPS (salvo direito adquirido — período anterior a 16/12/1998).</w:t>
      </w:r>
    </w:p>
    <w:p>
      <w:pPr>
        <w:spacing w:after="100" w:before="100"/>
        <w:jc w:val="both"/>
      </w:pPr>
      <w:r>
        <w:rPr>
          <w:rFonts w:ascii="Arial" w:cs="Arial" w:eastAsia="Arial" w:hAnsi="Arial"/>
          <w:sz w:val="21"/>
          <w:szCs w:val="21"/>
        </w:rPr>
        <w:t xml:space="preserve">Outro impacto relevante: o STF, no Tema 942 (RE 791.961), reconheceu a possibilidade de o servidor público federal requerer CTC com conversão de tempo especial em comum (aplicação dos fatores 1,40/1,20 ao tempo de serviço prestado em condições insalubres no serviço público). Esse direito, contudo, limita-se a períodos anteriores à EC 103/2019, em razão da vedação à conversão para períodos posteriores.</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5.8 Certidão de Tempo de Contribuição (CTC)</w:t>
      </w:r>
    </w:p>
    <w:p>
      <w:pPr>
        <w:spacing w:after="140" w:before="280"/>
      </w:pPr>
      <w:r>
        <w:rPr>
          <w:rFonts w:ascii="Arial" w:cs="Arial" w:eastAsia="Arial" w:hAnsi="Arial"/>
          <w:b/>
          <w:bCs/>
          <w:color w:val="2E86C1"/>
          <w:sz w:val="23"/>
          <w:szCs w:val="23"/>
        </w:rPr>
        <w:t xml:space="preserve">5.8.1 Conceito e requisitos formais</w:t>
      </w:r>
    </w:p>
    <w:p>
      <w:pPr>
        <w:spacing w:after="100" w:before="100"/>
        <w:jc w:val="both"/>
      </w:pPr>
      <w:r>
        <w:rPr>
          <w:rFonts w:ascii="Arial" w:cs="Arial" w:eastAsia="Arial" w:hAnsi="Arial"/>
          <w:sz w:val="21"/>
          <w:szCs w:val="21"/>
        </w:rPr>
        <w:t xml:space="preserve">A Certidão de Tempo de Contribuição é o documento formal que instrumentaliza a contagem recíproca. Disciplinada nos arts. 125 a 134 do Decreto 3.048/99, a CTC deve conter obrigatoriamente:</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Identificação completa do segurado (nome, matrícula, RG, CPF, data de nascimento);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Órgão ou empresa de vínculo, cargo exercido e regime jurídico;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Período certificado (datas de início e fim), com discriminação de eventuais interrupções;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Tempo líquido de efetiva contribuição (em dias, ou anos/meses/dias);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Natureza do vínculo (celetista, estatutário, militar, etc.);</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Valores dos salários de contribuição (quando necessário para cálculo do benefício);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Declaração de que o tempo não foi utilizado para qualquer vantagem no regime de origem;</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Assinatura do responsável pela emissão e do dirigente do órgão.</w:t>
      </w:r>
    </w:p>
    <w:p>
      <w:pPr>
        <w:spacing w:after="100" w:before="100"/>
        <w:jc w:val="both"/>
      </w:pPr>
      <w:r>
        <w:rPr>
          <w:rFonts w:ascii="Arial" w:cs="Arial" w:eastAsia="Arial" w:hAnsi="Arial"/>
          <w:sz w:val="21"/>
          <w:szCs w:val="21"/>
        </w:rPr>
        <w:t xml:space="preserve">A CTC é emitida em duas vias: a primeira entregue ao interessado, a segunda arquivada pelo órgão emissor com recibo de entrega. Quando o segurado possui cargos constitucionalmente acumuláveis, admite-se CTC única com destinação para até dois órgãos distintos.</w:t>
      </w:r>
    </w:p>
    <w:p>
      <w:pPr>
        <w:spacing w:after="140" w:before="280"/>
      </w:pPr>
      <w:r>
        <w:rPr>
          <w:rFonts w:ascii="Arial" w:cs="Arial" w:eastAsia="Arial" w:hAnsi="Arial"/>
          <w:b/>
          <w:bCs/>
          <w:color w:val="2E86C1"/>
          <w:sz w:val="23"/>
          <w:szCs w:val="23"/>
        </w:rPr>
        <w:t xml:space="preserve">5.8.2 Irreversibilidade — vedação de desaverbação</w:t>
      </w:r>
    </w:p>
    <w:p>
      <w:pPr>
        <w:spacing w:after="100" w:before="100"/>
        <w:jc w:val="both"/>
      </w:pPr>
      <w:r>
        <w:rPr>
          <w:rFonts w:ascii="Arial" w:cs="Arial" w:eastAsia="Arial" w:hAnsi="Arial"/>
          <w:sz w:val="21"/>
          <w:szCs w:val="21"/>
        </w:rPr>
        <w:t xml:space="preserve">O art. 130, § 14, do Decreto 3.048/99 consagra o princípio da irreversibilidade da CTC: uma vez averbada no regime instituidor, o tempo certificado não pode ser "devolvido" ao regime de origem. Essa vedação impede o chamado "turismo previdenciário" — prática pela qual o segurado levava tempo de um regime para outro em busca de condições mais vantajosas, retornando ao regime original se a operação não se mostrasse proveitosa.</w:t>
      </w:r>
    </w:p>
    <w:p>
      <w:pPr>
        <w:spacing w:after="100" w:before="100"/>
        <w:jc w:val="both"/>
      </w:pPr>
      <w:r>
        <w:rPr>
          <w:rFonts w:ascii="Arial" w:cs="Arial" w:eastAsia="Arial" w:hAnsi="Arial"/>
          <w:sz w:val="21"/>
          <w:szCs w:val="21"/>
        </w:rPr>
        <w:t xml:space="preserve">A irreversibilidade tem consequência prática severa: o segurado deve ponderar cuidadosamente antes de requerer CTC, pois a decisão é definitiva. Se levar o tempo do RGPS para o RPPS e depois se arrepender (por exemplo, porque as regras do RPPS se tornaram menos vantajosas após uma reforma), não poderá recuperar o tempo no RGPS.</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Cautela na emissão de CTC — análise de cenários</w:t>
            </w:r>
          </w:p>
          <w:p>
            <w:pPr>
              <w:spacing w:after="40" w:before="40"/>
            </w:pPr>
            <w:r>
              <w:rPr>
                <w:rFonts w:ascii="Arial" w:cs="Arial" w:eastAsia="Arial" w:hAnsi="Arial"/>
                <w:sz w:val="19"/>
                <w:szCs w:val="19"/>
              </w:rPr>
              <w:t xml:space="preserve">O advogado deve simular os cenários antes de orientar o cliente a requerer CTC: (1) qual seria a aposentadoria no RGPS sem a contagem recíproca? (2) qual seria a aposentadoria no RPPS com a averbação? (3) há regras de transição mais favoráveis em um dos regimes? (4) o tempo a ser certificado já gerou alguma vantagem funcional no regime de origem? Somente após essa análise comparativa é que se deve requerer a emissão da CTC. A decisão é irreversível.</w:t>
            </w:r>
          </w:p>
        </w:tc>
      </w:tr>
    </w:tbl>
    <w:p>
      <w:pPr>
        <w:spacing w:after="200"/>
      </w:pPr>
    </w:p>
    <w:p>
      <w:pPr>
        <w:spacing w:after="140" w:before="280"/>
      </w:pPr>
      <w:r>
        <w:rPr>
          <w:rFonts w:ascii="Arial" w:cs="Arial" w:eastAsia="Arial" w:hAnsi="Arial"/>
          <w:b/>
          <w:bCs/>
          <w:color w:val="2E86C1"/>
          <w:sz w:val="23"/>
          <w:szCs w:val="23"/>
        </w:rPr>
        <w:t xml:space="preserve">5.8.3 Emissão de CTC pelo INSS</w:t>
      </w:r>
    </w:p>
    <w:p>
      <w:pPr>
        <w:spacing w:after="100" w:before="100"/>
        <w:jc w:val="both"/>
      </w:pPr>
      <w:r>
        <w:rPr>
          <w:rFonts w:ascii="Arial" w:cs="Arial" w:eastAsia="Arial" w:hAnsi="Arial"/>
          <w:sz w:val="21"/>
          <w:szCs w:val="21"/>
        </w:rPr>
        <w:t xml:space="preserve">Quando o segurado pretende levar tempo do RGPS para RPPS, a CTC é emitida pelo INSS. O requerimento pode ser feito no portal Meu INSS ou presencialmente em agência. O INSS verificará se o período requerido consta no CNIS, se há pendências contributivas e se o tempo não foi utilizado para concessão de benefício no RGPS (não se pode emitir CTC de período que já integra aposentadoria concedida no RGPS).</w:t>
      </w:r>
    </w:p>
    <w:p>
      <w:pPr>
        <w:spacing w:after="100" w:before="100"/>
        <w:jc w:val="both"/>
      </w:pPr>
      <w:r>
        <w:rPr>
          <w:rFonts w:ascii="Arial" w:cs="Arial" w:eastAsia="Arial" w:hAnsi="Arial"/>
          <w:sz w:val="21"/>
          <w:szCs w:val="21"/>
        </w:rPr>
        <w:t xml:space="preserve">O prazo de análise segue a regra geral de 30 dias (art. 41-A, § 5º, Lei 8.213/91). Se o INSS indefere a emissão ou permanece inerte, cabe ação judicial no JEF.</w:t>
      </w:r>
    </w:p>
    <w:p>
      <w:pPr>
        <w:spacing w:after="140" w:before="280"/>
      </w:pPr>
      <w:r>
        <w:rPr>
          <w:rFonts w:ascii="Arial" w:cs="Arial" w:eastAsia="Arial" w:hAnsi="Arial"/>
          <w:b/>
          <w:bCs/>
          <w:color w:val="2E86C1"/>
          <w:sz w:val="23"/>
          <w:szCs w:val="23"/>
        </w:rPr>
        <w:t xml:space="preserve">5.8.4 CTC e os novos regimes de previdência complementar</w:t>
      </w:r>
    </w:p>
    <w:p>
      <w:pPr>
        <w:spacing w:after="100" w:before="100"/>
        <w:jc w:val="both"/>
      </w:pPr>
      <w:r>
        <w:rPr>
          <w:rFonts w:ascii="Arial" w:cs="Arial" w:eastAsia="Arial" w:hAnsi="Arial"/>
          <w:sz w:val="21"/>
          <w:szCs w:val="21"/>
        </w:rPr>
        <w:t xml:space="preserve">Uma questão contemporânea relevante é a interação entre a CTC e os regimes de previdência complementar dos servidores públicos (FUNPRESP-Exe, FUNPRESP-Jud, FUNPRESP-Leg). Servidores federais que ingressaram após a instituição do regime complementar contribuem para o RPPS apenas até o teto do RGPS, complementando a previdência por regime de capitalização. Quando esses servidores requerem CTC para levar tempo ao RGPS, surge a questão: a CTC certifica apenas o período com base de contribuição até o teto (regime básico) ou inclui os valores complementares?</w:t>
      </w:r>
    </w:p>
    <w:p>
      <w:pPr>
        <w:spacing w:after="100" w:before="100"/>
        <w:jc w:val="both"/>
      </w:pPr>
      <w:r>
        <w:rPr>
          <w:rFonts w:ascii="Arial" w:cs="Arial" w:eastAsia="Arial" w:hAnsi="Arial"/>
          <w:sz w:val="21"/>
          <w:szCs w:val="21"/>
        </w:rPr>
        <w:t xml:space="preserve">A resposta é que a CTC certifica apenas o tempo e os valores contributivos ao RPPS (regime básico), não incluindo valores da previdência complementar. O segurado que levar esse tempo para o RGPS terá seu benefício calculado com base nos salários de contribuição registrados na CTC, limitados ao teto do RPPS básico — que coincide com o teto do RGPS (R$ 8.475,55 em 2026). Os valores investidos na FUNPRESP permanecem como benefício privado do servidor.</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CTC de servidor com previdência complementar</w:t>
            </w:r>
          </w:p>
          <w:p>
            <w:pPr>
              <w:spacing w:after="40" w:before="40"/>
            </w:pPr>
            <w:r>
              <w:rPr>
                <w:rFonts w:ascii="Arial" w:cs="Arial" w:eastAsia="Arial" w:hAnsi="Arial"/>
                <w:sz w:val="19"/>
                <w:szCs w:val="19"/>
              </w:rPr>
              <w:t xml:space="preserve">Para servidores federais pós-FUNPRESP (ingressados a partir de fev/2013), a CTC reflete apenas o regime básico (contribuição até o teto). Se esse servidor pedir exoneração e quiser aposentar-se no RGPS, seu benefício será necessariamente limitado ao teto do RGPS — não haverá forma de incorporar os valores da previdência complementar ao cálculo do RGPS. Os valores da FUNPRESP serão resgatados ou transformados em benefício complementar privado, conforme o regulamento do plano. O advogado deve alertar o servidor sobre essa limitação antes de orientar a emissão de CTC.</w:t>
            </w:r>
          </w:p>
        </w:tc>
      </w:tr>
    </w:tbl>
    <w:p>
      <w:pPr>
        <w:spacing w:after="200"/>
      </w:pPr>
    </w:p>
    <w:p>
      <w:pPr>
        <w:spacing w:after="140" w:before="280"/>
      </w:pPr>
      <w:r>
        <w:rPr>
          <w:rFonts w:ascii="Arial" w:cs="Arial" w:eastAsia="Arial" w:hAnsi="Arial"/>
          <w:b/>
          <w:bCs/>
          <w:color w:val="2E86C1"/>
          <w:sz w:val="23"/>
          <w:szCs w:val="23"/>
        </w:rPr>
        <w:t xml:space="preserve">5.8.5 CTC e a vedação da desaposentação</w:t>
      </w:r>
    </w:p>
    <w:p>
      <w:pPr>
        <w:spacing w:after="100" w:before="100"/>
        <w:jc w:val="both"/>
      </w:pPr>
      <w:r>
        <w:rPr>
          <w:rFonts w:ascii="Arial" w:cs="Arial" w:eastAsia="Arial" w:hAnsi="Arial"/>
          <w:sz w:val="21"/>
          <w:szCs w:val="21"/>
        </w:rPr>
        <w:t xml:space="preserve">A irreversibilidade da CTC guarda relação com a vedação da desaposentação (STF Tema 503). Assim como não é possível renunciar à aposentadoria para obter nova aposentadoria mais vantajosa (desaposentação), também não é possível "devolver" CTC já averbada. Ambas as vedações decorrem do mesmo princípio: a segurança jurídica e o equilíbrio atuarial dos regimes previdenciários.</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5.9 Atividades Concomitantes</w:t>
      </w:r>
    </w:p>
    <w:p>
      <w:pPr>
        <w:spacing w:after="140" w:before="280"/>
      </w:pPr>
      <w:r>
        <w:rPr>
          <w:rFonts w:ascii="Arial" w:cs="Arial" w:eastAsia="Arial" w:hAnsi="Arial"/>
          <w:b/>
          <w:bCs/>
          <w:color w:val="2E86C1"/>
          <w:sz w:val="23"/>
          <w:szCs w:val="23"/>
        </w:rPr>
        <w:t xml:space="preserve">5.9.1 Regime anterior à Lei 13.846/2019</w:t>
      </w:r>
    </w:p>
    <w:p>
      <w:pPr>
        <w:spacing w:after="100" w:before="100"/>
        <w:jc w:val="both"/>
      </w:pPr>
      <w:r>
        <w:rPr>
          <w:rFonts w:ascii="Arial" w:cs="Arial" w:eastAsia="Arial" w:hAnsi="Arial"/>
          <w:sz w:val="21"/>
          <w:szCs w:val="21"/>
        </w:rPr>
        <w:t xml:space="preserve">Antes da alteração legislativa promovida pela Lei 13.846/2019 (vigência em 18/06/2019), o art. 32 da Lei 8.213/91 estabelecia regime complexo de cálculo para segurados que exerciam atividades concomitantes (simultâneas) vinculadas ao RGPS. O sistema distinguia a "atividade principal" (geralmente a de maior remuneração ou a última exercida) das "atividades secundárias", aplicando cálculo proporcional ao tempo de contribuição em cada atividade.</w:t>
      </w:r>
    </w:p>
    <w:p>
      <w:pPr>
        <w:spacing w:after="100" w:before="100"/>
        <w:jc w:val="both"/>
      </w:pPr>
      <w:r>
        <w:rPr>
          <w:rFonts w:ascii="Arial" w:cs="Arial" w:eastAsia="Arial" w:hAnsi="Arial"/>
          <w:sz w:val="21"/>
          <w:szCs w:val="21"/>
        </w:rPr>
        <w:t xml:space="preserve">O cálculo proporcional funcionava da seguinte forma: o salário de benefício era composto (a) integralmente pelo salário de contribuição da atividade principal, e (b) proporcionalmente pelos salários de contribuição das atividades secundárias, na proporção do número de meses de contribuição em cada atividade em relação ao número de meses exigidos para a carência do benefício. Na prática, o segurado que exercia duas atividades raramente recebia benefício correspondente à soma integral de ambos os salários.</w:t>
      </w:r>
    </w:p>
    <w:p>
      <w:pPr>
        <w:spacing w:after="100" w:before="100"/>
        <w:jc w:val="both"/>
      </w:pPr>
      <w:r>
        <w:rPr>
          <w:rFonts w:ascii="Arial" w:cs="Arial" w:eastAsia="Arial" w:hAnsi="Arial"/>
          <w:sz w:val="21"/>
          <w:szCs w:val="21"/>
        </w:rPr>
        <w:t xml:space="preserve">Esse regime gerava distorções evidentes: o segurado contribuía sobre a totalidade das remunerações (respeitado o teto), mas recebia benefício calculado proporcionalmente, em valor inferior à soma das contribuições. A incongruência era especialmente prejudicial para profissionais que mantinham múltiplos vínculos (professores, médicos, contadores, etc.).</w:t>
      </w:r>
    </w:p>
    <w:p>
      <w:pPr>
        <w:spacing w:after="140" w:before="280"/>
      </w:pPr>
      <w:r>
        <w:rPr>
          <w:rFonts w:ascii="Arial" w:cs="Arial" w:eastAsia="Arial" w:hAnsi="Arial"/>
          <w:b/>
          <w:bCs/>
          <w:color w:val="2E86C1"/>
          <w:sz w:val="23"/>
          <w:szCs w:val="23"/>
        </w:rPr>
        <w:t xml:space="preserve">5.9.2 Regime atual — Lei 13.846/2019</w:t>
      </w:r>
    </w:p>
    <w:p>
      <w:pPr>
        <w:spacing w:after="100" w:before="100"/>
        <w:jc w:val="both"/>
      </w:pPr>
      <w:r>
        <w:rPr>
          <w:rFonts w:ascii="Arial" w:cs="Arial" w:eastAsia="Arial" w:hAnsi="Arial"/>
          <w:sz w:val="21"/>
          <w:szCs w:val="21"/>
        </w:rPr>
        <w:t xml:space="preserve">A Lei 13.846/2019, ao dar nova redação ao art. 32 da Lei 8.213/91, eliminou o cálculo proporcional. A nova regra é simples e direta: o salário de benefício é calculado com base na soma dos salários de contribuição de todas as atividades exercidas concomitantemente, respeitado o limite máximo do salário de contribuição (teto do RGPS).</w:t>
      </w:r>
    </w:p>
    <w:p>
      <w:pPr>
        <w:spacing w:after="100" w:before="100"/>
        <w:jc w:val="both"/>
      </w:pPr>
      <w:r>
        <w:rPr>
          <w:rFonts w:ascii="Arial" w:cs="Arial" w:eastAsia="Arial" w:hAnsi="Arial"/>
          <w:sz w:val="21"/>
          <w:szCs w:val="21"/>
        </w:rPr>
        <w:t xml:space="preserve">A redação atual do art. 32, § 1º: "Quando o segurado satisfizer, em relação a cada atividade, as condições do benefício requerido, o salário de benefício será calculado com base na soma dos salários de contribuição das atividades exercidas na data do requerimento ou do óbito, ou no período básico de cálculo, observado o limite máximo desse salário."</w:t>
      </w:r>
    </w:p>
    <w:p>
      <w:pPr>
        <w:spacing w:after="140" w:before="280"/>
      </w:pPr>
      <w:r>
        <w:rPr>
          <w:rFonts w:ascii="Arial" w:cs="Arial" w:eastAsia="Arial" w:hAnsi="Arial"/>
          <w:b/>
          <w:bCs/>
          <w:color w:val="2E86C1"/>
          <w:sz w:val="23"/>
          <w:szCs w:val="23"/>
        </w:rPr>
        <w:t xml:space="preserve">5.9.3 STJ Tema 1.070 — Efeitos retroativos</w:t>
      </w:r>
    </w:p>
    <w:p>
      <w:pPr>
        <w:spacing w:after="100" w:before="100"/>
        <w:jc w:val="both"/>
      </w:pPr>
      <w:r>
        <w:rPr>
          <w:rFonts w:ascii="Arial" w:cs="Arial" w:eastAsia="Arial" w:hAnsi="Arial"/>
          <w:sz w:val="21"/>
          <w:szCs w:val="21"/>
        </w:rPr>
        <w:t xml:space="preserve">O STJ, no Tema 1.070 (REsp 1.870.793/RS), fixou tese com alcance temporal relevante: "Após o advento da Lei 9.876/99, e para fins de cálculo do benefício de aposentadoria, no caso do exercício de atividades concomitantes pelo segurado, o salário de contribuição deverá ser composto da soma de todas as contribuições previdenciárias por ele vertidas ao sistema, respeitado o teto previdenciário."</w:t>
      </w:r>
    </w:p>
    <w:p>
      <w:pPr>
        <w:spacing w:after="100" w:before="100"/>
        <w:jc w:val="both"/>
      </w:pPr>
      <w:r>
        <w:rPr>
          <w:rFonts w:ascii="Arial" w:cs="Arial" w:eastAsia="Arial" w:hAnsi="Arial"/>
          <w:sz w:val="21"/>
          <w:szCs w:val="21"/>
        </w:rPr>
        <w:t xml:space="preserve">A tese tem dois efeitos práticos:</w:t>
      </w:r>
    </w:p>
    <w:p>
      <w:pPr>
        <w:spacing w:after="60" w:before="60"/>
        <w:ind w:left="360"/>
      </w:pPr>
      <w:r>
        <w:rPr>
          <w:rFonts w:ascii="Arial" w:cs="Arial" w:eastAsia="Arial" w:hAnsi="Arial"/>
          <w:b/>
          <w:bCs/>
          <w:sz w:val="21"/>
          <w:szCs w:val="21"/>
        </w:rPr>
        <w:t xml:space="preserve">1. </w:t>
      </w:r>
      <w:r>
        <w:rPr>
          <w:rFonts w:ascii="Arial" w:cs="Arial" w:eastAsia="Arial" w:hAnsi="Arial"/>
          <w:sz w:val="21"/>
          <w:szCs w:val="21"/>
        </w:rPr>
        <w:t xml:space="preserve">Para benefícios concedidos após 18/06/2019 (vigência da Lei 13.846/2019): A soma já é regra legal, sem controvérsia.</w:t>
      </w:r>
    </w:p>
    <w:p>
      <w:pPr>
        <w:spacing w:after="60" w:before="60"/>
        <w:ind w:left="360"/>
      </w:pPr>
      <w:r>
        <w:rPr>
          <w:rFonts w:ascii="Arial" w:cs="Arial" w:eastAsia="Arial" w:hAnsi="Arial"/>
          <w:b/>
          <w:bCs/>
          <w:sz w:val="21"/>
          <w:szCs w:val="21"/>
        </w:rPr>
        <w:t xml:space="preserve">2. </w:t>
      </w:r>
      <w:r>
        <w:rPr>
          <w:rFonts w:ascii="Arial" w:cs="Arial" w:eastAsia="Arial" w:hAnsi="Arial"/>
          <w:sz w:val="21"/>
          <w:szCs w:val="21"/>
        </w:rPr>
        <w:t xml:space="preserve">Para benefícios concedidos entre a Lei 9.876/99 (29/11/1999) e a Lei 13.846/2019 (17/06/2019): O Tema 1.070 reconhece que mesmo sob a vigência do antigo art. 32, a interpretação correta já era a soma integral, desde a Lei 9.876/99.</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6"/>
              <w:left w:val="single" w:color="2E86C1" w:sz="6"/>
              <w:bottom w:val="single" w:color="2E86C1" w:sz="6"/>
              <w:right w:val="single" w:color="2E86C1" w:sz="6"/>
            </w:tcBorders>
            <w:shd w:fill="EBF5FB" w:val="clear"/>
            <w:tcMar>
              <w:top w:type="dxa" w:w="120"/>
              <w:left w:type="dxa" w:w="200"/>
              <w:bottom w:type="dxa" w:w="120"/>
              <w:right w:type="dxa" w:w="200"/>
            </w:tcMar>
          </w:tcPr>
          <w:p>
            <w:pPr>
              <w:spacing w:after="60" w:before="60"/>
            </w:pPr>
            <w:r>
              <w:rPr>
                <w:rFonts w:ascii="Arial" w:cs="Arial" w:eastAsia="Arial" w:hAnsi="Arial"/>
                <w:b/>
                <w:bCs/>
                <w:color w:val="2E86C1"/>
                <w:sz w:val="20"/>
                <w:szCs w:val="20"/>
              </w:rPr>
              <w:t xml:space="preserve">STJ Tema 1.070 — Revisão de benefícios por atividades concomitantes</w:t>
            </w:r>
          </w:p>
          <w:p>
            <w:pPr>
              <w:spacing w:after="40" w:before="40"/>
            </w:pPr>
            <w:r>
              <w:rPr>
                <w:rFonts w:ascii="Arial" w:cs="Arial" w:eastAsia="Arial" w:hAnsi="Arial"/>
                <w:sz w:val="19"/>
                <w:szCs w:val="19"/>
              </w:rPr>
              <w:t xml:space="preserve">A tese fixada pelo STJ viabiliza a revisão de benefícios concedidos entre 29/11/1999 e 17/06/2019 que foram calculados pelo método proporcional (antigo art. 32). O segurado que exercia atividades concomitantes e teve seu benefício calculado com desconto proporcional pode requerer revisão administrativa ou judicial para aplicação da soma integral. O prazo decadencial de 10 anos (art. 103, Lei 8.213/91) conta da data de início do benefício — muitos segurados aposentados antes de 2015 já perderam o prazo revisional.</w:t>
            </w:r>
          </w:p>
        </w:tc>
      </w:tr>
    </w:tbl>
    <w:p>
      <w:pPr>
        <w:spacing w:after="200"/>
      </w:pPr>
    </w:p>
    <w:p>
      <w:pPr>
        <w:spacing w:after="140" w:before="280"/>
      </w:pPr>
      <w:r>
        <w:rPr>
          <w:rFonts w:ascii="Arial" w:cs="Arial" w:eastAsia="Arial" w:hAnsi="Arial"/>
          <w:b/>
          <w:bCs/>
          <w:color w:val="2E86C1"/>
          <w:sz w:val="23"/>
          <w:szCs w:val="23"/>
        </w:rPr>
        <w:t xml:space="preserve">5.9.4 Exemplo numérico detalhado: cálculo proporcional vs. soma integral</w:t>
      </w:r>
    </w:p>
    <w:p>
      <w:pPr>
        <w:spacing w:after="100" w:before="100"/>
        <w:jc w:val="both"/>
      </w:pPr>
      <w:r>
        <w:rPr>
          <w:rFonts w:ascii="Arial" w:cs="Arial" w:eastAsia="Arial" w:hAnsi="Arial"/>
          <w:sz w:val="21"/>
          <w:szCs w:val="21"/>
        </w:rPr>
        <w:t xml:space="preserve">Para compreender o impacto da mudança legislativa, considere o seguinte exemplo:</w:t>
      </w:r>
    </w:p>
    <w:p>
      <w:pPr>
        <w:spacing w:after="60" w:before="60"/>
        <w:ind w:left="360"/>
      </w:pPr>
      <w:r>
        <w:rPr>
          <w:rFonts w:ascii="Arial" w:cs="Arial" w:eastAsia="Arial" w:hAnsi="Arial"/>
          <w:sz w:val="21"/>
          <w:szCs w:val="21"/>
        </w:rPr>
        <w:t xml:space="preserve">Segurado Pedro aposentou-se em março de 2018 (antes da Lei 13.846/2019) com dois vínculos concomitantes: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Atividade principal (Professor): salário de contribuição R$ 4.000,00 — 360 contribuições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Atividade secundária (Contabilista autônomo): salário de contribuição R$ 3.000,00 — 240 contribuições</w:t>
      </w:r>
    </w:p>
    <w:p>
      <w:pPr>
        <w:spacing w:after="60" w:before="60"/>
        <w:ind w:left="360"/>
      </w:pPr>
      <w:r>
        <w:rPr>
          <w:rFonts w:ascii="Arial" w:cs="Arial" w:eastAsia="Arial" w:hAnsi="Arial"/>
          <w:sz w:val="21"/>
          <w:szCs w:val="21"/>
        </w:rPr>
        <w:t xml:space="preserve">Pelo cálculo proporcional antigo (art. 32, incisos I a III, Lei 8.213/91 — redação original):</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Atividade principal: salário de benefício de R$ 4.000,00 (integral)</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Atividade secundária: R$ 3.000,00 × (240/180) = R$ 3.000,00 × 1,33 = R$ 3.000,00 (limitado ao percentual integral, pois 240 &gt; 180 carência)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Salário de benefício total: R$ 4.000,00 + R$ 3.000,00 = R$ 7.000,00</w:t>
      </w:r>
    </w:p>
    <w:p>
      <w:pPr>
        <w:spacing w:after="100" w:before="100"/>
        <w:jc w:val="both"/>
      </w:pPr>
      <w:r>
        <w:rPr>
          <w:rFonts w:ascii="Arial" w:cs="Arial" w:eastAsia="Arial" w:hAnsi="Arial"/>
          <w:sz w:val="21"/>
          <w:szCs w:val="21"/>
        </w:rPr>
        <w:t xml:space="preserve">Neste exemplo, como Pedro tinha mais de 180 contribuições na atividade secundária, o prejuízo foi menor. Contudo, em casos onde a atividade secundária tinha poucas contribuições, o percentual proporcional podia ser drasticamente inferior.</w:t>
      </w:r>
    </w:p>
    <w:p>
      <w:pPr>
        <w:spacing w:after="60" w:before="60"/>
        <w:ind w:left="360"/>
      </w:pPr>
      <w:r>
        <w:rPr>
          <w:rFonts w:ascii="Arial" w:cs="Arial" w:eastAsia="Arial" w:hAnsi="Arial"/>
          <w:sz w:val="21"/>
          <w:szCs w:val="21"/>
        </w:rPr>
        <w:t xml:space="preserve">Considerando segurado com apenas 90 contribuições na atividade secundária: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Atividade secundária: R$ 3.000,00 × (90/180) = R$ 1.500,00</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Salário de benefício total: R$ 4.000,00 + R$ 1.500,00 = R$ 5.500,00</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Pela soma integral: R$ 4.000,00 + R$ 3.000,00 = R$ 7.000,00</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Diferença mensal: R$ 1.500,00</w:t>
      </w:r>
    </w:p>
    <w:p>
      <w:pPr>
        <w:spacing w:after="100" w:before="100"/>
        <w:jc w:val="both"/>
      </w:pPr>
      <w:r>
        <w:rPr>
          <w:rFonts w:ascii="Arial" w:cs="Arial" w:eastAsia="Arial" w:hAnsi="Arial"/>
          <w:sz w:val="21"/>
          <w:szCs w:val="21"/>
        </w:rPr>
        <w:t xml:space="preserve">Essa diferença de R$ 1.500,00 mensais justifica amplamente a ação de revisão baseada no Tema 1.070/STJ, observado o prazo decadencial.</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Cálculo da prescrição e decadência na revisão por concomitância</w:t>
            </w:r>
          </w:p>
          <w:p>
            <w:pPr>
              <w:spacing w:after="40" w:before="40"/>
            </w:pPr>
            <w:r>
              <w:rPr>
                <w:rFonts w:ascii="Arial" w:cs="Arial" w:eastAsia="Arial" w:hAnsi="Arial"/>
                <w:sz w:val="19"/>
                <w:szCs w:val="19"/>
              </w:rPr>
              <w:t xml:space="preserve">Para ações de revisão pelo Tema 1.070: (a) Decadência do direito de revisão: 10 anos contados do primeiro dia do mês seguinte ao recebimento da primeira prestação (art. 103, Lei 8.213/91); (b) Prescrição das parcelas: 5 anos retroativos contados do ajuizamento da ação. Assim, para um benefício concedido em março de 2015, o prazo decadencial expira em abril de 2025 — ação ajuizada após essa data será extinta com mérito (decadência). Para benefício de 2016 em diante, o prazo ainda está aberto em 2026.</w:t>
            </w:r>
          </w:p>
        </w:tc>
      </w:tr>
    </w:tbl>
    <w:p>
      <w:pPr>
        <w:spacing w:after="200"/>
      </w:pPr>
    </w:p>
    <w:p>
      <w:pPr>
        <w:spacing w:after="140" w:before="280"/>
      </w:pPr>
      <w:r>
        <w:rPr>
          <w:rFonts w:ascii="Arial" w:cs="Arial" w:eastAsia="Arial" w:hAnsi="Arial"/>
          <w:b/>
          <w:bCs/>
          <w:color w:val="2E86C1"/>
          <w:sz w:val="23"/>
          <w:szCs w:val="23"/>
        </w:rPr>
        <w:t xml:space="preserve">5.9.5 Aspectos práticos da concomitância nos JEFs</w:t>
      </w:r>
    </w:p>
    <w:p>
      <w:pPr>
        <w:spacing w:after="100" w:before="100"/>
        <w:jc w:val="both"/>
      </w:pPr>
      <w:r>
        <w:rPr>
          <w:rFonts w:ascii="Arial" w:cs="Arial" w:eastAsia="Arial" w:hAnsi="Arial"/>
          <w:sz w:val="21"/>
          <w:szCs w:val="21"/>
        </w:rPr>
        <w:t xml:space="preserve">No JEF, as questões de atividades concomitantes surgem em dois contextos principais: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Ação de concessão: O segurado requer aposentadoria com cômputo simultâneo de dois ou mais vínculos. Desde a Lei 13.846/2019, o INSS deve somar integralmente os salários de contribuição. Se o INSS aplicar indevidamente o cálculo proporcional, cabe ação revisional.</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Ação de revisão (Tema 1.070): O segurado já aposentado requer recálculo do benefício com aplicação da soma integral. A revisão é cabível para benefícios concedidos após 29/11/1999 (Lei 9.876/99), observado o prazo decadencial de 10 anos.</w:t>
      </w:r>
    </w:p>
    <w:p>
      <w:pPr>
        <w:spacing w:after="100" w:before="100"/>
        <w:jc w:val="both"/>
      </w:pPr>
      <w:r>
        <w:rPr>
          <w:rFonts w:ascii="Arial" w:cs="Arial" w:eastAsia="Arial" w:hAnsi="Arial"/>
          <w:sz w:val="21"/>
          <w:szCs w:val="21"/>
        </w:rPr>
        <w:t xml:space="preserve">A concomitância deve ser distinguida da pluralidade de vínculos sucessivos: se os vínculos não são simultâneos, não se trata de atividades concomitantes e o cálculo segue a regra geral (média dos salários de contribuição de todo o período contributivo).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Exemplo numérico: impacto da soma integral</w:t>
            </w:r>
          </w:p>
          <w:p>
            <w:pPr>
              <w:spacing w:after="40" w:before="40"/>
            </w:pPr>
            <w:r>
              <w:rPr>
                <w:rFonts w:ascii="Arial" w:cs="Arial" w:eastAsia="Arial" w:hAnsi="Arial"/>
                <w:sz w:val="19"/>
                <w:szCs w:val="19"/>
              </w:rPr>
              <w:t xml:space="preserve">João aposentou-se em 2015 com dois vínculos simultâneos: professor (SC de R$ 3.000) e contador autônomo (SC de R$ 2.000). Pelo cálculo proporcional antigo, seu salário de benefício foi de R$ 3.600 (R$ 3.000 da atividade principal + 60% de R$ 2.000 da secundária). Com a aplicação do Tema 1.070, o correto seria R$ 5.000 (soma integral, abaixo do teto). A diferença mensal de R$ 1.400 justifica ação revisional — se ajuizada dentro do prazo decadencial de 10 anos (até 2025, no caso).</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5.10 Tempo Fictício: Vedação pela EC 103/2019</w:t>
      </w:r>
    </w:p>
    <w:p>
      <w:pPr>
        <w:spacing w:after="140" w:before="280"/>
      </w:pPr>
      <w:r>
        <w:rPr>
          <w:rFonts w:ascii="Arial" w:cs="Arial" w:eastAsia="Arial" w:hAnsi="Arial"/>
          <w:b/>
          <w:bCs/>
          <w:color w:val="2E86C1"/>
          <w:sz w:val="23"/>
          <w:szCs w:val="23"/>
        </w:rPr>
        <w:t xml:space="preserve">5.10.1 Conceito de tempo fictício</w:t>
      </w:r>
    </w:p>
    <w:p>
      <w:pPr>
        <w:spacing w:after="100" w:before="100"/>
        <w:jc w:val="both"/>
      </w:pPr>
      <w:r>
        <w:rPr>
          <w:rFonts w:ascii="Arial" w:cs="Arial" w:eastAsia="Arial" w:hAnsi="Arial"/>
          <w:sz w:val="21"/>
          <w:szCs w:val="21"/>
        </w:rPr>
        <w:t xml:space="preserve">Tempo fictício é aquele computado para fins de aposentadoria sem que tenha havido efetiva prestação de serviço ou correspondente recolhimento de contribuição previdenciária. Trata-se de um "tempo presumido" por ficção legal, que existia em diversas legislações estaduais e federais anteriores à EC 20/1998.</w:t>
      </w:r>
    </w:p>
    <w:p>
      <w:pPr>
        <w:spacing w:after="100" w:before="100"/>
        <w:jc w:val="both"/>
      </w:pPr>
      <w:r>
        <w:rPr>
          <w:rFonts w:ascii="Arial" w:cs="Arial" w:eastAsia="Arial" w:hAnsi="Arial"/>
          <w:sz w:val="21"/>
          <w:szCs w:val="21"/>
        </w:rPr>
        <w:t xml:space="preserve">Exemplos históricos de tempo fictício: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Licença-prêmio não usufruída contada em dobro para aposentadoria;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Férias não gozadas convertidas em tempo de serviço;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Períodos de afastamento sem contribuição computados como tempo de serviço;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Tempo de residência médica computado em dobro;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"Tempo insalubre" computado com acréscimo sem efetivo exercício em condições especiais.</w:t>
      </w:r>
    </w:p>
    <w:p>
      <w:pPr>
        <w:spacing w:after="100" w:before="100"/>
        <w:jc w:val="both"/>
      </w:pPr>
      <w:r>
        <w:rPr>
          <w:rFonts w:ascii="Arial" w:cs="Arial" w:eastAsia="Arial" w:hAnsi="Arial"/>
          <w:sz w:val="21"/>
          <w:szCs w:val="21"/>
        </w:rPr>
        <w:t xml:space="preserve">O tempo fictício era mais comum no âmbito dos Regimes Próprios (RPPSs) estaduais e municipais, onde legislações locais frequentemente criavam mecanismos de majoração artificial do tempo de serviço. No RGPS, o instituto era menos disseminado, embora existissem hipóteses pontuais.</w:t>
      </w:r>
    </w:p>
    <w:p>
      <w:pPr>
        <w:spacing w:after="140" w:before="280"/>
      </w:pPr>
      <w:r>
        <w:rPr>
          <w:rFonts w:ascii="Arial" w:cs="Arial" w:eastAsia="Arial" w:hAnsi="Arial"/>
          <w:b/>
          <w:bCs/>
          <w:color w:val="2E86C1"/>
          <w:sz w:val="23"/>
          <w:szCs w:val="23"/>
        </w:rPr>
        <w:t xml:space="preserve">5.10.2 Evolução normativa da vedação</w:t>
      </w:r>
    </w:p>
    <w:p>
      <w:pPr>
        <w:spacing w:after="100" w:before="100"/>
        <w:jc w:val="both"/>
      </w:pPr>
      <w:r>
        <w:rPr>
          <w:rFonts w:ascii="Arial" w:cs="Arial" w:eastAsia="Arial" w:hAnsi="Arial"/>
          <w:sz w:val="21"/>
          <w:szCs w:val="21"/>
        </w:rPr>
        <w:t xml:space="preserve">A vedação ao tempo fictício passou por três marcos normativos:</w:t>
      </w:r>
    </w:p>
    <w:p>
      <w:pPr>
        <w:spacing w:after="100" w:before="100"/>
        <w:jc w:val="both"/>
      </w:pPr>
      <w:r>
        <w:rPr>
          <w:rFonts w:ascii="Arial" w:cs="Arial" w:eastAsia="Arial" w:hAnsi="Arial"/>
          <w:sz w:val="21"/>
          <w:szCs w:val="21"/>
        </w:rPr>
        <w:t xml:space="preserve">1. Lei 6.226/75, art. 4º, I: A primeira lei de contagem recíproca já vedava o cômputo de tempo fictício na transferência de tempo entre regimes. A lógica era evitar que uma ficção legal de um regime onerasse outro regime que não a previu.</w:t>
      </w:r>
    </w:p>
    <w:p>
      <w:pPr>
        <w:spacing w:after="100" w:before="100"/>
        <w:jc w:val="both"/>
      </w:pPr>
      <w:r>
        <w:rPr>
          <w:rFonts w:ascii="Arial" w:cs="Arial" w:eastAsia="Arial" w:hAnsi="Arial"/>
          <w:sz w:val="21"/>
          <w:szCs w:val="21"/>
        </w:rPr>
        <w:t xml:space="preserve">2. EC 20/1998, art. 40, § 10, CF: Constitucionalizou a vedação: "A lei não poderá estabelecer qualquer forma de contagem de tempo de contribuição fictício." A vedação operava como proibição dirigida ao legislador infraconstitucional, impedindo a criação de novos tempos fictícios. Tempos fictícios já adquiridos antes da EC 20/1998 foram preservados como direito adquirido.</w:t>
      </w:r>
    </w:p>
    <w:p>
      <w:pPr>
        <w:spacing w:after="100" w:before="100"/>
        <w:jc w:val="both"/>
      </w:pPr>
      <w:r>
        <w:rPr>
          <w:rFonts w:ascii="Arial" w:cs="Arial" w:eastAsia="Arial" w:hAnsi="Arial"/>
          <w:sz w:val="21"/>
          <w:szCs w:val="21"/>
        </w:rPr>
        <w:t xml:space="preserve">3. EC 103/2019, art. 25, § 2º: Reafirmou e ampliou a vedação: "É vedada a contagem de tempo fictício no cômputo do tempo de contribuição." A novidade é que parte da doutrina associa a essa previsão também a vedação de conversão de tempo especial em comum (na medida em que a conversão acrescenta tempo sem efetivo exercício do período adicional), embora essa interpretação seja controversa.</w:t>
      </w:r>
    </w:p>
    <w:p>
      <w:pPr>
        <w:spacing w:after="140" w:before="280"/>
      </w:pPr>
      <w:r>
        <w:rPr>
          <w:rFonts w:ascii="Arial" w:cs="Arial" w:eastAsia="Arial" w:hAnsi="Arial"/>
          <w:b/>
          <w:bCs/>
          <w:color w:val="2E86C1"/>
          <w:sz w:val="23"/>
          <w:szCs w:val="23"/>
        </w:rPr>
        <w:t xml:space="preserve">5.10.3 Exceções mantidas: períodos legalmente equiparados</w:t>
      </w:r>
    </w:p>
    <w:p>
      <w:pPr>
        <w:spacing w:after="100" w:before="100"/>
        <w:jc w:val="both"/>
      </w:pPr>
      <w:r>
        <w:rPr>
          <w:rFonts w:ascii="Arial" w:cs="Arial" w:eastAsia="Arial" w:hAnsi="Arial"/>
          <w:sz w:val="21"/>
          <w:szCs w:val="21"/>
        </w:rPr>
        <w:t xml:space="preserve">A vedação ao tempo fictício não atinge períodos que a própria lei expressamente equipara a tempo de contribuição, pois nesses casos existe previsão legal específica (não se trata de ficção, mas de equiparação legislativa). São mantidos como válidos: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Atividade rural anterior a 1991 (art. 55, § 2º, Lei 8.213/91): embora não haja recolhimento, existe exercício efetivo de atividade e previsão legal expressa;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Serviço militar obrigatório (art. 55, I, Lei 8.213/91): a imposição estatal justifica o cômputo;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Aluno-aprendiz (art. 62, VI, Decreto 3.048/99): existe retribuição e previsão normativa;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Gozo de benefício por incapacidade intercalado (art. 55, § 2º, Lei 8.213/91): o afastamento decorre de contingência social protegida;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Conversão de tempo especial em comum (para períodos anteriores a 13/11/2019): existe exercício efetivo em condições nocivas que justifica o acréscimo.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Tempo fictício × tempo sem contribuição com previsão legal</w:t>
            </w:r>
          </w:p>
          <w:p>
            <w:pPr>
              <w:spacing w:after="40" w:before="40"/>
            </w:pPr>
            <w:r>
              <w:rPr>
                <w:rFonts w:ascii="Arial" w:cs="Arial" w:eastAsia="Arial" w:hAnsi="Arial"/>
                <w:sz w:val="19"/>
                <w:szCs w:val="19"/>
              </w:rPr>
              <w:t xml:space="preserve">Não se deve confundir tempo fictício (cômputo artificial, sem trabalho nem contribuição) com tempo sem contribuição previsto em lei (cômputo de período efetivamente trabalhado, mas sem recolhimento). O trabalhador rural que laborou de 1975 a 1991 sem recolher contribuição exerceu atividade real — o cômputo não é ficção. O servidor que convertia licença-prêmio não usufruída em tempo de serviço em dobro não trabalhou durante esse "dobro" — isso é tempo fictício. A distinção é conceitual e tem consequências práticas.</w:t>
            </w:r>
          </w:p>
        </w:tc>
      </w:tr>
    </w:tbl>
    <w:p>
      <w:pPr>
        <w:spacing w:after="200"/>
      </w:pPr>
    </w:p>
    <w:p>
      <w:pPr>
        <w:spacing w:after="140" w:before="280"/>
      </w:pPr>
      <w:r>
        <w:rPr>
          <w:rFonts w:ascii="Arial" w:cs="Arial" w:eastAsia="Arial" w:hAnsi="Arial"/>
          <w:b/>
          <w:bCs/>
          <w:color w:val="2E86C1"/>
          <w:sz w:val="23"/>
          <w:szCs w:val="23"/>
        </w:rPr>
        <w:t xml:space="preserve">5.10.4 Direito adquirido ao tempo fictício: marco temporal</w:t>
      </w:r>
    </w:p>
    <w:p>
      <w:pPr>
        <w:spacing w:after="100" w:before="100"/>
        <w:jc w:val="both"/>
      </w:pPr>
      <w:r>
        <w:rPr>
          <w:rFonts w:ascii="Arial" w:cs="Arial" w:eastAsia="Arial" w:hAnsi="Arial"/>
          <w:sz w:val="21"/>
          <w:szCs w:val="21"/>
        </w:rPr>
        <w:t xml:space="preserve">O direito adquirido ao tempo fictício é garantido pelo art. 5º, XXXVI, da Constituição Federal. Períodos de tempo fictício reconhecidos e incorporados ao patrimônio jurídico do servidor antes da vedação constitucional (EC 20/1998) são preservados. Assim:</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Tempo fictício adquirido até 15/12/1998 (véspera da EC 20): Mantido integralmente, pode ser certificado via CTC e utilizado para aposentadoria no RGPS, desde que a legislação estadual ou municipal vigente à época o permitisse.</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Tempo fictício previsto em legislação estadual/municipal vigente em 15/12/1998, mas cujo período se refere a fatos posteriores: A questão é controversa. A posição majoritária é que a vedação da EC 20 impede o cômputo de novos períodos fictícios a partir de sua vigência, mesmo que a lei local não tenha sido formalmente revogada. A lei que previa o cômputo perdeu eficácia por incompatibilidade superveniente com a Constituição.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Licença-prêmio não usufruída: O exemplo mais frequente. Se o servidor adquiriu o direito à licença-prêmio antes da EC 20/1998 e a legislação local permitia a conversão em dobro para aposentadoria, esse direito é preservado. Se a licença-prêmio foi adquirida após a EC 20, não há direito à contagem em dobro.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6"/>
              <w:left w:val="single" w:color="2E86C1" w:sz="6"/>
              <w:bottom w:val="single" w:color="2E86C1" w:sz="6"/>
              <w:right w:val="single" w:color="2E86C1" w:sz="6"/>
            </w:tcBorders>
            <w:shd w:fill="EBF5FB" w:val="clear"/>
            <w:tcMar>
              <w:top w:type="dxa" w:w="120"/>
              <w:left w:type="dxa" w:w="200"/>
              <w:bottom w:type="dxa" w:w="120"/>
              <w:right w:type="dxa" w:w="200"/>
            </w:tcMar>
          </w:tcPr>
          <w:p>
            <w:pPr>
              <w:spacing w:after="60" w:before="60"/>
            </w:pPr>
            <w:r>
              <w:rPr>
                <w:rFonts w:ascii="Arial" w:cs="Arial" w:eastAsia="Arial" w:hAnsi="Arial"/>
                <w:b/>
                <w:bCs/>
                <w:color w:val="2E86C1"/>
                <w:sz w:val="20"/>
                <w:szCs w:val="20"/>
              </w:rPr>
              <w:t xml:space="preserve">STF RE 600.501 — Vedação ao tempo fictício</w:t>
            </w:r>
          </w:p>
          <w:p>
            <w:pPr>
              <w:spacing w:after="40" w:before="40"/>
            </w:pPr>
            <w:r>
              <w:rPr>
                <w:rFonts w:ascii="Arial" w:cs="Arial" w:eastAsia="Arial" w:hAnsi="Arial"/>
                <w:sz w:val="19"/>
                <w:szCs w:val="19"/>
              </w:rPr>
              <w:t xml:space="preserve">O STF, no RE 600.501 (Tema 340), fixou que "não se pode contar tempo de serviço fictício." O julgamento consolidou a vedação constitucional e reforçou que, a partir da EC 20/1998, nenhuma legislação infraconstitucional pode criar novas formas de contagem de tempo sem efetiva contribuição ou exercício de atividade. A decisão tem repercussão geral e vincula todos os tribunais. Para o RGPS, o impacto é indireto: a vedação atinge principalmente os RPPSs, mas reflete-se na contagem recíproca (CTC com tempo fictício é recusada pelo INSS).</w:t>
            </w:r>
          </w:p>
        </w:tc>
      </w:tr>
    </w:tbl>
    <w:p>
      <w:pPr>
        <w:spacing w:after="200"/>
      </w:pPr>
    </w:p>
    <w:p>
      <w:pPr>
        <w:spacing w:after="140" w:before="280"/>
      </w:pPr>
      <w:r>
        <w:rPr>
          <w:rFonts w:ascii="Arial" w:cs="Arial" w:eastAsia="Arial" w:hAnsi="Arial"/>
          <w:b/>
          <w:bCs/>
          <w:color w:val="2E86C1"/>
          <w:sz w:val="23"/>
          <w:szCs w:val="23"/>
        </w:rPr>
        <w:t xml:space="preserve">5.10.5 Impacto da vedação no RGPS</w:t>
      </w:r>
    </w:p>
    <w:p>
      <w:pPr>
        <w:spacing w:after="100" w:before="100"/>
        <w:jc w:val="both"/>
      </w:pPr>
      <w:r>
        <w:rPr>
          <w:rFonts w:ascii="Arial" w:cs="Arial" w:eastAsia="Arial" w:hAnsi="Arial"/>
          <w:sz w:val="21"/>
          <w:szCs w:val="21"/>
        </w:rPr>
        <w:t xml:space="preserve">No RGPS, o impacto prático da vedação ao tempo fictício é limitado, pois o regime sempre operou predominantemente com base em tempo efetivo. As situações em que a vedação pode ser invocada nos JEFs são: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Tentativa de cômputo de licença-prêmio em dobro por ex-servidor: Quando o ex-servidor busca aposentadoria no RGPS e pretende levar tempo fictício (licença-prêmio em dobro) via CTC, o INSS pode recusar com fundamento na vedação.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Conversão de tempo especial pós-EC 103: A vedação é invocada pelo INSS para negar a conversão de tempo especial em comum para períodos posteriores a 13/11/2019, argumentando que o acréscimo resultante da conversão configura tempo fictício. A questão é objeto da ADI 6.309 no STF.</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Tempo residência médica: Algumas legislações estaduais anteriormente computavam a residência médica em dobro. Com a vedação, esse cômputo não é mais admitido em nenhum regime.</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5.11 Conversão de Tempo Especial em Comum</w:t>
      </w:r>
    </w:p>
    <w:p>
      <w:pPr>
        <w:spacing w:after="140" w:before="280"/>
      </w:pPr>
      <w:r>
        <w:rPr>
          <w:rFonts w:ascii="Arial" w:cs="Arial" w:eastAsia="Arial" w:hAnsi="Arial"/>
          <w:b/>
          <w:bCs/>
          <w:color w:val="2E86C1"/>
          <w:sz w:val="23"/>
          <w:szCs w:val="23"/>
        </w:rPr>
        <w:t xml:space="preserve">5.11.1 Mecanismo da conversão e fatores aplicáveis</w:t>
      </w:r>
    </w:p>
    <w:p>
      <w:pPr>
        <w:spacing w:after="100" w:before="100"/>
        <w:jc w:val="both"/>
      </w:pPr>
      <w:r>
        <w:rPr>
          <w:rFonts w:ascii="Arial" w:cs="Arial" w:eastAsia="Arial" w:hAnsi="Arial"/>
          <w:sz w:val="21"/>
          <w:szCs w:val="21"/>
        </w:rPr>
        <w:t xml:space="preserve">A conversão de tempo especial em comum é o instrumento pelo qual o segurado que exerceu atividade em condições nocivas à saúde ou à integridade física, mas não completou o tempo necessário para aposentadoria especial (15, 20 ou 25 anos), pode transformar o período especial em tempo de contribuição comum mediante aplicação de fator multiplicador. O mecanismo está previsto no art. 57, § 5º, da Lei 8.213/91 e regulamentado pelo art. 70 do Decreto 3.048/99.</w:t>
      </w:r>
    </w:p>
    <w:p>
      <w:pPr>
        <w:spacing w:after="100" w:before="100"/>
        <w:jc w:val="both"/>
      </w:pPr>
      <w:r>
        <w:rPr>
          <w:rFonts w:ascii="Arial" w:cs="Arial" w:eastAsia="Arial" w:hAnsi="Arial"/>
          <w:sz w:val="21"/>
          <w:szCs w:val="21"/>
        </w:rPr>
        <w:t xml:space="preserve">Os fatores de conversão são calculados pela razão entre o tempo máximo de contribuição para aposentadoria comum (35 anos para homem, 30 para mulher) e o tempo exigido para aposentadoria especial:</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Tempo especial</w:t>
            </w:r>
          </w:p>
        </w:tc>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Fator (Homem)</w:t>
            </w:r>
          </w:p>
        </w:tc>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Fator (Mulher)</w:t>
            </w:r>
          </w:p>
        </w:tc>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Cálculo</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25 anos</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1,40</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1,20</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35/25 = 1,40 ; 30/25 = 1,20</w:t>
            </w:r>
          </w:p>
        </w:tc>
      </w:tr>
      <w:tr>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 anos</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1,75</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1,50</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35/20 = 1,75 ; 30/20 = 1,50</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15 anos</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2,33</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2,00</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35/15 = 2,33 ; 30/15 = 2,00</w:t>
            </w:r>
          </w:p>
        </w:tc>
      </w:tr>
    </w:tbl>
    <w:p>
      <w:pPr>
        <w:spacing w:after="160"/>
      </w:pPr>
    </w:p>
    <w:p>
      <w:pPr>
        <w:spacing w:after="100" w:before="100"/>
        <w:jc w:val="both"/>
      </w:pPr>
      <w:r>
        <w:rPr>
          <w:rFonts w:ascii="Arial" w:cs="Arial" w:eastAsia="Arial" w:hAnsi="Arial"/>
          <w:sz w:val="21"/>
          <w:szCs w:val="21"/>
        </w:rPr>
        <w:t xml:space="preserve">A aplicação é simples: multiplica-se o tempo de atividade especial pelo fator correspondente. Assim, 10 anos de atividade especial (25 anos) de um segurado homem convertem-se em 14 anos de tempo comum (10 × 1,40 = 14). O segurado "ganha" 4 anos de tempo de contribuição pelo exercício de atividade em condições nocivas.</w:t>
      </w:r>
    </w:p>
    <w:p>
      <w:pPr>
        <w:spacing w:after="140" w:before="280"/>
      </w:pPr>
      <w:r>
        <w:rPr>
          <w:rFonts w:ascii="Arial" w:cs="Arial" w:eastAsia="Arial" w:hAnsi="Arial"/>
          <w:b/>
          <w:bCs/>
          <w:color w:val="2E86C1"/>
          <w:sz w:val="23"/>
          <w:szCs w:val="23"/>
        </w:rPr>
        <w:t xml:space="preserve">5.11.2 STJ Tema 422 — Fator aplicável e direito à conversão</w:t>
      </w:r>
    </w:p>
    <w:p>
      <w:pPr>
        <w:spacing w:after="100" w:before="100"/>
        <w:jc w:val="both"/>
      </w:pPr>
      <w:r>
        <w:rPr>
          <w:rFonts w:ascii="Arial" w:cs="Arial" w:eastAsia="Arial" w:hAnsi="Arial"/>
          <w:sz w:val="21"/>
          <w:szCs w:val="21"/>
        </w:rPr>
        <w:t xml:space="preserve">O STJ, no Tema 422 (REsp 1.310.034/PR), fixou duas teses essenciais:</w:t>
      </w:r>
    </w:p>
    <w:p>
      <w:pPr>
        <w:spacing w:after="60" w:before="60"/>
        <w:ind w:left="360"/>
      </w:pPr>
      <w:r>
        <w:rPr>
          <w:rFonts w:ascii="Arial" w:cs="Arial" w:eastAsia="Arial" w:hAnsi="Arial"/>
          <w:b/>
          <w:bCs/>
          <w:sz w:val="21"/>
          <w:szCs w:val="21"/>
        </w:rPr>
        <w:t xml:space="preserve">1. </w:t>
      </w:r>
      <w:r>
        <w:rPr>
          <w:rFonts w:ascii="Arial" w:cs="Arial" w:eastAsia="Arial" w:hAnsi="Arial"/>
          <w:sz w:val="21"/>
          <w:szCs w:val="21"/>
        </w:rPr>
        <w:t xml:space="preserve">Permanência do direito à conversão: A possibilidade de conversão do tempo especial em comum permanece vigente para qualquer período trabalhado, inclusive após 28/05/1998. A Lei 9.711/1998 não revogou o art. 57, § 5º, da Lei 8.213/91.</w:t>
      </w:r>
    </w:p>
    <w:p>
      <w:pPr>
        <w:spacing w:after="60" w:before="60"/>
        <w:ind w:left="360"/>
      </w:pPr>
      <w:r>
        <w:rPr>
          <w:rFonts w:ascii="Arial" w:cs="Arial" w:eastAsia="Arial" w:hAnsi="Arial"/>
          <w:b/>
          <w:bCs/>
          <w:sz w:val="21"/>
          <w:szCs w:val="21"/>
        </w:rPr>
        <w:t xml:space="preserve">2. </w:t>
      </w:r>
      <w:r>
        <w:rPr>
          <w:rFonts w:ascii="Arial" w:cs="Arial" w:eastAsia="Arial" w:hAnsi="Arial"/>
          <w:sz w:val="21"/>
          <w:szCs w:val="21"/>
        </w:rPr>
        <w:t xml:space="preserve">Fator da data da concessão: O fator de conversão aplicável é o previsto na legislação vigente na data da concessão do benefício, não na data em que o trabalho especial foi exercido. Isso significa que períodos antigos (décadas de 1970/1980) podem ser convertidos com os fatores atuais (1,40/1,20 para 25 anos).</w:t>
      </w:r>
    </w:p>
    <w:p>
      <w:pPr>
        <w:spacing w:after="100" w:before="100"/>
        <w:jc w:val="both"/>
      </w:pPr>
      <w:r>
        <w:rPr>
          <w:rFonts w:ascii="Arial" w:cs="Arial" w:eastAsia="Arial" w:hAnsi="Arial"/>
          <w:sz w:val="21"/>
          <w:szCs w:val="21"/>
        </w:rPr>
        <w:t xml:space="preserve">A segunda tese tem implicação prática relevante: antes do Tema 422, havia controvérsia sobre a possibilidade de aplicar fatores mais recentes a períodos especiais antigos. Com a fixação da tese, consolidou-se que o fator é sempre o vigente na data da aposentadoria, independentemente de quando o trabalho especial foi exercido.</w:t>
      </w:r>
    </w:p>
    <w:p>
      <w:pPr>
        <w:spacing w:after="140" w:before="280"/>
      </w:pPr>
      <w:r>
        <w:rPr>
          <w:rFonts w:ascii="Arial" w:cs="Arial" w:eastAsia="Arial" w:hAnsi="Arial"/>
          <w:b/>
          <w:bCs/>
          <w:color w:val="2E86C1"/>
          <w:sz w:val="23"/>
          <w:szCs w:val="23"/>
        </w:rPr>
        <w:t xml:space="preserve">5.11.3 Vedação pela EC 103/2019 — art. 25, § 2º</w:t>
      </w:r>
    </w:p>
    <w:p>
      <w:pPr>
        <w:spacing w:after="100" w:before="100"/>
        <w:jc w:val="both"/>
      </w:pPr>
      <w:r>
        <w:rPr>
          <w:rFonts w:ascii="Arial" w:cs="Arial" w:eastAsia="Arial" w:hAnsi="Arial"/>
          <w:sz w:val="21"/>
          <w:szCs w:val="21"/>
        </w:rPr>
        <w:t xml:space="preserve">O art. 25, § 2º, da EC 103/2019 dispõe que será reconhecida a conversão de tempo especial em comum apenas para o trabalho exercido até a data de entrada em vigor da emenda (13/11/2019). Para períodos trabalhados em condições especiais após essa data, a conversão está vedada.</w:t>
      </w:r>
    </w:p>
    <w:p>
      <w:pPr>
        <w:spacing w:after="100" w:before="100"/>
        <w:jc w:val="both"/>
      </w:pPr>
      <w:r>
        <w:rPr>
          <w:rFonts w:ascii="Arial" w:cs="Arial" w:eastAsia="Arial" w:hAnsi="Arial"/>
          <w:sz w:val="21"/>
          <w:szCs w:val="21"/>
        </w:rPr>
        <w:t xml:space="preserve">A vedação significa que o segurado que trabalha em condições nocivas após 13/11/2019 somente poderá utilizar esse tempo para fins de aposentadoria especial (com os novos requisitos de idade + tempo), mas não poderá converter o período em tempo comum para aposentadoria programada. A restrição é significativa, especialmente para segurados que não completarão 25 anos de atividade especial e que, sob o regime anterior, poderiam converter os anos especiais trabalhados em tempo comum com acréscimo.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6"/>
              <w:left w:val="single" w:color="2E86C1" w:sz="6"/>
              <w:bottom w:val="single" w:color="2E86C1" w:sz="6"/>
              <w:right w:val="single" w:color="2E86C1" w:sz="6"/>
            </w:tcBorders>
            <w:shd w:fill="EBF5FB" w:val="clear"/>
            <w:tcMar>
              <w:top w:type="dxa" w:w="120"/>
              <w:left w:type="dxa" w:w="200"/>
              <w:bottom w:type="dxa" w:w="120"/>
              <w:right w:type="dxa" w:w="200"/>
            </w:tcMar>
          </w:tcPr>
          <w:p>
            <w:pPr>
              <w:spacing w:after="60" w:before="60"/>
            </w:pPr>
            <w:r>
              <w:rPr>
                <w:rFonts w:ascii="Arial" w:cs="Arial" w:eastAsia="Arial" w:hAnsi="Arial"/>
                <w:b/>
                <w:bCs/>
                <w:color w:val="2E86C1"/>
                <w:sz w:val="20"/>
                <w:szCs w:val="20"/>
              </w:rPr>
              <w:t xml:space="preserve">ADI 6.309 — Constitucionalidade da vedação à conversão</w:t>
            </w:r>
          </w:p>
          <w:p>
            <w:pPr>
              <w:spacing w:after="40" w:before="40"/>
            </w:pPr>
            <w:r>
              <w:rPr>
                <w:rFonts w:ascii="Arial" w:cs="Arial" w:eastAsia="Arial" w:hAnsi="Arial"/>
                <w:sz w:val="19"/>
                <w:szCs w:val="19"/>
              </w:rPr>
              <w:t xml:space="preserve">A CNTI (Confederação Nacional dos Trabalhadores na Indústria) ajuizou a ADI 6.309 questionando, entre outros pontos, a constitucionalidade da vedação à conversão de tempo especial em comum pelo art. 25, § 2º, da EC 103/2019. O argumento central é que a conversão constitui compensação pelo exercício de atividade nociva à saúde, tendo natureza indenizatória — sua supressão violaria o princípio da proteção ao trabalhador e a vedação ao retrocesso social. O julgamento encontra-se suspenso no STF (placar parcial de 2×2 — pela constitucionalidade: Min. Barroso e Gilmar Mendes; pela inconstitucionalidade: Min. Fachin e Rosa Weber). Até decisão final, a vedação permanece vigente.</w:t>
            </w:r>
          </w:p>
        </w:tc>
      </w:tr>
    </w:tbl>
    <w:p>
      <w:pPr>
        <w:spacing w:after="200"/>
      </w:pPr>
    </w:p>
    <w:p>
      <w:pPr>
        <w:spacing w:after="140" w:before="280"/>
      </w:pPr>
      <w:r>
        <w:rPr>
          <w:rFonts w:ascii="Arial" w:cs="Arial" w:eastAsia="Arial" w:hAnsi="Arial"/>
          <w:b/>
          <w:bCs/>
          <w:color w:val="2E86C1"/>
          <w:sz w:val="23"/>
          <w:szCs w:val="23"/>
        </w:rPr>
        <w:t xml:space="preserve">5.11.4 Direito adquirido e marco temporal</w:t>
      </w:r>
    </w:p>
    <w:p>
      <w:pPr>
        <w:spacing w:after="100" w:before="100"/>
        <w:jc w:val="both"/>
      </w:pPr>
      <w:r>
        <w:rPr>
          <w:rFonts w:ascii="Arial" w:cs="Arial" w:eastAsia="Arial" w:hAnsi="Arial"/>
          <w:sz w:val="21"/>
          <w:szCs w:val="21"/>
        </w:rPr>
        <w:t xml:space="preserve">A questão do marco temporal é crucial: o segurado que exerceu atividade especial até 13/11/2019 mantém o direito de converter esse período específico em tempo comum, mesmo que requeira a aposentadoria anos depois. A vedação atinge apenas períodos trabalhados após a publicação da EC 103/2019.</w:t>
      </w:r>
    </w:p>
    <w:p>
      <w:pPr>
        <w:spacing w:after="100" w:before="100"/>
        <w:jc w:val="both"/>
      </w:pPr>
      <w:r>
        <w:rPr>
          <w:rFonts w:ascii="Arial" w:cs="Arial" w:eastAsia="Arial" w:hAnsi="Arial"/>
          <w:sz w:val="21"/>
          <w:szCs w:val="21"/>
        </w:rPr>
        <w:t xml:space="preserve">Assim, um segurado que trabalhou em condições especiais de 2000 a 2025 terá duas "parcelas" de tempo especial:</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De 2000 a 13/11/2019 (19 anos e ~10 meses): conversível em tempo comum (× 1,40 para homem = ~27 anos e 9 meses);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De 14/11/2019 a 2025 (~5 anos e 1 mês): não conversível, aproveitável apenas para aposentadoria especial.</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Estratégia para período especial misto (antes/depois da EC 103)</w:t>
            </w:r>
          </w:p>
          <w:p>
            <w:pPr>
              <w:spacing w:after="40" w:before="40"/>
            </w:pPr>
            <w:r>
              <w:rPr>
                <w:rFonts w:ascii="Arial" w:cs="Arial" w:eastAsia="Arial" w:hAnsi="Arial"/>
                <w:sz w:val="19"/>
                <w:szCs w:val="19"/>
              </w:rPr>
              <w:t xml:space="preserve">Para segurados com período especial que transpassa 13/11/2019, a melhor estratégia é: (1) converter o período anterior à EC em tempo comum (fator 1,40/1,20); (2) avaliar se o período posterior, somado ao anterior, completará os 25 anos para aposentadoria especial com os novos requisitos (idade mínima + pontos); (3) se não completar, usar o tempo convertido para aposentadoria programada pela regra de transição mais favorável. Essa análise deve considerar a idade atual do segurado e o tempo faltante em cada cenário.</w:t>
            </w:r>
          </w:p>
        </w:tc>
      </w:tr>
    </w:tbl>
    <w:p>
      <w:pPr>
        <w:spacing w:after="200"/>
      </w:pPr>
    </w:p>
    <w:p>
      <w:pPr>
        <w:spacing w:after="140" w:before="280"/>
      </w:pPr>
      <w:r>
        <w:rPr>
          <w:rFonts w:ascii="Arial" w:cs="Arial" w:eastAsia="Arial" w:hAnsi="Arial"/>
          <w:b/>
          <w:bCs/>
          <w:color w:val="2E86C1"/>
          <w:sz w:val="23"/>
          <w:szCs w:val="23"/>
        </w:rPr>
        <w:t xml:space="preserve">5.11.5 Exemplos numéricos de conversão</w:t>
      </w:r>
    </w:p>
    <w:p>
      <w:pPr>
        <w:spacing w:after="60" w:before="60"/>
        <w:ind w:left="360"/>
      </w:pPr>
      <w:r>
        <w:rPr>
          <w:rFonts w:ascii="Arial" w:cs="Arial" w:eastAsia="Arial" w:hAnsi="Arial"/>
          <w:sz w:val="21"/>
          <w:szCs w:val="21"/>
        </w:rPr>
        <w:t xml:space="preserve">Exemplo 1 — Conversão simples (período integral anterior à EC 103):</w:t>
      </w:r>
    </w:p>
    <w:p>
      <w:pPr>
        <w:spacing w:after="100" w:before="100"/>
        <w:jc w:val="both"/>
      </w:pPr>
      <w:r>
        <w:rPr>
          <w:rFonts w:ascii="Arial" w:cs="Arial" w:eastAsia="Arial" w:hAnsi="Arial"/>
          <w:sz w:val="21"/>
          <w:szCs w:val="21"/>
        </w:rPr>
        <w:t xml:space="preserve">Carlos trabalhou como eletricista (atividade especial de 25 anos) em indústria de 1990 a 2015 (25 anos). Em vez de requerer aposentadoria especial (que exigiria os novos requisitos de idade mínima pós-EC 103, se requerida após 13/11/2019), Carlos pode converter todo o período: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25 anos × 1,40 = 35 anos de tempo comum</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Com 35 anos de tempo comum, Carlos pode se aposentar pela regra de transição do pedágio 50% (se faltavam menos de 2 anos em 13/11/2019) ou pela regra de pontos.</w:t>
      </w:r>
    </w:p>
    <w:p>
      <w:pPr>
        <w:spacing w:after="60" w:before="60"/>
        <w:ind w:left="360"/>
      </w:pPr>
      <w:r>
        <w:rPr>
          <w:rFonts w:ascii="Arial" w:cs="Arial" w:eastAsia="Arial" w:hAnsi="Arial"/>
          <w:sz w:val="21"/>
          <w:szCs w:val="21"/>
        </w:rPr>
        <w:t xml:space="preserve">Exemplo 2 — Conversão parcial (período misto):</w:t>
      </w:r>
    </w:p>
    <w:p>
      <w:pPr>
        <w:spacing w:after="100" w:before="100"/>
        <w:jc w:val="both"/>
      </w:pPr>
      <w:r>
        <w:rPr>
          <w:rFonts w:ascii="Arial" w:cs="Arial" w:eastAsia="Arial" w:hAnsi="Arial"/>
          <w:sz w:val="21"/>
          <w:szCs w:val="21"/>
        </w:rPr>
        <w:t xml:space="preserve">Ana trabalhou como enfermeira em UTI hospitalar (atividade especial de 25 anos) de 2005 a 2026 (21 anos). Ela também tem 10 anos de atividade administrativa (não especial) anterior:</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Período especial até 13/11/2019: 14 anos e 10 meses (2005 a 13/11/2019)</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Período especial após 13/11/2019: 6 anos e 2 meses (14/11/2019 a 2026) — NÃO conversível</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Conversão do período anterior: 14 anos e 10 meses × 1,20 = 17 anos e 10 meses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Tempo comum administrativo: 10 anos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Total para aposentadoria programada: 27 anos e 10 meses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Período especial total (sem conversão): 21 anos — insuficiente para aposentadoria especial (exige 25 anos + idade)</w:t>
      </w:r>
    </w:p>
    <w:p>
      <w:pPr>
        <w:spacing w:after="100" w:before="100"/>
        <w:jc w:val="both"/>
      </w:pPr>
      <w:r>
        <w:rPr>
          <w:rFonts w:ascii="Arial" w:cs="Arial" w:eastAsia="Arial" w:hAnsi="Arial"/>
          <w:sz w:val="21"/>
          <w:szCs w:val="21"/>
        </w:rPr>
        <w:t xml:space="preserve">Neste cenário, Ana não atinge nem a aposentadoria especial (faltam 4 anos) nem a aposentadoria programada (faltam 2 anos e 2 meses de tempo, mais idade de 62 anos). Porém, a conversão lhe acresceu 3 anos fictícios (17a10m - 14a10m = 3 anos), aproximando-a significativamente da aposentadoria.</w:t>
      </w:r>
    </w:p>
    <w:p>
      <w:pPr>
        <w:spacing w:after="60" w:before="60"/>
        <w:ind w:left="360"/>
      </w:pPr>
      <w:r>
        <w:rPr>
          <w:rFonts w:ascii="Arial" w:cs="Arial" w:eastAsia="Arial" w:hAnsi="Arial"/>
          <w:sz w:val="21"/>
          <w:szCs w:val="21"/>
        </w:rPr>
        <w:t xml:space="preserve">Exemplo 3 — Impacto financeiro da conversão na pontuação:</w:t>
      </w:r>
    </w:p>
    <w:p>
      <w:pPr>
        <w:spacing w:after="100" w:before="100"/>
        <w:jc w:val="both"/>
      </w:pPr>
      <w:r>
        <w:rPr>
          <w:rFonts w:ascii="Arial" w:cs="Arial" w:eastAsia="Arial" w:hAnsi="Arial"/>
          <w:sz w:val="21"/>
          <w:szCs w:val="21"/>
        </w:rPr>
        <w:t xml:space="preserve">Roberto, 58 anos em 2026, tem 32 anos de tempo comum urbano. Se reconhecidos 5 anos de atividade especial (exposição a ruído) no início da carreira: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Sem conversão: 32 anos de TC + 58 de idade = 90 pontos (precisa de 101 em 2026 para regra de pontos — faltam 11)</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Com conversão: 5 anos × 1,40 = 7 anos convertidos. TC total = 32 - 5 + 7 = 34 anos. Pontos = 34 + 58 = 92 (faltam 9 — ainda insuficiente em 2026, mas atinge em 2030 com 62+34+4=100 ou 2029 se continuar trabalhando)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Tabela de referência rápida — ganho de tempo pela conversão</w:t>
            </w:r>
          </w:p>
          <w:p>
            <w:pPr>
              <w:spacing w:after="40" w:before="40"/>
            </w:pPr>
            <w:r>
              <w:rPr>
                <w:rFonts w:ascii="Arial" w:cs="Arial" w:eastAsia="Arial" w:hAnsi="Arial"/>
                <w:sz w:val="19"/>
                <w:szCs w:val="19"/>
              </w:rPr>
              <w:t xml:space="preserve"> |  Tempo especial (25 anos)  |  Conversão Homem (×1,40)  |  Ganho  |  Conversão Mulher (×1,20)  |  Ganho  | </w:t>
            </w:r>
          </w:p>
          <w:p>
            <w:pPr>
              <w:spacing w:after="40" w:before="40"/>
            </w:pPr>
            <w:r>
              <w:rPr>
                <w:rFonts w:ascii="Arial" w:cs="Arial" w:eastAsia="Arial" w:hAnsi="Arial"/>
                <w:sz w:val="19"/>
                <w:szCs w:val="19"/>
              </w:rPr>
              <w:t xml:space="preserve"> | --- | --- | --- | --- | --- | </w:t>
            </w:r>
          </w:p>
          <w:p>
            <w:pPr>
              <w:spacing w:after="40" w:before="40"/>
            </w:pPr>
            <w:r>
              <w:rPr>
                <w:rFonts w:ascii="Arial" w:cs="Arial" w:eastAsia="Arial" w:hAnsi="Arial"/>
                <w:sz w:val="19"/>
                <w:szCs w:val="19"/>
              </w:rPr>
              <w:t xml:space="preserve"> |  5 anos  |  7 anos  |  +2 anos  |  6 anos  |  +1 ano  | </w:t>
            </w:r>
          </w:p>
          <w:p>
            <w:pPr>
              <w:spacing w:after="40" w:before="40"/>
            </w:pPr>
            <w:r>
              <w:rPr>
                <w:rFonts w:ascii="Arial" w:cs="Arial" w:eastAsia="Arial" w:hAnsi="Arial"/>
                <w:sz w:val="19"/>
                <w:szCs w:val="19"/>
              </w:rPr>
              <w:t xml:space="preserve"> |  10 anos  |  14 anos  |  +4 anos  |  12 anos  |  +2 anos  | </w:t>
            </w:r>
          </w:p>
          <w:p>
            <w:pPr>
              <w:spacing w:after="40" w:before="40"/>
            </w:pPr>
            <w:r>
              <w:rPr>
                <w:rFonts w:ascii="Arial" w:cs="Arial" w:eastAsia="Arial" w:hAnsi="Arial"/>
                <w:sz w:val="19"/>
                <w:szCs w:val="19"/>
              </w:rPr>
              <w:t xml:space="preserve"> |  15 anos  |  21 anos  |  +6 anos  |  18 anos  |  +3 anos  | </w:t>
            </w:r>
          </w:p>
          <w:p>
            <w:pPr>
              <w:spacing w:after="40" w:before="40"/>
            </w:pPr>
            <w:r>
              <w:rPr>
                <w:rFonts w:ascii="Arial" w:cs="Arial" w:eastAsia="Arial" w:hAnsi="Arial"/>
                <w:sz w:val="19"/>
                <w:szCs w:val="19"/>
              </w:rPr>
              <w:t xml:space="preserve"> |  20 anos  |  28 anos  |  +8 anos  |  24 anos  |  +4 anos  | </w:t>
            </w:r>
          </w:p>
          <w:p>
            <w:pPr>
              <w:spacing w:after="40" w:before="40"/>
            </w:pPr>
            <w:r>
              <w:rPr>
                <w:rFonts w:ascii="Arial" w:cs="Arial" w:eastAsia="Arial" w:hAnsi="Arial"/>
                <w:sz w:val="19"/>
                <w:szCs w:val="19"/>
              </w:rPr>
              <w:t xml:space="preserve"> |  25 anos  |  35 anos  |  +10 anos  |  30 anos  |  +5 anos  | </w:t>
            </w:r>
          </w:p>
          <w:p>
            <w:pPr>
              <w:spacing w:after="40" w:before="40"/>
            </w:pPr>
            <w:r>
              <w:rPr>
                <w:rFonts w:ascii="Arial" w:cs="Arial" w:eastAsia="Arial" w:hAnsi="Arial"/>
                <w:sz w:val="19"/>
                <w:szCs w:val="19"/>
              </w:rPr>
              <w:t xml:space="preserve">Para atividades com enquadramento em 20 anos (mineração subterrânea, exposição a asbesto): Homem ×1,75 (ganho de 75%); Mulher ×1,50 (ganho de 50%). Para 15 anos: Homem ×2,33; Mulher ×2,00.</w:t>
            </w:r>
          </w:p>
        </w:tc>
      </w:tr>
    </w:tbl>
    <w:p>
      <w:pPr>
        <w:spacing w:after="200"/>
      </w:pPr>
    </w:p>
    <w:p>
      <w:pPr>
        <w:spacing w:after="140" w:before="280"/>
      </w:pPr>
      <w:r>
        <w:rPr>
          <w:rFonts w:ascii="Arial" w:cs="Arial" w:eastAsia="Arial" w:hAnsi="Arial"/>
          <w:b/>
          <w:bCs/>
          <w:color w:val="2E86C1"/>
          <w:sz w:val="23"/>
          <w:szCs w:val="23"/>
        </w:rPr>
        <w:t xml:space="preserve">5.11.6 Enquadramento profissional e períodos especiais antigos</w:t>
      </w:r>
    </w:p>
    <w:p>
      <w:pPr>
        <w:spacing w:after="100" w:before="100"/>
        <w:jc w:val="both"/>
      </w:pPr>
      <w:r>
        <w:rPr>
          <w:rFonts w:ascii="Arial" w:cs="Arial" w:eastAsia="Arial" w:hAnsi="Arial"/>
          <w:sz w:val="21"/>
          <w:szCs w:val="21"/>
        </w:rPr>
        <w:t xml:space="preserve">Para períodos anteriores a 29/04/1995 (véspera da Lei 9.032/1995), o reconhecimento da atividade especial pode se dar por enquadramento na categoria profissional, sem necessidade de prova de exposição efetiva a agentes nocivos. Os Decretos 53.831/1964 e 83.080/1979 listavam categorias profissionais presumidamente expostas (médicos, enfermeiros, engenheiros elétricos, motoristas de ônibus, frentistas, etc.).</w:t>
      </w:r>
    </w:p>
    <w:p>
      <w:pPr>
        <w:spacing w:after="100" w:before="100"/>
        <w:jc w:val="both"/>
      </w:pPr>
      <w:r>
        <w:rPr>
          <w:rFonts w:ascii="Arial" w:cs="Arial" w:eastAsia="Arial" w:hAnsi="Arial"/>
          <w:sz w:val="21"/>
          <w:szCs w:val="21"/>
        </w:rPr>
        <w:t xml:space="preserve">Para períodos entre 29/04/1995 e 05/03/1997, admite-se o enquadramento por categoria profissional ou por comprovação de exposição a agentes nocivos por qualquer meio (inclusive formulários SB-40, DISES-BE 5235, DSS 8030).</w:t>
      </w:r>
    </w:p>
    <w:p>
      <w:pPr>
        <w:spacing w:after="100" w:before="100"/>
        <w:jc w:val="both"/>
      </w:pPr>
      <w:r>
        <w:rPr>
          <w:rFonts w:ascii="Arial" w:cs="Arial" w:eastAsia="Arial" w:hAnsi="Arial"/>
          <w:sz w:val="21"/>
          <w:szCs w:val="21"/>
        </w:rPr>
        <w:t xml:space="preserve">Para períodos a partir de 06/03/1997 (Decreto 2.172/1997), exige-se laudo técnico — e a partir de 01/01/2004, o PPP (Perfil Profissiográfico Previdenciário) é obrigatório.</w:t>
      </w:r>
    </w:p>
    <w:p>
      <w:pPr>
        <w:spacing w:after="100" w:before="100"/>
        <w:jc w:val="both"/>
      </w:pPr>
      <w:r>
        <w:rPr>
          <w:rFonts w:ascii="Arial" w:cs="Arial" w:eastAsia="Arial" w:hAnsi="Arial"/>
          <w:sz w:val="21"/>
          <w:szCs w:val="21"/>
        </w:rPr>
        <w:t xml:space="preserve">Essa evolução temporal é fundamental para a conversão: períodos especiais antigos (décadas de 1970/1980) podem ser reconhecidos apenas pela categoria profissional, convertidos com o fator 1,40/1,20, e somados ao tempo comum — sem necessidade de laudos técnicos ou PPP.</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6"/>
              <w:left w:val="single" w:color="2E86C1" w:sz="6"/>
              <w:bottom w:val="single" w:color="2E86C1" w:sz="6"/>
              <w:right w:val="single" w:color="2E86C1" w:sz="6"/>
            </w:tcBorders>
            <w:shd w:fill="EBF5FB" w:val="clear"/>
            <w:tcMar>
              <w:top w:type="dxa" w:w="120"/>
              <w:left w:type="dxa" w:w="200"/>
              <w:bottom w:type="dxa" w:w="120"/>
              <w:right w:type="dxa" w:w="200"/>
            </w:tcMar>
          </w:tcPr>
          <w:p>
            <w:pPr>
              <w:spacing w:after="60" w:before="60"/>
            </w:pPr>
            <w:r>
              <w:rPr>
                <w:rFonts w:ascii="Arial" w:cs="Arial" w:eastAsia="Arial" w:hAnsi="Arial"/>
                <w:b/>
                <w:bCs/>
                <w:color w:val="2E86C1"/>
                <w:sz w:val="20"/>
                <w:szCs w:val="20"/>
              </w:rPr>
              <w:t xml:space="preserve">STJ Tema 999 — Enquadramento por categoria profissional</w:t>
            </w:r>
          </w:p>
          <w:p>
            <w:pPr>
              <w:spacing w:after="40" w:before="40"/>
            </w:pPr>
            <w:r>
              <w:rPr>
                <w:rFonts w:ascii="Arial" w:cs="Arial" w:eastAsia="Arial" w:hAnsi="Arial"/>
                <w:sz w:val="19"/>
                <w:szCs w:val="19"/>
              </w:rPr>
              <w:t xml:space="preserve">O STJ, no Tema 999, confirmou que para o período anterior à Lei 9.032/1995, o reconhecimento da atividade especial pode se dar por enquadramento na categoria profissional prevista nos Decretos 53.831/1964 e 83.080/1979. Não se exige laudo técnico ou PPP para esses períodos. A tese beneficia especialmente trabalhadores que exerceram profissões típicas de exposição (vigilantes, telefonistas, motoristas) em épocas nas quais a documentação patronal era precária.</w:t>
            </w:r>
          </w:p>
        </w:tc>
      </w:tr>
    </w:tbl>
    <w:p>
      <w:pPr>
        <w:spacing w:after="200"/>
      </w:pPr>
    </w:p>
    <w:p>
      <w:pPr>
        <w:spacing w:after="140" w:before="280"/>
      </w:pPr>
      <w:r>
        <w:rPr>
          <w:rFonts w:ascii="Arial" w:cs="Arial" w:eastAsia="Arial" w:hAnsi="Arial"/>
          <w:b/>
          <w:bCs/>
          <w:color w:val="2E86C1"/>
          <w:sz w:val="23"/>
          <w:szCs w:val="23"/>
        </w:rPr>
        <w:t xml:space="preserve">5.11.7 Conversão inversa: tempo comum em especial</w:t>
      </w:r>
    </w:p>
    <w:p>
      <w:pPr>
        <w:spacing w:after="100" w:before="100"/>
        <w:jc w:val="both"/>
      </w:pPr>
      <w:r>
        <w:rPr>
          <w:rFonts w:ascii="Arial" w:cs="Arial" w:eastAsia="Arial" w:hAnsi="Arial"/>
          <w:sz w:val="21"/>
          <w:szCs w:val="21"/>
        </w:rPr>
        <w:t xml:space="preserve">O art. 70, § 2º, do Decreto 3.048/99 vedou a conversão inversa (tempo comum em tempo especial) a partir de 28/05/1998. Para períodos anteriores a essa data, a conversão inversa era admitida, com fatores invertidos (0,71 para homem, 0,83 para mulher, no caso de 25 anos). Atualmente, a conversão opera exclusivamente em sentido unidirecional: de especial para comum.</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5.12 Acordos Internacionais Previdenciários</w:t>
      </w:r>
    </w:p>
    <w:p>
      <w:pPr>
        <w:spacing w:after="140" w:before="280"/>
      </w:pPr>
      <w:r>
        <w:rPr>
          <w:rFonts w:ascii="Arial" w:cs="Arial" w:eastAsia="Arial" w:hAnsi="Arial"/>
          <w:b/>
          <w:bCs/>
          <w:color w:val="2E86C1"/>
          <w:sz w:val="23"/>
          <w:szCs w:val="23"/>
        </w:rPr>
        <w:t xml:space="preserve">5.12.1 Fundamento e natureza jurídica</w:t>
      </w:r>
    </w:p>
    <w:p>
      <w:pPr>
        <w:spacing w:after="100" w:before="100"/>
        <w:jc w:val="both"/>
      </w:pPr>
      <w:r>
        <w:rPr>
          <w:rFonts w:ascii="Arial" w:cs="Arial" w:eastAsia="Arial" w:hAnsi="Arial"/>
          <w:sz w:val="21"/>
          <w:szCs w:val="21"/>
        </w:rPr>
        <w:t xml:space="preserve">Os acordos internacionais previdenciários são tratados bilaterais ou multilaterais firmados pelo Brasil com outros países, com o objetivo de garantir a proteção previdenciária de trabalhadores que exercem ou exerceram atividade em mais de um país signatário. Esses acordos têm status supralegal no ordenamento brasileiro (abaixo da Constituição, acima da lei ordinária) e são promulgados por decreto presidencial após aprovação legislativa.</w:t>
      </w:r>
    </w:p>
    <w:p>
      <w:pPr>
        <w:spacing w:after="100" w:before="100"/>
        <w:jc w:val="both"/>
      </w:pPr>
      <w:r>
        <w:rPr>
          <w:rFonts w:ascii="Arial" w:cs="Arial" w:eastAsia="Arial" w:hAnsi="Arial"/>
          <w:sz w:val="21"/>
          <w:szCs w:val="21"/>
        </w:rPr>
        <w:t xml:space="preserve">O Decreto 3.048/99, em seu art. 150-A (incluído pelo Decreto 10.410/2020), disciplina as regras gerais de aplicação dos acordos internacionais no âmbito do RGPS. O INSS é o órgão de ligação brasileiro (liaison body) responsável pela operacionalização dos acordos.</w:t>
      </w:r>
    </w:p>
    <w:p>
      <w:pPr>
        <w:spacing w:after="140" w:before="280"/>
      </w:pPr>
      <w:r>
        <w:rPr>
          <w:rFonts w:ascii="Arial" w:cs="Arial" w:eastAsia="Arial" w:hAnsi="Arial"/>
          <w:b/>
          <w:bCs/>
          <w:color w:val="2E86C1"/>
          <w:sz w:val="23"/>
          <w:szCs w:val="23"/>
        </w:rPr>
        <w:t xml:space="preserve">5.12.2 Mecanismo de totalização</w:t>
      </w:r>
    </w:p>
    <w:p>
      <w:pPr>
        <w:spacing w:after="100" w:before="100"/>
        <w:jc w:val="both"/>
      </w:pPr>
      <w:r>
        <w:rPr>
          <w:rFonts w:ascii="Arial" w:cs="Arial" w:eastAsia="Arial" w:hAnsi="Arial"/>
          <w:sz w:val="21"/>
          <w:szCs w:val="21"/>
        </w:rPr>
        <w:t xml:space="preserve">O princípio fundamental dos acordos internacionais previdenciários é a totalização: os períodos de contribuição cumpridos em cada país signatário são somados para que o segurado atinja os requisitos mínimos de aposentadoria (tempo de contribuição e/ou carência) em um dos países.</w:t>
      </w:r>
    </w:p>
    <w:p>
      <w:pPr>
        <w:spacing w:after="100" w:before="100"/>
        <w:jc w:val="both"/>
      </w:pPr>
      <w:r>
        <w:rPr>
          <w:rFonts w:ascii="Arial" w:cs="Arial" w:eastAsia="Arial" w:hAnsi="Arial"/>
          <w:sz w:val="21"/>
          <w:szCs w:val="21"/>
        </w:rPr>
        <w:t xml:space="preserve">O mecanismo opera da seguinte forma:</w:t>
      </w:r>
    </w:p>
    <w:p>
      <w:pPr>
        <w:spacing w:after="60" w:before="60"/>
        <w:ind w:left="360"/>
      </w:pPr>
      <w:r>
        <w:rPr>
          <w:rFonts w:ascii="Arial" w:cs="Arial" w:eastAsia="Arial" w:hAnsi="Arial"/>
          <w:b/>
          <w:bCs/>
          <w:sz w:val="21"/>
          <w:szCs w:val="21"/>
        </w:rPr>
        <w:t xml:space="preserve">1. </w:t>
      </w:r>
      <w:r>
        <w:rPr>
          <w:rFonts w:ascii="Arial" w:cs="Arial" w:eastAsia="Arial" w:hAnsi="Arial"/>
          <w:sz w:val="21"/>
          <w:szCs w:val="21"/>
        </w:rPr>
        <w:t xml:space="preserve">O segurado que trabalhou no Brasil e em país signatário solicita aposentadoria ao INSS (ou à instituição previdenciária do outro país);</w:t>
      </w:r>
    </w:p>
    <w:p>
      <w:pPr>
        <w:spacing w:after="60" w:before="60"/>
        <w:ind w:left="360"/>
      </w:pPr>
      <w:r>
        <w:rPr>
          <w:rFonts w:ascii="Arial" w:cs="Arial" w:eastAsia="Arial" w:hAnsi="Arial"/>
          <w:b/>
          <w:bCs/>
          <w:sz w:val="21"/>
          <w:szCs w:val="21"/>
        </w:rPr>
        <w:t xml:space="preserve">2. </w:t>
      </w:r>
      <w:r>
        <w:rPr>
          <w:rFonts w:ascii="Arial" w:cs="Arial" w:eastAsia="Arial" w:hAnsi="Arial"/>
          <w:sz w:val="21"/>
          <w:szCs w:val="21"/>
        </w:rPr>
        <w:t xml:space="preserve">O órgão de ligação consulta o país contraparte para obter informações sobre os períodos cumpridos naquele território;</w:t>
      </w:r>
    </w:p>
    <w:p>
      <w:pPr>
        <w:spacing w:after="60" w:before="60"/>
        <w:ind w:left="360"/>
      </w:pPr>
      <w:r>
        <w:rPr>
          <w:rFonts w:ascii="Arial" w:cs="Arial" w:eastAsia="Arial" w:hAnsi="Arial"/>
          <w:b/>
          <w:bCs/>
          <w:sz w:val="21"/>
          <w:szCs w:val="21"/>
        </w:rPr>
        <w:t xml:space="preserve">3. </w:t>
      </w:r>
      <w:r>
        <w:rPr>
          <w:rFonts w:ascii="Arial" w:cs="Arial" w:eastAsia="Arial" w:hAnsi="Arial"/>
          <w:sz w:val="21"/>
          <w:szCs w:val="21"/>
        </w:rPr>
        <w:t xml:space="preserve">Os períodos são somados (totalizados) para verificar se o segurado cumpre os requisitos;</w:t>
      </w:r>
    </w:p>
    <w:p>
      <w:pPr>
        <w:spacing w:after="60" w:before="60"/>
        <w:ind w:left="360"/>
      </w:pPr>
      <w:r>
        <w:rPr>
          <w:rFonts w:ascii="Arial" w:cs="Arial" w:eastAsia="Arial" w:hAnsi="Arial"/>
          <w:b/>
          <w:bCs/>
          <w:sz w:val="21"/>
          <w:szCs w:val="21"/>
        </w:rPr>
        <w:t xml:space="preserve">4. </w:t>
      </w:r>
      <w:r>
        <w:rPr>
          <w:rFonts w:ascii="Arial" w:cs="Arial" w:eastAsia="Arial" w:hAnsi="Arial"/>
          <w:sz w:val="21"/>
          <w:szCs w:val="21"/>
        </w:rPr>
        <w:t xml:space="preserve">Se o benefício for concedido, cada país paga proporcionalmente ao tempo de contribuição nele cumprido (cálculo pro rata temporis).</w:t>
      </w:r>
    </w:p>
    <w:p>
      <w:pPr>
        <w:spacing w:after="140" w:before="280"/>
      </w:pPr>
      <w:r>
        <w:rPr>
          <w:rFonts w:ascii="Arial" w:cs="Arial" w:eastAsia="Arial" w:hAnsi="Arial"/>
          <w:b/>
          <w:bCs/>
          <w:color w:val="2E86C1"/>
          <w:sz w:val="23"/>
          <w:szCs w:val="23"/>
        </w:rPr>
        <w:t xml:space="preserve">5.12.3 Cálculo pro rata temporis</w:t>
      </w:r>
    </w:p>
    <w:p>
      <w:pPr>
        <w:spacing w:after="100" w:before="100"/>
        <w:jc w:val="both"/>
      </w:pPr>
      <w:r>
        <w:rPr>
          <w:rFonts w:ascii="Arial" w:cs="Arial" w:eastAsia="Arial" w:hAnsi="Arial"/>
          <w:sz w:val="21"/>
          <w:szCs w:val="21"/>
        </w:rPr>
        <w:t xml:space="preserve">O cálculo pro rata temporis determina que cada país paga uma parcela do benefício proporcional ao tempo de contribuição nele cumprido. Exemplo: se o segurado trabalhou 20 anos no Brasil e 10 anos em Portugal, cumprindo os 30 anos exigidos para aposentadoria pelo acordo bilateral:</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Brasil paga 2/3 do benefício (20/30);</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Portugal paga 1/3 do benefício (10/30).</w:t>
      </w:r>
    </w:p>
    <w:p>
      <w:pPr>
        <w:spacing w:after="100" w:before="100"/>
        <w:jc w:val="both"/>
      </w:pPr>
      <w:r>
        <w:rPr>
          <w:rFonts w:ascii="Arial" w:cs="Arial" w:eastAsia="Arial" w:hAnsi="Arial"/>
          <w:sz w:val="21"/>
          <w:szCs w:val="21"/>
        </w:rPr>
        <w:t xml:space="preserve">Cada país calcula sua parcela segundo sua própria legislação interna, aplicando os percentuais e critérios locais. O resultado pode variar significativamente conforme as regras previdenciárias de cada país.</w:t>
      </w:r>
    </w:p>
    <w:p>
      <w:pPr>
        <w:spacing w:after="100" w:before="100"/>
        <w:jc w:val="both"/>
      </w:pPr>
      <w:r>
        <w:rPr>
          <w:rFonts w:ascii="Arial" w:cs="Arial" w:eastAsia="Arial" w:hAnsi="Arial"/>
          <w:sz w:val="21"/>
          <w:szCs w:val="21"/>
        </w:rPr>
        <w:t xml:space="preserve">Alguns acordos preveem cláusula de benefício integral: quando o segurado cumpre todos os requisitos de um país considerando apenas o tempo cumprido naquele país (sem totalização), ele recebe o benefício integral daquele país, sem necessidade de pro rata.</w:t>
      </w:r>
    </w:p>
    <w:p>
      <w:pPr>
        <w:spacing w:after="140" w:before="280"/>
      </w:pPr>
      <w:r>
        <w:rPr>
          <w:rFonts w:ascii="Arial" w:cs="Arial" w:eastAsia="Arial" w:hAnsi="Arial"/>
          <w:b/>
          <w:bCs/>
          <w:color w:val="2E86C1"/>
          <w:sz w:val="23"/>
          <w:szCs w:val="23"/>
        </w:rPr>
        <w:t xml:space="preserve">5.12.4 Principais acordos bilaterais</w:t>
      </w:r>
    </w:p>
    <w:p>
      <w:pPr>
        <w:spacing w:after="100" w:before="100"/>
        <w:jc w:val="both"/>
      </w:pPr>
      <w:r>
        <w:rPr>
          <w:rFonts w:ascii="Arial" w:cs="Arial" w:eastAsia="Arial" w:hAnsi="Arial"/>
          <w:sz w:val="21"/>
          <w:szCs w:val="21"/>
        </w:rPr>
        <w:t xml:space="preserve">O Brasil possui acordos previdenciários com mais de 25 países e blocos, incluindo:</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País/Bloco</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Decreto</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Vigência</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Portugal</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Dec. 1.457/1995</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1995</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Espanha</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Dec. 1.681/1995</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1995</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Itália</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Dec. 1.576/1995</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1995</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Alemanha</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Dec. 99.377/1990</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1990</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Japão</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Dec. 7.702/2012</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2012</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EUA</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Dec. 8.358/2014</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2018 (efetivo)</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França</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Dec. 3.598/2000</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2000</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Chile</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Dec. 2.860/1998</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1998</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Coreia do Sul</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Dec. 10.514/2020</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2020</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Suíça</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Dec. 11.076/2022</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2022</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Índia</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Dec. 11.075/2022</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2022</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Luxemburgo</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Dec. 11.020/2022</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2022</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Mercosul (multilateral)</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Dec. 5.722/2006</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2006</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Ibero-Americano (multilateral)</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Dec. 8.358/2014</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2014</w:t>
            </w:r>
          </w:p>
        </w:tc>
      </w:tr>
    </w:tbl>
    <w:p>
      <w:pPr>
        <w:spacing w:after="160"/>
      </w:pPr>
    </w:p>
    <w:p>
      <w:pPr>
        <w:spacing w:after="140" w:before="280"/>
      </w:pPr>
      <w:r>
        <w:rPr>
          <w:rFonts w:ascii="Arial" w:cs="Arial" w:eastAsia="Arial" w:hAnsi="Arial"/>
          <w:b/>
          <w:bCs/>
          <w:color w:val="2E86C1"/>
          <w:sz w:val="23"/>
          <w:szCs w:val="23"/>
        </w:rPr>
        <w:t xml:space="preserve">5.12.5 Acordo Multilateral do Mercosul</w:t>
      </w:r>
    </w:p>
    <w:p>
      <w:pPr>
        <w:spacing w:after="100" w:before="100"/>
        <w:jc w:val="both"/>
      </w:pPr>
      <w:r>
        <w:rPr>
          <w:rFonts w:ascii="Arial" w:cs="Arial" w:eastAsia="Arial" w:hAnsi="Arial"/>
          <w:sz w:val="21"/>
          <w:szCs w:val="21"/>
        </w:rPr>
        <w:t xml:space="preserve">O Acordo Multilateral de Seguridade Social do Mercosul (Argentina, Brasil, Paraguai e Uruguai), promulgado pelo Decreto 5.722/2006, permite a totalização de períodos cumpridos em qualquer dos países membros. O acordo abrange: aposentadoria por idade, aposentadoria por invalidez, pensão por morte e, em alguns casos, auxílio-doença.</w:t>
      </w:r>
    </w:p>
    <w:p>
      <w:pPr>
        <w:spacing w:after="100" w:before="100"/>
        <w:jc w:val="both"/>
      </w:pPr>
      <w:r>
        <w:rPr>
          <w:rFonts w:ascii="Arial" w:cs="Arial" w:eastAsia="Arial" w:hAnsi="Arial"/>
          <w:sz w:val="21"/>
          <w:szCs w:val="21"/>
        </w:rPr>
        <w:t xml:space="preserve">O segurado que trabalhou em dois ou mais países do Mercosul apresenta o requerimento ao organismo de ligação de seu país de residência, que coordena a troca de informações com os demais países. O processamento pode ser demorado (6 meses a 2 anos), dada a necessidade de comunicação entre múltiplos organismos.</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Requerimento de totalização — aspectos práticos</w:t>
            </w:r>
          </w:p>
          <w:p>
            <w:pPr>
              <w:spacing w:after="40" w:before="40"/>
            </w:pPr>
            <w:r>
              <w:rPr>
                <w:rFonts w:ascii="Arial" w:cs="Arial" w:eastAsia="Arial" w:hAnsi="Arial"/>
                <w:sz w:val="19"/>
                <w:szCs w:val="19"/>
              </w:rPr>
              <w:t xml:space="preserve">O requerimento de benefício com totalização internacional é feito no INSS, mediante formulário específico (requerimento de acordo internacional). O segurado deve informar: país(es) onde trabalhou, períodos aproximados, número de inscrição no sistema previdenciário estrangeiro (se disponível). O INSS encaminha o pedido à Divisão de Acordos Internacionais, que promove a comunicação com o organismo de ligação do outro país. Nos JEFs, ações envolvendo acordos internacionais são admissíveis quando o INSS indefere a totalização ou demora excessivamente na análise. A competência é do JEF quando o valor da causa não ultrapassa 60 SM.</w:t>
            </w:r>
          </w:p>
        </w:tc>
      </w:tr>
    </w:tbl>
    <w:p>
      <w:pPr>
        <w:spacing w:after="200"/>
      </w:pPr>
    </w:p>
    <w:p>
      <w:pPr>
        <w:spacing w:after="140" w:before="280"/>
      </w:pPr>
      <w:r>
        <w:rPr>
          <w:rFonts w:ascii="Arial" w:cs="Arial" w:eastAsia="Arial" w:hAnsi="Arial"/>
          <w:b/>
          <w:bCs/>
          <w:color w:val="2E86C1"/>
          <w:sz w:val="23"/>
          <w:szCs w:val="23"/>
        </w:rPr>
        <w:t xml:space="preserve">5.12.6 Acordo Brasil-Japão: particularidades</w:t>
      </w:r>
    </w:p>
    <w:p>
      <w:pPr>
        <w:spacing w:after="100" w:before="100"/>
        <w:jc w:val="both"/>
      </w:pPr>
      <w:r>
        <w:rPr>
          <w:rFonts w:ascii="Arial" w:cs="Arial" w:eastAsia="Arial" w:hAnsi="Arial"/>
          <w:sz w:val="21"/>
          <w:szCs w:val="21"/>
        </w:rPr>
        <w:t xml:space="preserve">O acordo previdenciário Brasil-Japão (Decreto 7.702/2012) merece destaque pela significativa comunidade nipo-brasileira. O acordo permite:</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Totalização de períodos cumpridos nos dois países;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Isenção de contribuição obrigatória (trabalhador deslocado temporariamente contribui apenas no país de origem);</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Cálculo pro rata temporis para aposentadoria.</w:t>
      </w:r>
    </w:p>
    <w:p>
      <w:pPr>
        <w:spacing w:after="100" w:before="100"/>
        <w:jc w:val="both"/>
      </w:pPr>
      <w:r>
        <w:rPr>
          <w:rFonts w:ascii="Arial" w:cs="Arial" w:eastAsia="Arial" w:hAnsi="Arial"/>
          <w:sz w:val="21"/>
          <w:szCs w:val="21"/>
        </w:rPr>
        <w:t xml:space="preserve">A particularidade do acordo japonês é a existência de efeitos retroativos: períodos de contribuição no Japão anteriores à vigência do acordo podem ser totalizados, beneficiando os chamados "dekasseguis" (brasileiros que trabalharam no Japão nas décadas de 1990 e 2000). Essa retroatividade amplia significativamente o universo de beneficiários.</w:t>
      </w:r>
    </w:p>
    <w:p>
      <w:pPr>
        <w:spacing w:after="140" w:before="280"/>
      </w:pPr>
      <w:r>
        <w:rPr>
          <w:rFonts w:ascii="Arial" w:cs="Arial" w:eastAsia="Arial" w:hAnsi="Arial"/>
          <w:b/>
          <w:bCs/>
          <w:color w:val="2E86C1"/>
          <w:sz w:val="23"/>
          <w:szCs w:val="23"/>
        </w:rPr>
        <w:t xml:space="preserve">5.12.7 Acordo Brasil-EUA: aspectos relevantes</w:t>
      </w:r>
    </w:p>
    <w:p>
      <w:pPr>
        <w:spacing w:after="100" w:before="100"/>
        <w:jc w:val="both"/>
      </w:pPr>
      <w:r>
        <w:rPr>
          <w:rFonts w:ascii="Arial" w:cs="Arial" w:eastAsia="Arial" w:hAnsi="Arial"/>
          <w:sz w:val="21"/>
          <w:szCs w:val="21"/>
        </w:rPr>
        <w:t xml:space="preserve">O acordo previdenciário entre Brasil e Estados Unidos (Decreto 8.358/2014, em vigor desde 01/10/2018) é relativamente recente e tem impacto crescente, dada a significativa comunidade de brasileiros que trabalham ou trabalharam nos EUA. O acordo permite:</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Totalização de períodos: Contribuições ao Social Security americano podem ser somadas ao tempo brasileiro para cumprimento de requisitos;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Isenção de dupla contribuição: Trabalhadores deslocados temporariamente (até 5 anos) contribuem apenas no país de origem;</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Benefícios abrangidos: Aposentadoria por idade, aposentadoria por invalidez e pensão por morte (survivor benefits). Não abrange Medicare ou Medicaid.</w:t>
      </w:r>
    </w:p>
    <w:p>
      <w:pPr>
        <w:spacing w:after="100" w:before="100"/>
        <w:jc w:val="both"/>
      </w:pPr>
      <w:r>
        <w:rPr>
          <w:rFonts w:ascii="Arial" w:cs="Arial" w:eastAsia="Arial" w:hAnsi="Arial"/>
          <w:sz w:val="21"/>
          <w:szCs w:val="21"/>
        </w:rPr>
        <w:t xml:space="preserve">A particularidade do acordo com os EUA é o sistema de "créditos" americano: o Social Security exige 40 créditos (aproximadamente 10 anos de trabalho) para full retirement benefits. Com a totalização, o brasileiro que trabalhou 6 anos nos EUA e 20 anos no Brasil pode usar os 26 anos totais para atingir os requisitos em ambos os países (recebendo parcelas proporcionais de cada).</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Dekasseguis e o acordo Brasil-Japão — caso prático</w:t>
            </w:r>
          </w:p>
          <w:p>
            <w:pPr>
              <w:spacing w:after="40" w:before="40"/>
            </w:pPr>
            <w:r>
              <w:rPr>
                <w:rFonts w:ascii="Arial" w:cs="Arial" w:eastAsia="Arial" w:hAnsi="Arial"/>
                <w:sz w:val="19"/>
                <w:szCs w:val="19"/>
              </w:rPr>
              <w:t xml:space="preserve">Situação comum nos JEFs: Marcos, brasileiro, trabalhou no Japão de 1995 a 2010 (15 anos) e retornou ao Brasil, onde contribuiu de 2010 a 2026 (16 anos). Sem totalização, Marcos não completa os requisitos em nenhum dos países isoladamente. Com o acordo bilateral (Decreto 7.702/2012): totalização de 31 anos → atinge os requisitos no Brasil (regra de transição com 31 anos + idade). O benefício brasileiro será calculado pro rata: 16/31 do valor integral. O Japão pagará sua parcela: 15/31 conforme regras japonesas. Marcos receberá dois pagamentos parciais, um de cada país. O requerimento é feito no INSS, que aciona o organismo japonês.</w:t>
            </w:r>
          </w:p>
        </w:tc>
      </w:tr>
    </w:tbl>
    <w:p>
      <w:pPr>
        <w:spacing w:after="200"/>
      </w:pPr>
    </w:p>
    <w:p>
      <w:pPr>
        <w:spacing w:after="140" w:before="280"/>
      </w:pPr>
      <w:r>
        <w:rPr>
          <w:rFonts w:ascii="Arial" w:cs="Arial" w:eastAsia="Arial" w:hAnsi="Arial"/>
          <w:b/>
          <w:bCs/>
          <w:color w:val="2E86C1"/>
          <w:sz w:val="23"/>
          <w:szCs w:val="23"/>
        </w:rPr>
        <w:t xml:space="preserve">5.12.8 Dificuldades práticas na operacionalização dos acordos</w:t>
      </w:r>
    </w:p>
    <w:p>
      <w:pPr>
        <w:spacing w:after="100" w:before="100"/>
        <w:jc w:val="both"/>
      </w:pPr>
      <w:r>
        <w:rPr>
          <w:rFonts w:ascii="Arial" w:cs="Arial" w:eastAsia="Arial" w:hAnsi="Arial"/>
          <w:sz w:val="21"/>
          <w:szCs w:val="21"/>
        </w:rPr>
        <w:t xml:space="preserve">A experiência nos JEFs revela dificuldades recorrentes na operacionalização dos acordos internacionais: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Demora no processamento: A comunicação entre organismos de ligação pode levar meses ou anos. O INSS deve processar formulários de ligação (BRA/JPN para Japão, BRA/USA para EUA, etc.) e aguardar confirmação do país contraparte;</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Documentação estrangeira: A obtenção de comprovantes de contribuição no exterior pode ser complexa, especialmente para países sem acordos de cooperação administrativa ágil. Muitos segurados não possuem documentos do período trabalhado no exterior;</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Conversão de moeda e cálculo pro rata: O cálculo do benefício proporcional exige conversão de valores entre sistemas previdenciários com bases de cálculo distintas;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Idioma e tradução: Documentos estrangeiros devem ser traduzidos por tradutor juramentado quando juntados em processo judicial;</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Morte do segurado no exterior: Pensão por morte em casos de óbito no exterior exige certificação pelos organismos de ligação e pode ser extremamente demorada.</w:t>
      </w:r>
    </w:p>
    <w:p>
      <w:pPr>
        <w:spacing w:after="100" w:before="100"/>
        <w:jc w:val="both"/>
      </w:pPr>
      <w:r>
        <w:rPr>
          <w:rFonts w:ascii="Arial" w:cs="Arial" w:eastAsia="Arial" w:hAnsi="Arial"/>
          <w:sz w:val="21"/>
          <w:szCs w:val="21"/>
        </w:rPr>
        <w:t xml:space="preserve">Para o advogado que atua nos JEFs, a orientação prática é: (a) verificar se existe acordo com o país em questão; (b) identificar os formulários específicos do acordo; (c) instruir o requerimento administrativo com toda a documentação disponível do período no exterior; (d) se houver indeferimento ou demora injustificada (superior a 1 ano), ajuizar ação no JEF com pedido de antecipação de tutela para que o INSS processe o requerimento.</w:t>
      </w:r>
    </w:p>
    <w:p>
      <w:pPr>
        <w:spacing w:after="140" w:before="280"/>
      </w:pPr>
      <w:r>
        <w:rPr>
          <w:rFonts w:ascii="Arial" w:cs="Arial" w:eastAsia="Arial" w:hAnsi="Arial"/>
          <w:b/>
          <w:bCs/>
          <w:color w:val="2E86C1"/>
          <w:sz w:val="23"/>
          <w:szCs w:val="23"/>
        </w:rPr>
        <w:t xml:space="preserve">5.12.9 Competência judicial e questões processuais</w:t>
      </w:r>
    </w:p>
    <w:p>
      <w:pPr>
        <w:spacing w:after="100" w:before="100"/>
        <w:jc w:val="both"/>
      </w:pPr>
      <w:r>
        <w:rPr>
          <w:rFonts w:ascii="Arial" w:cs="Arial" w:eastAsia="Arial" w:hAnsi="Arial"/>
          <w:sz w:val="21"/>
          <w:szCs w:val="21"/>
        </w:rPr>
        <w:t xml:space="preserve">Ações envolvendo acordos internacionais previdenciários são de competência da Justiça Federal (art. 109, I e III, CF), pois envolvem o INSS e podem implicar aplicação de tratado internacional. A competência do JEF é determinada pelo valor da causa (até 60 SM). Na prática, a maioria das ações de totalização internacional se enquadra na competência dos JEFs, pois o valor em discussão é o próprio benefício mensal multiplicado por 12 (raras vezes ultrapassa o teto de alçada).</w:t>
      </w:r>
    </w:p>
    <w:p>
      <w:pPr>
        <w:spacing w:after="100" w:before="100"/>
        <w:jc w:val="both"/>
      </w:pPr>
      <w:r>
        <w:rPr>
          <w:rFonts w:ascii="Arial" w:cs="Arial" w:eastAsia="Arial" w:hAnsi="Arial"/>
          <w:sz w:val="21"/>
          <w:szCs w:val="21"/>
        </w:rPr>
        <w:t xml:space="preserve">As dificuldades processuais são significativas: a obtenção de documentos do exterior pode exigir carta rogatória ou auxílio direto; a comunicação entre os organismos de ligação é lenta; as legislações estrangeiras devem ser provadas pela parte (art. 376, CPC). Na prática dos JEFs, os juízes têm admitido a expedição de ofício ao INSS (Divisão de Acordos Internacionais) para obtenção das informações, dispensando o segurado de providenciar diretamente a documentação estrangeira.</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5.13 Aspectos Práticos no JEF: Estratégias de Reconhecimento de Tempo</w:t>
      </w:r>
    </w:p>
    <w:p>
      <w:pPr>
        <w:spacing w:after="140" w:before="280"/>
      </w:pPr>
      <w:r>
        <w:rPr>
          <w:rFonts w:ascii="Arial" w:cs="Arial" w:eastAsia="Arial" w:hAnsi="Arial"/>
          <w:b/>
          <w:bCs/>
          <w:color w:val="2E86C1"/>
          <w:sz w:val="23"/>
          <w:szCs w:val="23"/>
        </w:rPr>
        <w:t xml:space="preserve">5.13.1 Competência e valor da causa</w:t>
      </w:r>
    </w:p>
    <w:p>
      <w:pPr>
        <w:spacing w:after="100" w:before="100"/>
        <w:jc w:val="both"/>
      </w:pPr>
      <w:r>
        <w:rPr>
          <w:rFonts w:ascii="Arial" w:cs="Arial" w:eastAsia="Arial" w:hAnsi="Arial"/>
          <w:sz w:val="21"/>
          <w:szCs w:val="21"/>
        </w:rPr>
        <w:t xml:space="preserve">A competência do Juizado Especial Federal para ações de reconhecimento de tempo de contribuição é determinada pelo art. 3º da Lei 10.259/2001: causas de até 60 salários mínimos (R$ 97.260,00 em 2026). O valor da causa corresponde ao benefício econômico pretendido: se o objetivo é a concessão de aposentadoria, o valor é 12 parcelas do benefício estimado mais as prestações vencidas; se é revisão, o valor é a diferença mensal multiplicada por 12 mais as diferenças pretéritas (limitadas a 5 anos).</w:t>
      </w:r>
    </w:p>
    <w:p>
      <w:pPr>
        <w:spacing w:after="100" w:before="100"/>
        <w:jc w:val="both"/>
      </w:pPr>
      <w:r>
        <w:rPr>
          <w:rFonts w:ascii="Arial" w:cs="Arial" w:eastAsia="Arial" w:hAnsi="Arial"/>
          <w:sz w:val="21"/>
          <w:szCs w:val="21"/>
        </w:rPr>
        <w:t xml:space="preserve">Importante: a ação de mero reconhecimento de tempo (sem concessão ou revisão de benefício) tem valor inestimável e, segundo a jurisprudência dominante, enquadra-se na competência do JEF por se tratar de obrigação de fazer contra autarquia federal. Essa interpretação é relevante para segurados que pretendem apenas a retificação do CNIS sem pedido imediato de benefício.</w:t>
      </w:r>
    </w:p>
    <w:p>
      <w:pPr>
        <w:spacing w:after="140" w:before="280"/>
      </w:pPr>
      <w:r>
        <w:rPr>
          <w:rFonts w:ascii="Arial" w:cs="Arial" w:eastAsia="Arial" w:hAnsi="Arial"/>
          <w:b/>
          <w:bCs/>
          <w:color w:val="2E86C1"/>
          <w:sz w:val="23"/>
          <w:szCs w:val="23"/>
        </w:rPr>
        <w:t xml:space="preserve">5.13.2 Prévio requerimento administrativo</w:t>
      </w:r>
    </w:p>
    <w:p>
      <w:pPr>
        <w:spacing w:after="100" w:before="100"/>
        <w:jc w:val="both"/>
      </w:pPr>
      <w:r>
        <w:rPr>
          <w:rFonts w:ascii="Arial" w:cs="Arial" w:eastAsia="Arial" w:hAnsi="Arial"/>
          <w:sz w:val="21"/>
          <w:szCs w:val="21"/>
        </w:rPr>
        <w:t xml:space="preserve">O STF, no RE 631.240 (Tema 350), fixou a necessidade de prévio requerimento administrativo para ações previdenciárias. Para ações de reconhecimento de tempo de contribuição, o segurado deve primeiramente requerer ao INSS o cômputo do período pretendido. O indeferimento (ou a inércia após 30 dias) configura o interesse processual necessário para o ajuizamento.</w:t>
      </w:r>
    </w:p>
    <w:p>
      <w:pPr>
        <w:spacing w:after="100" w:before="100"/>
        <w:jc w:val="both"/>
      </w:pPr>
      <w:r>
        <w:rPr>
          <w:rFonts w:ascii="Arial" w:cs="Arial" w:eastAsia="Arial" w:hAnsi="Arial"/>
          <w:sz w:val="21"/>
          <w:szCs w:val="21"/>
        </w:rPr>
        <w:t xml:space="preserve">Exceção relevante: quando o INSS já indeferiu benefício desconsiderando o período que o segurado pretende reconhecer, o prévio requerimento específico de retificação é dispensável — o indeferimento do benefício evidencia a resistência do INSS ao reconhecimento do tempo.</w:t>
      </w:r>
    </w:p>
    <w:p>
      <w:pPr>
        <w:spacing w:after="140" w:before="280"/>
      </w:pPr>
      <w:r>
        <w:rPr>
          <w:rFonts w:ascii="Arial" w:cs="Arial" w:eastAsia="Arial" w:hAnsi="Arial"/>
          <w:b/>
          <w:bCs/>
          <w:color w:val="2E86C1"/>
          <w:sz w:val="23"/>
          <w:szCs w:val="23"/>
        </w:rPr>
        <w:t xml:space="preserve">5.13.3 Justificação administrativa e judicial</w:t>
      </w:r>
    </w:p>
    <w:p>
      <w:pPr>
        <w:spacing w:after="100" w:before="100"/>
        <w:jc w:val="both"/>
      </w:pPr>
      <w:r>
        <w:rPr>
          <w:rFonts w:ascii="Arial" w:cs="Arial" w:eastAsia="Arial" w:hAnsi="Arial"/>
          <w:sz w:val="21"/>
          <w:szCs w:val="21"/>
        </w:rPr>
        <w:t xml:space="preserve">A justificação administrativa (art. 108, Lei 8.213/91, c/c arts. 571 a 578, IN 128/2022) é procedimento para produção de prova testemunhal perante o INSS, utilizada quando o segurado necessita de prova oral para complementar documentos. A justificação administrativa tem caráter meramente probatório — o INSS avalia as declarações e decide discricionariamente sobre o reconhecimento do tempo.</w:t>
      </w:r>
    </w:p>
    <w:p>
      <w:pPr>
        <w:spacing w:after="100" w:before="100"/>
        <w:jc w:val="both"/>
      </w:pPr>
      <w:r>
        <w:rPr>
          <w:rFonts w:ascii="Arial" w:cs="Arial" w:eastAsia="Arial" w:hAnsi="Arial"/>
          <w:sz w:val="21"/>
          <w:szCs w:val="21"/>
        </w:rPr>
        <w:t xml:space="preserve">A justificação judicial (art. 381, CPC) é procedimento cautelar de produção antecipada de prova, utilizada quando: (a) há risco de perecimento da prova (testemunha idosa ou enferma); (b) o segurado ainda não possui elementos para ajuizar a ação principal mas precisa produzir prova oral. A justificação judicial produz prova perante o juízo, com contraditório (intimação do INSS), e pode ser utilizada tanto no processo principal quanto em novo requerimento administrativo.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Quando usar justificação administrativa vs. judicial</w:t>
            </w:r>
          </w:p>
          <w:p>
            <w:pPr>
              <w:spacing w:after="40" w:before="40"/>
            </w:pPr>
            <w:r>
              <w:rPr>
                <w:rFonts w:ascii="Arial" w:cs="Arial" w:eastAsia="Arial" w:hAnsi="Arial"/>
                <w:sz w:val="19"/>
                <w:szCs w:val="19"/>
              </w:rPr>
              <w:t xml:space="preserve">A justificação administrativa é mais rápida e menos onerosa — deve ser preferida quando o segurado tem documentação razoável e a prova testemunhal é complementar. A justificação judicial é indicada quando: (a) o INSS já indeferiu justificação administrativa anterior; (b) as testemunhas são muito idosas e há urgência; (c) o segurado precisa de prova com valor judicial desde logo (para instruir ação de concessão). Na prática, muitos advogados optam por ajuizar diretamente a ação de concessão com pedido de produção de prova oral em audiência, dispensando a justificação prévia.</w:t>
            </w:r>
          </w:p>
        </w:tc>
      </w:tr>
    </w:tbl>
    <w:p>
      <w:pPr>
        <w:spacing w:after="200"/>
      </w:pPr>
    </w:p>
    <w:p>
      <w:pPr>
        <w:spacing w:after="140" w:before="280"/>
      </w:pPr>
      <w:r>
        <w:rPr>
          <w:rFonts w:ascii="Arial" w:cs="Arial" w:eastAsia="Arial" w:hAnsi="Arial"/>
          <w:b/>
          <w:bCs/>
          <w:color w:val="2E86C1"/>
          <w:sz w:val="23"/>
          <w:szCs w:val="23"/>
        </w:rPr>
        <w:t xml:space="preserve">5.13.4 Ônus da prova e regras de experiência</w:t>
      </w:r>
    </w:p>
    <w:p>
      <w:pPr>
        <w:spacing w:after="100" w:before="100"/>
        <w:jc w:val="both"/>
      </w:pPr>
      <w:r>
        <w:rPr>
          <w:rFonts w:ascii="Arial" w:cs="Arial" w:eastAsia="Arial" w:hAnsi="Arial"/>
          <w:sz w:val="21"/>
          <w:szCs w:val="21"/>
        </w:rPr>
        <w:t xml:space="preserve">No processo previdenciário nos JEFs, a distribuição do ônus da prova segue regras específicas: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Dados regulares no CNIS: Presunção a favor do segurado — ônus do INSS demonstrar irregularidade;</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Dados com indicador de pendência: Ônus do segurado apresentar documentação complementar;</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Período não registrado no CNIS: Ônus do segurado demonstrar a existência do vínculo ou atividade;</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Atividade rural: Início de prova material é ônus do segurado; sua adequação e extensão temporal seguem o princípio pro misero.</w:t>
      </w:r>
    </w:p>
    <w:p>
      <w:pPr>
        <w:spacing w:after="100" w:before="100"/>
        <w:jc w:val="both"/>
      </w:pPr>
      <w:r>
        <w:rPr>
          <w:rFonts w:ascii="Arial" w:cs="Arial" w:eastAsia="Arial" w:hAnsi="Arial"/>
          <w:sz w:val="21"/>
          <w:szCs w:val="21"/>
        </w:rPr>
        <w:t xml:space="preserve">O juiz pode (e deve) aplicar regras de experiência na valoração da prova: é notório que empregadores rurais de pequeno porte frequentemente não formalizavam vínculos; que empresas extintas não mantinham arquivos; que trabalhadores informais das décadas de 1970/1980 não possuíam documentação. Essas circunstâncias não podem obstar o reconhecimento de direitos previdenciários quando o conjunto probatório, ainda que imperfeito, forma convicção razoável.</w:t>
      </w:r>
    </w:p>
    <w:p>
      <w:pPr>
        <w:spacing w:after="140" w:before="280"/>
      </w:pPr>
      <w:r>
        <w:rPr>
          <w:rFonts w:ascii="Arial" w:cs="Arial" w:eastAsia="Arial" w:hAnsi="Arial"/>
          <w:b/>
          <w:bCs/>
          <w:color w:val="2E86C1"/>
          <w:sz w:val="23"/>
          <w:szCs w:val="23"/>
        </w:rPr>
        <w:t xml:space="preserve">5.13.5 Tutela provisória em ações de cômputo de tempo</w:t>
      </w:r>
    </w:p>
    <w:p>
      <w:pPr>
        <w:spacing w:after="100" w:before="100"/>
        <w:jc w:val="both"/>
      </w:pPr>
      <w:r>
        <w:rPr>
          <w:rFonts w:ascii="Arial" w:cs="Arial" w:eastAsia="Arial" w:hAnsi="Arial"/>
          <w:sz w:val="21"/>
          <w:szCs w:val="21"/>
        </w:rPr>
        <w:t xml:space="preserve">Em ações de concessão de aposentadoria que dependem do reconhecimento de tempo, a tutela provisória (antecipação dos efeitos da tutela) pode ser concedida quando presentes a probabilidade do direito e o perigo de dano. A jurisprudência dos JEFs é relativamente generosa na concessão de tutela antecipada em matéria previdenciária, especialmente quando o segurado é idoso ou tem saúde comprometida.</w:t>
      </w:r>
    </w:p>
    <w:p>
      <w:pPr>
        <w:spacing w:after="100" w:before="100"/>
        <w:jc w:val="both"/>
      </w:pPr>
      <w:r>
        <w:rPr>
          <w:rFonts w:ascii="Arial" w:cs="Arial" w:eastAsia="Arial" w:hAnsi="Arial"/>
          <w:sz w:val="21"/>
          <w:szCs w:val="21"/>
        </w:rPr>
        <w:t xml:space="preserve">Para ações de mero reconhecimento de tempo (sem concessão imediata de benefício), a tutela provisória pode determinar a inclusão do período no CNIS, permitindo que o segurado requeira administrativamente o benefício sem aguardar o trânsito em julgado.</w:t>
      </w:r>
    </w:p>
    <w:p>
      <w:pPr>
        <w:spacing w:after="140" w:before="280"/>
      </w:pPr>
      <w:r>
        <w:rPr>
          <w:rFonts w:ascii="Arial" w:cs="Arial" w:eastAsia="Arial" w:hAnsi="Arial"/>
          <w:b/>
          <w:bCs/>
          <w:color w:val="2E86C1"/>
          <w:sz w:val="23"/>
          <w:szCs w:val="23"/>
        </w:rPr>
        <w:t xml:space="preserve">5.13.6 Audiência de instrução em ações de reconhecimento de tempo</w:t>
      </w:r>
    </w:p>
    <w:p>
      <w:pPr>
        <w:spacing w:after="100" w:before="100"/>
        <w:jc w:val="both"/>
      </w:pPr>
      <w:r>
        <w:rPr>
          <w:rFonts w:ascii="Arial" w:cs="Arial" w:eastAsia="Arial" w:hAnsi="Arial"/>
          <w:sz w:val="21"/>
          <w:szCs w:val="21"/>
        </w:rPr>
        <w:t xml:space="preserve">A audiência de instrução nos JEFs em ações de reconhecimento de tempo de contribuição (especialmente atividade rural) possui particularidades que o advogado deve conhecer:</w:t>
      </w:r>
    </w:p>
    <w:p>
      <w:pPr>
        <w:spacing w:after="60" w:before="60"/>
        <w:ind w:left="360"/>
      </w:pPr>
      <w:r>
        <w:rPr>
          <w:rFonts w:ascii="Arial" w:cs="Arial" w:eastAsia="Arial" w:hAnsi="Arial"/>
          <w:sz w:val="21"/>
          <w:szCs w:val="21"/>
        </w:rPr>
        <w:t xml:space="preserve">Oitiva de testemunhas: Geralmente são ouvidas 2 a 3 testemunhas por parte (limite do JEF). As testemunhas devem ter conhecimento direto e contemporâneo da atividade alegada. Perguntas sugestivas (leading questions) são inadmissíveis. O juiz valorará a espontaneidade, a coerência e a riqueza de detalhes dos depoimentos.</w:t>
      </w:r>
    </w:p>
    <w:p>
      <w:pPr>
        <w:spacing w:after="60" w:before="60"/>
        <w:ind w:left="360"/>
      </w:pPr>
      <w:r>
        <w:rPr>
          <w:rFonts w:ascii="Arial" w:cs="Arial" w:eastAsia="Arial" w:hAnsi="Arial"/>
          <w:sz w:val="21"/>
          <w:szCs w:val="21"/>
        </w:rPr>
        <w:t xml:space="preserve">Depoimento pessoal do autor: O juiz frequentemente inquire o próprio segurado sobre as condições do trabalho rural: tipo de cultura, extensão da propriedade, quem mais trabalhava, se havia empregados, qual era a renda da família, quando e por que deixou o campo. Inconsistências entre o depoimento do autor e dos testemunhas enfraquecem a credibilidade da prova.</w:t>
      </w:r>
    </w:p>
    <w:p>
      <w:pPr>
        <w:spacing w:after="60" w:before="60"/>
        <w:ind w:left="360"/>
      </w:pPr>
      <w:r>
        <w:rPr>
          <w:rFonts w:ascii="Arial" w:cs="Arial" w:eastAsia="Arial" w:hAnsi="Arial"/>
          <w:sz w:val="21"/>
          <w:szCs w:val="21"/>
        </w:rPr>
        <w:t xml:space="preserve">Audiência por videoconferência: Após a pandemia, os JEFs ampliaram o uso de audiências por videoconferência (art. 12, § 1º, Lei 10.259/2001, c/c Resolução 354/2020 do CNJ). Para testemunhas rurais em localidades remotas, a videoconferência pode ser realizada em agências do INSS, Casas de Cidadania ou unidades de atendimento do JEF itinerante.</w:t>
      </w:r>
    </w:p>
    <w:p>
      <w:pPr>
        <w:spacing w:after="60" w:before="60"/>
        <w:ind w:left="360"/>
      </w:pPr>
      <w:r>
        <w:rPr>
          <w:rFonts w:ascii="Arial" w:cs="Arial" w:eastAsia="Arial" w:hAnsi="Arial"/>
          <w:sz w:val="21"/>
          <w:szCs w:val="21"/>
        </w:rPr>
        <w:t xml:space="preserve">Inspeção judicial in loco: Em casos excepcionais, o juiz pode determinar inspeção judicial na propriedade rural para verificar vestígios de atividade agrícola (galpões, equipamentos, cercas, plantações). Embora rara, a inspeção é admitida quando a prova documental e testemunhal é insuficiente para formar convicção.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Preparação de testemunhas para audiência de atividade rural</w:t>
            </w:r>
          </w:p>
          <w:p>
            <w:pPr>
              <w:spacing w:after="40" w:before="40"/>
            </w:pPr>
            <w:r>
              <w:rPr>
                <w:rFonts w:ascii="Arial" w:cs="Arial" w:eastAsia="Arial" w:hAnsi="Arial"/>
                <w:sz w:val="19"/>
                <w:szCs w:val="19"/>
              </w:rPr>
              <w:t xml:space="preserve">O advogado deve orientar (sem direcionar ou instruir depoimento) suas testemunhas sobre os pontos relevantes que serão abordados: localização da propriedade, período de trabalho, tipo de atividade (agricultura, pecuária, pesca), membros da família que trabalhavam, condições de moradia, se havia escola rural na região. Testemunhas que conhecem o segurado apenas do "bairro" ou da "cidade" não servem para comprovar atividade rural — devem ser pessoas que efetivamente presenciaram o trabalho no campo.</w:t>
            </w:r>
          </w:p>
        </w:tc>
      </w:tr>
    </w:tbl>
    <w:p>
      <w:pPr>
        <w:spacing w:after="200"/>
      </w:pPr>
    </w:p>
    <w:p>
      <w:pPr>
        <w:spacing w:after="140" w:before="280"/>
      </w:pPr>
      <w:r>
        <w:rPr>
          <w:rFonts w:ascii="Arial" w:cs="Arial" w:eastAsia="Arial" w:hAnsi="Arial"/>
          <w:b/>
          <w:bCs/>
          <w:color w:val="2E86C1"/>
          <w:sz w:val="23"/>
          <w:szCs w:val="23"/>
        </w:rPr>
        <w:t xml:space="preserve">5.13.7 Prova pericial e inspeção judicial</w:t>
      </w:r>
    </w:p>
    <w:p>
      <w:pPr>
        <w:spacing w:after="100" w:before="100"/>
        <w:jc w:val="both"/>
      </w:pPr>
      <w:r>
        <w:rPr>
          <w:rFonts w:ascii="Arial" w:cs="Arial" w:eastAsia="Arial" w:hAnsi="Arial"/>
          <w:sz w:val="21"/>
          <w:szCs w:val="21"/>
        </w:rPr>
        <w:t xml:space="preserve">Em determinadas situações, a prova do tempo de contribuição pode exigir medidas instrutórias especiais: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Prova pericial grafotécnica: Quando há impugnação da autenticidade de documentos (CTPS com suspeita de adulteração, certidões com indícios de falsidade);</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Perícia contábil: Para verificação de valores de salários de contribuição em casos complexos (múltiplas fontes, divergências entre documentos e CNIS);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Inspeção judicial: Raramente utilizada, mas cabível quando é necessário verificar in loco a existência de atividade rural (propriedade rural, vestígios de atividade agrícola);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Prova emprestada: Depoimentos colhidos em outros processos (trabalhista, criminal, etc.) podem ser utilizados como prova emprestada no JEF, desde que garantido o contraditório.</w:t>
      </w:r>
    </w:p>
    <w:p>
      <w:pPr>
        <w:spacing w:after="140" w:before="280"/>
      </w:pPr>
      <w:r>
        <w:rPr>
          <w:rFonts w:ascii="Arial" w:cs="Arial" w:eastAsia="Arial" w:hAnsi="Arial"/>
          <w:b/>
          <w:bCs/>
          <w:color w:val="2E86C1"/>
          <w:sz w:val="23"/>
          <w:szCs w:val="23"/>
        </w:rPr>
        <w:t xml:space="preserve">5.13.7 Coisa julgada e possibilidade de nova ação</w:t>
      </w:r>
    </w:p>
    <w:p>
      <w:pPr>
        <w:spacing w:after="100" w:before="100"/>
        <w:jc w:val="both"/>
      </w:pPr>
      <w:r>
        <w:rPr>
          <w:rFonts w:ascii="Arial" w:cs="Arial" w:eastAsia="Arial" w:hAnsi="Arial"/>
          <w:sz w:val="21"/>
          <w:szCs w:val="21"/>
        </w:rPr>
        <w:t xml:space="preserve">A sentença de improcedência em ação de reconhecimento de tempo forma coisa julgada material, impedindo nova ação com os mesmos fundamentos. Contudo, se surgirem documentos novos (que o segurado desconhecia ou não podia obter quando da primeira ação), é possível ação rescisória ou nova ação com fundamento diverso.</w:t>
      </w:r>
    </w:p>
    <w:p>
      <w:pPr>
        <w:spacing w:after="100" w:before="100"/>
        <w:jc w:val="both"/>
      </w:pPr>
      <w:r>
        <w:rPr>
          <w:rFonts w:ascii="Arial" w:cs="Arial" w:eastAsia="Arial" w:hAnsi="Arial"/>
          <w:sz w:val="21"/>
          <w:szCs w:val="21"/>
        </w:rPr>
        <w:t xml:space="preserve">Já a sentença de extinção sem mérito (por ausência de início de prova material, conforme STJ Tema 629) não impede a propositura de nova ação com documentação mais robusta, pois não há coisa julgada sobre o mérito.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Cuidado: fundamentação do pedido de reconhecimento</w:t>
            </w:r>
          </w:p>
          <w:p>
            <w:pPr>
              <w:spacing w:after="40" w:before="40"/>
            </w:pPr>
            <w:r>
              <w:rPr>
                <w:rFonts w:ascii="Arial" w:cs="Arial" w:eastAsia="Arial" w:hAnsi="Arial"/>
                <w:sz w:val="19"/>
                <w:szCs w:val="19"/>
              </w:rPr>
              <w:t xml:space="preserve">Ao redigir a petição inicial de reconhecimento de tempo, o advogado deve individualizar claramente cada período e seu respectivo fundamento jurídico. Não basta pedir genericamente "o reconhecimento de todo o tempo de contribuição": é necessário especificar se o período é rural (art. 55, § 2º), militar (art. 55, I), de aluno-aprendiz (Súmula 96/TCU), de atividade especial (art. 57), etc. A individualização evita decisões genéricas e facilita a execução da sentença.</w:t>
            </w:r>
          </w:p>
        </w:tc>
      </w:tr>
    </w:tbl>
    <w:p>
      <w:pPr>
        <w:spacing w:after="200"/>
      </w:pPr>
    </w:p>
    <w:p>
      <w:pPr>
        <w:spacing w:after="140" w:before="280"/>
      </w:pPr>
      <w:r>
        <w:rPr>
          <w:rFonts w:ascii="Arial" w:cs="Arial" w:eastAsia="Arial" w:hAnsi="Arial"/>
          <w:b/>
          <w:bCs/>
          <w:color w:val="2E86C1"/>
          <w:sz w:val="23"/>
          <w:szCs w:val="23"/>
        </w:rPr>
        <w:t xml:space="preserve">5.13.8 Cumprimento de sentença e efetivação no CNIS</w:t>
      </w:r>
    </w:p>
    <w:p>
      <w:pPr>
        <w:spacing w:after="100" w:before="100"/>
        <w:jc w:val="both"/>
      </w:pPr>
      <w:r>
        <w:rPr>
          <w:rFonts w:ascii="Arial" w:cs="Arial" w:eastAsia="Arial" w:hAnsi="Arial"/>
          <w:sz w:val="21"/>
          <w:szCs w:val="21"/>
        </w:rPr>
        <w:t xml:space="preserve">Após o trânsito em julgado de sentença favorável, o cumprimento se dá mediante comunicação ao INSS para: (a) inclusão dos períodos reconhecidos no CNIS; (b) concessão ou revisão do benefício conforme o caso; (c) pagamento de parcelas vencidas. No JEF, o pagamento de atrasados segue o sistema de RPV (Requisição de Pequeno Valor) quando não ultrapassa 60 SM, dispensando precatório.</w:t>
      </w:r>
    </w:p>
    <w:p>
      <w:pPr>
        <w:spacing w:after="100" w:before="100"/>
        <w:jc w:val="both"/>
      </w:pPr>
      <w:r>
        <w:rPr>
          <w:rFonts w:ascii="Arial" w:cs="Arial" w:eastAsia="Arial" w:hAnsi="Arial"/>
          <w:sz w:val="21"/>
          <w:szCs w:val="21"/>
        </w:rPr>
        <w:t xml:space="preserve">A resistência do INSS ao cumprimento da sentença previdenciária é, infelizmente, recorrente. Casos de demora no cumprimento, aplicação incorreta dos parâmetros da sentença ou recusa em incluir períodos no CNIS autorizam a imposição de multa (astreintes) e, em casos graves, a responsabilização por crime de desobediência ou improbidade administrativa.</w:t>
      </w:r>
    </w:p>
    <w:p>
      <w:pPr>
        <w:spacing w:after="140" w:before="280"/>
      </w:pPr>
      <w:r>
        <w:rPr>
          <w:rFonts w:ascii="Arial" w:cs="Arial" w:eastAsia="Arial" w:hAnsi="Arial"/>
          <w:b/>
          <w:bCs/>
          <w:color w:val="2E86C1"/>
          <w:sz w:val="23"/>
          <w:szCs w:val="23"/>
        </w:rPr>
        <w:t xml:space="preserve">5.13.9 Recurso inominado e questões recorrentes</w:t>
      </w:r>
    </w:p>
    <w:p>
      <w:pPr>
        <w:spacing w:after="100" w:before="100"/>
        <w:jc w:val="both"/>
      </w:pPr>
      <w:r>
        <w:rPr>
          <w:rFonts w:ascii="Arial" w:cs="Arial" w:eastAsia="Arial" w:hAnsi="Arial"/>
          <w:sz w:val="21"/>
          <w:szCs w:val="21"/>
        </w:rPr>
        <w:t xml:space="preserve">No JEF, o recurso contra a sentença é o recurso inominado, dirigido à Turma Recursal (art. 41, Lei 9.099/95 c/c art. 1º, Lei 10.259/2001). O prazo é de 10 dias, sem efeito suspensivo (salvo decisão expressa do relator). Em matéria de reconhecimento de tempo, as questões recorrentes nos recursos incluem:</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Valoração da prova: Insurgência contra a análise do conjunto probatório (início de prova material + depoimentos); contudo, a Turma Recursal não deve reexaminar fatos e provas, limitando-se a verificar se a sentença observou os critérios legais e jurisprudenciais;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Extensão temporal da prova rural: Discussão sobre os limites do reconhecimento anterior ao documento mais antigo (Súmula 577/STJ);</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Enquadramento de atividade especial: Controvérsia sobre o agente nocivo, a suficiência do PPP, ou a eficácia do EPI;</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Limites do pedido e da sentença: Eventual julgamento ultra ou extra petita quando o juiz reconhece período não expressamente pleiteado.</w:t>
      </w:r>
    </w:p>
    <w:p>
      <w:pPr>
        <w:spacing w:after="100" w:before="100"/>
        <w:jc w:val="both"/>
      </w:pPr>
      <w:r>
        <w:rPr>
          <w:rFonts w:ascii="Arial" w:cs="Arial" w:eastAsia="Arial" w:hAnsi="Arial"/>
          <w:sz w:val="21"/>
          <w:szCs w:val="21"/>
        </w:rPr>
        <w:t xml:space="preserve">Para uniformização da jurisprudência, cabe Pedido de Uniformização à TNU (art. 14, § 2º, Lei 10.259/2001) quando a sentença da Turma Recursal divergir de súmula ou jurisprudência dominante do STJ, ou de entendimento de outra Turma Recursal.</w:t>
      </w:r>
    </w:p>
    <w:p>
      <w:pPr>
        <w:spacing w:after="140" w:before="280"/>
      </w:pPr>
      <w:r>
        <w:rPr>
          <w:rFonts w:ascii="Arial" w:cs="Arial" w:eastAsia="Arial" w:hAnsi="Arial"/>
          <w:b/>
          <w:bCs/>
          <w:color w:val="2E86C1"/>
          <w:sz w:val="23"/>
          <w:szCs w:val="23"/>
        </w:rPr>
        <w:t xml:space="preserve">5.13.10 Questões frequentes: perguntas e respostas</w:t>
      </w:r>
    </w:p>
    <w:p>
      <w:pPr>
        <w:spacing w:after="100" w:before="100"/>
        <w:jc w:val="both"/>
      </w:pPr>
      <w:r>
        <w:rPr>
          <w:rFonts w:ascii="Arial" w:cs="Arial" w:eastAsia="Arial" w:hAnsi="Arial"/>
          <w:sz w:val="21"/>
          <w:szCs w:val="21"/>
        </w:rPr>
        <w:t xml:space="preserve">Para consolidar os conceitos estudados neste capítulo, apresentamos as questões mais frequentes na prática forense dos JEFs:</w:t>
      </w:r>
    </w:p>
    <w:p>
      <w:pPr>
        <w:spacing w:after="60" w:before="60"/>
        <w:ind w:left="360"/>
      </w:pPr>
      <w:r>
        <w:rPr>
          <w:rFonts w:ascii="Arial" w:cs="Arial" w:eastAsia="Arial" w:hAnsi="Arial"/>
          <w:sz w:val="21"/>
          <w:szCs w:val="21"/>
        </w:rPr>
        <w:t xml:space="preserve">P: Contribuição em atraso (art. 45-A) conta como carência?</w:t>
      </w:r>
    </w:p>
    <w:p>
      <w:pPr>
        <w:spacing w:after="100" w:before="100"/>
        <w:jc w:val="both"/>
      </w:pPr>
      <w:r>
        <w:rPr>
          <w:rFonts w:ascii="Arial" w:cs="Arial" w:eastAsia="Arial" w:hAnsi="Arial"/>
          <w:sz w:val="21"/>
          <w:szCs w:val="21"/>
        </w:rPr>
        <w:t xml:space="preserve">R: Não. A indenização gera tempo de contribuição, mas não carência (Capítulo 4, seção 4.6). O segurado precisa de contribuições tempestivas para atingir a carência exigida.</w:t>
      </w:r>
    </w:p>
    <w:p>
      <w:pPr>
        <w:spacing w:after="60" w:before="60"/>
        <w:ind w:left="360"/>
      </w:pPr>
      <w:r>
        <w:rPr>
          <w:rFonts w:ascii="Arial" w:cs="Arial" w:eastAsia="Arial" w:hAnsi="Arial"/>
          <w:sz w:val="21"/>
          <w:szCs w:val="21"/>
        </w:rPr>
        <w:t xml:space="preserve">P: Período de gozo de auxílio-doença conta como tempo de contribuição?</w:t>
      </w:r>
    </w:p>
    <w:p>
      <w:pPr>
        <w:spacing w:after="100" w:before="100"/>
        <w:jc w:val="both"/>
      </w:pPr>
      <w:r>
        <w:rPr>
          <w:rFonts w:ascii="Arial" w:cs="Arial" w:eastAsia="Arial" w:hAnsi="Arial"/>
          <w:sz w:val="21"/>
          <w:szCs w:val="21"/>
        </w:rPr>
        <w:t xml:space="preserve">R: Sim, quando intercalado entre períodos de atividade (art. 55, § 2º, Lei 8.213/91 e art. 60, III, Decreto 3.048/99). Não conta quando precedido de perda da qualidade de segurado.</w:t>
      </w:r>
    </w:p>
    <w:p>
      <w:pPr>
        <w:spacing w:after="60" w:before="60"/>
        <w:ind w:left="360"/>
      </w:pPr>
      <w:r>
        <w:rPr>
          <w:rFonts w:ascii="Arial" w:cs="Arial" w:eastAsia="Arial" w:hAnsi="Arial"/>
          <w:sz w:val="21"/>
          <w:szCs w:val="21"/>
        </w:rPr>
        <w:t xml:space="preserve">P: Posso levar tempo do RGPS para o RPPS e depois me arrepender?</w:t>
      </w:r>
    </w:p>
    <w:p>
      <w:pPr>
        <w:spacing w:after="100" w:before="100"/>
        <w:jc w:val="both"/>
      </w:pPr>
      <w:r>
        <w:rPr>
          <w:rFonts w:ascii="Arial" w:cs="Arial" w:eastAsia="Arial" w:hAnsi="Arial"/>
          <w:sz w:val="21"/>
          <w:szCs w:val="21"/>
        </w:rPr>
        <w:t xml:space="preserve">R: Não. A CTC é irreversível (art. 130, § 14, Decreto 3.048/99). Uma vez averbada no regime instituidor, o tempo não retorna ao regime de origem.</w:t>
      </w:r>
    </w:p>
    <w:p>
      <w:pPr>
        <w:spacing w:after="60" w:before="60"/>
        <w:ind w:left="360"/>
      </w:pPr>
      <w:r>
        <w:rPr>
          <w:rFonts w:ascii="Arial" w:cs="Arial" w:eastAsia="Arial" w:hAnsi="Arial"/>
          <w:sz w:val="21"/>
          <w:szCs w:val="21"/>
        </w:rPr>
        <w:t xml:space="preserve">P: Atividade rural após 1991 como segurado especial exige contribuição?</w:t>
      </w:r>
    </w:p>
    <w:p>
      <w:pPr>
        <w:spacing w:after="100" w:before="100"/>
        <w:jc w:val="both"/>
      </w:pPr>
      <w:r>
        <w:rPr>
          <w:rFonts w:ascii="Arial" w:cs="Arial" w:eastAsia="Arial" w:hAnsi="Arial"/>
          <w:sz w:val="21"/>
          <w:szCs w:val="21"/>
        </w:rPr>
        <w:t xml:space="preserve">R: Depende do benefício. Para aposentadoria por idade rural (55/60 anos): não exige. Para aposentadoria por tempo de contribuição ou programada: exige indenização (art. 45-A). Para cômputo como segurado especial em aposentadoria híbrida: não exige (STJ Tema 1.007).</w:t>
      </w:r>
    </w:p>
    <w:p>
      <w:pPr>
        <w:spacing w:after="60" w:before="60"/>
        <w:ind w:left="360"/>
      </w:pPr>
      <w:r>
        <w:rPr>
          <w:rFonts w:ascii="Arial" w:cs="Arial" w:eastAsia="Arial" w:hAnsi="Arial"/>
          <w:sz w:val="21"/>
          <w:szCs w:val="21"/>
        </w:rPr>
        <w:t xml:space="preserve">P: A conversão de tempo especial para período anterior à EC 103 pode ser feita a qualquer tempo?</w:t>
      </w:r>
    </w:p>
    <w:p>
      <w:pPr>
        <w:spacing w:after="100" w:before="100"/>
        <w:jc w:val="both"/>
      </w:pPr>
      <w:r>
        <w:rPr>
          <w:rFonts w:ascii="Arial" w:cs="Arial" w:eastAsia="Arial" w:hAnsi="Arial"/>
          <w:sz w:val="21"/>
          <w:szCs w:val="21"/>
        </w:rPr>
        <w:t xml:space="preserve">R: Sim. O segurado mantém o direito de converter o período especial anterior a 13/11/2019, mesmo que requeira a aposentadoria anos ou décadas depois. O direito é adquirido na data do exercício da atividade.</w:t>
      </w:r>
    </w:p>
    <w:p>
      <w:pPr>
        <w:spacing w:after="60" w:before="60"/>
        <w:ind w:left="360"/>
      </w:pPr>
      <w:r>
        <w:rPr>
          <w:rFonts w:ascii="Arial" w:cs="Arial" w:eastAsia="Arial" w:hAnsi="Arial"/>
          <w:sz w:val="21"/>
          <w:szCs w:val="21"/>
        </w:rPr>
        <w:t xml:space="preserve">P: O acordo internacional garante benefício integral do Brasil?</w:t>
      </w:r>
    </w:p>
    <w:p>
      <w:pPr>
        <w:spacing w:after="100" w:before="100"/>
        <w:jc w:val="both"/>
      </w:pPr>
      <w:r>
        <w:rPr>
          <w:rFonts w:ascii="Arial" w:cs="Arial" w:eastAsia="Arial" w:hAnsi="Arial"/>
          <w:sz w:val="21"/>
          <w:szCs w:val="21"/>
        </w:rPr>
        <w:t xml:space="preserve">R: Não necessariamente. Se o segurado cumpre todos os requisitos brasileiros com seu tempo no Brasil (sem totalização), recebe benefício integral. Se precisa totalizar, recebe pro rata — parcela proporcional ao tempo contribuído no Brasil.</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Prazo decadencial de 10 anos — ações de revisão</w:t>
            </w:r>
          </w:p>
          <w:p>
            <w:pPr>
              <w:spacing w:after="40" w:before="40"/>
            </w:pPr>
            <w:r>
              <w:rPr>
                <w:rFonts w:ascii="Arial" w:cs="Arial" w:eastAsia="Arial" w:hAnsi="Arial"/>
                <w:sz w:val="19"/>
                <w:szCs w:val="19"/>
              </w:rPr>
              <w:t xml:space="preserve">O art. 103 da Lei 8.213/91 estabelece prazo decadencial de 10 anos para revisão do ato de concessão de benefício. Esse prazo aplica-se às revisões por atividades concomitantes (Tema 1.070), inclusão de tempo especial não computado, e retificação de salários de contribuição. Contado do primeiro dia do mês seguinte ao primeiro pagamento, o prazo é fatal: uma vez decorrido, extingue-se o direito material de revisão. Não se confunde com a prescrição quinquenal das parcelas (que atinge apenas os valores devidos há mais de 5 anos do ajuizamento). O advogado deve calcular imediatamente se o benefício do cliente ainda está dentro do prazo revisional.</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5.14 Síntese do Capítulo</w:t>
      </w:r>
    </w:p>
    <w:p>
      <w:pPr>
        <w:spacing w:after="100" w:before="100"/>
        <w:jc w:val="both"/>
      </w:pPr>
      <w:r>
        <w:rPr>
          <w:rFonts w:ascii="Arial" w:cs="Arial" w:eastAsia="Arial" w:hAnsi="Arial"/>
          <w:sz w:val="21"/>
          <w:szCs w:val="21"/>
        </w:rPr>
        <w:t xml:space="preserve">O reconhecimento, cômputo e averbação de tempo de contribuição constituem o núcleo da litigância previdenciária nos Juizados Especiais Federais. A compreensão dos mecanismos estudados neste capítulo permite ao advogado:</w:t>
      </w:r>
    </w:p>
    <w:p>
      <w:pPr>
        <w:spacing w:after="60" w:before="60"/>
        <w:ind w:left="360"/>
      </w:pPr>
      <w:r>
        <w:rPr>
          <w:rFonts w:ascii="Arial" w:cs="Arial" w:eastAsia="Arial" w:hAnsi="Arial"/>
          <w:b/>
          <w:bCs/>
          <w:sz w:val="21"/>
          <w:szCs w:val="21"/>
        </w:rPr>
        <w:t xml:space="preserve">1. </w:t>
      </w:r>
      <w:r>
        <w:rPr>
          <w:rFonts w:ascii="Arial" w:cs="Arial" w:eastAsia="Arial" w:hAnsi="Arial"/>
          <w:sz w:val="21"/>
          <w:szCs w:val="21"/>
        </w:rPr>
        <w:t xml:space="preserve">Utilizar o CNIS estrategicamente: Identificar inconsistências, fundamentar pedidos de retificação e aproveitar a presunção de veracidade quando favorável ao segurado (art. 29-A, Lei 8.213/91).</w:t>
      </w:r>
    </w:p>
    <w:p>
      <w:pPr>
        <w:spacing w:after="60" w:before="60"/>
        <w:ind w:left="360"/>
      </w:pPr>
      <w:r>
        <w:rPr>
          <w:rFonts w:ascii="Arial" w:cs="Arial" w:eastAsia="Arial" w:hAnsi="Arial"/>
          <w:b/>
          <w:bCs/>
          <w:sz w:val="21"/>
          <w:szCs w:val="21"/>
        </w:rPr>
        <w:t xml:space="preserve">2. </w:t>
      </w:r>
      <w:r>
        <w:rPr>
          <w:rFonts w:ascii="Arial" w:cs="Arial" w:eastAsia="Arial" w:hAnsi="Arial"/>
          <w:sz w:val="21"/>
          <w:szCs w:val="21"/>
        </w:rPr>
        <w:t xml:space="preserve">Reconhecer atividade rural: Montar conjunto probatório adequado (início de prova material + prova testemunhal), observando os limites temporais (pré e pós-1991) e as distinções entre categorias de segurados.</w:t>
      </w:r>
    </w:p>
    <w:p>
      <w:pPr>
        <w:spacing w:after="60" w:before="60"/>
        <w:ind w:left="360"/>
      </w:pPr>
      <w:r>
        <w:rPr>
          <w:rFonts w:ascii="Arial" w:cs="Arial" w:eastAsia="Arial" w:hAnsi="Arial"/>
          <w:b/>
          <w:bCs/>
          <w:sz w:val="21"/>
          <w:szCs w:val="21"/>
        </w:rPr>
        <w:t xml:space="preserve">3. </w:t>
      </w:r>
      <w:r>
        <w:rPr>
          <w:rFonts w:ascii="Arial" w:cs="Arial" w:eastAsia="Arial" w:hAnsi="Arial"/>
          <w:sz w:val="21"/>
          <w:szCs w:val="21"/>
        </w:rPr>
        <w:t xml:space="preserve">Aproveitar períodos especiais: Cômputo de serviço militar (art. 55, I) e aluno-aprendiz (Súmula 96/TCU, com os requisitos restritivos do Tema 216/TNU), agregando tempo frequentemente desconhecido pelo segurado.</w:t>
      </w:r>
    </w:p>
    <w:p>
      <w:pPr>
        <w:spacing w:after="60" w:before="60"/>
        <w:ind w:left="360"/>
      </w:pPr>
      <w:r>
        <w:rPr>
          <w:rFonts w:ascii="Arial" w:cs="Arial" w:eastAsia="Arial" w:hAnsi="Arial"/>
          <w:b/>
          <w:bCs/>
          <w:sz w:val="21"/>
          <w:szCs w:val="21"/>
        </w:rPr>
        <w:t xml:space="preserve">4. </w:t>
      </w:r>
      <w:r>
        <w:rPr>
          <w:rFonts w:ascii="Arial" w:cs="Arial" w:eastAsia="Arial" w:hAnsi="Arial"/>
          <w:sz w:val="21"/>
          <w:szCs w:val="21"/>
        </w:rPr>
        <w:t xml:space="preserve">Planejar a contagem recíproca: Avaliar cenários de CTC com consciência da irreversibilidade, verificando se há impedimentos (tempo que gerou vantagens) e calculando o impacto no benefício de destino.</w:t>
      </w:r>
    </w:p>
    <w:p>
      <w:pPr>
        <w:spacing w:after="60" w:before="60"/>
        <w:ind w:left="360"/>
      </w:pPr>
      <w:r>
        <w:rPr>
          <w:rFonts w:ascii="Arial" w:cs="Arial" w:eastAsia="Arial" w:hAnsi="Arial"/>
          <w:b/>
          <w:bCs/>
          <w:sz w:val="21"/>
          <w:szCs w:val="21"/>
        </w:rPr>
        <w:t xml:space="preserve">5. </w:t>
      </w:r>
      <w:r>
        <w:rPr>
          <w:rFonts w:ascii="Arial" w:cs="Arial" w:eastAsia="Arial" w:hAnsi="Arial"/>
          <w:sz w:val="21"/>
          <w:szCs w:val="21"/>
        </w:rPr>
        <w:t xml:space="preserve">Revisar benefícios por concomitância: Identificar segurados aposentados entre 1999 e 2019 com múltiplos vínculos, verificando se houve aplicação do cálculo proporcional indevido (Tema 1.070/STJ).</w:t>
      </w:r>
    </w:p>
    <w:p>
      <w:pPr>
        <w:spacing w:after="60" w:before="60"/>
        <w:ind w:left="360"/>
      </w:pPr>
      <w:r>
        <w:rPr>
          <w:rFonts w:ascii="Arial" w:cs="Arial" w:eastAsia="Arial" w:hAnsi="Arial"/>
          <w:b/>
          <w:bCs/>
          <w:sz w:val="21"/>
          <w:szCs w:val="21"/>
        </w:rPr>
        <w:t xml:space="preserve">6. </w:t>
      </w:r>
      <w:r>
        <w:rPr>
          <w:rFonts w:ascii="Arial" w:cs="Arial" w:eastAsia="Arial" w:hAnsi="Arial"/>
          <w:sz w:val="21"/>
          <w:szCs w:val="21"/>
        </w:rPr>
        <w:t xml:space="preserve">Converter tempo especial com segurança: Aplicar os fatores corretos (1,40/1,20 para 25 anos), respeitar o marco temporal da EC 103/2019 (13/11/2019) e monitorar o julgamento da ADI 6.309.</w:t>
      </w:r>
    </w:p>
    <w:p>
      <w:pPr>
        <w:spacing w:after="60" w:before="60"/>
        <w:ind w:left="360"/>
      </w:pPr>
      <w:r>
        <w:rPr>
          <w:rFonts w:ascii="Arial" w:cs="Arial" w:eastAsia="Arial" w:hAnsi="Arial"/>
          <w:b/>
          <w:bCs/>
          <w:sz w:val="21"/>
          <w:szCs w:val="21"/>
        </w:rPr>
        <w:t xml:space="preserve">7. </w:t>
      </w:r>
      <w:r>
        <w:rPr>
          <w:rFonts w:ascii="Arial" w:cs="Arial" w:eastAsia="Arial" w:hAnsi="Arial"/>
          <w:sz w:val="21"/>
          <w:szCs w:val="21"/>
        </w:rPr>
        <w:t xml:space="preserve">Utilizar acordos internacionais: Orientar brasileiros que trabalharam no exterior sobre a possibilidade de totalização de períodos, maximizando o aproveitamento contributivo em dois ou mais países.</w:t>
      </w:r>
    </w:p>
    <w:p>
      <w:pPr>
        <w:spacing w:after="100" w:before="100"/>
        <w:jc w:val="both"/>
      </w:pPr>
      <w:r>
        <w:rPr>
          <w:rFonts w:ascii="Arial" w:cs="Arial" w:eastAsia="Arial" w:hAnsi="Arial"/>
          <w:sz w:val="21"/>
          <w:szCs w:val="21"/>
        </w:rPr>
        <w:t xml:space="preserve">A tabela a seguir sintetiza os períodos computáveis e suas condições:</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Período</w:t>
            </w:r>
          </w:p>
        </w:tc>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Fundamento</w:t>
            </w:r>
          </w:p>
        </w:tc>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Contribuição exigida?</w:t>
            </w:r>
          </w:p>
        </w:tc>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Conta para carência?</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Rural pré-nov/1991 (segurado especial)</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Art. 55, § 2º, Lei 8.213</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Não</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Não (exceto CTPS)</w:t>
            </w:r>
          </w:p>
        </w:tc>
      </w:tr>
      <w:tr>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Rural pós-1991 (segurado especial)</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Art. 39, I, Lei 8.213</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Não (para aposentadoria por idade rural)</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Sim (para ap. idade rural)</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Rural pós-1991 (CI rural)</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Art. 45-A, Lei 8.212</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Sim (indenização)</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Não</w:t>
            </w:r>
          </w:p>
        </w:tc>
      </w:tr>
      <w:tr>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Serviço militar obrigatório</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Art. 55, I, Lei 8.213</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Não</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Sim</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Aluno-aprendiz</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Art. 62, VI, Dec. 3.048 + Súmula 96/TCU</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Não</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Sim (quando aceito)</w:t>
            </w:r>
          </w:p>
        </w:tc>
      </w:tr>
      <w:tr>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Contagem recíproca (CTC)</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Art. 96, Lei 8.213 + art. 201, § 9º, CF</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Sim (no regime de origem)</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Variável</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Gozo de benefício por incapacidade</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Art. 55, § 2º, Lei 8.213</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Não</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Não</w:t>
            </w:r>
          </w:p>
        </w:tc>
      </w:tr>
      <w:tr>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Tempo especial convertido</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Art. 57, § 5º + art. 70, Dec. 3.048</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Sim (atividade especial)</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Sim</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Período no exterior (acordo)</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Art. 150-A, Dec. 3.048 + acordo</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Sim (no país estrangeiro)</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Sim (totalização)</w:t>
            </w:r>
          </w:p>
        </w:tc>
      </w:tr>
    </w:tbl>
    <w:p>
      <w:pPr>
        <w:spacing w:after="160"/>
      </w:pP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Checklist de análise do tempo de contribuição do segurado</w:t>
            </w:r>
          </w:p>
          <w:p>
            <w:pPr>
              <w:spacing w:after="40" w:before="40"/>
            </w:pPr>
            <w:r>
              <w:rPr>
                <w:rFonts w:ascii="Arial" w:cs="Arial" w:eastAsia="Arial" w:hAnsi="Arial"/>
                <w:sz w:val="19"/>
                <w:szCs w:val="19"/>
              </w:rPr>
              <w:t xml:space="preserve">Ao atender um cliente previdenciário, verifique sistematicamente: (1) CNIS completo e atualizado; (2) existência de vínculos não registrados; (3) atividade rural na infância/juventude; (4) serviço militar obrigatório; (5) passagem por escola técnica federal; (6) passagem pelo serviço público (RPPS); (7) atividades concomitantes não consideradas; (8) períodos especiais não reconhecidos (conversão); (9) trabalho no exterior com país signatário; (10) períodos intercalados de benefício por incapacidade. Cada um desses itens pode representar meses ou anos adicionais de tempo de contribuição, potencialmente decisivos para o enquadramento em regra de transição ou para a concessão do benefício.</w:t>
            </w:r>
          </w:p>
        </w:tc>
      </w:tr>
    </w:tbl>
    <w:p>
      <w:pPr>
        <w:spacing w:after="200"/>
      </w:pPr>
    </w:p>
    <w:p>
      <w:pPr>
        <w:spacing w:after="100" w:before="100"/>
        <w:jc w:val="both"/>
      </w:pPr>
      <w:r>
        <w:rPr>
          <w:rFonts w:ascii="Arial" w:cs="Arial" w:eastAsia="Arial" w:hAnsi="Arial"/>
          <w:sz w:val="21"/>
          <w:szCs w:val="21"/>
        </w:rPr>
        <w:t xml:space="preserve">O quadro a seguir sintetiza as principais jurisprudências tratadas neste capítulo:</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Tema</w:t>
            </w:r>
          </w:p>
        </w:tc>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Tribunal</w:t>
            </w:r>
          </w:p>
        </w:tc>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Conteúdo</w:t>
            </w:r>
          </w:p>
        </w:tc>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Impacto no JEF</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Tema 629/STJ</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STJ</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Cômputo rural pré-1991 s/ contribuição</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Pedido mais frequente</w:t>
            </w:r>
          </w:p>
        </w:tc>
      </w:tr>
      <w:tr>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Tema 422/STJ</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STJ</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Conversão especial → comum permanece</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Aplicação de fatores</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Tema 1.070/STJ</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STJ</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Soma integral de concomitantes</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Revisão de benefícios</w:t>
            </w:r>
          </w:p>
        </w:tc>
      </w:tr>
      <w:tr>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Tema 999/STJ</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STJ</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Enquadramento profissional até 1995</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Período especial antigo</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Tema 216/TNU</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TNU</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Aluno-aprendiz — requisitos restritivos</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Cômputo de tempo</w:t>
            </w:r>
          </w:p>
        </w:tc>
      </w:tr>
      <w:tr>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RE 600.501/STF</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STF</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Vedação ao tempo fictício</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CTC e contagem recíproca</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Tema 942/STF</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STF</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Conversão especial no serviço público</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CTC com fator especial</w:t>
            </w:r>
          </w:p>
        </w:tc>
      </w:tr>
      <w:tr>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ADI 6.309/STF</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STF</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Vedação à conversão pós-EC 103</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Pendente — monitorar</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Súmula 75/TNU</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TNU</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CTPS sem defeito = prova suficiente</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Retificação de CNIS</w:t>
            </w:r>
          </w:p>
        </w:tc>
      </w:tr>
      <w:tr>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Súmula 74/TNU</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TNU</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Rural pós-1991 segurado especial</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Cômputo sem contribuição</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Súmula 149/STJ</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STJ</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Prova exclusivamente testemunhal vedada</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Atividade rural</w:t>
            </w:r>
          </w:p>
        </w:tc>
      </w:tr>
      <w:tr>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Súmula 577/STJ</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STJ</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Extensão temporal antes do documento</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Amplia reconhecimento</w:t>
            </w:r>
          </w:p>
        </w:tc>
      </w:tr>
    </w:tbl>
    <w:p>
      <w:pPr>
        <w:spacing w:after="160"/>
      </w:pPr>
    </w:p>
    <w:p>
      <w:pPr>
        <w:spacing w:after="100" w:before="100"/>
        <w:jc w:val="both"/>
      </w:pPr>
      <w:r>
        <w:rPr>
          <w:rFonts w:ascii="Arial" w:cs="Arial" w:eastAsia="Arial" w:hAnsi="Arial"/>
          <w:sz w:val="21"/>
          <w:szCs w:val="21"/>
        </w:rPr>
        <w:t xml:space="preserve">O domínio desses temas jurisprudenciais, aliado ao conhecimento da legislação e dos procedimentos administrativos, constitui a base para uma atuação eficaz nos JEFs em matéria de reconhecimento de tempo de contribuição. A prática demonstra que parcela significativa dos indeferimentos administrativos decorre de interpretações restritivas do INSS que não encontram respaldo na jurisprudência consolidada — cabe ao advogado identificar essas situações e buscar a correção judicial quando necessário.</w:t>
      </w:r>
    </w:p>
    <w:p>
      <w:pPr>
        <w:spacing w:after="100" w:before="100"/>
        <w:jc w:val="both"/>
      </w:pPr>
      <w:r>
        <w:rPr>
          <w:rFonts w:ascii="Arial" w:cs="Arial" w:eastAsia="Arial" w:hAnsi="Arial"/>
          <w:sz w:val="21"/>
          <w:szCs w:val="21"/>
        </w:rPr>
        <w:t xml:space="preserve">Por fim, é importante ressaltar que o reconhecimento de tempo de contribuição possui natureza declaratória: o juiz não "cria" o tempo, mas declara que ele existiu e deve ser computado. Essa natureza declaratória tem consequências processuais relevantes: (a) a sentença retroage à data do fato (exercício da atividade), não à data da decisão; (b) os efeitos financeiros do reconhecimento (quando vinculados a benefício) seguem a regra geral da DIB ou da data do requerimento administrativo; (c) a coisa julgada abrange o período declarado, impedindo nova discussão sobre o mesmo intervalo temporal.</w:t>
      </w:r>
    </w:p>
    <w:p>
      <w:pPr>
        <w:spacing w:after="100" w:before="100"/>
        <w:jc w:val="both"/>
      </w:pPr>
      <w:r>
        <w:rPr>
          <w:rFonts w:ascii="Arial" w:cs="Arial" w:eastAsia="Arial" w:hAnsi="Arial"/>
          <w:sz w:val="21"/>
          <w:szCs w:val="21"/>
        </w:rPr>
        <w:t xml:space="preserve">A interação entre os diversos temas estudados neste capítulo é frequente na prática: um segurado pode cumular, na mesma ação, pedido de reconhecimento de atividade rural (seção 5.4), cômputo de serviço militar (seção 5.5), conversão de tempo especial (seção 5.11) e retificação de remunerações no CNIS (seção 5.3), obtendo, ao final, tempo suficiente para aposentadoria pela regra de transição mais favorável. A habilidade do advogado previdenciário reside precisamente em identificar todas as possibilidades de aproveitamento de tempo e articulá-las em estratégia processual coerente e objetiva.</w:t>
      </w:r>
    </w:p>
    <w:p>
      <w:pPr>
        <w:spacing w:after="100" w:before="100"/>
        <w:jc w:val="both"/>
      </w:pPr>
      <w:r>
        <w:rPr>
          <w:rFonts w:ascii="Arial" w:cs="Arial" w:eastAsia="Arial" w:hAnsi="Arial"/>
          <w:sz w:val="21"/>
          <w:szCs w:val="21"/>
        </w:rPr>
        <w:t xml:space="preserve">O capítulo seguinte (Capítulo 6) examinará a aposentadoria por incapacidade permanente, benefício de natureza não programada cuja concessão independe de tempo de contribuição mínimo (exige apenas carência de 12 contribuições ou dispensa de carência quando a incapacidade decorre de acidente ou doença grave listada em regulamento). A interface com o presente capítulo reside na necessidade de demonstrar a qualidade de segurado e a carência como pressupostos do benefício — demonstração que frequentemente exige cômputo prévio de períodos controversos.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66573"/>
        <w:sz w:val="18"/>
        <w:szCs w:val="18"/>
      </w:rPr>
      <w:t xml:space="preserve">— </w:t>
    </w:r>
    <w:r>
      <w:rPr>
        <w:rFonts w:ascii="Arial" w:cs="Arial" w:eastAsia="Arial" w:hAnsi="Arial"/>
        <w:color w:val="566573"/>
        <w:sz w:val="18"/>
        <w:szCs w:val="18"/>
      </w:rPr>
      <w:fldChar w:fldCharType="begin"/>
      <w:instrText xml:space="preserve">PAGE</w:instrText>
      <w:fldChar w:fldCharType="separate"/>
      <w:fldChar w:fldCharType="end"/>
    </w:r>
    <w:r>
      <w:rPr>
        <w:rFonts w:ascii="Arial" w:cs="Arial" w:eastAsia="Arial" w:hAnsi="Arial"/>
        <w:color w:val="566573"/>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66573"/>
        <w:sz w:val="16"/>
        <w:szCs w:val="16"/>
      </w:rPr>
      <w:t xml:space="preserve">Cap. 5 — Reconhecimento, Cômputo e Averbação de Tempo de Contribuição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2026-05-10T16:12:41.254Z</dcterms:created>
  <dcterms:modified xsi:type="dcterms:W3CDTF">2026-05-10T16:12:41.254Z</dcterms:modified>
</cp:coreProperties>
</file>

<file path=docProps/custom.xml><?xml version="1.0" encoding="utf-8"?>
<Properties xmlns="http://schemas.openxmlformats.org/officeDocument/2006/custom-properties" xmlns:vt="http://schemas.openxmlformats.org/officeDocument/2006/docPropsVTypes"/>
</file>