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566573"/>
          <w:sz w:val="20"/>
          <w:szCs w:val="20"/>
        </w:rPr>
        <w:t xml:space="preserve">PARTE II</w:t>
      </w:r>
    </w:p>
    <w:p>
      <w:pPr>
        <w:spacing w:after="100" w:before="100"/>
        <w:jc w:val="center"/>
      </w:pPr>
      <w:r>
        <w:rPr>
          <w:rFonts w:ascii="Arial" w:cs="Arial" w:eastAsia="Arial" w:hAnsi="Arial"/>
          <w:color w:val="566573"/>
          <w:sz w:val="20"/>
          <w:szCs w:val="20"/>
        </w:rPr>
        <w:t xml:space="preserve">Benefícios Previdenciários em Espécie</w:t>
      </w:r>
    </w:p>
    <w:p>
      <w:pPr>
        <w:pBdr>
          <w:bottom w:val="single" w:color="2E86C1" w:sz="8" w:space="8"/>
        </w:pBdr>
        <w:spacing w:after="400" w:before="200"/>
        <w:jc w:val="center"/>
      </w:pPr>
      <w:r>
        <w:rPr>
          <w:rFonts w:ascii="Arial" w:cs="Arial" w:eastAsia="Arial" w:hAnsi="Arial"/>
          <w:b/>
          <w:bCs/>
          <w:color w:val="1B4F72"/>
          <w:sz w:val="32"/>
          <w:szCs w:val="32"/>
        </w:rPr>
        <w:t xml:space="preserve">Capítulo 10 — Aposentadoria Programada e Aposentadoria por Idade Urbana</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10.1 Introdução: Da Aposentadoria por Idade à Aposentadoria Programada</w:t>
      </w:r>
    </w:p>
    <w:p>
      <w:pPr>
        <w:spacing w:after="100" w:before="100"/>
        <w:jc w:val="both"/>
      </w:pPr>
      <w:r>
        <w:rPr>
          <w:rFonts w:ascii="Arial" w:cs="Arial" w:eastAsia="Arial" w:hAnsi="Arial"/>
          <w:sz w:val="21"/>
          <w:szCs w:val="21"/>
        </w:rPr>
        <w:t xml:space="preserve">A aposentadoria por idade sempre ocupou posição central no sistema previdenciário brasileiro. Desde a Lei Orgânica da Previdência Social (LOPS, Lei 3.807/60), passando pela Constituição de 1988 e pelas reformas que se seguiram, o requisito etário consolidou-se como elemento definidor do momento em que o trabalhador urbano pode se retirar da vida laboral ativa com a proteção de um benefício previdenciário. A EC 103/2019, contudo, promoveu uma reorganização conceitual profunda: onde antes existiam duas espécies distintas — a aposentadoria por idade e a aposentadoria por tempo de contribuição —, surgiu uma espécie unificada denominada aposentadoria programada, que combina requisitos de idade mínima e tempo de contribuição mínimo em uma fórmula única.</w:t>
      </w:r>
    </w:p>
    <w:p>
      <w:pPr>
        <w:spacing w:after="100" w:before="100"/>
        <w:jc w:val="both"/>
      </w:pPr>
      <w:r>
        <w:rPr>
          <w:rFonts w:ascii="Arial" w:cs="Arial" w:eastAsia="Arial" w:hAnsi="Arial"/>
          <w:sz w:val="21"/>
          <w:szCs w:val="21"/>
        </w:rPr>
        <w:t xml:space="preserve">Essa unificação não foi mera mudança de nomenclatura. Ela alterou a lógica estrutural do sistema, eliminando a possibilidade de aposentadoria exclusivamente por tempo de contribuição (sem idade mínima) e consolidando a exigência de requisitos cumulativos. O resultado prático é que, para os segurados filiados ao RGPS após 13 de novembro de 2019, existe uma única modalidade de aposentadoria voluntária por idade no regime geral: a aposentadoria programada do art. 201, § 7º, inciso I, da Constituição Federal.</w:t>
      </w:r>
    </w:p>
    <w:p>
      <w:pPr>
        <w:spacing w:after="100" w:before="100"/>
        <w:jc w:val="both"/>
      </w:pPr>
      <w:r>
        <w:rPr>
          <w:rFonts w:ascii="Arial" w:cs="Arial" w:eastAsia="Arial" w:hAnsi="Arial"/>
          <w:sz w:val="21"/>
          <w:szCs w:val="21"/>
        </w:rPr>
        <w:t xml:space="preserve">Entretanto, a realidade dos Juizados Especiais Federais é consideravelmente mais complexa do que a leitura isolada da regra permanente sugere. A maioria dos segurados que atualmente litigam nos JEFs ingressou no sistema antes da Reforma e, portanto, pode estar sujeita a uma ou mais das cinco regras de transição previstas nos arts. 15 a 20 da EC 103/2019. Além disso, segurados que implementaram os requisitos da antiga aposentadoria por idade (65/60 anos + 180 contribuições) antes de 13/11/2019 preservam o direito adquirido ao benefício na forma da legislação anterior, nos termos do art. 3º da EC 103/2019.</w:t>
      </w:r>
    </w:p>
    <w:p>
      <w:pPr>
        <w:spacing w:after="100" w:before="100"/>
        <w:jc w:val="both"/>
      </w:pPr>
      <w:r>
        <w:rPr>
          <w:rFonts w:ascii="Arial" w:cs="Arial" w:eastAsia="Arial" w:hAnsi="Arial"/>
          <w:sz w:val="21"/>
          <w:szCs w:val="21"/>
        </w:rPr>
        <w:t xml:space="preserve">Este capítulo examina o universo das aposentadorias por idade no âmbito urbano, compreendendo tanto a regra permanente da aposentadoria programada quanto a regra de transição do art. 18 da EC 103/2019 e o direito adquirido à aposentadoria por idade pré-reforma. As regras de transição dos arts. 15, 16, 17 e 20 — que se aplicam predominantemente a segurados com longo tempo de contribuição — serão tratadas no Capítulo 11 (Aposentadoria por Tempo de Contribuição e Regras de Transição), embora aqui se faça a apresentação panorâmica necessária para que o leitor compreenda a interação entre essas regras e saiba orientar o segurado na escolha do benefício mais vantajoso.</w:t>
      </w:r>
    </w:p>
    <w:p>
      <w:pPr>
        <w:spacing w:after="100" w:before="100"/>
        <w:jc w:val="both"/>
      </w:pPr>
      <w:r>
        <w:rPr>
          <w:rFonts w:ascii="Arial" w:cs="Arial" w:eastAsia="Arial" w:hAnsi="Arial"/>
          <w:sz w:val="21"/>
          <w:szCs w:val="21"/>
        </w:rPr>
        <w:t xml:space="preserve">A delimitação entre este capítulo e os capítulos vizinhos merece atenção. O Capítulo 9 trata da aposentadoria rural e da aposentadoria por idade híbrida (Tema 1.109/STJ); o Capítulo 11 trata das regras de transição por tempo de contribuição (arts. 15, 16, 17 e 20, EC 103); e o Capítulo 12 trata da aposentadoria da pessoa com deficiência (LC 142/2013). O presente capítulo concentra-se na aposentadoria por idade do segurado urbano, na nova aposentadoria programada e na interface prática entre essas modalidades nos JEFs.</w:t>
      </w:r>
    </w:p>
    <w:p>
      <w:pPr>
        <w:spacing w:after="100" w:before="100"/>
        <w:jc w:val="both"/>
      </w:pPr>
      <w:r>
        <w:rPr>
          <w:rFonts w:ascii="Arial" w:cs="Arial" w:eastAsia="Arial" w:hAnsi="Arial"/>
          <w:sz w:val="21"/>
          <w:szCs w:val="21"/>
        </w:rPr>
        <w:t xml:space="preserve">O advogado previdenciário que atua nos Juizados Especiais Federais precisa dominar não apenas os requisitos normativos de cada regra, mas também a estratégia de escolha entre elas. Um mesmo segurado pode ter direito adquirido à regra antiga, enquadrar-se em uma ou mais regras de transição e, simultaneamente, preencher os requisitos da regra permanente. A identificação do benefício mais vantajoso — em termos de valor mensal e de data de início mais favorável — é tarefa que exige domínio técnico e visão sistêmica do ordenamento previdenciário.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10.2 Evolução Legislativa: Da LOPS à EC 103/2019</w:t>
      </w:r>
    </w:p>
    <w:p>
      <w:pPr>
        <w:spacing w:after="140" w:before="280"/>
      </w:pPr>
      <w:r>
        <w:rPr>
          <w:rFonts w:ascii="Arial" w:cs="Arial" w:eastAsia="Arial" w:hAnsi="Arial"/>
          <w:b/>
          <w:bCs/>
          <w:color w:val="2E86C1"/>
          <w:sz w:val="23"/>
          <w:szCs w:val="23"/>
        </w:rPr>
        <w:t xml:space="preserve">10.2.1 A aposentadoria por velhice na LOPS (1960-1991)</w:t>
      </w:r>
    </w:p>
    <w:p>
      <w:pPr>
        <w:spacing w:after="100" w:before="100"/>
        <w:jc w:val="both"/>
      </w:pPr>
      <w:r>
        <w:rPr>
          <w:rFonts w:ascii="Arial" w:cs="Arial" w:eastAsia="Arial" w:hAnsi="Arial"/>
          <w:sz w:val="21"/>
          <w:szCs w:val="21"/>
        </w:rPr>
        <w:t xml:space="preserve">A Lei 3.807/60 (Lei Orgânica da Previdência Social) instituiu a aposentadoria por velhice, denominação que revelava o paradigma da época. Os requisitos eram modestos para os padrões atuais: 65 anos de idade para homens e 60 para mulheres, sem exigência explícita de um número mínimo de contribuições, bastando a condição de segurado. A LOPS unificou diversos institutos de aposentadoria e pensões (IAPs) sob uma disciplina normativa comum, mas manteve a fragmentação institucional até a criação do INPS em 1966.</w:t>
      </w:r>
    </w:p>
    <w:p>
      <w:pPr>
        <w:spacing w:after="100" w:before="100"/>
        <w:jc w:val="both"/>
      </w:pPr>
      <w:r>
        <w:rPr>
          <w:rFonts w:ascii="Arial" w:cs="Arial" w:eastAsia="Arial" w:hAnsi="Arial"/>
          <w:sz w:val="21"/>
          <w:szCs w:val="21"/>
        </w:rPr>
        <w:t xml:space="preserve">Nesse período, a aposentadoria por velhice funcionava como um piso de proteção para trabalhadores que alcançavam idade avançada sem ter acumulado tempo de serviço suficiente para a aposentadoria por tempo de serviço. A distinção entre as duas modalidades já estava presente: a aposentadoria por tempo de serviço era o benefício "completo" (valor integral), enquanto a aposentadoria por velhice representava uma alternativa reduzida para quem não atingia o tempo mínimo de serviço.</w:t>
      </w:r>
    </w:p>
    <w:p>
      <w:pPr>
        <w:spacing w:after="140" w:before="280"/>
      </w:pPr>
      <w:r>
        <w:rPr>
          <w:rFonts w:ascii="Arial" w:cs="Arial" w:eastAsia="Arial" w:hAnsi="Arial"/>
          <w:b/>
          <w:bCs/>
          <w:color w:val="2E86C1"/>
          <w:sz w:val="23"/>
          <w:szCs w:val="23"/>
        </w:rPr>
        <w:t xml:space="preserve">10.2.2 A Constituição de 1988 e a aposentadoria por idade</w:t>
      </w:r>
    </w:p>
    <w:p>
      <w:pPr>
        <w:spacing w:after="100" w:before="100"/>
        <w:jc w:val="both"/>
      </w:pPr>
      <w:r>
        <w:rPr>
          <w:rFonts w:ascii="Arial" w:cs="Arial" w:eastAsia="Arial" w:hAnsi="Arial"/>
          <w:sz w:val="21"/>
          <w:szCs w:val="21"/>
        </w:rPr>
        <w:t xml:space="preserve">A Constituição de 1988 manteve a aposentadoria por idade (art. 201, I, redação original) com requisitos de 65 anos para homens e 60 para mulheres, reduzidos em cinco anos para trabalhadores rurais. A grande inovação constitucional foi o art. 202 (redação original), que vinculava o cálculo da aposentadoria à média dos salários de contribuição e introduziu o mecanismo de correção monetária integral dos salários de contribuição utilizados no cálculo.</w:t>
      </w:r>
    </w:p>
    <w:p>
      <w:pPr>
        <w:spacing w:after="100" w:before="100"/>
        <w:jc w:val="both"/>
      </w:pPr>
      <w:r>
        <w:rPr>
          <w:rFonts w:ascii="Arial" w:cs="Arial" w:eastAsia="Arial" w:hAnsi="Arial"/>
          <w:sz w:val="21"/>
          <w:szCs w:val="21"/>
        </w:rPr>
        <w:t xml:space="preserve">A Lei 8.213/91, que regulamentou os benefícios previdenciários, disciplinou a aposentadoria por idade nos arts. 48 a 51, estabelecendo a exigência de carência de 180 contribuições mensais (art. 25, II), com a regra de transição do art. 142 para segurados filiados antes de 24/07/1991. Essa tabela progressiva previa um aumento gradual da carência, de 60 contribuições em 1991 até 180 em 2011.</w:t>
      </w:r>
    </w:p>
    <w:p>
      <w:pPr>
        <w:spacing w:after="100" w:before="100"/>
        <w:jc w:val="both"/>
      </w:pPr>
      <w:r>
        <w:rPr>
          <w:rFonts w:ascii="Arial" w:cs="Arial" w:eastAsia="Arial" w:hAnsi="Arial"/>
          <w:sz w:val="21"/>
          <w:szCs w:val="21"/>
        </w:rPr>
        <w:t xml:space="preserve">A aposentadoria por idade, nessa configuração, apresentava uma peculiaridade relevante: o fator previdenciário, instituído pela Lei 9.876/99, era aplicado ao cálculo do salário de benefício, mas somente quando resultasse em valor mais favorável ao segurado (art. 7º da Lei 9.876/99, combinado com o art. 29, I, da Lei 8.213/91). Na prática, o fator previdenciário era quase sempre desfavorável na aposentadoria por idade, porque os segurados que optavam por essa modalidade tipicamente tinham menos tempo de contribuição do que os que se aposentavam por tempo de serviço. Assim, a regra de aplicação do fator "quando mais vantajoso" significava, na maioria dos casos, que o fator previdenciário não era aplicado.</w:t>
      </w:r>
    </w:p>
    <w:p>
      <w:pPr>
        <w:spacing w:after="100" w:before="100"/>
        <w:jc w:val="both"/>
      </w:pPr>
      <w:r>
        <w:rPr>
          <w:rFonts w:ascii="Arial" w:cs="Arial" w:eastAsia="Arial" w:hAnsi="Arial"/>
          <w:sz w:val="21"/>
          <w:szCs w:val="21"/>
        </w:rPr>
        <w:t xml:space="preserve">A renda mensal inicial da aposentadoria por idade, na regra pré-EC 103, era calculada como 70% do salário de benefício, mais 1% para cada grupo de 12 contribuições mensais, até o máximo de 100%. Essa fórmula premiava o segurado com longo histórico contributivo: quem tivesse 30 anos de contribuição (360 contribuições) receberia 70% + 30% = 100% do salário de benefício.</w:t>
      </w:r>
    </w:p>
    <w:p>
      <w:pPr>
        <w:spacing w:after="140" w:before="280"/>
      </w:pPr>
      <w:r>
        <w:rPr>
          <w:rFonts w:ascii="Arial" w:cs="Arial" w:eastAsia="Arial" w:hAnsi="Arial"/>
          <w:b/>
          <w:bCs/>
          <w:color w:val="2E86C1"/>
          <w:sz w:val="23"/>
          <w:szCs w:val="23"/>
        </w:rPr>
        <w:t xml:space="preserve">10.2.3 As reformas intermediárias (EC 20/1998 e Lei 9.876/1999)</w:t>
      </w:r>
    </w:p>
    <w:p>
      <w:pPr>
        <w:spacing w:after="100" w:before="100"/>
        <w:jc w:val="both"/>
      </w:pPr>
      <w:r>
        <w:rPr>
          <w:rFonts w:ascii="Arial" w:cs="Arial" w:eastAsia="Arial" w:hAnsi="Arial"/>
          <w:sz w:val="21"/>
          <w:szCs w:val="21"/>
        </w:rPr>
        <w:t xml:space="preserve">A EC 20/1998 introduziu modificações relevantes na estrutura previdenciária, mas manteve essencialmente intactos os requisitos da aposentadoria por idade urbana. Sua principal contribuição para o tema deste capítulo foi a extinção da aposentadoria proporcional por tempo de serviço, mantendo-a apenas como regra de transição — o que, indiretamente, aumentou a relevância da aposentadoria por idade como alternativa para segurados que não atingiam o tempo de contribuição integral.</w:t>
      </w:r>
    </w:p>
    <w:p>
      <w:pPr>
        <w:spacing w:after="100" w:before="100"/>
        <w:jc w:val="both"/>
      </w:pPr>
      <w:r>
        <w:rPr>
          <w:rFonts w:ascii="Arial" w:cs="Arial" w:eastAsia="Arial" w:hAnsi="Arial"/>
          <w:sz w:val="21"/>
          <w:szCs w:val="21"/>
        </w:rPr>
        <w:t xml:space="preserve">A Lei 9.876/99, por sua vez, alterou radicalmente a fórmula de cálculo dos benefícios ao instituir o fator previdenciário e modificar a base de cálculo do salário de benefício. Antes da lei, utilizava-se a média dos 36 últimos salários de contribuição; após a lei, passou-se a utilizar a média dos 80% maiores salários de contribuição de todo o período contributivo, desde julho de 1994. Essa mudança teve impacto significativo na aposentadoria por idade, pois ampliou o período de apuração e, em muitos casos, reduziu o valor do benefício.</w:t>
      </w:r>
    </w:p>
    <w:p>
      <w:pPr>
        <w:spacing w:after="100" w:before="100"/>
        <w:jc w:val="both"/>
      </w:pPr>
      <w:r>
        <w:rPr>
          <w:rFonts w:ascii="Arial" w:cs="Arial" w:eastAsia="Arial" w:hAnsi="Arial"/>
          <w:sz w:val="21"/>
          <w:szCs w:val="21"/>
        </w:rPr>
        <w:t xml:space="preserve">A regra de transição do art. 3º da Lei 9.876/99 preservou o direito dos segurados filiados antes de sua vigência a optarem pela regra anterior, quando mais favorável — dispositivo que gerou a chamada "revisão da vida toda" (STF Tema 1.102), cuja definição permanece pendente no Supremo Tribunal Federal.</w:t>
      </w:r>
    </w:p>
    <w:p>
      <w:pPr>
        <w:spacing w:after="140" w:before="280"/>
      </w:pPr>
      <w:r>
        <w:rPr>
          <w:rFonts w:ascii="Arial" w:cs="Arial" w:eastAsia="Arial" w:hAnsi="Arial"/>
          <w:b/>
          <w:bCs/>
          <w:color w:val="2E86C1"/>
          <w:sz w:val="23"/>
          <w:szCs w:val="23"/>
        </w:rPr>
        <w:t xml:space="preserve">10.2.4 A EC 103/2019 e a criação da aposentadoria programada</w:t>
      </w:r>
    </w:p>
    <w:p>
      <w:pPr>
        <w:spacing w:after="100" w:before="100"/>
        <w:jc w:val="both"/>
      </w:pPr>
      <w:r>
        <w:rPr>
          <w:rFonts w:ascii="Arial" w:cs="Arial" w:eastAsia="Arial" w:hAnsi="Arial"/>
          <w:sz w:val="21"/>
          <w:szCs w:val="21"/>
        </w:rPr>
        <w:t xml:space="preserve">A Emenda Constitucional 103/2019 representou a mais profunda reforma da previdência social brasileira. No que tange à aposentadoria por idade urbana, as mudanças foram estruturais e podem ser sintetizadas em quatro eixos fundamentais.</w:t>
      </w:r>
    </w:p>
    <w:p>
      <w:pPr>
        <w:spacing w:after="100" w:before="100"/>
        <w:jc w:val="both"/>
      </w:pPr>
      <w:r>
        <w:rPr>
          <w:rFonts w:ascii="Arial" w:cs="Arial" w:eastAsia="Arial" w:hAnsi="Arial"/>
          <w:sz w:val="21"/>
          <w:szCs w:val="21"/>
        </w:rPr>
        <w:t xml:space="preserve">Primeiro, a unificação das espécies. A EC 103 extinguiu a aposentadoria por tempo de contribuição como espécie autônoma, criando a aposentadoria programada, que exige cumulativamente idade mínima (65H/62M) e tempo de contribuição mínimo (20H/15M). Não há mais possibilidade de aposentadoria voluntária sem cumprimento simultâneo de ambos os requisitos.</w:t>
      </w:r>
    </w:p>
    <w:p>
      <w:pPr>
        <w:spacing w:after="100" w:before="100"/>
        <w:jc w:val="both"/>
      </w:pPr>
      <w:r>
        <w:rPr>
          <w:rFonts w:ascii="Arial" w:cs="Arial" w:eastAsia="Arial" w:hAnsi="Arial"/>
          <w:sz w:val="21"/>
          <w:szCs w:val="21"/>
        </w:rPr>
        <w:t xml:space="preserve">Segundo, a elevação da idade mínima feminina. A idade mínima para mulheres passou de 60 para 62 anos, com transição gradual prevista no art. 18 da EC 103/2019 (aumento de 6 meses por ano, de 60 anos em 2019 até 62 anos em 2023). Para homens, a idade permaneceu em 65 anos.</w:t>
      </w:r>
    </w:p>
    <w:p>
      <w:pPr>
        <w:spacing w:after="100" w:before="100"/>
        <w:jc w:val="both"/>
      </w:pPr>
      <w:r>
        <w:rPr>
          <w:rFonts w:ascii="Arial" w:cs="Arial" w:eastAsia="Arial" w:hAnsi="Arial"/>
          <w:sz w:val="21"/>
          <w:szCs w:val="21"/>
        </w:rPr>
        <w:t xml:space="preserve">Terceiro, o aumento do tempo de contribuição mínimo masculino. O tempo de contribuição mínimo para homens filiados após 13/11/2019 passou de 15 para 20 anos. Para mulheres, manteve-se em 15 anos. Homens filiados antes da EC 103 mantêm o direito ao tempo de contribuição mínimo de 15 anos nas regras de transição.</w:t>
      </w:r>
    </w:p>
    <w:p>
      <w:pPr>
        <w:spacing w:after="100" w:before="100"/>
        <w:jc w:val="both"/>
      </w:pPr>
      <w:r>
        <w:rPr>
          <w:rFonts w:ascii="Arial" w:cs="Arial" w:eastAsia="Arial" w:hAnsi="Arial"/>
          <w:sz w:val="21"/>
          <w:szCs w:val="21"/>
        </w:rPr>
        <w:t xml:space="preserve">Quarto, a alteração radical da fórmula de cálculo. Abandonou-se o modelo de 80% dos maiores salários de contribuição, passando-se a utilizar a média de 100% dos salários de contribuição desde julho de 1994, sem exclusão dos menores. O coeficiente de cálculo também mudou: parte-se de 60% da média, acrescidos de 2% por ano de contribuição que exceder 20 anos (homem) ou 15 anos (mulher).</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Tempo de contribuição mínimo: 15 ou 20 anos?</w:t>
            </w:r>
          </w:p>
          <w:p>
            <w:pPr>
              <w:spacing w:after="40" w:before="40"/>
            </w:pPr>
            <w:r>
              <w:rPr>
                <w:rFonts w:ascii="Arial" w:cs="Arial" w:eastAsia="Arial" w:hAnsi="Arial"/>
                <w:sz w:val="19"/>
                <w:szCs w:val="19"/>
              </w:rPr>
              <w:t xml:space="preserve">A distinção é crucial e fonte frequente de erro:</w:t>
            </w:r>
          </w:p>
          <w:p>
            <w:pPr>
              <w:spacing w:after="40" w:before="40"/>
            </w:pPr>
            <w:r>
              <w:rPr>
                <w:rFonts w:ascii="Arial" w:cs="Arial" w:eastAsia="Arial" w:hAnsi="Arial"/>
                <w:sz w:val="19"/>
                <w:szCs w:val="19"/>
              </w:rPr>
              <w:t xml:space="preserve">- Homem filiado antes de 13/11/2019: tempo mínimo de 15 anos de contribuição (art. 18 da EC 103/2019 — regra de transição da aposentadoria por idade)</w:t>
            </w:r>
          </w:p>
          <w:p>
            <w:pPr>
              <w:spacing w:after="40" w:before="40"/>
            </w:pPr>
            <w:r>
              <w:rPr>
                <w:rFonts w:ascii="Arial" w:cs="Arial" w:eastAsia="Arial" w:hAnsi="Arial"/>
                <w:sz w:val="19"/>
                <w:szCs w:val="19"/>
              </w:rPr>
              <w:t xml:space="preserve">- Homem filiado a partir de 13/11/2019: tempo mínimo de 20 anos de contribuição (art. 201, § 7º, I, CF — regra permanente)</w:t>
            </w:r>
          </w:p>
          <w:p>
            <w:pPr>
              <w:spacing w:after="40" w:before="40"/>
            </w:pPr>
            <w:r>
              <w:rPr>
                <w:rFonts w:ascii="Arial" w:cs="Arial" w:eastAsia="Arial" w:hAnsi="Arial"/>
                <w:sz w:val="19"/>
                <w:szCs w:val="19"/>
              </w:rPr>
              <w:t xml:space="preserve">- Mulher (qualquer data de filiação): tempo mínimo de 15 anos de contribuição</w:t>
            </w:r>
          </w:p>
          <w:p>
            <w:pPr>
              <w:spacing w:after="40" w:before="40"/>
            </w:pPr>
            <w:r>
              <w:rPr>
                <w:rFonts w:ascii="Arial" w:cs="Arial" w:eastAsia="Arial" w:hAnsi="Arial"/>
                <w:sz w:val="19"/>
                <w:szCs w:val="19"/>
              </w:rPr>
              <w:t xml:space="preserve">O advogado deve verificar a data da primeira filiação ao RGPS para determinar qual regra se aplica. A informação consta do CNIS e pode ser decisiva para a viabilidade da aposentadoria.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10.3 Regra Permanente: A Aposentadoria Programada (Art. 201, § 7º, I, CF)</w:t>
      </w:r>
    </w:p>
    <w:p>
      <w:pPr>
        <w:spacing w:after="140" w:before="280"/>
      </w:pPr>
      <w:r>
        <w:rPr>
          <w:rFonts w:ascii="Arial" w:cs="Arial" w:eastAsia="Arial" w:hAnsi="Arial"/>
          <w:b/>
          <w:bCs/>
          <w:color w:val="2E86C1"/>
          <w:sz w:val="23"/>
          <w:szCs w:val="23"/>
        </w:rPr>
        <w:t xml:space="preserve">10.3.1 Requisitos</w:t>
      </w:r>
    </w:p>
    <w:p>
      <w:pPr>
        <w:spacing w:after="100" w:before="100"/>
        <w:jc w:val="both"/>
      </w:pPr>
      <w:r>
        <w:rPr>
          <w:rFonts w:ascii="Arial" w:cs="Arial" w:eastAsia="Arial" w:hAnsi="Arial"/>
          <w:sz w:val="21"/>
          <w:szCs w:val="21"/>
        </w:rPr>
        <w:t xml:space="preserve">A aposentadoria programada, na regra permanente da Constituição Federal com a redação dada pela EC 103/2019, exige o cumprimento simultâneo de dois requisitos:</w:t>
      </w:r>
    </w:p>
    <w:p>
      <w:pPr>
        <w:spacing w:after="60" w:before="60"/>
        <w:ind w:left="360"/>
      </w:pPr>
      <w:r>
        <w:rPr>
          <w:rFonts w:ascii="Arial" w:cs="Arial" w:eastAsia="Arial" w:hAnsi="Arial"/>
          <w:sz w:val="21"/>
          <w:szCs w:val="21"/>
        </w:rPr>
        <w:t xml:space="preserve">a) Idade mínima: 65 anos para homens e 62 anos para mulheres.</w:t>
      </w:r>
    </w:p>
    <w:p>
      <w:pPr>
        <w:spacing w:after="60" w:before="60"/>
        <w:ind w:left="360"/>
      </w:pPr>
      <w:r>
        <w:rPr>
          <w:rFonts w:ascii="Arial" w:cs="Arial" w:eastAsia="Arial" w:hAnsi="Arial"/>
          <w:sz w:val="21"/>
          <w:szCs w:val="21"/>
        </w:rPr>
        <w:t xml:space="preserve">b) Tempo de contribuição mínimo: 20 anos para homens e 15 anos para mulheres.</w:t>
      </w:r>
    </w:p>
    <w:p>
      <w:pPr>
        <w:spacing w:after="100" w:before="100"/>
        <w:jc w:val="both"/>
      </w:pPr>
      <w:r>
        <w:rPr>
          <w:rFonts w:ascii="Arial" w:cs="Arial" w:eastAsia="Arial" w:hAnsi="Arial"/>
          <w:sz w:val="21"/>
          <w:szCs w:val="21"/>
        </w:rPr>
        <w:t xml:space="preserve">Esses requisitos são cumulativos. Não basta atingir a idade sem o tempo de contribuição, nem o tempo de contribuição sem a idade. A cumulatividade é a marca distintiva da aposentadoria programada em relação à antiga aposentadoria por idade, que exigia apenas 180 contribuições (carência) como requisito contributivo.</w:t>
      </w:r>
    </w:p>
    <w:p>
      <w:pPr>
        <w:spacing w:after="100" w:before="100"/>
        <w:jc w:val="both"/>
      </w:pPr>
      <w:r>
        <w:rPr>
          <w:rFonts w:ascii="Arial" w:cs="Arial" w:eastAsia="Arial" w:hAnsi="Arial"/>
          <w:sz w:val="21"/>
          <w:szCs w:val="21"/>
        </w:rPr>
        <w:t xml:space="preserve">Cabe observar que a regra permanente do art. 201, § 7º, I, aplica-se integralmente apenas aos segurados filiados ao RGPS a partir de 13 de novembro de 2019 — data de publicação da EC 103. Para os segurados filiados antes dessa data, aplicam-se as regras de transição, que serão examinadas nas seções seguintes.</w:t>
      </w:r>
    </w:p>
    <w:p>
      <w:pPr>
        <w:spacing w:after="140" w:before="280"/>
      </w:pPr>
      <w:r>
        <w:rPr>
          <w:rFonts w:ascii="Arial" w:cs="Arial" w:eastAsia="Arial" w:hAnsi="Arial"/>
          <w:b/>
          <w:bCs/>
          <w:color w:val="2E86C1"/>
          <w:sz w:val="23"/>
          <w:szCs w:val="23"/>
        </w:rPr>
        <w:t xml:space="preserve">10.3.2 Carência</w:t>
      </w:r>
    </w:p>
    <w:p>
      <w:pPr>
        <w:spacing w:after="100" w:before="100"/>
        <w:jc w:val="both"/>
      </w:pPr>
      <w:r>
        <w:rPr>
          <w:rFonts w:ascii="Arial" w:cs="Arial" w:eastAsia="Arial" w:hAnsi="Arial"/>
          <w:sz w:val="21"/>
          <w:szCs w:val="21"/>
        </w:rPr>
        <w:t xml:space="preserve">A EC 103/2019 não revogou expressamente o art. 25, II, da Lei 8.213/91, que exige carência de 180 contribuições mensais para a aposentadoria por idade. A questão que se colocou, desde a publicação da emenda, foi saber se a carência permanecia como requisito autônomo da aposentadoria programada ou se o tempo de contribuição mínimo previsto no texto constitucional a teria absorvido.</w:t>
      </w:r>
    </w:p>
    <w:p>
      <w:pPr>
        <w:spacing w:after="100" w:before="100"/>
        <w:jc w:val="both"/>
      </w:pPr>
      <w:r>
        <w:rPr>
          <w:rFonts w:ascii="Arial" w:cs="Arial" w:eastAsia="Arial" w:hAnsi="Arial"/>
          <w:sz w:val="21"/>
          <w:szCs w:val="21"/>
        </w:rPr>
        <w:t xml:space="preserve">A Turma Nacional de Uniformização, ao julgar o Tema 358 (PUIL 5003963-97.2023.4.03.6302), em outubro de 2024, firmou a tese de que a carência permanece como requisito autônomo, distinto do tempo de contribuição mínimo. A distinção é conceitualmente relevante e tem consequências práticas significativas.</w:t>
      </w:r>
    </w:p>
    <w:p>
      <w:pPr>
        <w:spacing w:after="100" w:before="100"/>
        <w:jc w:val="both"/>
      </w:pPr>
      <w:r>
        <w:rPr>
          <w:rFonts w:ascii="Arial" w:cs="Arial" w:eastAsia="Arial" w:hAnsi="Arial"/>
          <w:sz w:val="21"/>
          <w:szCs w:val="21"/>
        </w:rPr>
        <w:t xml:space="preserve">Carência é o número mínimo de contribuições efetivamente recolhidas, computadas mês a mês, sem interrupção de qualidade de segurado que implique perda dos períodos anteriores. Tempo de contribuição, por sua vez, é o período total de atividade vinculada ao RGPS, incluindo períodos computados por força de lei mesmo sem contribuição efetiva — como o tempo de serviço rural anterior a novembro de 1991, que é contado como tempo de contribuição, mas não gera carência.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TNU Tema 358 — Carência como requisito autônomo pós-EC 103/2019</w:t>
            </w:r>
          </w:p>
          <w:p>
            <w:pPr>
              <w:spacing w:after="40" w:before="40"/>
            </w:pPr>
            <w:r>
              <w:rPr>
                <w:rFonts w:ascii="Arial" w:cs="Arial" w:eastAsia="Arial" w:hAnsi="Arial"/>
                <w:sz w:val="19"/>
                <w:szCs w:val="19"/>
              </w:rPr>
              <w:t xml:space="preserve">Em outubro de 2024, a Turma Nacional de Uniformização fixou a tese de que a carência de 180 contribuições mensais (art. 25, II, da Lei 8.213/91) permanece como requisito autônomo para a concessão de aposentadoria, mesmo após a EC 103/2019, sendo conceitualmente distinta do tempo de contribuição mínimo exigido constitucionalmente.</w:t>
            </w:r>
          </w:p>
          <w:p>
            <w:pPr>
              <w:spacing w:after="40" w:before="40"/>
            </w:pPr>
            <w:r>
              <w:rPr>
                <w:rFonts w:ascii="Arial" w:cs="Arial" w:eastAsia="Arial" w:hAnsi="Arial"/>
                <w:sz w:val="19"/>
                <w:szCs w:val="19"/>
              </w:rPr>
              <w:t xml:space="preserve">Implicação prática: Um segurado pode ter 20 anos de tempo de contribuição (somando, por exemplo, período rural pré-1991 com período urbano posterior) sem ter 180 contribuições efetivas de carência. Nessa hipótese, o requisito de tempo de contribuição estaria preenchido, mas o de carência não — e a aposentadoria seria indeferida, salvo se o período rural pudesse ser computado como carência (tema da aposentadoria híbrida, objeto do Capítulo 9).</w:t>
            </w:r>
          </w:p>
        </w:tc>
      </w:tr>
    </w:tbl>
    <w:p>
      <w:pPr>
        <w:spacing w:after="200"/>
      </w:pPr>
    </w:p>
    <w:p>
      <w:pPr>
        <w:spacing w:after="140" w:before="280"/>
      </w:pPr>
      <w:r>
        <w:rPr>
          <w:rFonts w:ascii="Arial" w:cs="Arial" w:eastAsia="Arial" w:hAnsi="Arial"/>
          <w:b/>
          <w:bCs/>
          <w:color w:val="2E86C1"/>
          <w:sz w:val="23"/>
          <w:szCs w:val="23"/>
        </w:rPr>
        <w:t xml:space="preserve">10.3.3 Cálculo do benefício na regra permanente</w:t>
      </w:r>
    </w:p>
    <w:p>
      <w:pPr>
        <w:spacing w:after="100" w:before="100"/>
        <w:jc w:val="both"/>
      </w:pPr>
      <w:r>
        <w:rPr>
          <w:rFonts w:ascii="Arial" w:cs="Arial" w:eastAsia="Arial" w:hAnsi="Arial"/>
          <w:sz w:val="21"/>
          <w:szCs w:val="21"/>
        </w:rPr>
        <w:t xml:space="preserve">O cálculo da aposentadoria programada segue a fórmula do art. 26 da EC 103/2019, em dois passos:</w:t>
      </w:r>
    </w:p>
    <w:p>
      <w:pPr>
        <w:spacing w:after="60" w:before="60"/>
        <w:ind w:left="360"/>
      </w:pPr>
      <w:r>
        <w:rPr>
          <w:rFonts w:ascii="Arial" w:cs="Arial" w:eastAsia="Arial" w:hAnsi="Arial"/>
          <w:sz w:val="21"/>
          <w:szCs w:val="21"/>
        </w:rPr>
        <w:t xml:space="preserve">Passo 1 — Apuração da média aritmética: Calcula-se a média aritmética simples de 100% dos salários de contribuição desde a competência julho de 1994 (ou desde o início das contribuições, se posterior). Não há mais exclusão dos 20% menores salários de contribuição, como ocorria na regra anterior (art. 29, I, da Lei 8.213/91, redação da Lei 9.876/99).</w:t>
      </w:r>
    </w:p>
    <w:p>
      <w:pPr>
        <w:spacing w:after="60" w:before="60"/>
        <w:ind w:left="360"/>
      </w:pPr>
      <w:r>
        <w:rPr>
          <w:rFonts w:ascii="Arial" w:cs="Arial" w:eastAsia="Arial" w:hAnsi="Arial"/>
          <w:sz w:val="21"/>
          <w:szCs w:val="21"/>
        </w:rPr>
        <w:t xml:space="preserve">Passo 2 — Aplicação do coeficiente: Sobre a média apurada, aplica-se o coeficiente de 60%, acrescido de 2% para cada ano de contribuição que exceder: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20 anos de contribuição, no caso do homem;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15 anos de contribuição, no caso da mulher.</w:t>
      </w:r>
    </w:p>
    <w:p>
      <w:pPr>
        <w:spacing w:after="100" w:before="100"/>
        <w:jc w:val="both"/>
      </w:pPr>
      <w:r>
        <w:rPr>
          <w:rFonts w:ascii="Arial" w:cs="Arial" w:eastAsia="Arial" w:hAnsi="Arial"/>
          <w:sz w:val="21"/>
          <w:szCs w:val="21"/>
        </w:rPr>
        <w:t xml:space="preserve">O resultado está limitado ao teto do RGPS (R$ 8.475,55 em 2026) e não pode ser inferior ao salário mínimo (R$ 1.621,00 em 2026).</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de cálculo — Regra permanente (2026)</w:t>
            </w:r>
          </w:p>
          <w:p>
            <w:pPr>
              <w:spacing w:after="40" w:before="40"/>
            </w:pPr>
            <w:r>
              <w:rPr>
                <w:rFonts w:ascii="Arial" w:cs="Arial" w:eastAsia="Arial" w:hAnsi="Arial"/>
                <w:sz w:val="19"/>
                <w:szCs w:val="19"/>
              </w:rPr>
              <w:t xml:space="preserve">João, 65 anos, filiado ao RGPS em janeiro de 2020, completou 20 anos de contribuição fictícios para fins didáticos (suponhamos que trouxe tempo de outro regime). Média de todos os salários de contribuição desde julho/1994: R$ 3.500,00.</w:t>
            </w:r>
          </w:p>
          <w:p>
            <w:pPr>
              <w:spacing w:after="40" w:before="40"/>
            </w:pPr>
            <w:r>
              <w:rPr>
                <w:rFonts w:ascii="Arial" w:cs="Arial" w:eastAsia="Arial" w:hAnsi="Arial"/>
                <w:sz w:val="19"/>
                <w:szCs w:val="19"/>
              </w:rPr>
              <w:t xml:space="preserve">- Coeficiente: 60% + 2% × (20 - 20) = 60% + 0% = 60%</w:t>
            </w:r>
          </w:p>
          <w:p>
            <w:pPr>
              <w:spacing w:after="40" w:before="40"/>
            </w:pPr>
            <w:r>
              <w:rPr>
                <w:rFonts w:ascii="Arial" w:cs="Arial" w:eastAsia="Arial" w:hAnsi="Arial"/>
                <w:sz w:val="19"/>
                <w:szCs w:val="19"/>
              </w:rPr>
              <w:t xml:space="preserve">- RMI: R$ 3.500,00 × 60% = R$ 2.100,00</w:t>
            </w:r>
          </w:p>
          <w:p>
            <w:pPr>
              <w:spacing w:after="40" w:before="40"/>
            </w:pPr>
            <w:r>
              <w:rPr>
                <w:rFonts w:ascii="Arial" w:cs="Arial" w:eastAsia="Arial" w:hAnsi="Arial"/>
                <w:sz w:val="19"/>
                <w:szCs w:val="19"/>
              </w:rPr>
              <w:t xml:space="preserve">Maria, 62 anos, mesma filiação e mesma média. Tempo de contribuição: 20 anos.</w:t>
            </w:r>
          </w:p>
          <w:p>
            <w:pPr>
              <w:spacing w:after="40" w:before="40"/>
            </w:pPr>
            <w:r>
              <w:rPr>
                <w:rFonts w:ascii="Arial" w:cs="Arial" w:eastAsia="Arial" w:hAnsi="Arial"/>
                <w:sz w:val="19"/>
                <w:szCs w:val="19"/>
              </w:rPr>
              <w:t xml:space="preserve">- Coeficiente: 60% + 2% × (20 - 15) = 60% + 10% = 70%</w:t>
            </w:r>
          </w:p>
          <w:p>
            <w:pPr>
              <w:spacing w:after="40" w:before="40"/>
            </w:pPr>
            <w:r>
              <w:rPr>
                <w:rFonts w:ascii="Arial" w:cs="Arial" w:eastAsia="Arial" w:hAnsi="Arial"/>
                <w:sz w:val="19"/>
                <w:szCs w:val="19"/>
              </w:rPr>
              <w:t xml:space="preserve">- RMI: R$ 3.500,00 × 70% = R$ 2.450,00</w:t>
            </w:r>
          </w:p>
          <w:p>
            <w:pPr>
              <w:spacing w:after="40" w:before="40"/>
            </w:pPr>
            <w:r>
              <w:rPr>
                <w:rFonts w:ascii="Arial" w:cs="Arial" w:eastAsia="Arial" w:hAnsi="Arial"/>
                <w:sz w:val="19"/>
                <w:szCs w:val="19"/>
              </w:rPr>
              <w:t xml:space="preserve">Observe que Maria recebe mais que João, apesar do mesmo tempo de contribuição, porque o piso de excedência feminino (15 anos) é inferior ao masculino (20 anos). Para que João atingisse o coeficiente de 100%, precisaria de 40 anos de contribuição; Maria, de 35 anos.</w:t>
            </w:r>
          </w:p>
        </w:tc>
      </w:tr>
    </w:tbl>
    <w:p>
      <w:pPr>
        <w:spacing w:after="200"/>
      </w:pPr>
    </w:p>
    <w:p>
      <w:pPr>
        <w:spacing w:after="100" w:before="100"/>
        <w:jc w:val="both"/>
      </w:pPr>
      <w:r>
        <w:rPr>
          <w:rFonts w:ascii="Arial" w:cs="Arial" w:eastAsia="Arial" w:hAnsi="Arial"/>
          <w:sz w:val="21"/>
          <w:szCs w:val="21"/>
        </w:rPr>
        <w:t xml:space="preserve">A fórmula de cálculo da EC 103/2019 representou uma redução significativa no valor dos benefícios para a maioria dos segurados, por dois motivos cumulativos: (i) a inclusão de todos os salários de contribuição na média (sem exclusão dos 20% menores) tende a reduzir o valor da média; e (ii) o coeficiente inicial de 60% é inferior à antiga fórmula de 70% + 1% por grupo de 12 contribuições. A combinação desses fatores faz com que o segurado precise de mais tempo de contribuição para atingir o mesmo valor de benefício que obteria pelas regras anteriores.</w:t>
      </w:r>
    </w:p>
    <w:p>
      <w:pPr>
        <w:spacing w:after="140" w:before="280"/>
      </w:pPr>
      <w:r>
        <w:rPr>
          <w:rFonts w:ascii="Arial" w:cs="Arial" w:eastAsia="Arial" w:hAnsi="Arial"/>
          <w:b/>
          <w:bCs/>
          <w:color w:val="2E86C1"/>
          <w:sz w:val="23"/>
          <w:szCs w:val="23"/>
        </w:rPr>
        <w:t xml:space="preserve">10.3.4 O teto e o piso do benefício</w:t>
      </w:r>
    </w:p>
    <w:p>
      <w:pPr>
        <w:spacing w:after="100" w:before="100"/>
        <w:jc w:val="both"/>
      </w:pPr>
      <w:r>
        <w:rPr>
          <w:rFonts w:ascii="Arial" w:cs="Arial" w:eastAsia="Arial" w:hAnsi="Arial"/>
          <w:sz w:val="21"/>
          <w:szCs w:val="21"/>
        </w:rPr>
        <w:t xml:space="preserve">A aposentadoria programada não pode ser inferior ao salário mínimo vigente (art. 201, § 2º, CF). Quando o cálculo resultar em valor inferior, o benefício é elevado ao mínimo. Em 2026, o salário mínimo é de R$ 1.621,00.</w:t>
      </w:r>
    </w:p>
    <w:p>
      <w:pPr>
        <w:spacing w:after="100" w:before="100"/>
        <w:jc w:val="both"/>
      </w:pPr>
      <w:r>
        <w:rPr>
          <w:rFonts w:ascii="Arial" w:cs="Arial" w:eastAsia="Arial" w:hAnsi="Arial"/>
          <w:sz w:val="21"/>
          <w:szCs w:val="21"/>
        </w:rPr>
        <w:t xml:space="preserve">O teto do benefício é o teto do RGPS, atualmente fixado em R$ 8.475,55 (Portaria Interministerial MPS/MF n. 13/2026). Isso significa que, mesmo que o segurado tenha contribuído sempre sobre o teto e acumulado tempo suficiente para coeficiente de 100%, a RMI não ultrapassará esse valor. A limitação ao teto aplica-se sobre o valor final, após a aplicação do coeficiente sobre a média.</w:t>
      </w:r>
    </w:p>
    <w:p>
      <w:pPr>
        <w:spacing w:after="100" w:before="100"/>
        <w:jc w:val="both"/>
      </w:pPr>
      <w:r>
        <w:rPr>
          <w:rFonts w:ascii="Arial" w:cs="Arial" w:eastAsia="Arial" w:hAnsi="Arial"/>
          <w:sz w:val="21"/>
          <w:szCs w:val="21"/>
        </w:rPr>
        <w:t xml:space="preserve">Há, ainda, a limitação prevista no art. 26, § 5º, da EC 103/2019: o benefício não pode exceder a média dos salários de contribuição nem ser superior ao último salário de contribuição. Essa última limitação tem sido objeto de controvérsia doutrinária, uma vez que pode penalizar o segurado que sofreu redução salarial nos últimos anos de atividade. A interpretação que vem prevalecendo nos JEFs é de que a limitação ao último salário de contribuição aplica-se apenas quando há vínculo empregatício ativo na data do requerimento.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10.4 Regra de Transição: Aposentadoria por Idade (Art. 18, EC 103/2019)</w:t>
      </w:r>
    </w:p>
    <w:p>
      <w:pPr>
        <w:spacing w:after="140" w:before="280"/>
      </w:pPr>
      <w:r>
        <w:rPr>
          <w:rFonts w:ascii="Arial" w:cs="Arial" w:eastAsia="Arial" w:hAnsi="Arial"/>
          <w:b/>
          <w:bCs/>
          <w:color w:val="2E86C1"/>
          <w:sz w:val="23"/>
          <w:szCs w:val="23"/>
        </w:rPr>
        <w:t xml:space="preserve">10.4.1 Âmbito de aplicação</w:t>
      </w:r>
    </w:p>
    <w:p>
      <w:pPr>
        <w:spacing w:after="100" w:before="100"/>
        <w:jc w:val="both"/>
      </w:pPr>
      <w:r>
        <w:rPr>
          <w:rFonts w:ascii="Arial" w:cs="Arial" w:eastAsia="Arial" w:hAnsi="Arial"/>
          <w:sz w:val="21"/>
          <w:szCs w:val="21"/>
        </w:rPr>
        <w:t xml:space="preserve">O art. 18 da EC 103/2019 estabelece uma regra de transição específica para a aposentadoria por idade, destinada aos segurados filiados ao RGPS antes de 13/11/2019 que não tinham direito adquirido à aposentadoria pelas regras anteriores.</w:t>
      </w:r>
    </w:p>
    <w:p>
      <w:pPr>
        <w:spacing w:after="100" w:before="100"/>
        <w:jc w:val="both"/>
      </w:pPr>
      <w:r>
        <w:rPr>
          <w:rFonts w:ascii="Arial" w:cs="Arial" w:eastAsia="Arial" w:hAnsi="Arial"/>
          <w:sz w:val="21"/>
          <w:szCs w:val="21"/>
        </w:rPr>
        <w:t xml:space="preserve">Essa regra de transição é a mais relevante para a prática dos JEFs em matéria de aposentadoria por idade urbana, porque abrange a esmagadora maioria dos segurados que atualmente postulam esse benefício. Trata-se de trabalhadores com histórico contributivo de baixa a média duração, muitas vezes intermitente, que atingem a idade mínima sem ter acumulado tempo de contribuição suficiente para as regras de transição dos arts. 15, 16 ou 20.</w:t>
      </w:r>
    </w:p>
    <w:p>
      <w:pPr>
        <w:spacing w:after="140" w:before="280"/>
      </w:pPr>
      <w:r>
        <w:rPr>
          <w:rFonts w:ascii="Arial" w:cs="Arial" w:eastAsia="Arial" w:hAnsi="Arial"/>
          <w:b/>
          <w:bCs/>
          <w:color w:val="2E86C1"/>
          <w:sz w:val="23"/>
          <w:szCs w:val="23"/>
        </w:rPr>
        <w:t xml:space="preserve">10.4.2 Requisitos</w:t>
      </w:r>
    </w:p>
    <w:p>
      <w:pPr>
        <w:spacing w:after="100" w:before="100"/>
        <w:jc w:val="both"/>
      </w:pPr>
      <w:r>
        <w:rPr>
          <w:rFonts w:ascii="Arial" w:cs="Arial" w:eastAsia="Arial" w:hAnsi="Arial"/>
          <w:sz w:val="21"/>
          <w:szCs w:val="21"/>
        </w:rPr>
        <w:t xml:space="preserve">A regra de transição do art. 18 exige:</w:t>
      </w:r>
    </w:p>
    <w:p>
      <w:pPr>
        <w:spacing w:after="60" w:before="60"/>
        <w:ind w:left="360"/>
      </w:pPr>
      <w:r>
        <w:rPr>
          <w:rFonts w:ascii="Arial" w:cs="Arial" w:eastAsia="Arial" w:hAnsi="Arial"/>
          <w:sz w:val="21"/>
          <w:szCs w:val="21"/>
        </w:rPr>
        <w:t xml:space="preserve">a) Idade mínima progressiva para mulheres: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60 anos em 2019, com acréscimo de 6 meses por ano, até atingir 62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progressão encerrou-se em 2023, quando a idade mínima feminina alcançou 62 anos (60 + 0,5 × 4 = 62).</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Desde 2023, a idade mínima para mulheres na regra de transição é 62 anos — igual à regra permanente.</w:t>
      </w:r>
    </w:p>
    <w:p>
      <w:pPr>
        <w:spacing w:after="60" w:before="60"/>
        <w:ind w:left="360"/>
      </w:pPr>
      <w:r>
        <w:rPr>
          <w:rFonts w:ascii="Arial" w:cs="Arial" w:eastAsia="Arial" w:hAnsi="Arial"/>
          <w:sz w:val="21"/>
          <w:szCs w:val="21"/>
        </w:rPr>
        <w:t xml:space="preserve">b) Idade mínima para homens: 65 anos, sem progressão.</w:t>
      </w:r>
    </w:p>
    <w:p>
      <w:pPr>
        <w:spacing w:after="60" w:before="60"/>
        <w:ind w:left="360"/>
      </w:pPr>
      <w:r>
        <w:rPr>
          <w:rFonts w:ascii="Arial" w:cs="Arial" w:eastAsia="Arial" w:hAnsi="Arial"/>
          <w:sz w:val="21"/>
          <w:szCs w:val="21"/>
        </w:rPr>
        <w:t xml:space="preserve">c) Tempo de contribuição mínimo: 15 anos para homens e mulheres — inferior, portanto, ao requisito de 20 anos da regra permanente para homens.</w:t>
      </w:r>
    </w:p>
    <w:p>
      <w:pPr>
        <w:spacing w:after="60" w:before="60"/>
        <w:ind w:left="360"/>
      </w:pPr>
      <w:r>
        <w:rPr>
          <w:rFonts w:ascii="Arial" w:cs="Arial" w:eastAsia="Arial" w:hAnsi="Arial"/>
          <w:sz w:val="21"/>
          <w:szCs w:val="21"/>
        </w:rPr>
        <w:t xml:space="preserve">d) Carência: 180 contribuições mensais (art. 25, II, Lei 8.213/91), conforme Tema 358/TNU.</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 mínima — Mulher</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 mínima — Homem</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 anos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 anos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 anos e 6 meses</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 anos</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61 anos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 anos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61 anos e 6 meses</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 anos</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2023 em diante</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 anos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 anos</w:t>
            </w:r>
          </w:p>
        </w:tc>
      </w:tr>
    </w:tbl>
    <w:p>
      <w:pPr>
        <w:spacing w:after="16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Regra de transição do art. 18 vs. regra permanente — diferença prática</w:t>
            </w:r>
          </w:p>
          <w:p>
            <w:pPr>
              <w:spacing w:after="40" w:before="40"/>
            </w:pPr>
            <w:r>
              <w:rPr>
                <w:rFonts w:ascii="Arial" w:cs="Arial" w:eastAsia="Arial" w:hAnsi="Arial"/>
                <w:sz w:val="19"/>
                <w:szCs w:val="19"/>
              </w:rPr>
              <w:t xml:space="preserve">Para mulheres, a regra de transição do art. 18 já se equiparou à regra permanente em termos de idade (62 anos) e tempo de contribuição (15 anos). A diferença reside apenas no cálculo do benefício (ver seção 10.4.3).</w:t>
            </w:r>
          </w:p>
          <w:p>
            <w:pPr>
              <w:spacing w:after="40" w:before="40"/>
            </w:pPr>
            <w:r>
              <w:rPr>
                <w:rFonts w:ascii="Arial" w:cs="Arial" w:eastAsia="Arial" w:hAnsi="Arial"/>
                <w:sz w:val="19"/>
                <w:szCs w:val="19"/>
              </w:rPr>
              <w:t xml:space="preserve">Para homens filiados antes de 13/11/2019, a regra de transição do art. 18 é mais vantajosa do que a regra permanente, porque exige apenas 15 anos de contribuição (contra 20 anos da regra permanente). Essa diferença subsistirá indefinidamente para segurados pré-reforma.</w:t>
            </w:r>
          </w:p>
        </w:tc>
      </w:tr>
    </w:tbl>
    <w:p>
      <w:pPr>
        <w:spacing w:after="200"/>
      </w:pPr>
    </w:p>
    <w:p>
      <w:pPr>
        <w:spacing w:after="140" w:before="280"/>
      </w:pPr>
      <w:r>
        <w:rPr>
          <w:rFonts w:ascii="Arial" w:cs="Arial" w:eastAsia="Arial" w:hAnsi="Arial"/>
          <w:b/>
          <w:bCs/>
          <w:color w:val="2E86C1"/>
          <w:sz w:val="23"/>
          <w:szCs w:val="23"/>
        </w:rPr>
        <w:t xml:space="preserve">10.4.3 Cálculo na regra de transição do art. 18</w:t>
      </w:r>
    </w:p>
    <w:p>
      <w:pPr>
        <w:spacing w:after="100" w:before="100"/>
        <w:jc w:val="both"/>
      </w:pPr>
      <w:r>
        <w:rPr>
          <w:rFonts w:ascii="Arial" w:cs="Arial" w:eastAsia="Arial" w:hAnsi="Arial"/>
          <w:sz w:val="21"/>
          <w:szCs w:val="21"/>
        </w:rPr>
        <w:t xml:space="preserve">O cálculo do benefício na regra de transição do art. 18 segue a mesma fórmula do art. 26 da EC 103/2019:</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Média de 100% dos salários de contribuição desde julho/1994;</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Coeficiente de 60% + 2% por ano excedente a 20 anos (homem) ou 15 anos (mulher).</w:t>
      </w:r>
    </w:p>
    <w:p>
      <w:pPr>
        <w:spacing w:after="100" w:before="100"/>
        <w:jc w:val="both"/>
      </w:pPr>
      <w:r>
        <w:rPr>
          <w:rFonts w:ascii="Arial" w:cs="Arial" w:eastAsia="Arial" w:hAnsi="Arial"/>
          <w:sz w:val="21"/>
          <w:szCs w:val="21"/>
        </w:rPr>
        <w:t xml:space="preserve">Assim, na prática, um homem que se aposente aos 65 anos com exatamente 15 anos de contribuição terá coeficiente de 60% (sem excedente, pois 15 &lt; 20). Uma mulher com 15 anos de contribuição também terá coeficiente de 60% (sem excedente, pois 15 = 15, mas não excede).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Regra de transição art. 18 (homem com 15 anos TC)</w:t>
            </w:r>
          </w:p>
          <w:p>
            <w:pPr>
              <w:spacing w:after="40" w:before="40"/>
            </w:pPr>
            <w:r>
              <w:rPr>
                <w:rFonts w:ascii="Arial" w:cs="Arial" w:eastAsia="Arial" w:hAnsi="Arial"/>
                <w:sz w:val="19"/>
                <w:szCs w:val="19"/>
              </w:rPr>
              <w:t xml:space="preserve">José, 65 anos em 2026, filiado ao RGPS em 2005, com exatamente 15 anos de contribuição (alguns períodos intermitentes). Média aritmética de todos os salários de contribuição: R$ 2.200,00.</w:t>
            </w:r>
          </w:p>
          <w:p>
            <w:pPr>
              <w:spacing w:after="40" w:before="40"/>
            </w:pPr>
            <w:r>
              <w:rPr>
                <w:rFonts w:ascii="Arial" w:cs="Arial" w:eastAsia="Arial" w:hAnsi="Arial"/>
                <w:sz w:val="19"/>
                <w:szCs w:val="19"/>
              </w:rPr>
              <w:t xml:space="preserve">- Coeficiente: 60% + 2% × (15 - 20) = 60% + 0% = 60% (não se subtrai, o excedente é zero quando o TC é inferior ao piso)</w:t>
            </w:r>
          </w:p>
          <w:p>
            <w:pPr>
              <w:spacing w:after="40" w:before="40"/>
            </w:pPr>
            <w:r>
              <w:rPr>
                <w:rFonts w:ascii="Arial" w:cs="Arial" w:eastAsia="Arial" w:hAnsi="Arial"/>
                <w:sz w:val="19"/>
                <w:szCs w:val="19"/>
              </w:rPr>
              <w:t xml:space="preserve">- RMI: R$ 2.200,00 × 60% = R$ 1.320,00</w:t>
            </w:r>
          </w:p>
          <w:p>
            <w:pPr>
              <w:spacing w:after="40" w:before="40"/>
            </w:pPr>
            <w:r>
              <w:rPr>
                <w:rFonts w:ascii="Arial" w:cs="Arial" w:eastAsia="Arial" w:hAnsi="Arial"/>
                <w:sz w:val="19"/>
                <w:szCs w:val="19"/>
              </w:rPr>
              <w:t xml:space="preserve">- Como R$ 1.320,00 &lt; salário mínimo (R$ 1.621,00), a RMI será elevada para R$ 1.621,00</w:t>
            </w:r>
          </w:p>
          <w:p>
            <w:pPr>
              <w:spacing w:after="40" w:before="40"/>
            </w:pPr>
            <w:r>
              <w:rPr>
                <w:rFonts w:ascii="Arial" w:cs="Arial" w:eastAsia="Arial" w:hAnsi="Arial"/>
                <w:sz w:val="19"/>
                <w:szCs w:val="19"/>
              </w:rPr>
              <w:t xml:space="preserve">Essa é a realidade mais comum nos JEFs: segurados com histórico contributivo modesto recebem aposentadoria no valor do salário mínimo.</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Regra de transição art. 18 (mulher com 25 anos TC)</w:t>
            </w:r>
          </w:p>
          <w:p>
            <w:pPr>
              <w:spacing w:after="40" w:before="40"/>
            </w:pPr>
            <w:r>
              <w:rPr>
                <w:rFonts w:ascii="Arial" w:cs="Arial" w:eastAsia="Arial" w:hAnsi="Arial"/>
                <w:sz w:val="19"/>
                <w:szCs w:val="19"/>
              </w:rPr>
              <w:t xml:space="preserve">Ana, 62 anos em 2026, filiada ao RGPS em 1995, com 25 anos de contribuição. Média: R$ 3.800,00.</w:t>
            </w:r>
          </w:p>
          <w:p>
            <w:pPr>
              <w:spacing w:after="40" w:before="40"/>
            </w:pPr>
            <w:r>
              <w:rPr>
                <w:rFonts w:ascii="Arial" w:cs="Arial" w:eastAsia="Arial" w:hAnsi="Arial"/>
                <w:sz w:val="19"/>
                <w:szCs w:val="19"/>
              </w:rPr>
              <w:t xml:space="preserve">- Coeficiente: 60% + 2% × (25 - 15) = 60% + 20% = 80%</w:t>
            </w:r>
          </w:p>
          <w:p>
            <w:pPr>
              <w:spacing w:after="40" w:before="40"/>
            </w:pPr>
            <w:r>
              <w:rPr>
                <w:rFonts w:ascii="Arial" w:cs="Arial" w:eastAsia="Arial" w:hAnsi="Arial"/>
                <w:sz w:val="19"/>
                <w:szCs w:val="19"/>
              </w:rPr>
              <w:t xml:space="preserve">- RMI: R$ 3.800,00 × 80% = R$ 3.040,00</w:t>
            </w:r>
          </w:p>
          <w:p>
            <w:pPr>
              <w:spacing w:after="40" w:before="40"/>
            </w:pPr>
            <w:r>
              <w:rPr>
                <w:rFonts w:ascii="Arial" w:cs="Arial" w:eastAsia="Arial" w:hAnsi="Arial"/>
                <w:sz w:val="19"/>
                <w:szCs w:val="19"/>
              </w:rPr>
              <w:t xml:space="preserve">Ana receberia um benefício significativamente superior ao mínimo. Se tivesse 30 anos de TC, o coeficiente seria 90%; com 35 anos, 100%.</w:t>
            </w:r>
          </w:p>
        </w:tc>
      </w:tr>
    </w:tbl>
    <w:p>
      <w:pPr>
        <w:spacing w:after="200"/>
      </w:pPr>
    </w:p>
    <w:p>
      <w:pPr>
        <w:spacing w:after="140" w:before="280"/>
      </w:pPr>
      <w:r>
        <w:rPr>
          <w:rFonts w:ascii="Arial" w:cs="Arial" w:eastAsia="Arial" w:hAnsi="Arial"/>
          <w:b/>
          <w:bCs/>
          <w:color w:val="2E86C1"/>
          <w:sz w:val="23"/>
          <w:szCs w:val="23"/>
        </w:rPr>
        <w:t xml:space="preserve">10.4.4 Comparação com as demais regras de transição</w:t>
      </w:r>
    </w:p>
    <w:p>
      <w:pPr>
        <w:spacing w:after="100" w:before="100"/>
        <w:jc w:val="both"/>
      </w:pPr>
      <w:r>
        <w:rPr>
          <w:rFonts w:ascii="Arial" w:cs="Arial" w:eastAsia="Arial" w:hAnsi="Arial"/>
          <w:sz w:val="21"/>
          <w:szCs w:val="21"/>
        </w:rPr>
        <w:t xml:space="preserve">O segurado filiado antes de 13/11/2019 pode estar sujeito a mais de uma regra de transição simultaneamente. A identificação da regra mais vantajosa é essencial para a orientação do cliente e para a formulação do pedido judicial. O quadro abaixo sintetiza as cinco regras de transição da EC 103/2019 e suas principais características: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Regra</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Artigo</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Requisitos principais (2026)</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Cálculo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Pontos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15</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93 pontos (M) / 103 pontos (H) + 30/35 TC</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 + 2%/ano excedente</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progressiva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16</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59,5 (M) / 64,5 (H) + 30/35 TC</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 + 2%/ano excedente</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Pedágio 50%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17</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TC + pedágio 50% do faltante + fator previdenciário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Fator previdenciário obrigatório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Idade</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18</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 (M) / 65 (H) + 15 TC</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 + 2%/ano excedente</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Pedágio 100%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20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57 (M) / 60 (H) + 30/35 TC + pedágio 100%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da média</w:t>
            </w:r>
          </w:p>
        </w:tc>
      </w:tr>
    </w:tbl>
    <w:p>
      <w:pPr>
        <w:spacing w:after="160"/>
      </w:pPr>
    </w:p>
    <w:p>
      <w:pPr>
        <w:spacing w:after="100" w:before="100"/>
        <w:jc w:val="both"/>
      </w:pPr>
      <w:r>
        <w:rPr>
          <w:rFonts w:ascii="Arial" w:cs="Arial" w:eastAsia="Arial" w:hAnsi="Arial"/>
          <w:sz w:val="21"/>
          <w:szCs w:val="21"/>
        </w:rPr>
        <w:t xml:space="preserve">A regra do art. 18 (aposentadoria por idade) destaca-se por exigir apenas 15 anos de tempo de contribuição, enquanto todas as demais exigem 30 anos (mulher) ou 35 anos (homem). Esse requisito mais brando de tempo de contribuição é contrabalançado por dois fatores: (i) a idade mínima é a mais elevada entre as regras de transição femininas; e (ii) o coeficiente de cálculo, para quem tem poucos anos de contribuição, resulta em benefício de valor inferior.</w:t>
      </w:r>
    </w:p>
    <w:p>
      <w:pPr>
        <w:spacing w:after="100" w:before="100"/>
        <w:jc w:val="both"/>
      </w:pPr>
      <w:r>
        <w:rPr>
          <w:rFonts w:ascii="Arial" w:cs="Arial" w:eastAsia="Arial" w:hAnsi="Arial"/>
          <w:sz w:val="21"/>
          <w:szCs w:val="21"/>
        </w:rPr>
        <w:t xml:space="preserve">A regra do pedágio de 100% (art. 20) é a única que garante coeficiente de 100% da média, sem a aplicação do escalonamento progressivo do art. 26. Essa regra pode ser significativamente mais vantajosa para segurados com muitos anos de contribuição e remunerações elevadas.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Simulação comparativa — Qual regra escolher?</w:t>
            </w:r>
          </w:p>
          <w:p>
            <w:pPr>
              <w:spacing w:after="40" w:before="40"/>
            </w:pPr>
            <w:r>
              <w:rPr>
                <w:rFonts w:ascii="Arial" w:cs="Arial" w:eastAsia="Arial" w:hAnsi="Arial"/>
                <w:sz w:val="19"/>
                <w:szCs w:val="19"/>
              </w:rPr>
              <w:t xml:space="preserve">Marcos, homem, 65 anos em 2026, 38 anos de contribuição, filiado em 1988. Média dos salários de contribuição: R$ 6.000,00.</w:t>
            </w:r>
          </w:p>
          <w:p>
            <w:pPr>
              <w:spacing w:after="40" w:before="40"/>
            </w:pPr>
            <w:r>
              <w:rPr>
                <w:rFonts w:ascii="Arial" w:cs="Arial" w:eastAsia="Arial" w:hAnsi="Arial"/>
                <w:sz w:val="19"/>
                <w:szCs w:val="19"/>
              </w:rPr>
              <w:t xml:space="preserve">Opção 1 — Art. 18 (aposentadoria por idade):</w:t>
            </w:r>
          </w:p>
          <w:p>
            <w:pPr>
              <w:spacing w:after="40" w:before="40"/>
            </w:pPr>
            <w:r>
              <w:rPr>
                <w:rFonts w:ascii="Arial" w:cs="Arial" w:eastAsia="Arial" w:hAnsi="Arial"/>
                <w:sz w:val="19"/>
                <w:szCs w:val="19"/>
              </w:rPr>
              <w:t xml:space="preserve">- Coeficiente: 60% + 2% × (38 - 20) = 60% + 36% = 96%</w:t>
            </w:r>
          </w:p>
          <w:p>
            <w:pPr>
              <w:spacing w:after="40" w:before="40"/>
            </w:pPr>
            <w:r>
              <w:rPr>
                <w:rFonts w:ascii="Arial" w:cs="Arial" w:eastAsia="Arial" w:hAnsi="Arial"/>
                <w:sz w:val="19"/>
                <w:szCs w:val="19"/>
              </w:rPr>
              <w:t xml:space="preserve">- RMI: R$ 6.000,00 × 96% = R$ 5.760,00</w:t>
            </w:r>
          </w:p>
          <w:p>
            <w:pPr>
              <w:spacing w:after="40" w:before="40"/>
            </w:pPr>
            <w:r>
              <w:rPr>
                <w:rFonts w:ascii="Arial" w:cs="Arial" w:eastAsia="Arial" w:hAnsi="Arial"/>
                <w:sz w:val="19"/>
                <w:szCs w:val="19"/>
              </w:rPr>
              <w:t xml:space="preserve">Opção 2 — Art. 15 (pontos):</w:t>
            </w:r>
          </w:p>
          <w:p>
            <w:pPr>
              <w:spacing w:after="40" w:before="40"/>
            </w:pPr>
            <w:r>
              <w:rPr>
                <w:rFonts w:ascii="Arial" w:cs="Arial" w:eastAsia="Arial" w:hAnsi="Arial"/>
                <w:sz w:val="19"/>
                <w:szCs w:val="19"/>
              </w:rPr>
              <w:t xml:space="preserve">- Pontos: 65 + 38 = 103 → atinge os 103 exigidos em 2026</w:t>
            </w:r>
          </w:p>
          <w:p>
            <w:pPr>
              <w:spacing w:after="40" w:before="40"/>
            </w:pPr>
            <w:r>
              <w:rPr>
                <w:rFonts w:ascii="Arial" w:cs="Arial" w:eastAsia="Arial" w:hAnsi="Arial"/>
                <w:sz w:val="19"/>
                <w:szCs w:val="19"/>
              </w:rPr>
              <w:t xml:space="preserve">- Coeficiente: 60% + 2% × (38 - 20) = 60% + 36% = 96%</w:t>
            </w:r>
          </w:p>
          <w:p>
            <w:pPr>
              <w:spacing w:after="40" w:before="40"/>
            </w:pPr>
            <w:r>
              <w:rPr>
                <w:rFonts w:ascii="Arial" w:cs="Arial" w:eastAsia="Arial" w:hAnsi="Arial"/>
                <w:sz w:val="19"/>
                <w:szCs w:val="19"/>
              </w:rPr>
              <w:t xml:space="preserve">- RMI: R$ 6.000,00 × 96% = R$ 5.760,00 (mesmo valor)</w:t>
            </w:r>
          </w:p>
          <w:p>
            <w:pPr>
              <w:spacing w:after="40" w:before="40"/>
            </w:pPr>
            <w:r>
              <w:rPr>
                <w:rFonts w:ascii="Arial" w:cs="Arial" w:eastAsia="Arial" w:hAnsi="Arial"/>
                <w:sz w:val="19"/>
                <w:szCs w:val="19"/>
              </w:rPr>
              <w:t xml:space="preserve">Opção 3 — Art. 20 (pedágio 100%):</w:t>
            </w:r>
          </w:p>
          <w:p>
            <w:pPr>
              <w:spacing w:after="40" w:before="40"/>
            </w:pPr>
            <w:r>
              <w:rPr>
                <w:rFonts w:ascii="Arial" w:cs="Arial" w:eastAsia="Arial" w:hAnsi="Arial"/>
                <w:sz w:val="19"/>
                <w:szCs w:val="19"/>
              </w:rPr>
              <w:t xml:space="preserve">- TC exigido: 35 anos + pedágio. Em 13/11/2019, Marcos tinha ~31 anos de TC, faltavam 4 anos → pedágio = 4 anos → precisa de 39 anos TC total. Marcos tem 38 → não preenche ainda (faltam 12 meses)</w:t>
            </w:r>
          </w:p>
          <w:p>
            <w:pPr>
              <w:spacing w:after="40" w:before="40"/>
            </w:pPr>
            <w:r>
              <w:rPr>
                <w:rFonts w:ascii="Arial" w:cs="Arial" w:eastAsia="Arial" w:hAnsi="Arial"/>
                <w:sz w:val="19"/>
                <w:szCs w:val="19"/>
              </w:rPr>
              <w:t xml:space="preserve">- Se aguardar 1 ano: RMI = R$ 6.000,00 × 100% = R$ 6.000,00</w:t>
            </w:r>
          </w:p>
          <w:p>
            <w:pPr>
              <w:spacing w:after="40" w:before="40"/>
            </w:pPr>
            <w:r>
              <w:rPr>
                <w:rFonts w:ascii="Arial" w:cs="Arial" w:eastAsia="Arial" w:hAnsi="Arial"/>
                <w:sz w:val="19"/>
                <w:szCs w:val="19"/>
              </w:rPr>
              <w:t xml:space="preserve">Conclusão: Se Marcos puder aguardar mais 1 ano, a regra do pedágio 100% lhe garante R$ 240,00 a mais por mês (R$ 6.000 vs. R$ 5.760), ou R$ 2.880,00/ano. Pode valer a pena esperar. O advogado deve apresentar essa comparação ao cliente.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10.5 Direito Adquirido à Aposentadoria por Idade Pré-EC 103/2019</w:t>
      </w:r>
    </w:p>
    <w:p>
      <w:pPr>
        <w:spacing w:after="140" w:before="280"/>
      </w:pPr>
      <w:r>
        <w:rPr>
          <w:rFonts w:ascii="Arial" w:cs="Arial" w:eastAsia="Arial" w:hAnsi="Arial"/>
          <w:b/>
          <w:bCs/>
          <w:color w:val="2E86C1"/>
          <w:sz w:val="23"/>
          <w:szCs w:val="23"/>
        </w:rPr>
        <w:t xml:space="preserve">10.5.1 Fundamento constitucional</w:t>
      </w:r>
    </w:p>
    <w:p>
      <w:pPr>
        <w:spacing w:after="100" w:before="100"/>
        <w:jc w:val="both"/>
      </w:pPr>
      <w:r>
        <w:rPr>
          <w:rFonts w:ascii="Arial" w:cs="Arial" w:eastAsia="Arial" w:hAnsi="Arial"/>
          <w:sz w:val="21"/>
          <w:szCs w:val="21"/>
        </w:rPr>
        <w:t xml:space="preserve">O art. 3º da EC 103/2019 estabelece que "É assegurado o direito adquirido do segurado que tenha cumprido os requisitos para obtenção de aposentadoria, nos termos da legislação vigente na data de publicação desta Emenda Constitucional." O segurado que, em 13/11/2019, já contava com 65 anos (homem) ou 60 anos (mulher) e 180 contribuições de carência tem direito adquirido à aposentadoria por idade na forma da Lei 8.213/91, independentemente de não ter exercido esse direito na época.</w:t>
      </w:r>
    </w:p>
    <w:p>
      <w:pPr>
        <w:spacing w:after="100" w:before="100"/>
        <w:jc w:val="both"/>
      </w:pPr>
      <w:r>
        <w:rPr>
          <w:rFonts w:ascii="Arial" w:cs="Arial" w:eastAsia="Arial" w:hAnsi="Arial"/>
          <w:sz w:val="21"/>
          <w:szCs w:val="21"/>
        </w:rPr>
        <w:t xml:space="preserve">O direito adquirido previdenciário é imprescritível. O segurado pode exercê-lo a qualquer tempo, mesmo décadas após o implemento dos requisitos. O que prescreve é apenas o direito às prestações vencidas anteriores ao quinquênio que antecede o ajuizamento da ação (Súmula 85/STJ).</w:t>
      </w:r>
    </w:p>
    <w:p>
      <w:pPr>
        <w:spacing w:after="140" w:before="280"/>
      </w:pPr>
      <w:r>
        <w:rPr>
          <w:rFonts w:ascii="Arial" w:cs="Arial" w:eastAsia="Arial" w:hAnsi="Arial"/>
          <w:b/>
          <w:bCs/>
          <w:color w:val="2E86C1"/>
          <w:sz w:val="23"/>
          <w:szCs w:val="23"/>
        </w:rPr>
        <w:t xml:space="preserve">10.5.2 Requisitos na regra antiga</w:t>
      </w:r>
    </w:p>
    <w:p>
      <w:pPr>
        <w:spacing w:after="100" w:before="100"/>
        <w:jc w:val="both"/>
      </w:pPr>
      <w:r>
        <w:rPr>
          <w:rFonts w:ascii="Arial" w:cs="Arial" w:eastAsia="Arial" w:hAnsi="Arial"/>
          <w:sz w:val="21"/>
          <w:szCs w:val="21"/>
        </w:rPr>
        <w:t xml:space="preserve">Para fazer jus à aposentadoria por idade na regra pré-EC 103/2019, o segurado precisava cumprir:</w:t>
      </w:r>
    </w:p>
    <w:p>
      <w:pPr>
        <w:spacing w:after="60" w:before="60"/>
        <w:ind w:left="360"/>
      </w:pPr>
      <w:r>
        <w:rPr>
          <w:rFonts w:ascii="Arial" w:cs="Arial" w:eastAsia="Arial" w:hAnsi="Arial"/>
          <w:sz w:val="21"/>
          <w:szCs w:val="21"/>
        </w:rPr>
        <w:t xml:space="preserve">a) Idade mínima: 65 anos (homem) ou 60 anos (mulher).</w:t>
      </w:r>
    </w:p>
    <w:p>
      <w:pPr>
        <w:spacing w:after="60" w:before="60"/>
        <w:ind w:left="360"/>
      </w:pPr>
      <w:r>
        <w:rPr>
          <w:rFonts w:ascii="Arial" w:cs="Arial" w:eastAsia="Arial" w:hAnsi="Arial"/>
          <w:sz w:val="21"/>
          <w:szCs w:val="21"/>
        </w:rPr>
        <w:t xml:space="preserve">b) Carência: 180 contribuições mensais (art. 25, II, Lei 8.213/91), ou o número reduzido da tabela progressiva do art. 142 para segurados filiados antes de 24/07/1991.</w:t>
      </w:r>
    </w:p>
    <w:p>
      <w:pPr>
        <w:spacing w:after="100" w:before="100"/>
        <w:jc w:val="both"/>
      </w:pPr>
      <w:r>
        <w:rPr>
          <w:rFonts w:ascii="Arial" w:cs="Arial" w:eastAsia="Arial" w:hAnsi="Arial"/>
          <w:sz w:val="21"/>
          <w:szCs w:val="21"/>
        </w:rPr>
        <w:t xml:space="preserve">Note-se que a regra antiga exigia carência (número de contribuições), e não tempo de contribuição. A distinção é relevante: 15 anos de tempo de contribuição não equivalem necessariamente a 180 contribuições de carência, porque pode haver períodos intercalados, períodos de benefício por incapacidade (que contam como tempo de contribuição, mas não geram carência, salvo o período intercalado entre contribuições), e períodos de atividade rural anterior a novembro de 1991 (que contam como tempo de contribuição, mas não como carência na aposentadoria por idade urbana comum).</w:t>
      </w:r>
    </w:p>
    <w:p>
      <w:pPr>
        <w:spacing w:after="140" w:before="280"/>
      </w:pPr>
      <w:r>
        <w:rPr>
          <w:rFonts w:ascii="Arial" w:cs="Arial" w:eastAsia="Arial" w:hAnsi="Arial"/>
          <w:b/>
          <w:bCs/>
          <w:color w:val="2E86C1"/>
          <w:sz w:val="23"/>
          <w:szCs w:val="23"/>
        </w:rPr>
        <w:t xml:space="preserve">10.5.3 Cálculo na regra antiga</w:t>
      </w:r>
    </w:p>
    <w:p>
      <w:pPr>
        <w:spacing w:after="100" w:before="100"/>
        <w:jc w:val="both"/>
      </w:pPr>
      <w:r>
        <w:rPr>
          <w:rFonts w:ascii="Arial" w:cs="Arial" w:eastAsia="Arial" w:hAnsi="Arial"/>
          <w:sz w:val="21"/>
          <w:szCs w:val="21"/>
        </w:rPr>
        <w:t xml:space="preserve">O cálculo do benefício pela regra pré-EC 103 era significativamente diferente:</w:t>
      </w:r>
    </w:p>
    <w:p>
      <w:pPr>
        <w:spacing w:after="60" w:before="60"/>
        <w:ind w:left="360"/>
      </w:pPr>
      <w:r>
        <w:rPr>
          <w:rFonts w:ascii="Arial" w:cs="Arial" w:eastAsia="Arial" w:hAnsi="Arial"/>
          <w:sz w:val="21"/>
          <w:szCs w:val="21"/>
        </w:rPr>
        <w:t xml:space="preserve">Passo 1 — Salário de benefício: Média aritmética simples dos 80% maiores salários de contribuição desde julho/1994 (art. 29, I e II, da Lei 8.213/91, redação da Lei 9.876/99). A exclusão dos 20% menores salários geralmente resultava em média mais elevada.</w:t>
      </w:r>
    </w:p>
    <w:p>
      <w:pPr>
        <w:spacing w:after="60" w:before="60"/>
        <w:ind w:left="360"/>
      </w:pPr>
      <w:r>
        <w:rPr>
          <w:rFonts w:ascii="Arial" w:cs="Arial" w:eastAsia="Arial" w:hAnsi="Arial"/>
          <w:sz w:val="21"/>
          <w:szCs w:val="21"/>
        </w:rPr>
        <w:t xml:space="preserve">Passo 2 — Renda mensal inicial: 70% do salário de benefício, acrescidos de 1% para cada grupo de 12 contribuições mensais, até o máximo de 100%.</w:t>
      </w:r>
    </w:p>
    <w:p>
      <w:pPr>
        <w:spacing w:after="60" w:before="60"/>
        <w:ind w:left="360"/>
      </w:pPr>
      <w:r>
        <w:rPr>
          <w:rFonts w:ascii="Arial" w:cs="Arial" w:eastAsia="Arial" w:hAnsi="Arial"/>
          <w:sz w:val="21"/>
          <w:szCs w:val="21"/>
        </w:rPr>
        <w:t xml:space="preserve">Fator previdenciário: Aplicável somente quando mais vantajoso ao segurado (art. 7º da Lei 9.876/99). Na aposentadoria por idade, o fator era quase sempre desfavorável, de modo que raramente era aplicado.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Direito adquirido (regra antiga)</w:t>
            </w:r>
          </w:p>
          <w:p>
            <w:pPr>
              <w:spacing w:after="40" w:before="40"/>
            </w:pPr>
            <w:r>
              <w:rPr>
                <w:rFonts w:ascii="Arial" w:cs="Arial" w:eastAsia="Arial" w:hAnsi="Arial"/>
                <w:sz w:val="19"/>
                <w:szCs w:val="19"/>
              </w:rPr>
              <w:t xml:space="preserve">Dona Célia, 68 anos em 2026, completou 65 anos em novembro de 2022 — antes da EC 103, que fixou a idade feminina em 62 anos. Porém, com 60 anos em 2019, já tinha direito adquirido à regra antiga (60F). 260 contribuições (21 anos e 8 meses de contribuição). Média dos 80% maiores salários: R$ 2.800,00.</w:t>
            </w:r>
          </w:p>
          <w:p>
            <w:pPr>
              <w:spacing w:after="40" w:before="40"/>
            </w:pPr>
            <w:r>
              <w:rPr>
                <w:rFonts w:ascii="Arial" w:cs="Arial" w:eastAsia="Arial" w:hAnsi="Arial"/>
                <w:sz w:val="19"/>
                <w:szCs w:val="19"/>
              </w:rPr>
              <w:t xml:space="preserve">Pela regra antiga:</w:t>
            </w:r>
          </w:p>
          <w:p>
            <w:pPr>
              <w:spacing w:after="40" w:before="40"/>
            </w:pPr>
            <w:r>
              <w:rPr>
                <w:rFonts w:ascii="Arial" w:cs="Arial" w:eastAsia="Arial" w:hAnsi="Arial"/>
                <w:sz w:val="19"/>
                <w:szCs w:val="19"/>
              </w:rPr>
              <w:t xml:space="preserve">- Coeficiente: 70% + 1% × 21 = 91%</w:t>
            </w:r>
          </w:p>
          <w:p>
            <w:pPr>
              <w:spacing w:after="40" w:before="40"/>
            </w:pPr>
            <w:r>
              <w:rPr>
                <w:rFonts w:ascii="Arial" w:cs="Arial" w:eastAsia="Arial" w:hAnsi="Arial"/>
                <w:sz w:val="19"/>
                <w:szCs w:val="19"/>
              </w:rPr>
              <w:t xml:space="preserve">- RMI: R$ 2.800,00 × 91% = R$ 2.548,00</w:t>
            </w:r>
          </w:p>
          <w:p>
            <w:pPr>
              <w:spacing w:after="40" w:before="40"/>
            </w:pPr>
            <w:r>
              <w:rPr>
                <w:rFonts w:ascii="Arial" w:cs="Arial" w:eastAsia="Arial" w:hAnsi="Arial"/>
                <w:sz w:val="19"/>
                <w:szCs w:val="19"/>
              </w:rPr>
              <w:t xml:space="preserve">Pela regra de transição (art. 18, EC 103):</w:t>
            </w:r>
          </w:p>
          <w:p>
            <w:pPr>
              <w:spacing w:after="40" w:before="40"/>
            </w:pPr>
            <w:r>
              <w:rPr>
                <w:rFonts w:ascii="Arial" w:cs="Arial" w:eastAsia="Arial" w:hAnsi="Arial"/>
                <w:sz w:val="19"/>
                <w:szCs w:val="19"/>
              </w:rPr>
              <w:t xml:space="preserve">- Média de 100% dos salários: R$ 2.500,00 (menor porque inclui os 20% piores)</w:t>
            </w:r>
          </w:p>
          <w:p>
            <w:pPr>
              <w:spacing w:after="40" w:before="40"/>
            </w:pPr>
            <w:r>
              <w:rPr>
                <w:rFonts w:ascii="Arial" w:cs="Arial" w:eastAsia="Arial" w:hAnsi="Arial"/>
                <w:sz w:val="19"/>
                <w:szCs w:val="19"/>
              </w:rPr>
              <w:t xml:space="preserve">- Coeficiente: 60% + 2% × (21 - 15) = 60% + 12% = 72%</w:t>
            </w:r>
          </w:p>
          <w:p>
            <w:pPr>
              <w:spacing w:after="40" w:before="40"/>
            </w:pPr>
            <w:r>
              <w:rPr>
                <w:rFonts w:ascii="Arial" w:cs="Arial" w:eastAsia="Arial" w:hAnsi="Arial"/>
                <w:sz w:val="19"/>
                <w:szCs w:val="19"/>
              </w:rPr>
              <w:t xml:space="preserve">- RMI: R$ 2.500,00 × 72% = R$ 1.800,00</w:t>
            </w:r>
          </w:p>
          <w:p>
            <w:pPr>
              <w:spacing w:after="40" w:before="40"/>
            </w:pPr>
            <w:r>
              <w:rPr>
                <w:rFonts w:ascii="Arial" w:cs="Arial" w:eastAsia="Arial" w:hAnsi="Arial"/>
                <w:sz w:val="19"/>
                <w:szCs w:val="19"/>
              </w:rPr>
              <w:t xml:space="preserve">Diferença: R$ 748,00/mês a favor da regra antiga. Dona Célia deve requerer a aposentadoria com base no direito adquirido.</w:t>
            </w:r>
          </w:p>
          <w:p>
            <w:pPr>
              <w:spacing w:after="40" w:before="40"/>
            </w:pPr>
            <w:r>
              <w:rPr>
                <w:rFonts w:ascii="Arial" w:cs="Arial" w:eastAsia="Arial" w:hAnsi="Arial"/>
                <w:sz w:val="19"/>
                <w:szCs w:val="19"/>
              </w:rPr>
              <w:t xml:space="preserve">O advogado que não verifica a possibilidade de direito adquirido à regra anterior causa prejuízo financeiro ao cliente.</w:t>
            </w:r>
          </w:p>
        </w:tc>
      </w:tr>
    </w:tbl>
    <w:p>
      <w:pPr>
        <w:spacing w:after="200"/>
      </w:pPr>
    </w:p>
    <w:p>
      <w:pPr>
        <w:spacing w:after="140" w:before="280"/>
      </w:pPr>
      <w:r>
        <w:rPr>
          <w:rFonts w:ascii="Arial" w:cs="Arial" w:eastAsia="Arial" w:hAnsi="Arial"/>
          <w:b/>
          <w:bCs/>
          <w:color w:val="2E86C1"/>
          <w:sz w:val="23"/>
          <w:szCs w:val="23"/>
        </w:rPr>
        <w:t xml:space="preserve">10.5.4 Tabela de transição de carência (art. 142, Lei 8.213/91)</w:t>
      </w:r>
    </w:p>
    <w:p>
      <w:pPr>
        <w:spacing w:after="100" w:before="100"/>
        <w:jc w:val="both"/>
      </w:pPr>
      <w:r>
        <w:rPr>
          <w:rFonts w:ascii="Arial" w:cs="Arial" w:eastAsia="Arial" w:hAnsi="Arial"/>
          <w:sz w:val="21"/>
          <w:szCs w:val="21"/>
        </w:rPr>
        <w:t xml:space="preserve">Para segurados filiados antes de 24/07/1991 (data de publicação da Lei 8.213/91), a carência exigida era inferior a 180 contribuições, conforme a tabela do art. 142. Essa tabela já encerrou sua progressão em 2011, quando atingiu 180 contribuições. Portanto, para fins práticos em 2026, a tabela do art. 142 somente é relevante para segurados que implementaram os requisitos da aposentadoria por idade antes de 2011.</w:t>
      </w:r>
    </w:p>
    <w:p>
      <w:pPr>
        <w:spacing w:after="100" w:before="100"/>
        <w:jc w:val="both"/>
      </w:pPr>
      <w:r>
        <w:rPr>
          <w:rFonts w:ascii="Arial" w:cs="Arial" w:eastAsia="Arial" w:hAnsi="Arial"/>
          <w:sz w:val="21"/>
          <w:szCs w:val="21"/>
        </w:rPr>
        <w:t xml:space="preserve">Contudo, a aplicação da tabela do art. 142 ainda gera controvérsias nos JEFs, especialmente em relação ao marco temporal relevante para a fixação do número de contribuições exigido.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TNU Súmula 44 — Marco temporal para aferição da carência (art. 142)</w:t>
            </w:r>
          </w:p>
          <w:p>
            <w:pPr>
              <w:spacing w:after="40" w:before="40"/>
            </w:pPr>
            <w:r>
              <w:rPr>
                <w:rFonts w:ascii="Arial" w:cs="Arial" w:eastAsia="Arial" w:hAnsi="Arial"/>
                <w:sz w:val="19"/>
                <w:szCs w:val="19"/>
              </w:rPr>
              <w:t xml:space="preserve">"Para efeito de aposentadoria urbana por idade, a tabela progressiva de carência prevista no art. 142 da Lei 8.213/91 deve ser aplicada em função do ano em que o segurado completa a idade mínima para a concessão do benefício, ainda que o período de carência somente seja preenchido posteriormente."</w:t>
            </w:r>
          </w:p>
          <w:p>
            <w:pPr>
              <w:spacing w:after="40" w:before="40"/>
            </w:pPr>
            <w:r>
              <w:rPr>
                <w:rFonts w:ascii="Arial" w:cs="Arial" w:eastAsia="Arial" w:hAnsi="Arial"/>
                <w:sz w:val="19"/>
                <w:szCs w:val="19"/>
              </w:rPr>
              <w:t xml:space="preserve">Exemplo prático: Um homem filiado em 1985 completou 65 anos em 2005. Pela tabela do art. 142, em 2005 a carência exigida era de 144 contribuições (12 anos). Se ele tinha apenas 120 contribuições em 2005 e completou as 144 contribuições somente em 2008, o número de contribuições exigido continua sendo 144 (não 168, que seria o exigido em 2008).</w:t>
            </w:r>
          </w:p>
          <w:p>
            <w:pPr>
              <w:spacing w:after="40" w:before="40"/>
            </w:pPr>
            <w:r>
              <w:rPr>
                <w:rFonts w:ascii="Arial" w:cs="Arial" w:eastAsia="Arial" w:hAnsi="Arial"/>
                <w:sz w:val="19"/>
                <w:szCs w:val="19"/>
              </w:rPr>
              <w:t xml:space="preserve">Essa súmula beneficia enormemente segurados com histórico contributivo intermitente que atingem a idade avançada antes de completar a carência. O ano de implemento da idade "congela" o número de contribuições exigido.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10.6 Carência: Conceito, Contagem e Controvérsias</w:t>
      </w:r>
    </w:p>
    <w:p>
      <w:pPr>
        <w:spacing w:after="140" w:before="280"/>
      </w:pPr>
      <w:r>
        <w:rPr>
          <w:rFonts w:ascii="Arial" w:cs="Arial" w:eastAsia="Arial" w:hAnsi="Arial"/>
          <w:b/>
          <w:bCs/>
          <w:color w:val="2E86C1"/>
          <w:sz w:val="23"/>
          <w:szCs w:val="23"/>
        </w:rPr>
        <w:t xml:space="preserve">10.6.1 Conceito legal</w:t>
      </w:r>
    </w:p>
    <w:p>
      <w:pPr>
        <w:spacing w:after="100" w:before="100"/>
        <w:jc w:val="both"/>
      </w:pPr>
      <w:r>
        <w:rPr>
          <w:rFonts w:ascii="Arial" w:cs="Arial" w:eastAsia="Arial" w:hAnsi="Arial"/>
          <w:sz w:val="21"/>
          <w:szCs w:val="21"/>
        </w:rPr>
        <w:t xml:space="preserve">Carência, no direito previdenciário, é o número mínimo de contribuições mensais indispensáveis para que o beneficiário faça jus ao benefício (art. 24 da Lei 8.213/91). Para a aposentadoria por idade e para a aposentadoria programada, a carência é de 180 contribuições mensais (art. 25, II).</w:t>
      </w:r>
    </w:p>
    <w:p>
      <w:pPr>
        <w:spacing w:after="100" w:before="100"/>
        <w:jc w:val="both"/>
      </w:pPr>
      <w:r>
        <w:rPr>
          <w:rFonts w:ascii="Arial" w:cs="Arial" w:eastAsia="Arial" w:hAnsi="Arial"/>
          <w:sz w:val="21"/>
          <w:szCs w:val="21"/>
        </w:rPr>
        <w:t xml:space="preserve">O conceito de carência distingue-se do conceito de tempo de contribuição em três aspectos fundamentais. Primeiro, a carência conta contribuições efetivas, mês a mês, enquanto o tempo de contribuição contabiliza o período total de atividade vinculada ao RGPS. Segundo, a carência exige contribuições individualizáveis (cada mês conta como uma contribuição), ao passo que o tempo de contribuição pode abranger períodos contínuos de atividade. Terceiro, determinados períodos computáveis como tempo de contribuição não geram carência — o exemplo mais relevante sendo o tempo de serviço rural anterior a novembro de 1991, quando a contribuição previdenciária rural era substituída pela contribuição sobre a comercialização da produção.</w:t>
      </w:r>
    </w:p>
    <w:p>
      <w:pPr>
        <w:spacing w:after="140" w:before="280"/>
      </w:pPr>
      <w:r>
        <w:rPr>
          <w:rFonts w:ascii="Arial" w:cs="Arial" w:eastAsia="Arial" w:hAnsi="Arial"/>
          <w:b/>
          <w:bCs/>
          <w:color w:val="2E86C1"/>
          <w:sz w:val="23"/>
          <w:szCs w:val="23"/>
        </w:rPr>
        <w:t xml:space="preserve">10.6.2 Início da contagem de carência</w:t>
      </w:r>
    </w:p>
    <w:p>
      <w:pPr>
        <w:spacing w:after="100" w:before="100"/>
        <w:jc w:val="both"/>
      </w:pPr>
      <w:r>
        <w:rPr>
          <w:rFonts w:ascii="Arial" w:cs="Arial" w:eastAsia="Arial" w:hAnsi="Arial"/>
          <w:sz w:val="21"/>
          <w:szCs w:val="21"/>
        </w:rPr>
        <w:t xml:space="preserve">Para o segurado empregado e o trabalhador avulso, a carência é contada a partir da data da filiação ao RGPS (art. 27, I, Lei 8.213/91), porque o recolhimento da contribuição é responsabilidade do empregador. A contagem independe do efetivo recolhimento pelo empregador — se o empregador não recolheu, a responsabilidade é deste, e o trabalhador não pode ser prejudicado (princípio da automaticidade da filiação).</w:t>
      </w:r>
    </w:p>
    <w:p>
      <w:pPr>
        <w:spacing w:after="100" w:before="100"/>
        <w:jc w:val="both"/>
      </w:pPr>
      <w:r>
        <w:rPr>
          <w:rFonts w:ascii="Arial" w:cs="Arial" w:eastAsia="Arial" w:hAnsi="Arial"/>
          <w:sz w:val="21"/>
          <w:szCs w:val="21"/>
        </w:rPr>
        <w:t xml:space="preserve">Para o contribuinte individual e o segurado facultativo, a carência é contada a partir do primeiro recolhimento sem atraso (art. 27, II). Contribuições recolhidas em atraso, com juros e multa, não são computadas para fins de carência, nos termos do art. 27, II, da Lei 8.213/91, salvo nas hipóteses expressamente previstas no Decreto 3.048/99.</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Contribuições em atraso e carência — armadilha frequente</w:t>
            </w:r>
          </w:p>
          <w:p>
            <w:pPr>
              <w:spacing w:after="40" w:before="40"/>
            </w:pPr>
            <w:r>
              <w:rPr>
                <w:rFonts w:ascii="Arial" w:cs="Arial" w:eastAsia="Arial" w:hAnsi="Arial"/>
                <w:sz w:val="19"/>
                <w:szCs w:val="19"/>
              </w:rPr>
              <w:t xml:space="preserve">A prática nos JEFs revela uma situação recorrente: o contribuinte individual que, ao constatar que lhe faltam poucos meses para completar a carência de 180 contribuições, efetua o recolhimento retroativo de competências passadas. Essas contribuições em atraso, embora validem o período como tempo de contribuição (mediante indenização), não são computadas para fins de carência.</w:t>
            </w:r>
          </w:p>
          <w:p>
            <w:pPr>
              <w:spacing w:after="40" w:before="40"/>
            </w:pPr>
            <w:r>
              <w:rPr>
                <w:rFonts w:ascii="Arial" w:cs="Arial" w:eastAsia="Arial" w:hAnsi="Arial"/>
                <w:sz w:val="19"/>
                <w:szCs w:val="19"/>
              </w:rPr>
              <w:t xml:space="preserve">O advogado deve alertar o cliente sobre essa distinção antes de orientá-lo a efetuar recolhimentos retroativos. Em muitos casos, é mais eficiente aguardar o transcurso dos meses faltantes com contribuições em dia do que pagar retroativamente valores que não serão aproveitados para carência.</w:t>
            </w:r>
          </w:p>
          <w:p>
            <w:pPr>
              <w:spacing w:after="40" w:before="40"/>
            </w:pPr>
            <w:r>
              <w:rPr>
                <w:rFonts w:ascii="Arial" w:cs="Arial" w:eastAsia="Arial" w:hAnsi="Arial"/>
                <w:sz w:val="19"/>
                <w:szCs w:val="19"/>
              </w:rPr>
              <w:t xml:space="preserve">Exceção: contribuições em atraso para períodos em que o segurado exercia atividade como contribuinte individual, com prova da atividade, podem ser computadas para carência quando o primeiro recolhimento sem atraso tiver ocorrido anteriormente (art. 27, II, Lei 8.213/91 c/c art. 156 do Decreto 3.048/99).</w:t>
            </w:r>
          </w:p>
        </w:tc>
      </w:tr>
    </w:tbl>
    <w:p>
      <w:pPr>
        <w:spacing w:after="200"/>
      </w:pPr>
    </w:p>
    <w:p>
      <w:pPr>
        <w:spacing w:after="140" w:before="280"/>
      </w:pPr>
      <w:r>
        <w:rPr>
          <w:rFonts w:ascii="Arial" w:cs="Arial" w:eastAsia="Arial" w:hAnsi="Arial"/>
          <w:b/>
          <w:bCs/>
          <w:color w:val="2E86C1"/>
          <w:sz w:val="23"/>
          <w:szCs w:val="23"/>
        </w:rPr>
        <w:t xml:space="preserve">10.6.3 Perda e recuperação da qualidade de segurado</w:t>
      </w:r>
    </w:p>
    <w:p>
      <w:pPr>
        <w:spacing w:after="100" w:before="100"/>
        <w:jc w:val="both"/>
      </w:pPr>
      <w:r>
        <w:rPr>
          <w:rFonts w:ascii="Arial" w:cs="Arial" w:eastAsia="Arial" w:hAnsi="Arial"/>
          <w:sz w:val="21"/>
          <w:szCs w:val="21"/>
        </w:rPr>
        <w:t xml:space="preserve">A perda da qualidade de segurado, nos termos do art. 15 da Lei 8.213/91, não implica, por si só, a perda das contribuições anteriores para fins de carência. A Lei 10.666/2003, em seu art. 3º, § 1º, estabeleceu que a perda da qualidade de segurado não será considerada para a concessão de aposentadoria por idade, bastando que o segurado conte com o número mínimo de contribuições exigido.</w:t>
      </w:r>
    </w:p>
    <w:p>
      <w:pPr>
        <w:spacing w:after="100" w:before="100"/>
        <w:jc w:val="both"/>
      </w:pPr>
      <w:r>
        <w:rPr>
          <w:rFonts w:ascii="Arial" w:cs="Arial" w:eastAsia="Arial" w:hAnsi="Arial"/>
          <w:sz w:val="21"/>
          <w:szCs w:val="21"/>
        </w:rPr>
        <w:t xml:space="preserve">Essa regra, inicialmente prevista em medida provisória e depois consolidada na Lei 10.666/2003, representou uma alteração significativa na disciplina da carência. Antes de sua vigência, o segurado que perdia a qualidade de segurado perdia também as contribuições anteriores para fins de carência, devendo recomeçar a contagem do zero — o que era especialmente perverso para trabalhadores com carreiras intermitentes.</w:t>
      </w:r>
    </w:p>
    <w:p>
      <w:pPr>
        <w:spacing w:after="100" w:before="100"/>
        <w:jc w:val="both"/>
      </w:pPr>
      <w:r>
        <w:rPr>
          <w:rFonts w:ascii="Arial" w:cs="Arial" w:eastAsia="Arial" w:hAnsi="Arial"/>
          <w:sz w:val="21"/>
          <w:szCs w:val="21"/>
        </w:rPr>
        <w:t xml:space="preserve">Atualmente, portanto, as contribuições efetuadas ao longo de toda a vida laboral do segurado somam-se para fins de carência da aposentadoria por idade, independentemente de períodos de interrupção e de perda da qualidade de segurado entre eles. Essa regra aplica-se tanto à aposentadoria por idade da regra antiga quanto à aposentadoria programada e às regras de transição.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Caso prático — Carência com interrupções (Lei 10.666/2003)</w:t>
            </w:r>
          </w:p>
          <w:p>
            <w:pPr>
              <w:spacing w:after="40" w:before="40"/>
            </w:pPr>
            <w:r>
              <w:rPr>
                <w:rFonts w:ascii="Arial" w:cs="Arial" w:eastAsia="Arial" w:hAnsi="Arial"/>
                <w:sz w:val="19"/>
                <w:szCs w:val="19"/>
              </w:rPr>
              <w:t xml:space="preserve">Antônio, 65 anos em 2026, filiado ao RGPS em 1990. Histórico:</w:t>
            </w:r>
          </w:p>
          <w:p>
            <w:pPr>
              <w:spacing w:after="40" w:before="40"/>
            </w:pPr>
            <w:r>
              <w:rPr>
                <w:rFonts w:ascii="Arial" w:cs="Arial" w:eastAsia="Arial" w:hAnsi="Arial"/>
                <w:sz w:val="19"/>
                <w:szCs w:val="19"/>
              </w:rPr>
              <w:t xml:space="preserve">- 1990-2000: empregado CLT (120 contribuições)</w:t>
            </w:r>
          </w:p>
          <w:p>
            <w:pPr>
              <w:spacing w:after="40" w:before="40"/>
            </w:pPr>
            <w:r>
              <w:rPr>
                <w:rFonts w:ascii="Arial" w:cs="Arial" w:eastAsia="Arial" w:hAnsi="Arial"/>
                <w:sz w:val="19"/>
                <w:szCs w:val="19"/>
              </w:rPr>
              <w:t xml:space="preserve">- 2001-2010: sem atividade nem contribuição (perda da qualidade de segurado em 2002)</w:t>
            </w:r>
          </w:p>
          <w:p>
            <w:pPr>
              <w:spacing w:after="40" w:before="40"/>
            </w:pPr>
            <w:r>
              <w:rPr>
                <w:rFonts w:ascii="Arial" w:cs="Arial" w:eastAsia="Arial" w:hAnsi="Arial"/>
                <w:sz w:val="19"/>
                <w:szCs w:val="19"/>
              </w:rPr>
              <w:t xml:space="preserve">- 2011-2016: contribuinte individual (72 contribuições)</w:t>
            </w:r>
          </w:p>
          <w:p>
            <w:pPr>
              <w:spacing w:after="40" w:before="40"/>
            </w:pPr>
            <w:r>
              <w:rPr>
                <w:rFonts w:ascii="Arial" w:cs="Arial" w:eastAsia="Arial" w:hAnsi="Arial"/>
                <w:sz w:val="19"/>
                <w:szCs w:val="19"/>
              </w:rPr>
              <w:t xml:space="preserve">- 2017-2020: sem atividade (nova perda da qualidade)</w:t>
            </w:r>
          </w:p>
          <w:p>
            <w:pPr>
              <w:spacing w:after="40" w:before="40"/>
            </w:pPr>
            <w:r>
              <w:rPr>
                <w:rFonts w:ascii="Arial" w:cs="Arial" w:eastAsia="Arial" w:hAnsi="Arial"/>
                <w:sz w:val="19"/>
                <w:szCs w:val="19"/>
              </w:rPr>
              <w:t xml:space="preserve">- 2021-2026: empregado CLT (60 contribuições até maio/2026)</w:t>
            </w:r>
          </w:p>
          <w:p>
            <w:pPr>
              <w:spacing w:after="40" w:before="40"/>
            </w:pPr>
            <w:r>
              <w:rPr>
                <w:rFonts w:ascii="Arial" w:cs="Arial" w:eastAsia="Arial" w:hAnsi="Arial"/>
                <w:sz w:val="19"/>
                <w:szCs w:val="19"/>
              </w:rPr>
              <w:t xml:space="preserve">Total de contribuições de carência: 120 + 72 + 60 = 252 contribuições</w:t>
            </w:r>
          </w:p>
          <w:p>
            <w:pPr>
              <w:spacing w:after="40" w:before="40"/>
            </w:pPr>
            <w:r>
              <w:rPr>
                <w:rFonts w:ascii="Arial" w:cs="Arial" w:eastAsia="Arial" w:hAnsi="Arial"/>
                <w:sz w:val="19"/>
                <w:szCs w:val="19"/>
              </w:rPr>
              <w:t xml:space="preserve">Apesar de duas interrupções longas e de duas perdas da qualidade de segurado, Antônio supera folgadamente as 180 contribuições de carência. Pela Lei 10.666/2003, as interrupções são irrelevantes para fins de aposentadoria por idade. Antônio faz jus à aposentadoria.</w:t>
            </w:r>
          </w:p>
        </w:tc>
      </w:tr>
    </w:tbl>
    <w:p>
      <w:pPr>
        <w:spacing w:after="200"/>
      </w:pPr>
    </w:p>
    <w:p>
      <w:pPr>
        <w:spacing w:after="140" w:before="280"/>
      </w:pPr>
      <w:r>
        <w:rPr>
          <w:rFonts w:ascii="Arial" w:cs="Arial" w:eastAsia="Arial" w:hAnsi="Arial"/>
          <w:b/>
          <w:bCs/>
          <w:color w:val="2E86C1"/>
          <w:sz w:val="23"/>
          <w:szCs w:val="23"/>
        </w:rPr>
        <w:t xml:space="preserve">10.6.4 Carência e período de gozo de benefício por incapacidade</w:t>
      </w:r>
    </w:p>
    <w:p>
      <w:pPr>
        <w:spacing w:after="100" w:before="100"/>
        <w:jc w:val="both"/>
      </w:pPr>
      <w:r>
        <w:rPr>
          <w:rFonts w:ascii="Arial" w:cs="Arial" w:eastAsia="Arial" w:hAnsi="Arial"/>
          <w:sz w:val="21"/>
          <w:szCs w:val="21"/>
        </w:rPr>
        <w:t xml:space="preserve">Os períodos em que o segurado esteve em gozo de benefício por incapacidade (auxílio-doença ou aposentadoria por invalidez) são contados como tempo de contribuição, desde que intercalados entre períodos de atividade ou contribuição (art. 55, II, da Lei 8.213/91). Contudo, esses períodos são computados para carência?</w:t>
      </w:r>
    </w:p>
    <w:p>
      <w:pPr>
        <w:spacing w:after="100" w:before="100"/>
        <w:jc w:val="both"/>
      </w:pPr>
      <w:r>
        <w:rPr>
          <w:rFonts w:ascii="Arial" w:cs="Arial" w:eastAsia="Arial" w:hAnsi="Arial"/>
          <w:sz w:val="21"/>
          <w:szCs w:val="21"/>
        </w:rPr>
        <w:t xml:space="preserve">A questão é controvertida. A jurisprudência predominante nos JEFs e na TNU tem admitido a contagem do período de benefício por incapacidade como carência, quando intercalado entre períodos contributivos. O fundamento é que o segurado mantém a qualidade de segurado durante o gozo do benefício e, portanto, as mensalidades recebidas devem ser equiparadas a contribuições para todos os efeitos, inclusive carência. A solução contrária criaria uma situação paradoxal: o segurado que, por estar doente, não pôde contribuir seria penalizado duplamente — pela doença e pela perda de carência.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Período de benefício por incapacidade e carência — três cenários</w:t>
            </w:r>
          </w:p>
          <w:p>
            <w:pPr>
              <w:spacing w:after="40" w:before="40"/>
            </w:pPr>
            <w:r>
              <w:rPr>
                <w:rFonts w:ascii="Arial" w:cs="Arial" w:eastAsia="Arial" w:hAnsi="Arial"/>
                <w:sz w:val="19"/>
                <w:szCs w:val="19"/>
              </w:rPr>
              <w:t xml:space="preserve">1. Período intercalado (entre contribuições): Conta como carência. Ex.: segurado contribuiu de 2010 a 2015, recebeu auxílio-doença de 2015 a 2017, e voltou a contribuir de 2017 em diante. O período 2015-2017 conta como carência.</w:t>
            </w:r>
          </w:p>
          <w:p>
            <w:pPr>
              <w:spacing w:after="40" w:before="40"/>
            </w:pPr>
            <w:r>
              <w:rPr>
                <w:rFonts w:ascii="Arial" w:cs="Arial" w:eastAsia="Arial" w:hAnsi="Arial"/>
                <w:sz w:val="19"/>
                <w:szCs w:val="19"/>
              </w:rPr>
              <w:t xml:space="preserve">2. Período terminal (sem retorno à atividade): A contagem como carência é mais controvertida. Se o segurado nunca mais contribuiu após o benefício, há quem sustente que o período não pode ser computado como carência por falta de "intercalação." A tendência jurisprudencial, contudo, tem sido mais flexível.</w:t>
            </w:r>
          </w:p>
          <w:p>
            <w:pPr>
              <w:spacing w:after="40" w:before="40"/>
            </w:pPr>
            <w:r>
              <w:rPr>
                <w:rFonts w:ascii="Arial" w:cs="Arial" w:eastAsia="Arial" w:hAnsi="Arial"/>
                <w:sz w:val="19"/>
                <w:szCs w:val="19"/>
              </w:rPr>
              <w:t xml:space="preserve">3. Período de auxílio-acidente: O auxílio-acidente não suspende a obrigação de contribuir (o segurado continua trabalhando). Portanto, as contribuições efetuadas durante o recebimento de auxílio-acidente contam normalmente como carência.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10.7 O CNIS como Instrumento de Prova</w:t>
      </w:r>
    </w:p>
    <w:p>
      <w:pPr>
        <w:spacing w:after="140" w:before="280"/>
      </w:pPr>
      <w:r>
        <w:rPr>
          <w:rFonts w:ascii="Arial" w:cs="Arial" w:eastAsia="Arial" w:hAnsi="Arial"/>
          <w:b/>
          <w:bCs/>
          <w:color w:val="2E86C1"/>
          <w:sz w:val="23"/>
          <w:szCs w:val="23"/>
        </w:rPr>
        <w:t xml:space="preserve">10.7.1 O Cadastro Nacional de Informações Sociais</w:t>
      </w:r>
    </w:p>
    <w:p>
      <w:pPr>
        <w:spacing w:after="100" w:before="100"/>
        <w:jc w:val="both"/>
      </w:pPr>
      <w:r>
        <w:rPr>
          <w:rFonts w:ascii="Arial" w:cs="Arial" w:eastAsia="Arial" w:hAnsi="Arial"/>
          <w:sz w:val="21"/>
          <w:szCs w:val="21"/>
        </w:rPr>
        <w:t xml:space="preserve">O CNIS (Cadastro Nacional de Informações Sociais) é o banco de dados que reúne as informações relativas aos segurados do RGPS, incluindo vínculos empregatícios, remunerações, contribuições e benefícios. Desde a Lei 10.403/2002 e, mais recentemente, com a redação dada pela Lei 13.846/2019 ao art. 29-A da Lei 8.213/91, o CNIS constitui a principal fonte de informações para a concessão de benefícios previdenciários.</w:t>
      </w:r>
    </w:p>
    <w:p>
      <w:pPr>
        <w:spacing w:after="100" w:before="100"/>
        <w:jc w:val="both"/>
      </w:pPr>
      <w:r>
        <w:rPr>
          <w:rFonts w:ascii="Arial" w:cs="Arial" w:eastAsia="Arial" w:hAnsi="Arial"/>
          <w:sz w:val="21"/>
          <w:szCs w:val="21"/>
        </w:rPr>
        <w:t xml:space="preserve">O art. 29-A, § 5º, da Lei 8.213/91, na redação vigente, dispõe que os dados do CNIS valem, para todos os efeitos, como prova de filiação à previdência social, relação de emprego, tempo de serviço ou de contribuição e salários de contribuição. Essa presunção é relativa (juris tantum), admitindo prova em contrário tanto pelo INSS quanto pelo segurado.</w:t>
      </w:r>
    </w:p>
    <w:p>
      <w:pPr>
        <w:spacing w:after="140" w:before="280"/>
      </w:pPr>
      <w:r>
        <w:rPr>
          <w:rFonts w:ascii="Arial" w:cs="Arial" w:eastAsia="Arial" w:hAnsi="Arial"/>
          <w:b/>
          <w:bCs/>
          <w:color w:val="2E86C1"/>
          <w:sz w:val="23"/>
          <w:szCs w:val="23"/>
        </w:rPr>
        <w:t xml:space="preserve">10.7.2 Inconsistências do CNIS e retificação</w:t>
      </w:r>
    </w:p>
    <w:p>
      <w:pPr>
        <w:spacing w:after="100" w:before="100"/>
        <w:jc w:val="both"/>
      </w:pPr>
      <w:r>
        <w:rPr>
          <w:rFonts w:ascii="Arial" w:cs="Arial" w:eastAsia="Arial" w:hAnsi="Arial"/>
          <w:sz w:val="21"/>
          <w:szCs w:val="21"/>
        </w:rPr>
        <w:t xml:space="preserve">Na prática dos JEFs, o CNIS frequentemente apresenta inconsistências que dificultam ou impedem a concessão da aposentadoria. As situações mais comuns incluem:</w:t>
      </w:r>
    </w:p>
    <w:p>
      <w:pPr>
        <w:spacing w:after="60" w:before="60"/>
        <w:ind w:left="360"/>
      </w:pPr>
      <w:r>
        <w:rPr>
          <w:rFonts w:ascii="Arial" w:cs="Arial" w:eastAsia="Arial" w:hAnsi="Arial"/>
          <w:sz w:val="21"/>
          <w:szCs w:val="21"/>
        </w:rPr>
        <w:t xml:space="preserve">a) Vínculos empregatícios não registrados: O empregador não informou o vínculo ao sistema. O segurado precisa comprovar a relação de emprego por outros meios (CTPS, contracheques, declaração do empregador, prova testemunhal como elemento complementar).</w:t>
      </w:r>
    </w:p>
    <w:p>
      <w:pPr>
        <w:spacing w:after="60" w:before="60"/>
        <w:ind w:left="360"/>
      </w:pPr>
      <w:r>
        <w:rPr>
          <w:rFonts w:ascii="Arial" w:cs="Arial" w:eastAsia="Arial" w:hAnsi="Arial"/>
          <w:sz w:val="21"/>
          <w:szCs w:val="21"/>
        </w:rPr>
        <w:t xml:space="preserve">b) Remunerações zeradas ou subnotificadas: O vínculo consta do CNIS, mas as remunerações estão em branco ou com valores inferiores aos efetivamente recebidos. Isso afeta diretamente o cálculo do salário de benefício.</w:t>
      </w:r>
    </w:p>
    <w:p>
      <w:pPr>
        <w:spacing w:after="60" w:before="60"/>
        <w:ind w:left="360"/>
      </w:pPr>
      <w:r>
        <w:rPr>
          <w:rFonts w:ascii="Arial" w:cs="Arial" w:eastAsia="Arial" w:hAnsi="Arial"/>
          <w:sz w:val="21"/>
          <w:szCs w:val="21"/>
        </w:rPr>
        <w:t xml:space="preserve">c) Indicadores de extemporaneidade: Informações inseridas no CNIS após 120 dias do fato gerador recebem o indicador de "extemporaneidade" e ficam pendentes de confirmação pelo INSS (art. 19-C do Decreto 3.048/99).</w:t>
      </w:r>
    </w:p>
    <w:p>
      <w:pPr>
        <w:spacing w:after="60" w:before="60"/>
        <w:ind w:left="360"/>
      </w:pPr>
      <w:r>
        <w:rPr>
          <w:rFonts w:ascii="Arial" w:cs="Arial" w:eastAsia="Arial" w:hAnsi="Arial"/>
          <w:sz w:val="21"/>
          <w:szCs w:val="21"/>
        </w:rPr>
        <w:t xml:space="preserve">d) Multiplicidade de NIT/PIS/PASEP: Segurados com mais de um número de identificação podem ter contribuições "perdidas" em registros distintos que não foram unificados.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Roteiro prático — Análise do CNIS antes do requerimento administrativo</w:t>
            </w:r>
          </w:p>
          <w:p>
            <w:pPr>
              <w:spacing w:after="40" w:before="40"/>
            </w:pPr>
            <w:r>
              <w:rPr>
                <w:rFonts w:ascii="Arial" w:cs="Arial" w:eastAsia="Arial" w:hAnsi="Arial"/>
                <w:sz w:val="19"/>
                <w:szCs w:val="19"/>
              </w:rPr>
              <w:t xml:space="preserve">Antes de requerer a aposentadoria — ou de ajuizar a ação nos JEFs —, o advogado deve:</w:t>
            </w:r>
          </w:p>
          <w:p>
            <w:pPr>
              <w:spacing w:after="40" w:before="40"/>
            </w:pPr>
            <w:r>
              <w:rPr>
                <w:rFonts w:ascii="Arial" w:cs="Arial" w:eastAsia="Arial" w:hAnsi="Arial"/>
                <w:sz w:val="19"/>
                <w:szCs w:val="19"/>
              </w:rPr>
              <w:t xml:space="preserve">1. Obter o extrato completo do CNIS (via Meu INSS ou requisição judicial)</w:t>
            </w:r>
          </w:p>
          <w:p>
            <w:pPr>
              <w:spacing w:after="40" w:before="40"/>
            </w:pPr>
            <w:r>
              <w:rPr>
                <w:rFonts w:ascii="Arial" w:cs="Arial" w:eastAsia="Arial" w:hAnsi="Arial"/>
                <w:sz w:val="19"/>
                <w:szCs w:val="19"/>
              </w:rPr>
              <w:t xml:space="preserve">2. Conferir vínculos com a CTPS: Identificar vínculos da CTPS que não constam do CNIS</w:t>
            </w:r>
          </w:p>
          <w:p>
            <w:pPr>
              <w:spacing w:after="40" w:before="40"/>
            </w:pPr>
            <w:r>
              <w:rPr>
                <w:rFonts w:ascii="Arial" w:cs="Arial" w:eastAsia="Arial" w:hAnsi="Arial"/>
                <w:sz w:val="19"/>
                <w:szCs w:val="19"/>
              </w:rPr>
              <w:t xml:space="preserve">3. Verificar remunerações: Conferir se os valores do CNIS correspondem aos da CTPS e dos contracheques disponíveis</w:t>
            </w:r>
          </w:p>
          <w:p>
            <w:pPr>
              <w:spacing w:after="40" w:before="40"/>
            </w:pPr>
            <w:r>
              <w:rPr>
                <w:rFonts w:ascii="Arial" w:cs="Arial" w:eastAsia="Arial" w:hAnsi="Arial"/>
                <w:sz w:val="19"/>
                <w:szCs w:val="19"/>
              </w:rPr>
              <w:t xml:space="preserve">4. Identificar indicadores: Anotar vínculos com indicadores de pendência, extemporaneidade ou inconsistência</w:t>
            </w:r>
          </w:p>
          <w:p>
            <w:pPr>
              <w:spacing w:after="40" w:before="40"/>
            </w:pPr>
            <w:r>
              <w:rPr>
                <w:rFonts w:ascii="Arial" w:cs="Arial" w:eastAsia="Arial" w:hAnsi="Arial"/>
                <w:sz w:val="19"/>
                <w:szCs w:val="19"/>
              </w:rPr>
              <w:t xml:space="preserve">5. Contar contribuições de carência: Somar mês a mês as contribuições efetivas (não confundir com tempo de contribuição)</w:t>
            </w:r>
          </w:p>
          <w:p>
            <w:pPr>
              <w:spacing w:after="40" w:before="40"/>
            </w:pPr>
            <w:r>
              <w:rPr>
                <w:rFonts w:ascii="Arial" w:cs="Arial" w:eastAsia="Arial" w:hAnsi="Arial"/>
                <w:sz w:val="19"/>
                <w:szCs w:val="19"/>
              </w:rPr>
              <w:t xml:space="preserve">6. Verificar períodos de benefício: Identificar períodos de auxílio-doença que podem ser computados como carência e TC</w:t>
            </w:r>
          </w:p>
          <w:p>
            <w:pPr>
              <w:spacing w:after="40" w:before="40"/>
            </w:pPr>
            <w:r>
              <w:rPr>
                <w:rFonts w:ascii="Arial" w:cs="Arial" w:eastAsia="Arial" w:hAnsi="Arial"/>
                <w:sz w:val="19"/>
                <w:szCs w:val="19"/>
              </w:rPr>
              <w:t xml:space="preserve">7. Requerer retificação administrativa antes de ajuizar a ação, quando possível</w:t>
            </w:r>
          </w:p>
          <w:p>
            <w:pPr>
              <w:spacing w:after="40" w:before="40"/>
            </w:pPr>
            <w:r>
              <w:rPr>
                <w:rFonts w:ascii="Arial" w:cs="Arial" w:eastAsia="Arial" w:hAnsi="Arial"/>
                <w:sz w:val="19"/>
                <w:szCs w:val="19"/>
              </w:rPr>
              <w:t xml:space="preserve">Essa análise prévia evita surpresas no processo judicial e permite uma petição inicial mais precisa e fundamentada.</w:t>
            </w:r>
          </w:p>
        </w:tc>
      </w:tr>
    </w:tbl>
    <w:p>
      <w:pPr>
        <w:spacing w:after="200"/>
      </w:pPr>
    </w:p>
    <w:p>
      <w:pPr>
        <w:spacing w:after="140" w:before="280"/>
      </w:pPr>
      <w:r>
        <w:rPr>
          <w:rFonts w:ascii="Arial" w:cs="Arial" w:eastAsia="Arial" w:hAnsi="Arial"/>
          <w:b/>
          <w:bCs/>
          <w:color w:val="2E86C1"/>
          <w:sz w:val="23"/>
          <w:szCs w:val="23"/>
        </w:rPr>
        <w:t xml:space="preserve">10.7.3 Prova do tempo de contribuição urbano</w:t>
      </w:r>
    </w:p>
    <w:p>
      <w:pPr>
        <w:spacing w:after="100" w:before="100"/>
        <w:jc w:val="both"/>
      </w:pPr>
      <w:r>
        <w:rPr>
          <w:rFonts w:ascii="Arial" w:cs="Arial" w:eastAsia="Arial" w:hAnsi="Arial"/>
          <w:sz w:val="21"/>
          <w:szCs w:val="21"/>
        </w:rPr>
        <w:t xml:space="preserve">A prova do tempo de contribuição urbano segue uma hierarquia normativa. O CNIS é a prova principal (art. 29-A, § 5º, Lei 8.213/91). Na ausência de informações no CNIS, admitem-se como provas: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Carteira de Trabalho e Previdência Social (CTPS) com anotações contemporâneas;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Guias de recolhimento de contribuições (GPS, carnê) para contribuinte individual e facultativo;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Contracheques, holerites e recibos de pagamento;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Declarações de ex-empregadores;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Certidões de juntas comerciais ou de cartórios de registro civil de pessoas jurídicas;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Prova testemunhal como elemento complementar — não admitida como prova exclusiva para fins de tempo de contribuição urbano (Súmula 149/STJ, aplicável por analogia).</w:t>
      </w:r>
    </w:p>
    <w:p>
      <w:pPr>
        <w:spacing w:after="100" w:before="100"/>
        <w:jc w:val="both"/>
      </w:pPr>
      <w:r>
        <w:rPr>
          <w:rFonts w:ascii="Arial" w:cs="Arial" w:eastAsia="Arial" w:hAnsi="Arial"/>
          <w:sz w:val="21"/>
          <w:szCs w:val="21"/>
        </w:rPr>
        <w:t xml:space="preserve">A CTPS com anotações contemporâneas goza de presunção de veracidade (juris tantum), conforme consolidada jurisprudência do STJ. Anotações extemporâneas, embora não gozem da mesma presunção, podem ser admitidas quando corroboradas por outros elementos de prova.</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10.8 Data de Início do Benefício (DIB) e Reafirmação da DER</w:t>
      </w:r>
    </w:p>
    <w:p>
      <w:pPr>
        <w:spacing w:after="140" w:before="280"/>
      </w:pPr>
      <w:r>
        <w:rPr>
          <w:rFonts w:ascii="Arial" w:cs="Arial" w:eastAsia="Arial" w:hAnsi="Arial"/>
          <w:b/>
          <w:bCs/>
          <w:color w:val="2E86C1"/>
          <w:sz w:val="23"/>
          <w:szCs w:val="23"/>
        </w:rPr>
        <w:t xml:space="preserve">10.8.1 Regras de fixação da DIB</w:t>
      </w:r>
    </w:p>
    <w:p>
      <w:pPr>
        <w:spacing w:after="100" w:before="100"/>
        <w:jc w:val="both"/>
      </w:pPr>
      <w:r>
        <w:rPr>
          <w:rFonts w:ascii="Arial" w:cs="Arial" w:eastAsia="Arial" w:hAnsi="Arial"/>
          <w:sz w:val="21"/>
          <w:szCs w:val="21"/>
        </w:rPr>
        <w:t xml:space="preserve">A Data de Início do Benefício (DIB) na aposentadoria por idade e na aposentadoria programada segue as regras do art. 49 da Lei 8.213/91, combinado com o art. 56 do Decreto 3.048/99:</w:t>
      </w:r>
    </w:p>
    <w:p>
      <w:pPr>
        <w:spacing w:after="60" w:before="60"/>
        <w:ind w:left="360"/>
      </w:pPr>
      <w:r>
        <w:rPr>
          <w:rFonts w:ascii="Arial" w:cs="Arial" w:eastAsia="Arial" w:hAnsi="Arial"/>
          <w:sz w:val="21"/>
          <w:szCs w:val="21"/>
        </w:rPr>
        <w:t xml:space="preserve">a) Segurado empregado: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 o requerimento for apresentado até 90 dias após o desligamento do emprego: DIB = data do desligamento.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 o requerimento for apresentado após 90 dias do desligamento: DIB = data do requerimento administrativo (DER).</w:t>
      </w:r>
    </w:p>
    <w:p>
      <w:pPr>
        <w:spacing w:after="60" w:before="60"/>
        <w:ind w:left="360"/>
      </w:pPr>
      <w:r>
        <w:rPr>
          <w:rFonts w:ascii="Arial" w:cs="Arial" w:eastAsia="Arial" w:hAnsi="Arial"/>
          <w:sz w:val="21"/>
          <w:szCs w:val="21"/>
        </w:rPr>
        <w:t xml:space="preserve">b) Demais segurados (CI, facultativo, etc.):</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DIB = data do requerimento administrativo (DER).</w:t>
      </w:r>
    </w:p>
    <w:p>
      <w:pPr>
        <w:spacing w:after="60" w:before="60"/>
        <w:ind w:left="360"/>
      </w:pPr>
      <w:r>
        <w:rPr>
          <w:rFonts w:ascii="Arial" w:cs="Arial" w:eastAsia="Arial" w:hAnsi="Arial"/>
          <w:sz w:val="21"/>
          <w:szCs w:val="21"/>
        </w:rPr>
        <w:t xml:space="preserve">c) Aposentadoria compulsória (art. 51):</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DIB = data da comunicação do empregador.</w:t>
      </w:r>
    </w:p>
    <w:p>
      <w:pPr>
        <w:spacing w:after="100" w:before="100"/>
        <w:jc w:val="both"/>
      </w:pPr>
      <w:r>
        <w:rPr>
          <w:rFonts w:ascii="Arial" w:cs="Arial" w:eastAsia="Arial" w:hAnsi="Arial"/>
          <w:sz w:val="21"/>
          <w:szCs w:val="21"/>
        </w:rPr>
        <w:t xml:space="preserve">Nos casos de ação judicial, a DIB obedece à mesma lógica: se o segurado havia formulado requerimento administrativo, a DIB retroage à DER; se não havia requerimento prévio, a DIB é fixada na data da citação do INSS (entendimento predominante nos JEFs) ou na data do ajuizamento (entendimento minoritário). A ausência de requerimento administrativo prévio não impede o ajuizamento da ação nos JEFs (Tema 350/STF, embora se refira a questão distinta, estabelece a necessidade de requerimento administrativo como regra geral — o que pode impactar a DIB, mas não a admissibilidade da ação quando há resistência presumida ou notória impossibilidade de atendimento administrativo).</w:t>
      </w:r>
    </w:p>
    <w:p>
      <w:pPr>
        <w:spacing w:after="140" w:before="280"/>
      </w:pPr>
      <w:r>
        <w:rPr>
          <w:rFonts w:ascii="Arial" w:cs="Arial" w:eastAsia="Arial" w:hAnsi="Arial"/>
          <w:b/>
          <w:bCs/>
          <w:color w:val="2E86C1"/>
          <w:sz w:val="23"/>
          <w:szCs w:val="23"/>
        </w:rPr>
        <w:t xml:space="preserve">10.8.2 Reafirmação da DER (Tema 995/STJ)</w:t>
      </w:r>
    </w:p>
    <w:p>
      <w:pPr>
        <w:spacing w:after="100" w:before="100"/>
        <w:jc w:val="both"/>
      </w:pPr>
      <w:r>
        <w:rPr>
          <w:rFonts w:ascii="Arial" w:cs="Arial" w:eastAsia="Arial" w:hAnsi="Arial"/>
          <w:sz w:val="21"/>
          <w:szCs w:val="21"/>
        </w:rPr>
        <w:t xml:space="preserve">A reafirmação da DER é um dos institutos mais relevantes da prática previdenciária nos JEFs. Trata-se da possibilidade de considerar fatos supervenientes ao requerimento administrativo — ou mesmo ao ajuizamento da ação — para fins de implementação dos requisitos da aposentadoria.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STJ Tema 995 — Reafirmação da DER</w:t>
            </w:r>
          </w:p>
          <w:p>
            <w:pPr>
              <w:spacing w:after="40" w:before="40"/>
            </w:pPr>
            <w:r>
              <w:rPr>
                <w:rFonts w:ascii="Arial" w:cs="Arial" w:eastAsia="Arial" w:hAnsi="Arial"/>
                <w:sz w:val="19"/>
                <w:szCs w:val="19"/>
              </w:rPr>
              <w:t xml:space="preserve">No julgamento dos REsp 1.727.069/SP e 1.727.063/SP, a 1ª Seção do STJ fixou a seguinte tese (j. 22/10/2019):</w:t>
            </w:r>
          </w:p>
          <w:p>
            <w:pPr>
              <w:spacing w:after="40" w:before="40"/>
            </w:pPr>
            <w:r>
              <w:rPr>
                <w:rFonts w:ascii="Arial" w:cs="Arial" w:eastAsia="Arial" w:hAnsi="Arial"/>
                <w:sz w:val="19"/>
                <w:szCs w:val="19"/>
              </w:rPr>
              <w:t xml:space="preserve">"É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p>
            <w:pPr>
              <w:spacing w:after="40" w:before="40"/>
            </w:pPr>
            <w:r>
              <w:rPr>
                <w:rFonts w:ascii="Arial" w:cs="Arial" w:eastAsia="Arial" w:hAnsi="Arial"/>
                <w:sz w:val="19"/>
                <w:szCs w:val="19"/>
              </w:rPr>
              <w:t xml:space="preserve">Prazo de implantação: 45 dias a contar da intimação do trânsito em julgado.</w:t>
            </w:r>
          </w:p>
          <w:p>
            <w:pPr>
              <w:spacing w:after="40" w:before="40"/>
            </w:pPr>
            <w:r>
              <w:rPr>
                <w:rFonts w:ascii="Arial" w:cs="Arial" w:eastAsia="Arial" w:hAnsi="Arial"/>
                <w:sz w:val="19"/>
                <w:szCs w:val="19"/>
              </w:rPr>
              <w:t xml:space="preserve">Efeitos financeiros: Os efeitos financeiros retroagem à data da reafirmação (momento em que os requisitos foram implementados), e não à data do requerimento administrativo original.</w:t>
            </w:r>
          </w:p>
        </w:tc>
      </w:tr>
    </w:tbl>
    <w:p>
      <w:pPr>
        <w:spacing w:after="200"/>
      </w:pPr>
    </w:p>
    <w:p>
      <w:pPr>
        <w:spacing w:after="100" w:before="100"/>
        <w:jc w:val="both"/>
      </w:pPr>
      <w:r>
        <w:rPr>
          <w:rFonts w:ascii="Arial" w:cs="Arial" w:eastAsia="Arial" w:hAnsi="Arial"/>
          <w:sz w:val="21"/>
          <w:szCs w:val="21"/>
        </w:rPr>
        <w:t xml:space="preserve">A aplicação prática da reafirmação da DER na aposentadoria por idade é especialmente relevante em duas situações recorrentes nos JEFs:</w:t>
      </w:r>
    </w:p>
    <w:p>
      <w:pPr>
        <w:spacing w:after="60" w:before="60"/>
        <w:ind w:left="360"/>
      </w:pPr>
      <w:r>
        <w:rPr>
          <w:rFonts w:ascii="Arial" w:cs="Arial" w:eastAsia="Arial" w:hAnsi="Arial"/>
          <w:sz w:val="21"/>
          <w:szCs w:val="21"/>
        </w:rPr>
        <w:t xml:space="preserve">Primeira: O segurado ajuíza ação antes de completar a idade mínima, alegando outro fundamento (por exemplo, reconhecimento de tempo de contribuição). Durante o processo, completa a idade. O juiz pode reafirmar a DER para o momento da implementação da idade, concedendo a aposentadoria.</w:t>
      </w:r>
    </w:p>
    <w:p>
      <w:pPr>
        <w:spacing w:after="60" w:before="60"/>
        <w:ind w:left="360"/>
      </w:pPr>
      <w:r>
        <w:rPr>
          <w:rFonts w:ascii="Arial" w:cs="Arial" w:eastAsia="Arial" w:hAnsi="Arial"/>
          <w:sz w:val="21"/>
          <w:szCs w:val="21"/>
        </w:rPr>
        <w:t xml:space="preserve">Segunda: O segurado ajuíza ação com a idade já implementada, mas sem carência suficiente. Durante o processo, completa as 180 contribuições. A DER é reafirmada para o momento em que o último requisito foi implementado.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Caso prático — Reafirmação da DER na aposentadoria por idade</w:t>
            </w:r>
          </w:p>
          <w:p>
            <w:pPr>
              <w:spacing w:after="40" w:before="40"/>
            </w:pPr>
            <w:r>
              <w:rPr>
                <w:rFonts w:ascii="Arial" w:cs="Arial" w:eastAsia="Arial" w:hAnsi="Arial"/>
                <w:sz w:val="19"/>
                <w:szCs w:val="19"/>
              </w:rPr>
              <w:t xml:space="preserve">Dona Fátima, 61 anos na data do requerimento administrativo (março de 2024). O INSS indeferiu por falta de idade mínima (62 anos para mulher). Ela ajuizou ação nos JEFs em julho de 2024. Em março de 2025, completou 62 anos. O advogado peticionou nos autos requerendo a reafirmação da DER para março de 2025.</w:t>
            </w:r>
          </w:p>
          <w:p>
            <w:pPr>
              <w:spacing w:after="40" w:before="40"/>
            </w:pPr>
            <w:r>
              <w:rPr>
                <w:rFonts w:ascii="Arial" w:cs="Arial" w:eastAsia="Arial" w:hAnsi="Arial"/>
                <w:sz w:val="19"/>
                <w:szCs w:val="19"/>
              </w:rPr>
              <w:t xml:space="preserve">O juiz, aplicando o Tema 995/STJ, reafirmou a DER para março de 2025 e concedeu a aposentadoria. A DIB foi fixada em março de 2025, e os efeitos financeiros retroagem a essa data (não a março de 2024, data do requerimento original).</w:t>
            </w:r>
          </w:p>
          <w:p>
            <w:pPr>
              <w:spacing w:after="40" w:before="40"/>
            </w:pPr>
            <w:r>
              <w:rPr>
                <w:rFonts w:ascii="Arial" w:cs="Arial" w:eastAsia="Arial" w:hAnsi="Arial"/>
                <w:sz w:val="19"/>
                <w:szCs w:val="19"/>
              </w:rPr>
              <w:t xml:space="preserve">Atenção ao prazo de implantação: O INSS tem 45 dias para implantar o benefício após a intimação do trânsito em julgado. O descumprimento autoriza a fixação de multa diária (astreintes).</w:t>
            </w:r>
          </w:p>
        </w:tc>
      </w:tr>
    </w:tbl>
    <w:p>
      <w:pPr>
        <w:spacing w:after="200"/>
      </w:pPr>
    </w:p>
    <w:p>
      <w:pPr>
        <w:spacing w:after="140" w:before="280"/>
      </w:pPr>
      <w:r>
        <w:rPr>
          <w:rFonts w:ascii="Arial" w:cs="Arial" w:eastAsia="Arial" w:hAnsi="Arial"/>
          <w:b/>
          <w:bCs/>
          <w:color w:val="2E86C1"/>
          <w:sz w:val="23"/>
          <w:szCs w:val="23"/>
        </w:rPr>
        <w:t xml:space="preserve">10.8.3 Limites da reafirmação da DER</w:t>
      </w:r>
    </w:p>
    <w:p>
      <w:pPr>
        <w:spacing w:after="100" w:before="100"/>
        <w:jc w:val="both"/>
      </w:pPr>
      <w:r>
        <w:rPr>
          <w:rFonts w:ascii="Arial" w:cs="Arial" w:eastAsia="Arial" w:hAnsi="Arial"/>
          <w:sz w:val="21"/>
          <w:szCs w:val="21"/>
        </w:rPr>
        <w:t xml:space="preserve">A reafirmação da DER não é ilimitada. O Tema 995/STJ estabelece que ela é possível "nas instâncias ordinárias," o que exclui a possibilidade de reafirmação perante o STJ ou o STF. Nos JEFs, a reafirmação pode ocorrer até o julgamento pela Turma Recursal.</w:t>
      </w:r>
    </w:p>
    <w:p>
      <w:pPr>
        <w:spacing w:after="100" w:before="100"/>
        <w:jc w:val="both"/>
      </w:pPr>
      <w:r>
        <w:rPr>
          <w:rFonts w:ascii="Arial" w:cs="Arial" w:eastAsia="Arial" w:hAnsi="Arial"/>
          <w:sz w:val="21"/>
          <w:szCs w:val="21"/>
        </w:rPr>
        <w:t xml:space="preserve">Além disso, a reafirmação exige que os fatos supervenientes estejam dentro da "causa de pedir" da ação. Assim, se o segurado ajuizou ação pleiteando aposentadoria por invalidez e, durante o processo, implementou os requisitos da aposentadoria por idade, há controvérsia sobre a possibilidade de reafirmação, pois a causa de pedir originária não abrangia a aposentadoria por idade. A tendência jurisprudencial nos JEFs tem sido flexível, admitindo a reafirmação quando os requisitos são inequívocos e não há prejuízo ao INSS.</w:t>
      </w:r>
    </w:p>
    <w:p>
      <w:pPr>
        <w:spacing w:after="100" w:before="100"/>
        <w:jc w:val="both"/>
      </w:pPr>
      <w:r>
        <w:rPr>
          <w:rFonts w:ascii="Arial" w:cs="Arial" w:eastAsia="Arial" w:hAnsi="Arial"/>
          <w:sz w:val="21"/>
          <w:szCs w:val="21"/>
        </w:rPr>
        <w:t xml:space="preserve">Outro limite relevante é a necessidade de prova dos requisitos na data da reafirmação. Não basta alegar que o requisito foi implementado; é necessário comprovar — geralmente mediante extrato do CNIS atualizado — que, na data pretendida para a reafirmação, o segurado efetivamente contava com a idade e a carência necessárias.</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10.9 Atividades Concomitantes e Cômputo (Lei 13.846/2019)</w:t>
      </w:r>
    </w:p>
    <w:p>
      <w:pPr>
        <w:spacing w:after="140" w:before="280"/>
      </w:pPr>
      <w:r>
        <w:rPr>
          <w:rFonts w:ascii="Arial" w:cs="Arial" w:eastAsia="Arial" w:hAnsi="Arial"/>
          <w:b/>
          <w:bCs/>
          <w:color w:val="2E86C1"/>
          <w:sz w:val="23"/>
          <w:szCs w:val="23"/>
        </w:rPr>
        <w:t xml:space="preserve">10.9.1 A regra anterior</w:t>
      </w:r>
    </w:p>
    <w:p>
      <w:pPr>
        <w:spacing w:after="100" w:before="100"/>
        <w:jc w:val="both"/>
      </w:pPr>
      <w:r>
        <w:rPr>
          <w:rFonts w:ascii="Arial" w:cs="Arial" w:eastAsia="Arial" w:hAnsi="Arial"/>
          <w:sz w:val="21"/>
          <w:szCs w:val="21"/>
        </w:rPr>
        <w:t xml:space="preserve">Antes da Lei 13.846/2019, o cálculo do benefício para segurados que exerciam atividades concomitantes (dois ou mais vínculos simultâneos) era regulado pelo art. 32 da Lei 8.213/91, com redação que distinguia entre atividade principal e atividades secundárias. O salário de benefício da atividade principal era calculado normalmente, mas as atividades secundárias tinham participação proporcional ao tempo de contribuição em cada uma delas. Esse cálculo proporcional frequentemente resultava em benefícios inferiores ao que o segurado efetivamente merecia pela totalidade de suas contribuições.</w:t>
      </w:r>
    </w:p>
    <w:p>
      <w:pPr>
        <w:spacing w:after="140" w:before="280"/>
      </w:pPr>
      <w:r>
        <w:rPr>
          <w:rFonts w:ascii="Arial" w:cs="Arial" w:eastAsia="Arial" w:hAnsi="Arial"/>
          <w:b/>
          <w:bCs/>
          <w:color w:val="2E86C1"/>
          <w:sz w:val="23"/>
          <w:szCs w:val="23"/>
        </w:rPr>
        <w:t xml:space="preserve">10.9.2 A regra atual (soma dos salários de contribuição)</w:t>
      </w:r>
    </w:p>
    <w:p>
      <w:pPr>
        <w:spacing w:after="100" w:before="100"/>
        <w:jc w:val="both"/>
      </w:pPr>
      <w:r>
        <w:rPr>
          <w:rFonts w:ascii="Arial" w:cs="Arial" w:eastAsia="Arial" w:hAnsi="Arial"/>
          <w:sz w:val="21"/>
          <w:szCs w:val="21"/>
        </w:rPr>
        <w:t xml:space="preserve">A Lei 13.846/2019 alterou o art. 32 da Lei 8.213/91, estabelecendo que os salários de contribuição das atividades exercidas concomitantemente são somados para fins de cálculo do salário de benefício. A nova regra é mais simples e mais justa: todas as contribuições do segurado são somadas, independentemente de serem provenientes de uma ou mais atividades simultâneas, respeitado o teto do salário de contribuição vigente em cada competência.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Atividades concomitantes (regra atual)</w:t>
            </w:r>
          </w:p>
          <w:p>
            <w:pPr>
              <w:spacing w:after="40" w:before="40"/>
            </w:pPr>
            <w:r>
              <w:rPr>
                <w:rFonts w:ascii="Arial" w:cs="Arial" w:eastAsia="Arial" w:hAnsi="Arial"/>
                <w:sz w:val="19"/>
                <w:szCs w:val="19"/>
              </w:rPr>
              <w:t xml:space="preserve">Carlos, professor municipal e contribuinte individual (consultoria), exercendo as duas atividades simultaneamente desde 2015. Remunerações em 2026:</w:t>
            </w:r>
          </w:p>
          <w:p>
            <w:pPr>
              <w:spacing w:after="40" w:before="40"/>
            </w:pPr>
            <w:r>
              <w:rPr>
                <w:rFonts w:ascii="Arial" w:cs="Arial" w:eastAsia="Arial" w:hAnsi="Arial"/>
                <w:sz w:val="19"/>
                <w:szCs w:val="19"/>
              </w:rPr>
              <w:t xml:space="preserve">- Emprego público: R$ 4.500,00/mês</w:t>
            </w:r>
          </w:p>
          <w:p>
            <w:pPr>
              <w:spacing w:after="40" w:before="40"/>
            </w:pPr>
            <w:r>
              <w:rPr>
                <w:rFonts w:ascii="Arial" w:cs="Arial" w:eastAsia="Arial" w:hAnsi="Arial"/>
                <w:sz w:val="19"/>
                <w:szCs w:val="19"/>
              </w:rPr>
              <w:t xml:space="preserve">- Consultoria (CI): R$ 2.000,00/mês</w:t>
            </w:r>
          </w:p>
          <w:p>
            <w:pPr>
              <w:spacing w:after="40" w:before="40"/>
            </w:pPr>
            <w:r>
              <w:rPr>
                <w:rFonts w:ascii="Arial" w:cs="Arial" w:eastAsia="Arial" w:hAnsi="Arial"/>
                <w:sz w:val="19"/>
                <w:szCs w:val="19"/>
              </w:rPr>
              <w:t xml:space="preserve">- Total: R$ 6.500,00/mês (inferior ao teto de R$ 8.475,55)</w:t>
            </w:r>
          </w:p>
          <w:p>
            <w:pPr>
              <w:spacing w:after="40" w:before="40"/>
            </w:pPr>
            <w:r>
              <w:rPr>
                <w:rFonts w:ascii="Arial" w:cs="Arial" w:eastAsia="Arial" w:hAnsi="Arial"/>
                <w:sz w:val="19"/>
                <w:szCs w:val="19"/>
              </w:rPr>
              <w:t xml:space="preserve">Pela regra atual (Lei 13.846/2019): Os dois salários de contribuição são somados → R$ 6.500,00 é utilizado no cálculo da média.</w:t>
            </w:r>
          </w:p>
          <w:p>
            <w:pPr>
              <w:spacing w:after="40" w:before="40"/>
            </w:pPr>
            <w:r>
              <w:rPr>
                <w:rFonts w:ascii="Arial" w:cs="Arial" w:eastAsia="Arial" w:hAnsi="Arial"/>
                <w:sz w:val="19"/>
                <w:szCs w:val="19"/>
              </w:rPr>
              <w:t xml:space="preserve">Pela regra antiga (antes da Lei 13.846/2019): O emprego seria a atividade principal; a consultoria, atividade secundária com participação proporcional. O resultado seria inferior a R$ 6.500,00.</w:t>
            </w:r>
          </w:p>
          <w:p>
            <w:pPr>
              <w:spacing w:after="40" w:before="40"/>
            </w:pPr>
            <w:r>
              <w:rPr>
                <w:rFonts w:ascii="Arial" w:cs="Arial" w:eastAsia="Arial" w:hAnsi="Arial"/>
                <w:sz w:val="19"/>
                <w:szCs w:val="19"/>
              </w:rPr>
              <w:t xml:space="preserve">A revisão de benefícios concedidos pela regra antiga, à luz da Lei 13.846/2019, é objeto do Tema 1.070/STJ (Capítulo 5).</w:t>
            </w:r>
          </w:p>
        </w:tc>
      </w:tr>
    </w:tbl>
    <w:p>
      <w:pPr>
        <w:spacing w:after="200"/>
      </w:pPr>
    </w:p>
    <w:p>
      <w:pPr>
        <w:spacing w:after="140" w:before="280"/>
      </w:pPr>
      <w:r>
        <w:rPr>
          <w:rFonts w:ascii="Arial" w:cs="Arial" w:eastAsia="Arial" w:hAnsi="Arial"/>
          <w:b/>
          <w:bCs/>
          <w:color w:val="2E86C1"/>
          <w:sz w:val="23"/>
          <w:szCs w:val="23"/>
        </w:rPr>
        <w:t xml:space="preserve">10.9.3 O Tema 1.070/STJ e o marco temporal</w:t>
      </w:r>
    </w:p>
    <w:p>
      <w:pPr>
        <w:spacing w:after="100" w:before="100"/>
        <w:jc w:val="both"/>
      </w:pPr>
      <w:r>
        <w:rPr>
          <w:rFonts w:ascii="Arial" w:cs="Arial" w:eastAsia="Arial" w:hAnsi="Arial"/>
          <w:sz w:val="21"/>
          <w:szCs w:val="21"/>
        </w:rPr>
        <w:t xml:space="preserve">O STJ, no julgamento do Tema 1.070, fixou a tese de que a nova regra do art. 32 da Lei 8.213/91 (soma dos salários de contribuição) aplica-se a benefícios concedidos a partir da vigência da Lei 13.846/2019. Para benefícios concedidos antes dessa data, permanece aplicável a regra do cálculo proporcional, salvo se o segurado requerer a revisão à luz da nova lei. A matéria é objeto de análise detalhada no Capítulo 5 (Reconhecimento, Cômputo e Averbação de Tempo de Contribuição).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Atividades concomitantes — cuidados práticos nos JEFs</w:t>
            </w:r>
          </w:p>
          <w:p>
            <w:pPr>
              <w:spacing w:after="40" w:before="40"/>
            </w:pPr>
            <w:r>
              <w:rPr>
                <w:rFonts w:ascii="Arial" w:cs="Arial" w:eastAsia="Arial" w:hAnsi="Arial"/>
                <w:sz w:val="19"/>
                <w:szCs w:val="19"/>
              </w:rPr>
              <w:t xml:space="preserve">1. Verificar a data da concessão do benefício: Se anterior à Lei 13.846/2019, pode haver direito à revisão pela soma dos salários de contribuição (Tema 1.070/STJ)</w:t>
            </w:r>
          </w:p>
          <w:p>
            <w:pPr>
              <w:spacing w:after="40" w:before="40"/>
            </w:pPr>
            <w:r>
              <w:rPr>
                <w:rFonts w:ascii="Arial" w:cs="Arial" w:eastAsia="Arial" w:hAnsi="Arial"/>
                <w:sz w:val="19"/>
                <w:szCs w:val="19"/>
              </w:rPr>
              <w:t xml:space="preserve">2. Verificar o teto: A soma dos salários de contribuição concomitantes está limitada ao teto do RGPS em cada competência. Se a soma excede o teto, o valor excedente é desconsiderado.</w:t>
            </w:r>
          </w:p>
          <w:p>
            <w:pPr>
              <w:spacing w:after="40" w:before="40"/>
            </w:pPr>
            <w:r>
              <w:rPr>
                <w:rFonts w:ascii="Arial" w:cs="Arial" w:eastAsia="Arial" w:hAnsi="Arial"/>
                <w:sz w:val="19"/>
                <w:szCs w:val="19"/>
              </w:rPr>
              <w:t xml:space="preserve">3. RPPS × RGPS: Se uma das atividades é vinculada a regime próprio (servidor público), o tempo concomitante no RGPS não gera contribuições duplicadas — cada regime computa apenas a contribuição vertida para si. A compensação entre regimes é regida pelo art. 201, § 9º-A, CF/88 (Capítulo 5, seção 5.7.5).</w:t>
            </w:r>
          </w:p>
          <w:p>
            <w:pPr>
              <w:spacing w:after="40" w:before="40"/>
            </w:pPr>
            <w:r>
              <w:rPr>
                <w:rFonts w:ascii="Arial" w:cs="Arial" w:eastAsia="Arial" w:hAnsi="Arial"/>
                <w:sz w:val="19"/>
                <w:szCs w:val="19"/>
              </w:rPr>
              <w:t xml:space="preserve">4. MEI com atividade simultânea: O MEI que exerce outra atividade como empregado ou CI tem as contribuições somadas normalmente. A contribuição do MEI (5% sobre o SM) soma-se à contribuição da outra atividade.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10.10 Aposentadoria Compulsória (Art. 51, Lei 8.213/91)</w:t>
      </w:r>
    </w:p>
    <w:p>
      <w:pPr>
        <w:spacing w:after="140" w:before="280"/>
      </w:pPr>
      <w:r>
        <w:rPr>
          <w:rFonts w:ascii="Arial" w:cs="Arial" w:eastAsia="Arial" w:hAnsi="Arial"/>
          <w:b/>
          <w:bCs/>
          <w:color w:val="2E86C1"/>
          <w:sz w:val="23"/>
          <w:szCs w:val="23"/>
        </w:rPr>
        <w:t xml:space="preserve">10.10.1 Conceito e fundamento</w:t>
      </w:r>
    </w:p>
    <w:p>
      <w:pPr>
        <w:spacing w:after="100" w:before="100"/>
        <w:jc w:val="both"/>
      </w:pPr>
      <w:r>
        <w:rPr>
          <w:rFonts w:ascii="Arial" w:cs="Arial" w:eastAsia="Arial" w:hAnsi="Arial"/>
          <w:sz w:val="21"/>
          <w:szCs w:val="21"/>
        </w:rPr>
        <w:t xml:space="preserve">A aposentadoria compulsória, prevista no art. 51 da Lei 8.213/91, é a modalidade em que o empregador pode requerer a aposentadoria do empregado que tenha atingido a idade de 70 anos (homem) ou 65 anos (mulher), desde que cumprida a carência exigida. Trata-se de exceção ao princípio geral de que a aposentadoria é ato voluntário do segurado.</w:t>
      </w:r>
    </w:p>
    <w:p>
      <w:pPr>
        <w:spacing w:after="100" w:before="100"/>
        <w:jc w:val="both"/>
      </w:pPr>
      <w:r>
        <w:rPr>
          <w:rFonts w:ascii="Arial" w:cs="Arial" w:eastAsia="Arial" w:hAnsi="Arial"/>
          <w:sz w:val="21"/>
          <w:szCs w:val="21"/>
        </w:rPr>
        <w:t xml:space="preserve">A natureza jurídica da aposentadoria compulsória é controvertida. Para uma corrente, trata-se de faculdade exclusiva do empregador, que pode ou não exercê-la. Para outra, o instituto encontra-se em desuso prático após a promulgação da Lei 8.213/91, especialmente diante da jurisprudência consolidada do TST no sentido de que a aposentadoria não extingue automaticamente o contrato de trabalho (Súmula 295/TST, cancelada, e OJ 361/SDI-I/TST).</w:t>
      </w:r>
    </w:p>
    <w:p>
      <w:pPr>
        <w:spacing w:after="100" w:before="100"/>
        <w:jc w:val="both"/>
      </w:pPr>
      <w:r>
        <w:rPr>
          <w:rFonts w:ascii="Arial" w:cs="Arial" w:eastAsia="Arial" w:hAnsi="Arial"/>
          <w:sz w:val="21"/>
          <w:szCs w:val="21"/>
        </w:rPr>
        <w:t xml:space="preserve">A EC 103/2019 não alterou expressamente os requisitos da aposentadoria compulsória do RGPS, mantendo as idades de 70/65 anos previstas no art. 51. Entretanto, a questão da constitucionalidade dessas idades e de seu alinhamento com as novas regras da aposentadoria programada é objeto de discussão doutrinária.</w:t>
      </w:r>
    </w:p>
    <w:p>
      <w:pPr>
        <w:spacing w:after="140" w:before="280"/>
      </w:pPr>
      <w:r>
        <w:rPr>
          <w:rFonts w:ascii="Arial" w:cs="Arial" w:eastAsia="Arial" w:hAnsi="Arial"/>
          <w:b/>
          <w:bCs/>
          <w:color w:val="2E86C1"/>
          <w:sz w:val="23"/>
          <w:szCs w:val="23"/>
        </w:rPr>
        <w:t xml:space="preserve">10.10.2 Requisitos</w:t>
      </w:r>
    </w:p>
    <w:p>
      <w:pPr>
        <w:spacing w:after="100" w:before="100"/>
        <w:jc w:val="both"/>
      </w:pPr>
      <w:r>
        <w:rPr>
          <w:rFonts w:ascii="Arial" w:cs="Arial" w:eastAsia="Arial" w:hAnsi="Arial"/>
          <w:sz w:val="21"/>
          <w:szCs w:val="21"/>
        </w:rPr>
        <w:t xml:space="preserve">Para a aposentadoria compulsória, exige-se cumulativamente:</w:t>
      </w:r>
    </w:p>
    <w:p>
      <w:pPr>
        <w:spacing w:after="60" w:before="60"/>
        <w:ind w:left="360"/>
      </w:pPr>
      <w:r>
        <w:rPr>
          <w:rFonts w:ascii="Arial" w:cs="Arial" w:eastAsia="Arial" w:hAnsi="Arial"/>
          <w:sz w:val="21"/>
          <w:szCs w:val="21"/>
        </w:rPr>
        <w:t xml:space="preserve">a) Idade: 70 anos (homem) ou 65 anos (mulher). Essas idades foram fixadas pela redação original do art. 51 da Lei 8.213/91 e não foram alteradas pela EC 103/2019. Observe-se que a idade da aposentadoria compulsória feminina (65 anos) coincide com a idade da aposentadoria voluntária masculina (65 anos) — assimetria que suscita questionamentos de constitucionalidade, especialmente após a reforma que elevou a idade feminina para 62 anos na aposentadoria voluntária.</w:t>
      </w:r>
    </w:p>
    <w:p>
      <w:pPr>
        <w:spacing w:after="60" w:before="60"/>
        <w:ind w:left="360"/>
      </w:pPr>
      <w:r>
        <w:rPr>
          <w:rFonts w:ascii="Arial" w:cs="Arial" w:eastAsia="Arial" w:hAnsi="Arial"/>
          <w:sz w:val="21"/>
          <w:szCs w:val="21"/>
        </w:rPr>
        <w:t xml:space="preserve">b) Carência: A mesma exigida para a aposentadoria voluntária — 180 contribuições mensais (art. 25, II, Lei 8.213/91) ou conforme a tabela progressiva do art. 142 para filiados antes de 24/07/1991. A exigência de carência na aposentadoria compulsória é objeto de controvérsia doutrinária: há quem sustente que, tratando-se de faculdade do empregador, a carência não deveria ser obstáculo, sob pena de o empregado ficar em situação pior do que a desejada por seu empregador. A posição prevalecente, contudo, é de que a carência é requisito inafastável, pois se trata de benefício previdenciário — não de verba trabalhista.</w:t>
      </w:r>
    </w:p>
    <w:p>
      <w:pPr>
        <w:spacing w:after="60" w:before="60"/>
        <w:ind w:left="360"/>
      </w:pPr>
      <w:r>
        <w:rPr>
          <w:rFonts w:ascii="Arial" w:cs="Arial" w:eastAsia="Arial" w:hAnsi="Arial"/>
          <w:sz w:val="21"/>
          <w:szCs w:val="21"/>
        </w:rPr>
        <w:t xml:space="preserve">c) Iniciativa do empregador: O requerimento é feito pelo empregador, não pelo segurado. O art. 51, § 1º, da Lei 8.213/91 estabelece que a aposentadoria compulsória "será automática quando o segurado completar 70 (setenta) anos de idade e será compulsória mediante requerimento da empresa, desde que o segurado tenha cumprido o período de carência e completado 70 (setenta) anos de idade, se do sexo masculino, ou 65 (sessenta e cinco) anos de idade, se do sexo feminino." Essa redação, por vezes confusa, tem sido interpretada no sentido de que o empregador pode requerer a aposentadoria a partir do momento em que o empregado atinge a idade e a carência.</w:t>
      </w:r>
    </w:p>
    <w:p>
      <w:pPr>
        <w:spacing w:after="60" w:before="60"/>
        <w:ind w:left="360"/>
      </w:pPr>
      <w:r>
        <w:rPr>
          <w:rFonts w:ascii="Arial" w:cs="Arial" w:eastAsia="Arial" w:hAnsi="Arial"/>
          <w:sz w:val="21"/>
          <w:szCs w:val="21"/>
        </w:rPr>
        <w:t xml:space="preserve">d) Garantia de valor mínimo: A renda mensal da aposentadoria compulsória não pode ser inferior a um salário mínimo, nos termos do art. 201, § 2º, da CF/88.</w:t>
      </w:r>
    </w:p>
    <w:p>
      <w:pPr>
        <w:spacing w:after="140" w:before="280"/>
      </w:pPr>
      <w:r>
        <w:rPr>
          <w:rFonts w:ascii="Arial" w:cs="Arial" w:eastAsia="Arial" w:hAnsi="Arial"/>
          <w:b/>
          <w:bCs/>
          <w:color w:val="2E86C1"/>
          <w:sz w:val="23"/>
          <w:szCs w:val="23"/>
        </w:rPr>
        <w:t xml:space="preserve">10.10.3 Efeitos trabalhistas e previdenciários</w:t>
      </w:r>
    </w:p>
    <w:p>
      <w:pPr>
        <w:spacing w:after="100" w:before="100"/>
        <w:jc w:val="both"/>
      </w:pPr>
      <w:r>
        <w:rPr>
          <w:rFonts w:ascii="Arial" w:cs="Arial" w:eastAsia="Arial" w:hAnsi="Arial"/>
          <w:sz w:val="21"/>
          <w:szCs w:val="21"/>
        </w:rPr>
        <w:t xml:space="preserve">A concessão da aposentadoria compulsória suscita questões relevantes na interface entre o Direito do Trabalho e o Direito Previdenciário:</w:t>
      </w:r>
    </w:p>
    <w:p>
      <w:pPr>
        <w:spacing w:after="60" w:before="60"/>
        <w:ind w:left="360"/>
      </w:pPr>
      <w:r>
        <w:rPr>
          <w:rFonts w:ascii="Arial" w:cs="Arial" w:eastAsia="Arial" w:hAnsi="Arial"/>
          <w:sz w:val="21"/>
          <w:szCs w:val="21"/>
        </w:rPr>
        <w:t xml:space="preserve">Extinção do contrato de trabalho: A jurisprudência do TST consolidou o entendimento de que a aposentadoria espontânea do segurado não extingue o contrato de trabalho (art. 453, § 2º, CLT, declarado inconstitucional pelo STF nas ADIs 1.721 e 1.770). A questão é se esse entendimento se aplica também à aposentadoria compulsória. A doutrina majoritária entende que a aposentadoria compulsória, por ser iniciativa do empregador, acarreta a extinção do contrato de trabalho, cabendo ao empregador o pagamento das verbas rescisórias correspondentes à rescisão sem justa causa — inclusive multa de 40% sobre o FGTS.</w:t>
      </w:r>
    </w:p>
    <w:p>
      <w:pPr>
        <w:spacing w:after="60" w:before="60"/>
        <w:ind w:left="360"/>
      </w:pPr>
      <w:r>
        <w:rPr>
          <w:rFonts w:ascii="Arial" w:cs="Arial" w:eastAsia="Arial" w:hAnsi="Arial"/>
          <w:sz w:val="21"/>
          <w:szCs w:val="21"/>
        </w:rPr>
        <w:t xml:space="preserve">Cumulação com salário: Se a aposentadoria compulsória não extinguir o contrato (na hipótese de o empregador optar por manter o empregado), o segurado pode cumular proventos de aposentadoria e salário, pois não há vedação legal à continuidade do trabalho pelo aposentado por idade.</w:t>
      </w:r>
    </w:p>
    <w:p>
      <w:pPr>
        <w:spacing w:after="60" w:before="60"/>
        <w:ind w:left="360"/>
      </w:pPr>
      <w:r>
        <w:rPr>
          <w:rFonts w:ascii="Arial" w:cs="Arial" w:eastAsia="Arial" w:hAnsi="Arial"/>
          <w:sz w:val="21"/>
          <w:szCs w:val="21"/>
        </w:rPr>
        <w:t xml:space="preserve">Indenização compensatória: O art. 51, § 1º, da Lei 8.213/91 prevê que, na aposentadoria compulsória, o empregado tem direito à indenização prevista na legislação trabalhista, "considerando-se como data da rescisão do contrato de trabalho a imediatamente anterior à do início da aposentadoria." Essa previsão reforça a interpretação de que a aposentadoria compulsória implica rescisão contratual.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Aposentadoria compulsória — pontos de atenção</w:t>
            </w:r>
          </w:p>
          <w:p>
            <w:pPr>
              <w:spacing w:after="40" w:before="40"/>
            </w:pPr>
            <w:r>
              <w:rPr>
                <w:rFonts w:ascii="Arial" w:cs="Arial" w:eastAsia="Arial" w:hAnsi="Arial"/>
                <w:sz w:val="19"/>
                <w:szCs w:val="19"/>
              </w:rPr>
              <w:t xml:space="preserve">1. Não confundir com a aposentadoria compulsória do servidor público (art. 40, § 1º, II, CF), que obedece a regras distintas (75 anos, com possibilidade de elevação para 70 anos para alguns servidores) e é de competência da Justiça comum ou Federal conforme o regime. A aposentadoria compulsória do RGPS é exclusiva do vínculo celetista.</w:t>
            </w:r>
          </w:p>
          <w:p>
            <w:pPr>
              <w:spacing w:after="40" w:before="40"/>
            </w:pPr>
            <w:r>
              <w:rPr>
                <w:rFonts w:ascii="Arial" w:cs="Arial" w:eastAsia="Arial" w:hAnsi="Arial"/>
                <w:sz w:val="19"/>
                <w:szCs w:val="19"/>
              </w:rPr>
              <w:t xml:space="preserve">2. O segurado pode se recusar? A jurisprudência é escassa, mas a interpretação predominante é de que, se o empregador requerer e o INSS conceder, o segurado não pode se opor à concessão do benefício — embora possa continuar trabalhando em outro emprego ou como contribuinte individual. O que se discute é se o empregador pode rescindir o contrato com base exclusivamente na concessão da aposentadoria compulsória.</w:t>
            </w:r>
          </w:p>
          <w:p>
            <w:pPr>
              <w:spacing w:after="40" w:before="40"/>
            </w:pPr>
            <w:r>
              <w:rPr>
                <w:rFonts w:ascii="Arial" w:cs="Arial" w:eastAsia="Arial" w:hAnsi="Arial"/>
                <w:sz w:val="19"/>
                <w:szCs w:val="19"/>
              </w:rPr>
              <w:t xml:space="preserve">3. Valor do benefício: Calculado pelas regras aplicáveis ao segurado (regra antiga com direito adquirido, regra de transição ou regra permanente, conforme o caso). Se o resultado for inferior ao salário mínimo, é elevado ao mínimo. O fato de a aposentadoria ser compulsória não altera a forma de cálculo — a distinção é apenas quanto à iniciativa, não quanto ao valor.</w:t>
            </w:r>
          </w:p>
          <w:p>
            <w:pPr>
              <w:spacing w:after="40" w:before="40"/>
            </w:pPr>
            <w:r>
              <w:rPr>
                <w:rFonts w:ascii="Arial" w:cs="Arial" w:eastAsia="Arial" w:hAnsi="Arial"/>
                <w:sz w:val="19"/>
                <w:szCs w:val="19"/>
              </w:rPr>
              <w:t xml:space="preserve">4. Rara nos JEFs: Ações envolvendo aposentadoria compulsória são incomuns nos Juizados Especiais Federais, mas podem surgir em demandas de reconhecimento de tempo de contribuição ou de revisão do valor do benefício concedido compulsoriamente. A situação mais frequente nos JEFs é aquela em que o segurado alega que foi compelido a aceitar uma aposentadoria de valor inferior ao devido, pretendendo a revisão do cálculo ou a concessão por regra mais vantajosa.</w:t>
            </w:r>
          </w:p>
          <w:p>
            <w:pPr>
              <w:spacing w:after="40" w:before="40"/>
            </w:pPr>
            <w:r>
              <w:rPr>
                <w:rFonts w:ascii="Arial" w:cs="Arial" w:eastAsia="Arial" w:hAnsi="Arial"/>
                <w:sz w:val="19"/>
                <w:szCs w:val="19"/>
              </w:rPr>
              <w:t xml:space="preserve">5. STF Tema 350 (ARE 727.084 RG): O STF reconheceu repercussão geral sobre a constitucionalidade da idade para aposentadoria compulsória no RGPS. O julgamento de mérito encontra-se pendente, e a eventual decisão poderá impactar significativamente o instituto, especialmente quanto à manutenção da diferença de idades entre homens e mulheres.</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10.11 Cálculo do Benefício: Análise Aprofundada</w:t>
      </w:r>
    </w:p>
    <w:p>
      <w:pPr>
        <w:spacing w:after="140" w:before="280"/>
      </w:pPr>
      <w:r>
        <w:rPr>
          <w:rFonts w:ascii="Arial" w:cs="Arial" w:eastAsia="Arial" w:hAnsi="Arial"/>
          <w:b/>
          <w:bCs/>
          <w:color w:val="2E86C1"/>
          <w:sz w:val="23"/>
          <w:szCs w:val="23"/>
        </w:rPr>
        <w:t xml:space="preserve">10.11.1 Salário de benefício na regra pré-EC 103/2019</w:t>
      </w:r>
    </w:p>
    <w:p>
      <w:pPr>
        <w:spacing w:after="100" w:before="100"/>
        <w:jc w:val="both"/>
      </w:pPr>
      <w:r>
        <w:rPr>
          <w:rFonts w:ascii="Arial" w:cs="Arial" w:eastAsia="Arial" w:hAnsi="Arial"/>
          <w:sz w:val="21"/>
          <w:szCs w:val="21"/>
        </w:rPr>
        <w:t xml:space="preserve">O salário de benefício, na legislação anterior à EC 103/2019, era calculado pela média aritmética simples dos 80% maiores salários de contribuição corrigidos monetariamente desde julho de 1994 (art. 29, I, da Lei 8.213/91, redação da Lei 9.876/99). A exclusão dos 20% menores salários de contribuição funcionava como um mecanismo de proteção do segurado, eliminando do cálculo os meses de remuneração mais baixa — geralmente correspondentes ao início da carreira, a períodos de subemprego ou a meses de contribuição sobre o salário mínimo.</w:t>
      </w:r>
    </w:p>
    <w:p>
      <w:pPr>
        <w:spacing w:after="100" w:before="100"/>
        <w:jc w:val="both"/>
      </w:pPr>
      <w:r>
        <w:rPr>
          <w:rFonts w:ascii="Arial" w:cs="Arial" w:eastAsia="Arial" w:hAnsi="Arial"/>
          <w:sz w:val="21"/>
          <w:szCs w:val="21"/>
        </w:rPr>
        <w:t xml:space="preserve">A correção monetária dos salários de contribuição era feita pelo INPC (Índice Nacional de Preços ao Consumidor), conforme art. 29-B da Lei 8.213/91 e art. 33 do Decreto 3.048/99. Essa correção é essencial para que a média reflita o valor real das contribuições, evitando que a inflação corroa o poder aquisitivo dos salários mais antigos.</w:t>
      </w:r>
    </w:p>
    <w:p>
      <w:pPr>
        <w:spacing w:after="100" w:before="100"/>
        <w:jc w:val="both"/>
      </w:pPr>
      <w:r>
        <w:rPr>
          <w:rFonts w:ascii="Arial" w:cs="Arial" w:eastAsia="Arial" w:hAnsi="Arial"/>
          <w:sz w:val="21"/>
          <w:szCs w:val="21"/>
        </w:rPr>
        <w:t xml:space="preserve">Na aposentadoria por idade pré-reforma, a renda mensal inicial era calculada como 70% do salário de benefício, acrescidos de 1% para cada grupo de 12 contribuições mensais, até o máximo de 100% (art. 50 da Lei 8.213/91). Essa fórmula significava que o segurado com 360 contribuições (30 anos) atingiria 100% do salário de benefício, enquanto o segurado com 180 contribuições (15 anos) receberia apenas 85%.</w:t>
      </w:r>
    </w:p>
    <w:p>
      <w:pPr>
        <w:spacing w:after="100" w:before="100"/>
        <w:jc w:val="both"/>
      </w:pPr>
      <w:r>
        <w:rPr>
          <w:rFonts w:ascii="Arial" w:cs="Arial" w:eastAsia="Arial" w:hAnsi="Arial"/>
          <w:sz w:val="21"/>
          <w:szCs w:val="21"/>
        </w:rPr>
        <w:t xml:space="preserve">O fator previdenciário, embora aplicável à aposentadoria por idade, somente era efetivamente utilizado quando resultasse em benefício mais vantajoso para o segurado (art. 7º da Lei 9.876/99). Na prática, o fator previdenciário era quase sempre desfavorável na aposentadoria por idade, porque o segurado típico dessa modalidade tinha idade elevada mas pouco tempo de contribuição — combinação que gera fator inferior a 1,0. Assim, a regra do "se mais vantajoso" significava que o fator era simplesmente ignorado na aposentadoria por idade.</w:t>
      </w:r>
    </w:p>
    <w:p>
      <w:pPr>
        <w:spacing w:after="140" w:before="280"/>
      </w:pPr>
      <w:r>
        <w:rPr>
          <w:rFonts w:ascii="Arial" w:cs="Arial" w:eastAsia="Arial" w:hAnsi="Arial"/>
          <w:b/>
          <w:bCs/>
          <w:color w:val="2E86C1"/>
          <w:sz w:val="23"/>
          <w:szCs w:val="23"/>
        </w:rPr>
        <w:t xml:space="preserve">10.11.2 Salário de benefício na regra pós-EC 103/2019</w:t>
      </w:r>
    </w:p>
    <w:p>
      <w:pPr>
        <w:spacing w:after="100" w:before="100"/>
        <w:jc w:val="both"/>
      </w:pPr>
      <w:r>
        <w:rPr>
          <w:rFonts w:ascii="Arial" w:cs="Arial" w:eastAsia="Arial" w:hAnsi="Arial"/>
          <w:sz w:val="21"/>
          <w:szCs w:val="21"/>
        </w:rPr>
        <w:t xml:space="preserve">A EC 103/2019 promoveu duas alterações fundamentais no cálculo:</w:t>
      </w:r>
    </w:p>
    <w:p>
      <w:pPr>
        <w:spacing w:after="60" w:before="60"/>
        <w:ind w:left="360"/>
      </w:pPr>
      <w:r>
        <w:rPr>
          <w:rFonts w:ascii="Arial" w:cs="Arial" w:eastAsia="Arial" w:hAnsi="Arial"/>
          <w:sz w:val="21"/>
          <w:szCs w:val="21"/>
        </w:rPr>
        <w:t xml:space="preserve">Primeira: média de 100% dos salários de contribuição. Todos os salários de contribuição desde julho de 1994 são incluídos na média, sem exclusão dos menores. Essa mudança tende a reduzir o valor da média, especialmente para segurados que tiveram períodos de remuneração baixa ou contribuições sobre o salário mínimo.</w:t>
      </w:r>
    </w:p>
    <w:p>
      <w:pPr>
        <w:spacing w:after="60" w:before="60"/>
        <w:ind w:left="360"/>
      </w:pPr>
      <w:r>
        <w:rPr>
          <w:rFonts w:ascii="Arial" w:cs="Arial" w:eastAsia="Arial" w:hAnsi="Arial"/>
          <w:sz w:val="21"/>
          <w:szCs w:val="21"/>
        </w:rPr>
        <w:t xml:space="preserve">Segunda: coeficiente de 60% + 2% por ano excedente. O antigo coeficiente de 70% + 1% por grupo de 12 contribuições foi substituído por uma fórmula que parte de 60% e cresce mais rapidamente (2% por ano), mas a partir de um piso mais elevado. Para a mulher, o excedente é contado a partir de 15 anos de TC; para o homem, a partir de 20 anos. Essa diferenciação por sexo no ponto de partida do excedente reflete a mesma diferença presente no tempo de contribuição mínimo da regra permanente (15 anos para mulher, 20 anos para homem).</w:t>
      </w:r>
    </w:p>
    <w:p>
      <w:pPr>
        <w:spacing w:after="100" w:before="100"/>
        <w:jc w:val="both"/>
      </w:pPr>
      <w:r>
        <w:rPr>
          <w:rFonts w:ascii="Arial" w:cs="Arial" w:eastAsia="Arial" w:hAnsi="Arial"/>
          <w:sz w:val="21"/>
          <w:szCs w:val="21"/>
        </w:rPr>
        <w:t xml:space="preserve">Na prática, o coeficiente funciona da seguinte forma:</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TC (anos)</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Coeficiente Mulher</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Coeficiente Homem</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 (não atingiu TC mínimo)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70%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70%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80%</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40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(teto)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bl>
    <w:p>
      <w:pPr>
        <w:spacing w:after="160"/>
      </w:pPr>
    </w:p>
    <w:p>
      <w:pPr>
        <w:spacing w:after="100" w:before="100"/>
        <w:jc w:val="both"/>
      </w:pPr>
      <w:r>
        <w:rPr>
          <w:rFonts w:ascii="Arial" w:cs="Arial" w:eastAsia="Arial" w:hAnsi="Arial"/>
          <w:sz w:val="21"/>
          <w:szCs w:val="21"/>
        </w:rPr>
        <w:t xml:space="preserve">Observe-se que a mulher atinge 100% do coeficiente com 35 anos de contribuição, enquanto o homem necessita de 40 anos — diferença que a doutrina justifica pela proteção diferenciada prevista constitucionalmente (art. 201, § 7º, I, CF). Na prática, porém, poucos segurados atingem esses patamares, especialmente na aposentadoria por idade, onde o perfil típico envolve segurados com 15 a 25 anos de contribuição.</w:t>
      </w:r>
    </w:p>
    <w:p>
      <w:pPr>
        <w:spacing w:after="100" w:before="100"/>
        <w:jc w:val="both"/>
      </w:pPr>
      <w:r>
        <w:rPr>
          <w:rFonts w:ascii="Arial" w:cs="Arial" w:eastAsia="Arial" w:hAnsi="Arial"/>
          <w:sz w:val="21"/>
          <w:szCs w:val="21"/>
        </w:rPr>
        <w:t xml:space="preserve">A combinação dessas duas alterações — média de 100% e coeficiente a partir de 60% — resulta, para a maioria dos segurados, em benefícios de valor inferior aos que seriam concedidos pelas regras anteriores. O impacto é especialmente severo para segurados com poucos anos de contribuição: um homem com 20 anos de TC receberá apenas 60% de uma média já reduzida pela inclusão de todos os salários. Uma mulher com 15 anos de TC também receberá apenas 60%, contra os 85% (70% + 15 × 1%) que receberia pela regra antiga.</w:t>
      </w:r>
    </w:p>
    <w:p>
      <w:pPr>
        <w:spacing w:after="100" w:before="100"/>
        <w:jc w:val="both"/>
      </w:pPr>
      <w:r>
        <w:rPr>
          <w:rFonts w:ascii="Arial" w:cs="Arial" w:eastAsia="Arial" w:hAnsi="Arial"/>
          <w:sz w:val="21"/>
          <w:szCs w:val="21"/>
        </w:rPr>
        <w:t xml:space="preserve">É importante destacar que o coeficiente de 60% + 2%/ano excedente se aplica sobre a média de todos os salários de contribuição, não sobre o salário de benefício (conceito da legislação anterior). Essa distinção terminológica é relevante: na regra pós-EC 103, não há mais "salário de benefício" como conceito intermediário — a renda mensal inicial resulta diretamente da aplicação do coeficiente sobre a média dos salários de contribuição.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Comparativo de cálculo — regra antiga vs. regra nova</w:t>
            </w:r>
          </w:p>
          <w:p>
            <w:pPr>
              <w:spacing w:after="40" w:before="40"/>
            </w:pPr>
            <w:r>
              <w:rPr>
                <w:rFonts w:ascii="Arial" w:cs="Arial" w:eastAsia="Arial" w:hAnsi="Arial"/>
                <w:sz w:val="19"/>
                <w:szCs w:val="19"/>
              </w:rPr>
              <w:t xml:space="preserve">Segurada Marta, 62 anos em 2026, com 22 anos de contribuição (264 contribuições). Filiação em 1999.</w:t>
            </w:r>
          </w:p>
          <w:p>
            <w:pPr>
              <w:spacing w:after="40" w:before="40"/>
            </w:pPr>
            <w:r>
              <w:rPr>
                <w:rFonts w:ascii="Arial" w:cs="Arial" w:eastAsia="Arial" w:hAnsi="Arial"/>
                <w:sz w:val="19"/>
                <w:szCs w:val="19"/>
              </w:rPr>
              <w:t xml:space="preserve">Cálculo pela regra antiga (direito adquirido, se implementou requisitos antes de 13/11/2019):</w:t>
            </w:r>
          </w:p>
          <w:p>
            <w:pPr>
              <w:spacing w:after="40" w:before="40"/>
            </w:pPr>
            <w:r>
              <w:rPr>
                <w:rFonts w:ascii="Arial" w:cs="Arial" w:eastAsia="Arial" w:hAnsi="Arial"/>
                <w:sz w:val="19"/>
                <w:szCs w:val="19"/>
              </w:rPr>
              <w:t xml:space="preserve">- Média dos 80% maiores salários: R$ 3.200,00</w:t>
            </w:r>
          </w:p>
          <w:p>
            <w:pPr>
              <w:spacing w:after="40" w:before="40"/>
            </w:pPr>
            <w:r>
              <w:rPr>
                <w:rFonts w:ascii="Arial" w:cs="Arial" w:eastAsia="Arial" w:hAnsi="Arial"/>
                <w:sz w:val="19"/>
                <w:szCs w:val="19"/>
              </w:rPr>
              <w:t xml:space="preserve">- Coeficiente: 70% + 22% = 92%</w:t>
            </w:r>
          </w:p>
          <w:p>
            <w:pPr>
              <w:spacing w:after="40" w:before="40"/>
            </w:pPr>
            <w:r>
              <w:rPr>
                <w:rFonts w:ascii="Arial" w:cs="Arial" w:eastAsia="Arial" w:hAnsi="Arial"/>
                <w:sz w:val="19"/>
                <w:szCs w:val="19"/>
              </w:rPr>
              <w:t xml:space="preserve">- RMI: R$ 3.200,00 × 92% = R$ 2.944,00</w:t>
            </w:r>
          </w:p>
          <w:p>
            <w:pPr>
              <w:spacing w:after="40" w:before="40"/>
            </w:pPr>
            <w:r>
              <w:rPr>
                <w:rFonts w:ascii="Arial" w:cs="Arial" w:eastAsia="Arial" w:hAnsi="Arial"/>
                <w:sz w:val="19"/>
                <w:szCs w:val="19"/>
              </w:rPr>
              <w:t xml:space="preserve">Cálculo pela regra de transição (art. 18, EC 103/2019):</w:t>
            </w:r>
          </w:p>
          <w:p>
            <w:pPr>
              <w:spacing w:after="40" w:before="40"/>
            </w:pPr>
            <w:r>
              <w:rPr>
                <w:rFonts w:ascii="Arial" w:cs="Arial" w:eastAsia="Arial" w:hAnsi="Arial"/>
                <w:sz w:val="19"/>
                <w:szCs w:val="19"/>
              </w:rPr>
              <w:t xml:space="preserve">- Média de 100% dos salários: R$ 2.850,00 (menor porque inclui os 20% piores)</w:t>
            </w:r>
          </w:p>
          <w:p>
            <w:pPr>
              <w:spacing w:after="40" w:before="40"/>
            </w:pPr>
            <w:r>
              <w:rPr>
                <w:rFonts w:ascii="Arial" w:cs="Arial" w:eastAsia="Arial" w:hAnsi="Arial"/>
                <w:sz w:val="19"/>
                <w:szCs w:val="19"/>
              </w:rPr>
              <w:t xml:space="preserve">- Coeficiente: 60% + 2% × (22 - 15) = 60% + 14% = 74%</w:t>
            </w:r>
          </w:p>
          <w:p>
            <w:pPr>
              <w:spacing w:after="40" w:before="40"/>
            </w:pPr>
            <w:r>
              <w:rPr>
                <w:rFonts w:ascii="Arial" w:cs="Arial" w:eastAsia="Arial" w:hAnsi="Arial"/>
                <w:sz w:val="19"/>
                <w:szCs w:val="19"/>
              </w:rPr>
              <w:t xml:space="preserve">- RMI: R$ 2.850,00 × 74% = R$ 2.109,00</w:t>
            </w:r>
          </w:p>
          <w:p>
            <w:pPr>
              <w:spacing w:after="40" w:before="40"/>
            </w:pPr>
            <w:r>
              <w:rPr>
                <w:rFonts w:ascii="Arial" w:cs="Arial" w:eastAsia="Arial" w:hAnsi="Arial"/>
                <w:sz w:val="19"/>
                <w:szCs w:val="19"/>
              </w:rPr>
              <w:t xml:space="preserve">Diferença: R$ 835,00/mês, ou R$ 10.020,00/ano.</w:t>
            </w:r>
          </w:p>
          <w:p>
            <w:pPr>
              <w:spacing w:after="40" w:before="40"/>
            </w:pPr>
            <w:r>
              <w:rPr>
                <w:rFonts w:ascii="Arial" w:cs="Arial" w:eastAsia="Arial" w:hAnsi="Arial"/>
                <w:sz w:val="19"/>
                <w:szCs w:val="19"/>
              </w:rPr>
              <w:t xml:space="preserve">Se Marta tinha 60 anos em 13/11/2019 (nascida antes de novembro de 1959) e já contava com 180 contribuições de carência, ela tem direito adquirido à regra antiga. O advogado que não identifica esse direito causa prejuízo irreparável.</w:t>
            </w:r>
          </w:p>
        </w:tc>
      </w:tr>
    </w:tbl>
    <w:p>
      <w:pPr>
        <w:spacing w:after="200"/>
      </w:pPr>
    </w:p>
    <w:p>
      <w:pPr>
        <w:spacing w:after="140" w:before="280"/>
      </w:pPr>
      <w:r>
        <w:rPr>
          <w:rFonts w:ascii="Arial" w:cs="Arial" w:eastAsia="Arial" w:hAnsi="Arial"/>
          <w:b/>
          <w:bCs/>
          <w:color w:val="2E86C1"/>
          <w:sz w:val="23"/>
          <w:szCs w:val="23"/>
        </w:rPr>
        <w:t xml:space="preserve">10.11.3 A questão da "revisão da vida toda" (STF Tema 1.102)</w:t>
      </w:r>
    </w:p>
    <w:p>
      <w:pPr>
        <w:spacing w:after="100" w:before="100"/>
        <w:jc w:val="both"/>
      </w:pPr>
      <w:r>
        <w:rPr>
          <w:rFonts w:ascii="Arial" w:cs="Arial" w:eastAsia="Arial" w:hAnsi="Arial"/>
          <w:sz w:val="21"/>
          <w:szCs w:val="21"/>
        </w:rPr>
        <w:t xml:space="preserve">A chamada "revisão da vida toda" decorre do art. 3º da Lei 9.876/99, que estabeleceu uma regra de transição para o cálculo do salário de benefício. Pela regra definitiva (art. 29, I, da Lei 8.213/91), o salário de benefício seria calculado pela média dos 80% maiores salários de contribuição de todo o período contributivo. Pela regra de transição (art. 3º da Lei 9.876/99), para segurados filiados antes de 29/11/1999, o cálculo consideraria apenas os salários de contribuição a partir de julho de 1994.</w:t>
      </w:r>
    </w:p>
    <w:p>
      <w:pPr>
        <w:spacing w:after="100" w:before="100"/>
        <w:jc w:val="both"/>
      </w:pPr>
      <w:r>
        <w:rPr>
          <w:rFonts w:ascii="Arial" w:cs="Arial" w:eastAsia="Arial" w:hAnsi="Arial"/>
          <w:sz w:val="21"/>
          <w:szCs w:val="21"/>
        </w:rPr>
        <w:t xml:space="preserve">A tese da revisão da vida toda sustenta que o segurado tem o direito de optar pela regra definitiva (todo o período contributivo, inclusive antes de julho/1994) quando ela for mais favorável. Essa opção beneficiaria segurados que tiveram salários de contribuição elevados nas décadas de 1980 e 1990, anteriores ao Plano Real.</w:t>
      </w:r>
    </w:p>
    <w:p>
      <w:pPr>
        <w:spacing w:after="100" w:before="100"/>
        <w:jc w:val="both"/>
      </w:pPr>
      <w:r>
        <w:rPr>
          <w:rFonts w:ascii="Arial" w:cs="Arial" w:eastAsia="Arial" w:hAnsi="Arial"/>
          <w:sz w:val="21"/>
          <w:szCs w:val="21"/>
        </w:rPr>
        <w:t xml:space="preserve">O STF, no julgamento do RE 1.276.977 (Tema 1.102), inicialmente acolheu a tese da revisão da vida toda por maioria de 7 a 4 (dezembro de 2022). Contudo, foram opostos embargos de declaração com efeitos modificativos, e o Supremo reabriu o julgamento. Em maio de 2026, a questão permanece pendente de definição final, com pedido de vista do Min. Nunes Marques.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STF Tema 1.102 — Revisão da vida toda (status maio/2026)</w:t>
            </w:r>
          </w:p>
          <w:p>
            <w:pPr>
              <w:spacing w:after="40" w:before="40"/>
            </w:pPr>
            <w:r>
              <w:rPr>
                <w:rFonts w:ascii="Arial" w:cs="Arial" w:eastAsia="Arial" w:hAnsi="Arial"/>
                <w:sz w:val="19"/>
                <w:szCs w:val="19"/>
              </w:rPr>
              <w:t xml:space="preserve">O julgamento da revisão da vida toda percorreu caminho tortuoso no STF:</w:t>
            </w:r>
          </w:p>
          <w:p>
            <w:pPr>
              <w:spacing w:after="40" w:before="40"/>
            </w:pPr>
            <w:r>
              <w:rPr>
                <w:rFonts w:ascii="Arial" w:cs="Arial" w:eastAsia="Arial" w:hAnsi="Arial"/>
                <w:sz w:val="19"/>
                <w:szCs w:val="19"/>
              </w:rPr>
              <w:t xml:space="preserve">1. Dezembro/2022: Plenário acolheu a tese por 7 × 4, reconhecendo o direito de opção pela regra definitiva.</w:t>
            </w:r>
          </w:p>
          <w:p>
            <w:pPr>
              <w:spacing w:after="40" w:before="40"/>
            </w:pPr>
            <w:r>
              <w:rPr>
                <w:rFonts w:ascii="Arial" w:cs="Arial" w:eastAsia="Arial" w:hAnsi="Arial"/>
                <w:sz w:val="19"/>
                <w:szCs w:val="19"/>
              </w:rPr>
              <w:t xml:space="preserve">2. Junho/2024: Em embargos de declaração, o STF voltou atrás e iniciou novo julgamento, com pedido de vista.</w:t>
            </w:r>
          </w:p>
          <w:p>
            <w:pPr>
              <w:spacing w:after="40" w:before="40"/>
            </w:pPr>
            <w:r>
              <w:rPr>
                <w:rFonts w:ascii="Arial" w:cs="Arial" w:eastAsia="Arial" w:hAnsi="Arial"/>
                <w:sz w:val="19"/>
                <w:szCs w:val="19"/>
              </w:rPr>
              <w:t xml:space="preserve">3. Maio/2026: Aguarda-se voto do Min. Nunes Marques, que pediu vista em fevereiro/2026.</w:t>
            </w:r>
          </w:p>
          <w:p>
            <w:pPr>
              <w:spacing w:after="40" w:before="40"/>
            </w:pPr>
            <w:r>
              <w:rPr>
                <w:rFonts w:ascii="Arial" w:cs="Arial" w:eastAsia="Arial" w:hAnsi="Arial"/>
                <w:sz w:val="19"/>
                <w:szCs w:val="19"/>
              </w:rPr>
              <w:t xml:space="preserve">Impacto na aposentadoria por idade: A revisão da vida toda afeta o cálculo do salário de benefício de aposentadorias por idade concedidas pela regra pré-EC 103/2019 (Lei 9.876/99). Segurados com altos salários de contribuição antes de julho/1994 podem ter interesse na revisão — se a tese for definitivamente acolhida.</w:t>
            </w:r>
          </w:p>
          <w:p>
            <w:pPr>
              <w:spacing w:after="40" w:before="40"/>
            </w:pPr>
            <w:r>
              <w:rPr>
                <w:rFonts w:ascii="Arial" w:cs="Arial" w:eastAsia="Arial" w:hAnsi="Arial"/>
                <w:sz w:val="19"/>
                <w:szCs w:val="19"/>
              </w:rPr>
              <w:t xml:space="preserve">Orientação prática: Enquanto pendente o julgamento definitivo, o advogado pode ajuizar ação de revisão para interromper a prescrição quinquenal das diferenças, requerendo a suspensão do processo até o trânsito em julgado do Tema 1.102.</w:t>
            </w:r>
          </w:p>
        </w:tc>
      </w:tr>
    </w:tbl>
    <w:p>
      <w:pPr>
        <w:spacing w:after="200"/>
      </w:pPr>
    </w:p>
    <w:p>
      <w:pPr>
        <w:spacing w:after="140" w:before="280"/>
      </w:pPr>
      <w:r>
        <w:rPr>
          <w:rFonts w:ascii="Arial" w:cs="Arial" w:eastAsia="Arial" w:hAnsi="Arial"/>
          <w:b/>
          <w:bCs/>
          <w:color w:val="2E86C1"/>
          <w:sz w:val="23"/>
          <w:szCs w:val="23"/>
        </w:rPr>
        <w:t xml:space="preserve">10.11.4 Exclusão de salários de contribuição que reduzem a média</w:t>
      </w:r>
    </w:p>
    <w:p>
      <w:pPr>
        <w:spacing w:after="100" w:before="100"/>
        <w:jc w:val="both"/>
      </w:pPr>
      <w:r>
        <w:rPr>
          <w:rFonts w:ascii="Arial" w:cs="Arial" w:eastAsia="Arial" w:hAnsi="Arial"/>
          <w:sz w:val="21"/>
          <w:szCs w:val="21"/>
        </w:rPr>
        <w:t xml:space="preserve">O art. 26, § 6º, da EC 103/2019, na regulamentação dada pelo art. 12 da Emenda, permite que o segurado exclua do cálculo da média os salários de contribuição que resultem em redução do valor do benefício, desde que, com a exclusão, permaneça cumprido o tempo mínimo de contribuição exigido.</w:t>
      </w:r>
    </w:p>
    <w:p>
      <w:pPr>
        <w:spacing w:after="100" w:before="100"/>
        <w:jc w:val="both"/>
      </w:pPr>
      <w:r>
        <w:rPr>
          <w:rFonts w:ascii="Arial" w:cs="Arial" w:eastAsia="Arial" w:hAnsi="Arial"/>
          <w:sz w:val="21"/>
          <w:szCs w:val="21"/>
        </w:rPr>
        <w:t xml:space="preserve">Essa possibilidade, introduzida pela própria EC 103, funciona como um atenuante do impacto negativo da média de 100%. O segurado que teve períodos de contribuição sobre o salário mínimo pode excluí-los do cálculo, elevando a média, desde que ainda mantenha o tempo de contribuição mínimo (20 anos para homem ou 15 para mulher). Na prática, o INSS e o Poder Judiciário devem calcular o benefício com e sem as exclusões e conceder o mais vantajoso.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Exclusão de salários de contribuição (art. 26, § 6º, EC 103)</w:t>
            </w:r>
          </w:p>
          <w:p>
            <w:pPr>
              <w:spacing w:after="40" w:before="40"/>
            </w:pPr>
            <w:r>
              <w:rPr>
                <w:rFonts w:ascii="Arial" w:cs="Arial" w:eastAsia="Arial" w:hAnsi="Arial"/>
                <w:sz w:val="19"/>
                <w:szCs w:val="19"/>
              </w:rPr>
              <w:t xml:space="preserve">Pedro, 65 anos, 25 anos de contribuição. Nos primeiros 5 anos, contribuiu sobre o salário mínimo (R$ 1.621,00 em valores atualizados); nos 20 anos seguintes, contribuiu sobre R$ 5.000,00 em média.</w:t>
            </w:r>
          </w:p>
          <w:p>
            <w:pPr>
              <w:spacing w:after="40" w:before="40"/>
            </w:pPr>
            <w:r>
              <w:rPr>
                <w:rFonts w:ascii="Arial" w:cs="Arial" w:eastAsia="Arial" w:hAnsi="Arial"/>
                <w:sz w:val="19"/>
                <w:szCs w:val="19"/>
              </w:rPr>
              <w:t xml:space="preserve">Sem exclusão:</w:t>
            </w:r>
          </w:p>
          <w:p>
            <w:pPr>
              <w:spacing w:after="40" w:before="40"/>
            </w:pPr>
            <w:r>
              <w:rPr>
                <w:rFonts w:ascii="Arial" w:cs="Arial" w:eastAsia="Arial" w:hAnsi="Arial"/>
                <w:sz w:val="19"/>
                <w:szCs w:val="19"/>
              </w:rPr>
              <w:t xml:space="preserve">- Média de 100% dos salários: ~R$ 4.325,00 (puxada para baixo pelos 5 anos de SM)</w:t>
            </w:r>
          </w:p>
          <w:p>
            <w:pPr>
              <w:spacing w:after="40" w:before="40"/>
            </w:pPr>
            <w:r>
              <w:rPr>
                <w:rFonts w:ascii="Arial" w:cs="Arial" w:eastAsia="Arial" w:hAnsi="Arial"/>
                <w:sz w:val="19"/>
                <w:szCs w:val="19"/>
              </w:rPr>
              <w:t xml:space="preserve">- Coeficiente: 60% + 2% × (25 - 20) = 70%</w:t>
            </w:r>
          </w:p>
          <w:p>
            <w:pPr>
              <w:spacing w:after="40" w:before="40"/>
            </w:pPr>
            <w:r>
              <w:rPr>
                <w:rFonts w:ascii="Arial" w:cs="Arial" w:eastAsia="Arial" w:hAnsi="Arial"/>
                <w:sz w:val="19"/>
                <w:szCs w:val="19"/>
              </w:rPr>
              <w:t xml:space="preserve">- RMI: R$ 4.325,00 × 70% = R$ 3.027,50</w:t>
            </w:r>
          </w:p>
          <w:p>
            <w:pPr>
              <w:spacing w:after="40" w:before="40"/>
            </w:pPr>
            <w:r>
              <w:rPr>
                <w:rFonts w:ascii="Arial" w:cs="Arial" w:eastAsia="Arial" w:hAnsi="Arial"/>
                <w:sz w:val="19"/>
                <w:szCs w:val="19"/>
              </w:rPr>
              <w:t xml:space="preserve">Com exclusão dos 5 anos de SM (restam 20 anos de TC — mínimo exigido):</w:t>
            </w:r>
          </w:p>
          <w:p>
            <w:pPr>
              <w:spacing w:after="40" w:before="40"/>
            </w:pPr>
            <w:r>
              <w:rPr>
                <w:rFonts w:ascii="Arial" w:cs="Arial" w:eastAsia="Arial" w:hAnsi="Arial"/>
                <w:sz w:val="19"/>
                <w:szCs w:val="19"/>
              </w:rPr>
              <w:t xml:space="preserve">- Média dos 20 anos restantes: ~R$ 5.000,00</w:t>
            </w:r>
          </w:p>
          <w:p>
            <w:pPr>
              <w:spacing w:after="40" w:before="40"/>
            </w:pPr>
            <w:r>
              <w:rPr>
                <w:rFonts w:ascii="Arial" w:cs="Arial" w:eastAsia="Arial" w:hAnsi="Arial"/>
                <w:sz w:val="19"/>
                <w:szCs w:val="19"/>
              </w:rPr>
              <w:t xml:space="preserve">- Coeficiente: 60% + 2% × (20 - 20) = 60% (reduziu!)</w:t>
            </w:r>
          </w:p>
          <w:p>
            <w:pPr>
              <w:spacing w:after="40" w:before="40"/>
            </w:pPr>
            <w:r>
              <w:rPr>
                <w:rFonts w:ascii="Arial" w:cs="Arial" w:eastAsia="Arial" w:hAnsi="Arial"/>
                <w:sz w:val="19"/>
                <w:szCs w:val="19"/>
              </w:rPr>
              <w:t xml:space="preserve">- RMI: R$ 5.000,00 × 60% = R$ 3.000,00</w:t>
            </w:r>
          </w:p>
          <w:p>
            <w:pPr>
              <w:spacing w:after="40" w:before="40"/>
            </w:pPr>
            <w:r>
              <w:rPr>
                <w:rFonts w:ascii="Arial" w:cs="Arial" w:eastAsia="Arial" w:hAnsi="Arial"/>
                <w:sz w:val="19"/>
                <w:szCs w:val="19"/>
              </w:rPr>
              <w:t xml:space="preserve">Neste caso, a exclusão não é vantajosa (R$ 3.000 &lt; R$ 3.027,50), porque a redução do coeficiente (de 70% para 60%) anulou o ganho na média. A análise deve ser feita caso a caso.</w:t>
            </w:r>
          </w:p>
          <w:p>
            <w:pPr>
              <w:spacing w:after="40" w:before="40"/>
            </w:pPr>
            <w:r>
              <w:rPr>
                <w:rFonts w:ascii="Arial" w:cs="Arial" w:eastAsia="Arial" w:hAnsi="Arial"/>
                <w:sz w:val="19"/>
                <w:szCs w:val="19"/>
              </w:rPr>
              <w:t xml:space="preserve">Quando a exclusão é vantajosa? Geralmente quando o segurado tem tempo de contribuição muito superior ao mínimo e os salários excluídos são significativamente inferiores à média dos restantes. Quanto mais tempo excedente o segurado tiver, mais salários poderá excluir sem reduzir o coeficiente abaixo do limiar de vantagem.</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10.12 O Direito ao Benefício Mais Vantajoso</w:t>
      </w:r>
    </w:p>
    <w:p>
      <w:pPr>
        <w:spacing w:after="140" w:before="280"/>
      </w:pPr>
      <w:r>
        <w:rPr>
          <w:rFonts w:ascii="Arial" w:cs="Arial" w:eastAsia="Arial" w:hAnsi="Arial"/>
          <w:b/>
          <w:bCs/>
          <w:color w:val="2E86C1"/>
          <w:sz w:val="23"/>
          <w:szCs w:val="23"/>
        </w:rPr>
        <w:t xml:space="preserve">10.12.1 Fundamento</w:t>
      </w:r>
    </w:p>
    <w:p>
      <w:pPr>
        <w:spacing w:after="100" w:before="100"/>
        <w:jc w:val="both"/>
      </w:pPr>
      <w:r>
        <w:rPr>
          <w:rFonts w:ascii="Arial" w:cs="Arial" w:eastAsia="Arial" w:hAnsi="Arial"/>
          <w:sz w:val="21"/>
          <w:szCs w:val="21"/>
        </w:rPr>
        <w:t xml:space="preserve">O princípio do direito ao benefício mais vantajoso é uma construção jurisprudencial que se tornou norma expressa com a EC 103/2019 (art. 26, § 2º, que manda considerar a regra mais favorável) e tem raízes no direito adquirido constitucional (art. 5º, XXXVI, CF). Segundo esse princípio, quando o segurado preenche os requisitos para mais de uma modalidade de aposentadoria ou mais de uma regra de cálculo, tem direito a receber o benefício de maior valor.</w:t>
      </w:r>
    </w:p>
    <w:p>
      <w:pPr>
        <w:spacing w:after="100" w:before="100"/>
        <w:jc w:val="both"/>
      </w:pPr>
      <w:r>
        <w:rPr>
          <w:rFonts w:ascii="Arial" w:cs="Arial" w:eastAsia="Arial" w:hAnsi="Arial"/>
          <w:sz w:val="21"/>
          <w:szCs w:val="21"/>
        </w:rPr>
        <w:t xml:space="preserve">O fundamento constitucional é duplo: de um lado, o direito adquirido (art. 5º, XXXVI) protege o segurado que implementou requisitos sob determinada regra de ter seu direito calculado por essa regra, mesmo que lei posterior tenha alterado os critérios. De outro lado, o princípio da dignidade da pessoa humana (art. 1º, III) e o objetivo de justiça social (art. 193) exigem que o benefício previdenciário cumpra sua função de manutenção do padrão de vida do segurado na inatividade.</w:t>
      </w:r>
    </w:p>
    <w:p>
      <w:pPr>
        <w:spacing w:after="100" w:before="100"/>
        <w:jc w:val="both"/>
      </w:pPr>
      <w:r>
        <w:rPr>
          <w:rFonts w:ascii="Arial" w:cs="Arial" w:eastAsia="Arial" w:hAnsi="Arial"/>
          <w:sz w:val="21"/>
          <w:szCs w:val="21"/>
        </w:rPr>
        <w:t xml:space="preserve">A EC 103/2019, em seu art. 26, § 2º, positivou expressamente esse princípio ao estabelecer que o segurado fará jus ao cálculo mais favorável entre as regras aplicáveis. A norma constitucional confirmou o que a jurisprudência já vinha reconhecendo: o INSS tem o dever de conceder o benefício mais vantajoso, não apenas aquele expressamente requerido pelo segurado.</w:t>
      </w:r>
    </w:p>
    <w:p>
      <w:pPr>
        <w:spacing w:after="100" w:before="100"/>
        <w:jc w:val="both"/>
      </w:pPr>
      <w:r>
        <w:rPr>
          <w:rFonts w:ascii="Arial" w:cs="Arial" w:eastAsia="Arial" w:hAnsi="Arial"/>
          <w:sz w:val="21"/>
          <w:szCs w:val="21"/>
        </w:rPr>
        <w:t xml:space="preserve">A aplicação desse princípio exige que o INSS — e, em caso de litígio, o juiz — calcule o benefício por todas as regras aplicáveis e conceda o mais vantajoso. Na prática, o INSS nem sempre realiza essa análise comparativa de ofício, cabendo ao segurado ou ao seu advogado provocar a comparação. A omissão do INSS em realizar a comparação entre regras pode ensejar ação judicial de revisão do benefício, com pedido de diferenças retroativas à data de início do benefício concedido.</w:t>
      </w:r>
    </w:p>
    <w:p>
      <w:pPr>
        <w:spacing w:after="100" w:before="100"/>
        <w:jc w:val="both"/>
      </w:pPr>
      <w:r>
        <w:rPr>
          <w:rFonts w:ascii="Arial" w:cs="Arial" w:eastAsia="Arial" w:hAnsi="Arial"/>
          <w:sz w:val="21"/>
          <w:szCs w:val="21"/>
        </w:rPr>
        <w:t xml:space="preserve">O Decreto 3.048/99, com as alterações introduzidas pelo Decreto 10.410/2020, regulamentou o dever do INSS de conceder o benefício mais vantajoso, mas a implementação prática dessa obrigação ainda é falha. Muitos segurados são aposentados pela regra que primeiro aparece no sistema informatizado do INSS, sem a análise comparativa que a Constituição e o regulamento determinam. Essa deficiência institucional é fonte significativa de demandas nos JEFs, tanto para concessão quanto para revisão de benefícios.</w:t>
      </w:r>
    </w:p>
    <w:p>
      <w:pPr>
        <w:spacing w:after="140" w:before="280"/>
      </w:pPr>
      <w:r>
        <w:rPr>
          <w:rFonts w:ascii="Arial" w:cs="Arial" w:eastAsia="Arial" w:hAnsi="Arial"/>
          <w:b/>
          <w:bCs/>
          <w:color w:val="2E86C1"/>
          <w:sz w:val="23"/>
          <w:szCs w:val="23"/>
        </w:rPr>
        <w:t xml:space="preserve">10.12.2 Regras simultaneamente aplicáveis</w:t>
      </w:r>
    </w:p>
    <w:p>
      <w:pPr>
        <w:spacing w:after="100" w:before="100"/>
        <w:jc w:val="both"/>
      </w:pPr>
      <w:r>
        <w:rPr>
          <w:rFonts w:ascii="Arial" w:cs="Arial" w:eastAsia="Arial" w:hAnsi="Arial"/>
          <w:sz w:val="21"/>
          <w:szCs w:val="21"/>
        </w:rPr>
        <w:t xml:space="preserve">Um segurado filiado antes de 13/11/2019 pode, simultaneamente, preencher os requisitos para:</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Direito adquirido à aposentadoria por idade (regra antiga): se implementou 65/60 anos + 180 contribuições antes de 13/11/2019.</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Regra de transição do art. 18 (aposentadoria por idade): se implementou 65/62 anos + 15 anos TC + 180 contribuições após 13/11/2019.</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Regra de transição do art. 15 (pontos): se atinge a pontuação exigida + 35/30 anos TC.</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Regra de transição do art. 16 (idade progressiva): se atinge a idade progressiva + 35/30 anos TC.</w:t>
      </w:r>
    </w:p>
    <w:p>
      <w:pPr>
        <w:spacing w:after="60" w:before="60"/>
        <w:ind w:left="360"/>
      </w:pPr>
      <w:r>
        <w:rPr>
          <w:rFonts w:ascii="Arial" w:cs="Arial" w:eastAsia="Arial" w:hAnsi="Arial"/>
          <w:b/>
          <w:bCs/>
          <w:sz w:val="21"/>
          <w:szCs w:val="21"/>
        </w:rPr>
        <w:t xml:space="preserve">5. </w:t>
      </w:r>
      <w:r>
        <w:rPr>
          <w:rFonts w:ascii="Arial" w:cs="Arial" w:eastAsia="Arial" w:hAnsi="Arial"/>
          <w:sz w:val="21"/>
          <w:szCs w:val="21"/>
        </w:rPr>
        <w:t xml:space="preserve">Regra de transição do art. 17 (pedágio 50%): se faltava menos de 2 anos de TC em 13/11/2019.</w:t>
      </w:r>
    </w:p>
    <w:p>
      <w:pPr>
        <w:spacing w:after="60" w:before="60"/>
        <w:ind w:left="360"/>
      </w:pPr>
      <w:r>
        <w:rPr>
          <w:rFonts w:ascii="Arial" w:cs="Arial" w:eastAsia="Arial" w:hAnsi="Arial"/>
          <w:b/>
          <w:bCs/>
          <w:sz w:val="21"/>
          <w:szCs w:val="21"/>
        </w:rPr>
        <w:t xml:space="preserve">6. </w:t>
      </w:r>
      <w:r>
        <w:rPr>
          <w:rFonts w:ascii="Arial" w:cs="Arial" w:eastAsia="Arial" w:hAnsi="Arial"/>
          <w:sz w:val="21"/>
          <w:szCs w:val="21"/>
        </w:rPr>
        <w:t xml:space="preserve">Regra de transição do art. 20 (pedágio 100%): se atinge 60/57 anos + 35/30 anos TC + pedágio.</w:t>
      </w:r>
    </w:p>
    <w:p>
      <w:pPr>
        <w:spacing w:after="60" w:before="60"/>
        <w:ind w:left="360"/>
      </w:pPr>
      <w:r>
        <w:rPr>
          <w:rFonts w:ascii="Arial" w:cs="Arial" w:eastAsia="Arial" w:hAnsi="Arial"/>
          <w:b/>
          <w:bCs/>
          <w:sz w:val="21"/>
          <w:szCs w:val="21"/>
        </w:rPr>
        <w:t xml:space="preserve">7. </w:t>
      </w:r>
      <w:r>
        <w:rPr>
          <w:rFonts w:ascii="Arial" w:cs="Arial" w:eastAsia="Arial" w:hAnsi="Arial"/>
          <w:sz w:val="21"/>
          <w:szCs w:val="21"/>
        </w:rPr>
        <w:t xml:space="preserve">Regra permanente (aposentadoria programada): se implementou 65/62 anos + 20/15 anos TC.</w:t>
      </w:r>
    </w:p>
    <w:p>
      <w:pPr>
        <w:spacing w:after="100" w:before="100"/>
        <w:jc w:val="both"/>
      </w:pPr>
      <w:r>
        <w:rPr>
          <w:rFonts w:ascii="Arial" w:cs="Arial" w:eastAsia="Arial" w:hAnsi="Arial"/>
          <w:sz w:val="21"/>
          <w:szCs w:val="21"/>
        </w:rPr>
        <w:t xml:space="preserve">Para cada regra em que o segurado se enquadra, o cálculo do benefício pode ser diferente. A regra do pedágio 100% (art. 20), por exemplo, garante coeficiente de 100% da média (sem o escalonamento de 60% + 2%/ano), o que pode resultar em valor significativamente superior ao das demais regras.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Tabela comparativa — escolha do benefício mais vantajoso</w:t>
            </w:r>
          </w:p>
          <w:p>
            <w:pPr>
              <w:spacing w:after="40" w:before="40"/>
            </w:pPr>
            <w:r>
              <w:rPr>
                <w:rFonts w:ascii="Arial" w:cs="Arial" w:eastAsia="Arial" w:hAnsi="Arial"/>
                <w:sz w:val="19"/>
                <w:szCs w:val="19"/>
              </w:rPr>
              <w:t xml:space="preserve">Segurada Helena, 63 anos em 2026, filiada em 1990, 33 anos de contribuição, média de 100% dos SC = R$ 4.000,00, média dos 80% maiores = R$ 4.500,00.</w:t>
            </w:r>
          </w:p>
          <w:p>
            <w:pPr>
              <w:spacing w:after="40" w:before="40"/>
            </w:pPr>
            <w:r>
              <w:rPr>
                <w:rFonts w:ascii="Arial" w:cs="Arial" w:eastAsia="Arial" w:hAnsi="Arial"/>
                <w:sz w:val="19"/>
                <w:szCs w:val="19"/>
              </w:rPr>
              <w:t xml:space="preserve"> |  Regra  |  Requisitos  |  Coeficiente  |  Base  |  RMI  | </w:t>
            </w:r>
          </w:p>
          <w:p>
            <w:pPr>
              <w:spacing w:after="40" w:before="40"/>
            </w:pPr>
            <w:r>
              <w:rPr>
                <w:rFonts w:ascii="Arial" w:cs="Arial" w:eastAsia="Arial" w:hAnsi="Arial"/>
                <w:sz w:val="19"/>
                <w:szCs w:val="19"/>
              </w:rPr>
              <w:t xml:space="preserve"> | ------- | ----------- | ------------- | ------ | ----- | </w:t>
            </w:r>
          </w:p>
          <w:p>
            <w:pPr>
              <w:spacing w:after="40" w:before="40"/>
            </w:pPr>
            <w:r>
              <w:rPr>
                <w:rFonts w:ascii="Arial" w:cs="Arial" w:eastAsia="Arial" w:hAnsi="Arial"/>
                <w:sz w:val="19"/>
                <w:szCs w:val="19"/>
              </w:rPr>
              <w:t xml:space="preserve"> |  Direito adquirido (60F + 180 contrib.)  |  ✅ (implementou em 2023, com 60 anos)  |  70% + 33% = 100%  |  R$ 4.500,00 (80% maiores)  |  R$ 4.500,00  | </w:t>
            </w:r>
          </w:p>
          <w:p>
            <w:pPr>
              <w:spacing w:after="40" w:before="40"/>
            </w:pPr>
            <w:r>
              <w:rPr>
                <w:rFonts w:ascii="Arial" w:cs="Arial" w:eastAsia="Arial" w:hAnsi="Arial"/>
                <w:sz w:val="19"/>
                <w:szCs w:val="19"/>
              </w:rPr>
              <w:t xml:space="preserve"> |  Art. 18 (62F + 15 TC)  |  ✅  |  60% + 2%×(33-15) = 96%  |  R$ 4.000,00 (100%)  |  R$ 3.840,00  | </w:t>
            </w:r>
          </w:p>
          <w:p>
            <w:pPr>
              <w:spacing w:after="40" w:before="40"/>
            </w:pPr>
            <w:r>
              <w:rPr>
                <w:rFonts w:ascii="Arial" w:cs="Arial" w:eastAsia="Arial" w:hAnsi="Arial"/>
                <w:sz w:val="19"/>
                <w:szCs w:val="19"/>
              </w:rPr>
              <w:t xml:space="preserve"> |  Art. 15 (pontos: 63+33=96 ≥ 93)  |  ✅  |  60% + 2%×(33-15) = 96%  |  R$ 4.000,00  |  R$ 3.840,00  | </w:t>
            </w:r>
          </w:p>
          <w:p>
            <w:pPr>
              <w:spacing w:after="40" w:before="40"/>
            </w:pPr>
            <w:r>
              <w:rPr>
                <w:rFonts w:ascii="Arial" w:cs="Arial" w:eastAsia="Arial" w:hAnsi="Arial"/>
                <w:sz w:val="19"/>
                <w:szCs w:val="19"/>
              </w:rPr>
              <w:t xml:space="preserve"> |  Art. 16 (59,5F + 30 TC)  |  ✅ (63 &gt; 59,5)  |  60% + 2%×(33-15) = 96%  |  R$ 4.000,00  |  R$ 3.840,00  | </w:t>
            </w:r>
          </w:p>
          <w:p>
            <w:pPr>
              <w:spacing w:after="40" w:before="40"/>
            </w:pPr>
            <w:r>
              <w:rPr>
                <w:rFonts w:ascii="Arial" w:cs="Arial" w:eastAsia="Arial" w:hAnsi="Arial"/>
                <w:sz w:val="19"/>
                <w:szCs w:val="19"/>
              </w:rPr>
              <w:t xml:space="preserve"> |  Art. 20 (57F + 30 TC + pedágio)  |  Verificar pedágio  |  100%  |  R$ 4.000,00  |  R$ 4.000,00  | </w:t>
            </w:r>
          </w:p>
          <w:p>
            <w:pPr>
              <w:spacing w:after="40" w:before="40"/>
            </w:pPr>
            <w:r>
              <w:rPr>
                <w:rFonts w:ascii="Arial" w:cs="Arial" w:eastAsia="Arial" w:hAnsi="Arial"/>
                <w:sz w:val="19"/>
                <w:szCs w:val="19"/>
              </w:rPr>
              <w:t xml:space="preserve"> |  Permanente (62F + 15 TC)  |  ✅  |  96%  |  R$ 4.000,00  |  R$ 3.840,00  | </w:t>
            </w:r>
          </w:p>
          <w:p>
            <w:pPr>
              <w:spacing w:after="40" w:before="40"/>
            </w:pPr>
            <w:r>
              <w:rPr>
                <w:rFonts w:ascii="Arial" w:cs="Arial" w:eastAsia="Arial" w:hAnsi="Arial"/>
                <w:sz w:val="19"/>
                <w:szCs w:val="19"/>
              </w:rPr>
              <w:t xml:space="preserve">Resultado: O direito adquirido (regra antiga) garante a Helena R$ 4.500,00, valor superior ao de todas as demais regras. Isso ocorre porque a regra antiga utiliza a média dos 80% maiores (maior) e o coeficiente de 100% (33 anos × 1% + 70% = 103%, limitado a 100%).</w:t>
            </w:r>
          </w:p>
          <w:p>
            <w:pPr>
              <w:spacing w:after="40" w:before="40"/>
            </w:pPr>
            <w:r>
              <w:rPr>
                <w:rFonts w:ascii="Arial" w:cs="Arial" w:eastAsia="Arial" w:hAnsi="Arial"/>
                <w:sz w:val="19"/>
                <w:szCs w:val="19"/>
              </w:rPr>
              <w:t xml:space="preserve">Lição: Sempre verificar primeiro o direito adquirido à regra antiga. A exclusão dos 20% menores salários e o coeficiente mais generoso frequentemente resultam em benefício superior.</w:t>
            </w:r>
          </w:p>
        </w:tc>
      </w:tr>
    </w:tbl>
    <w:p>
      <w:pPr>
        <w:spacing w:after="200"/>
      </w:pPr>
    </w:p>
    <w:p>
      <w:pPr>
        <w:spacing w:after="140" w:before="280"/>
      </w:pPr>
      <w:r>
        <w:rPr>
          <w:rFonts w:ascii="Arial" w:cs="Arial" w:eastAsia="Arial" w:hAnsi="Arial"/>
          <w:b/>
          <w:bCs/>
          <w:color w:val="2E86C1"/>
          <w:sz w:val="23"/>
          <w:szCs w:val="23"/>
        </w:rPr>
        <w:t xml:space="preserve">10.12.3 O papel do advogado na escolha</w:t>
      </w:r>
    </w:p>
    <w:p>
      <w:pPr>
        <w:spacing w:after="100" w:before="100"/>
        <w:jc w:val="both"/>
      </w:pPr>
      <w:r>
        <w:rPr>
          <w:rFonts w:ascii="Arial" w:cs="Arial" w:eastAsia="Arial" w:hAnsi="Arial"/>
          <w:sz w:val="21"/>
          <w:szCs w:val="21"/>
        </w:rPr>
        <w:t xml:space="preserve">O advogado previdenciário que atua nos JEFs tem o dever de orientar o cliente sobre a regra mais vantajosa. Essa orientação exige:</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Levantamento completo do histórico contributivo (CNIS + CTPS + outros documentos);</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Cálculo do benefício por cada regra aplicável — tarefa que pode ser facilitada por softwares especializados, mas que o advogado deve ser capaz de conferir manualmente;</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Análise de cenários futuros: Em alguns casos, aguardar mais alguns meses ou anos pode garantir um benefício significativamente superior (por exemplo, alcançando o coeficiente de 100% pela regra do pedágio);</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Formulação precisa do pedido judicial: O pedido deve especificar a regra pela qual se requer a aposentadoria, ou, alternativamente, requerer a concessão pela regra mais vantajosa entre todas as aplicáveis.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Pedido genérico vs. pedido específico nos JEFs</w:t>
            </w:r>
          </w:p>
          <w:p>
            <w:pPr>
              <w:spacing w:after="40" w:before="40"/>
            </w:pPr>
            <w:r>
              <w:rPr>
                <w:rFonts w:ascii="Arial" w:cs="Arial" w:eastAsia="Arial" w:hAnsi="Arial"/>
                <w:sz w:val="19"/>
                <w:szCs w:val="19"/>
              </w:rPr>
              <w:t xml:space="preserve">A formulação do pedido na petição inicial é relevante. O advogado pode:</w:t>
            </w:r>
          </w:p>
          <w:p>
            <w:pPr>
              <w:spacing w:after="40" w:before="40"/>
            </w:pPr>
            <w:r>
              <w:rPr>
                <w:rFonts w:ascii="Arial" w:cs="Arial" w:eastAsia="Arial" w:hAnsi="Arial"/>
                <w:sz w:val="19"/>
                <w:szCs w:val="19"/>
              </w:rPr>
              <w:t xml:space="preserve">Opção A — Pedido específico: "Requer a concessão de aposentadoria por idade com base no direito adquirido (art. 3º, EC 103/2019), com cálculo nos termos do art. 29, I, da Lei 8.213/91 (80% maiores salários) e coeficiente do art. 50 (70% + 1% por grupo de 12 contribuições)."</w:t>
            </w:r>
          </w:p>
          <w:p>
            <w:pPr>
              <w:spacing w:after="40" w:before="40"/>
            </w:pPr>
            <w:r>
              <w:rPr>
                <w:rFonts w:ascii="Arial" w:cs="Arial" w:eastAsia="Arial" w:hAnsi="Arial"/>
                <w:sz w:val="19"/>
                <w:szCs w:val="19"/>
              </w:rPr>
              <w:t xml:space="preserve">Opção B — Pedido alternativo/subsidiário: "Requer a concessão da aposentadoria pela regra mais vantajosa entre: (i) direito adquirido à regra anterior; (ii) regra de transição do art. 18 da EC 103/2019; e (iii) regra permanente do art. 201, § 7º, I, CF."</w:t>
            </w:r>
          </w:p>
          <w:p>
            <w:pPr>
              <w:spacing w:after="40" w:before="40"/>
            </w:pPr>
            <w:r>
              <w:rPr>
                <w:rFonts w:ascii="Arial" w:cs="Arial" w:eastAsia="Arial" w:hAnsi="Arial"/>
                <w:sz w:val="19"/>
                <w:szCs w:val="19"/>
              </w:rPr>
              <w:t xml:space="preserve">A Opção B é mais segura, porque garante que o juiz analisará todas as possibilidades. Nos JEFs, os juízes frequentemente determinam que o INSS calcule o benefício por todas as regras aplicáveis e implante o mais vantajoso — mas isso depende de provocação adequada.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10.13 Aposentadoria por Idade e a Interface com o Segurado Rural</w:t>
      </w:r>
    </w:p>
    <w:p>
      <w:pPr>
        <w:spacing w:after="100" w:before="100"/>
        <w:jc w:val="both"/>
      </w:pPr>
      <w:r>
        <w:rPr>
          <w:rFonts w:ascii="Arial" w:cs="Arial" w:eastAsia="Arial" w:hAnsi="Arial"/>
          <w:sz w:val="21"/>
          <w:szCs w:val="21"/>
        </w:rPr>
        <w:t xml:space="preserve">A aposentadoria por idade urbana não se confunde com a aposentadoria por idade rural, cujos requisitos são distintos (55/60 anos + 180 meses de atividade rural), nem com a aposentadoria por idade híbrida (que permite a soma de períodos urbanos e rurais para fins de carência). Essas modalidades são objeto detalhado do Capítulo 9, razão pela qual a presente seção se limita a examinar a interface entre o trabalho rural e a aposentadoria por idade urbana — tema que surge com extrema frequência nos JEFs e que exige atenção do advogado para evitar erros de enquadramento.</w:t>
      </w:r>
    </w:p>
    <w:p>
      <w:pPr>
        <w:spacing w:after="100" w:before="100"/>
        <w:jc w:val="both"/>
      </w:pPr>
      <w:r>
        <w:rPr>
          <w:rFonts w:ascii="Arial" w:cs="Arial" w:eastAsia="Arial" w:hAnsi="Arial"/>
          <w:sz w:val="21"/>
          <w:szCs w:val="21"/>
        </w:rPr>
        <w:t xml:space="preserve">Contudo, a interface entre as modalidades é frequente na prática dos JEFs. O Brasil passou por um processo acelerado de urbanização nas décadas de 1960 a 1990, no qual milhões de trabalhadores rurais migraram para as cidades em busca de melhores condições de vida e emprego. Esses trabalhadores — hoje em idade de aposentadoria — possuem histórico laboral misto, com períodos de trabalho rural no início da vida seguidos de atividade urbana formal. O tratamento previdenciário desses períodos rurais na aposentadoria por idade urbana é uma das questões mais frequentes nos JEFs.</w:t>
      </w:r>
    </w:p>
    <w:p>
      <w:pPr>
        <w:spacing w:after="100" w:before="100"/>
        <w:jc w:val="both"/>
      </w:pPr>
      <w:r>
        <w:rPr>
          <w:rFonts w:ascii="Arial" w:cs="Arial" w:eastAsia="Arial" w:hAnsi="Arial"/>
          <w:sz w:val="21"/>
          <w:szCs w:val="21"/>
        </w:rPr>
        <w:t xml:space="preserve">A regra geral é que o período de atividade rural anterior a novembro de 1991 (data de início da vigência da Lei 8.213/91) pode ser computado como tempo de contribuição, independentemente do recolhimento de contribuições (art. 55, § 2º, Lei 8.213/91). Esse cômputo é possível tanto para a aposentadoria por tempo de contribuição quanto para a aposentadoria por idade programada (para efeito de alcançar o tempo de contribuição mínimo de 15 ou 20 anos). Entretanto, o período rural anterior a novembro de 1991 não conta como carência na aposentadoria por idade urbana comum — a carência exige contribuições efetivas (Tema 358/TNU, seção 10.6).</w:t>
      </w:r>
    </w:p>
    <w:p>
      <w:pPr>
        <w:spacing w:after="100" w:before="100"/>
        <w:jc w:val="both"/>
      </w:pPr>
      <w:r>
        <w:rPr>
          <w:rFonts w:ascii="Arial" w:cs="Arial" w:eastAsia="Arial" w:hAnsi="Arial"/>
          <w:sz w:val="21"/>
          <w:szCs w:val="21"/>
        </w:rPr>
        <w:t xml:space="preserve">A exceção é a aposentadoria por idade híbrida (art. 48, § 3º, da Lei 8.213/91, incluído pela Lei 11.718/2008), que permite expressamente a soma de períodos rurais e urbanos para completar a carência. Nessa modalidade, o tempo rural sem contribuição é computado para fins de carência — entendimento confirmado pelo STJ no Tema 1.109. A aposentadoria híbrida é tratada no Capítulo 9, mas o advogado que atua com aposentadoria por idade urbana deve conhecê-la como alternativa para segurados que não conseguem completar 180 contribuições urbanas.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Situação prática — Segurado com período rural e urbano</w:t>
            </w:r>
          </w:p>
          <w:p>
            <w:pPr>
              <w:spacing w:after="40" w:before="40"/>
            </w:pPr>
            <w:r>
              <w:rPr>
                <w:rFonts w:ascii="Arial" w:cs="Arial" w:eastAsia="Arial" w:hAnsi="Arial"/>
                <w:sz w:val="19"/>
                <w:szCs w:val="19"/>
              </w:rPr>
              <w:t xml:space="preserve">Seu Joaquim, 66 anos, trabalhou na agricultura de 1975 a 1995 (20 anos de atividade rural) e depois como empregado urbano de 1996 a 2020 (24 anos, 288 contribuições urbanas).</w:t>
            </w:r>
          </w:p>
          <w:p>
            <w:pPr>
              <w:spacing w:after="40" w:before="40"/>
            </w:pPr>
            <w:r>
              <w:rPr>
                <w:rFonts w:ascii="Arial" w:cs="Arial" w:eastAsia="Arial" w:hAnsi="Arial"/>
                <w:sz w:val="19"/>
                <w:szCs w:val="19"/>
              </w:rPr>
              <w:t xml:space="preserve">Aposentadoria por idade urbana (art. 18, EC 103):</w:t>
            </w:r>
          </w:p>
          <w:p>
            <w:pPr>
              <w:spacing w:after="40" w:before="40"/>
            </w:pPr>
            <w:r>
              <w:rPr>
                <w:rFonts w:ascii="Arial" w:cs="Arial" w:eastAsia="Arial" w:hAnsi="Arial"/>
                <w:sz w:val="19"/>
                <w:szCs w:val="19"/>
              </w:rPr>
              <w:t xml:space="preserve">- Idade: 66 anos ✅ (&gt; 65 anos)</w:t>
            </w:r>
          </w:p>
          <w:p>
            <w:pPr>
              <w:spacing w:after="40" w:before="40"/>
            </w:pPr>
            <w:r>
              <w:rPr>
                <w:rFonts w:ascii="Arial" w:cs="Arial" w:eastAsia="Arial" w:hAnsi="Arial"/>
                <w:sz w:val="19"/>
                <w:szCs w:val="19"/>
              </w:rPr>
              <w:t xml:space="preserve">- Tempo de contribuição: 20 anos rurais + 24 anos urbanos = 44 anos ✅ (&gt; 15 anos)</w:t>
            </w:r>
          </w:p>
          <w:p>
            <w:pPr>
              <w:spacing w:after="40" w:before="40"/>
            </w:pPr>
            <w:r>
              <w:rPr>
                <w:rFonts w:ascii="Arial" w:cs="Arial" w:eastAsia="Arial" w:hAnsi="Arial"/>
                <w:sz w:val="19"/>
                <w:szCs w:val="19"/>
              </w:rPr>
              <w:t xml:space="preserve">- Carência: 288 contribuições urbanas ✅ (&gt; 180 contribuições) — o período rural anterior a nov/1991 não conta como carência na aposentadoria por idade urbana</w:t>
            </w:r>
          </w:p>
          <w:p>
            <w:pPr>
              <w:spacing w:after="40" w:before="40"/>
            </w:pPr>
            <w:r>
              <w:rPr>
                <w:rFonts w:ascii="Arial" w:cs="Arial" w:eastAsia="Arial" w:hAnsi="Arial"/>
                <w:sz w:val="19"/>
                <w:szCs w:val="19"/>
              </w:rPr>
              <w:t xml:space="preserve">- Coeficiente: 60% + 2% × (44 - 20) = 60% + 48% = 108%, limitado a 100%</w:t>
            </w:r>
          </w:p>
          <w:p>
            <w:pPr>
              <w:spacing w:after="40" w:before="40"/>
            </w:pPr>
            <w:r>
              <w:rPr>
                <w:rFonts w:ascii="Arial" w:cs="Arial" w:eastAsia="Arial" w:hAnsi="Arial"/>
                <w:sz w:val="19"/>
                <w:szCs w:val="19"/>
              </w:rPr>
              <w:t xml:space="preserve">- Resultado: Joaquim tem direito à aposentadoria por idade urbana com coeficiente de 100%.</w:t>
            </w:r>
          </w:p>
          <w:p>
            <w:pPr>
              <w:spacing w:after="40" w:before="40"/>
            </w:pPr>
            <w:r>
              <w:rPr>
                <w:rFonts w:ascii="Arial" w:cs="Arial" w:eastAsia="Arial" w:hAnsi="Arial"/>
                <w:sz w:val="19"/>
                <w:szCs w:val="19"/>
              </w:rPr>
              <w:t xml:space="preserve">Se Joaquim tivesse apenas 160 contribuições urbanas (e não 288):</w:t>
            </w:r>
          </w:p>
          <w:p>
            <w:pPr>
              <w:spacing w:after="40" w:before="40"/>
            </w:pPr>
            <w:r>
              <w:rPr>
                <w:rFonts w:ascii="Arial" w:cs="Arial" w:eastAsia="Arial" w:hAnsi="Arial"/>
                <w:sz w:val="19"/>
                <w:szCs w:val="19"/>
              </w:rPr>
              <w:t xml:space="preserve">- Carência: 160 &lt; 180 → não preenche carência para aposentadoria por idade urbana</w:t>
            </w:r>
          </w:p>
          <w:p>
            <w:pPr>
              <w:spacing w:after="40" w:before="40"/>
            </w:pPr>
            <w:r>
              <w:rPr>
                <w:rFonts w:ascii="Arial" w:cs="Arial" w:eastAsia="Arial" w:hAnsi="Arial"/>
                <w:sz w:val="19"/>
                <w:szCs w:val="19"/>
              </w:rPr>
              <w:t xml:space="preserve">- Alternativa: Aposentadoria por idade híbrida (Tema 1.109/STJ — Cap. 9), somando período rural para completar carência</w:t>
            </w:r>
          </w:p>
          <w:p>
            <w:pPr>
              <w:spacing w:after="40" w:before="40"/>
            </w:pPr>
            <w:r>
              <w:rPr>
                <w:rFonts w:ascii="Arial" w:cs="Arial" w:eastAsia="Arial" w:hAnsi="Arial"/>
                <w:sz w:val="19"/>
                <w:szCs w:val="19"/>
              </w:rPr>
              <w:t xml:space="preserve">- Outra alternativa: Aposentadoria por idade rural (se manteve atividade rural até próximo do requerimento)</w:t>
            </w:r>
          </w:p>
          <w:p>
            <w:pPr>
              <w:spacing w:after="40" w:before="40"/>
            </w:pPr>
            <w:r>
              <w:rPr>
                <w:rFonts w:ascii="Arial" w:cs="Arial" w:eastAsia="Arial" w:hAnsi="Arial"/>
                <w:sz w:val="19"/>
                <w:szCs w:val="19"/>
              </w:rPr>
              <w:t xml:space="preserve">O advogado deve mapear todas as alternativas e orientar o cliente.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10.14 Tutela Provisória na Aposentadoria por Idade</w:t>
      </w:r>
    </w:p>
    <w:p>
      <w:pPr>
        <w:spacing w:after="140" w:before="280"/>
      </w:pPr>
      <w:r>
        <w:rPr>
          <w:rFonts w:ascii="Arial" w:cs="Arial" w:eastAsia="Arial" w:hAnsi="Arial"/>
          <w:b/>
          <w:bCs/>
          <w:color w:val="2E86C1"/>
          <w:sz w:val="23"/>
          <w:szCs w:val="23"/>
        </w:rPr>
        <w:t xml:space="preserve">10.14.1 Cabimento</w:t>
      </w:r>
    </w:p>
    <w:p>
      <w:pPr>
        <w:spacing w:after="100" w:before="100"/>
        <w:jc w:val="both"/>
      </w:pPr>
      <w:r>
        <w:rPr>
          <w:rFonts w:ascii="Arial" w:cs="Arial" w:eastAsia="Arial" w:hAnsi="Arial"/>
          <w:sz w:val="21"/>
          <w:szCs w:val="21"/>
        </w:rPr>
        <w:t xml:space="preserve">A tutela provisória de urgência (art. 300, CPC) é cabível na aposentadoria por idade quando presentes a probabilidade do direito e o perigo de dano ou risco ao resultado útil do processo. Nos JEFs, a concessão de tutela antecipada em matéria previdenciária é prática corrente e desempenha papel de enorme relevância social, considerando que os segurados que buscam a aposentadoria por idade são, via de regra, pessoas idosas em situação de vulnerabilidade econômica.</w:t>
      </w:r>
    </w:p>
    <w:p>
      <w:pPr>
        <w:spacing w:after="100" w:before="100"/>
        <w:jc w:val="both"/>
      </w:pPr>
      <w:r>
        <w:rPr>
          <w:rFonts w:ascii="Arial" w:cs="Arial" w:eastAsia="Arial" w:hAnsi="Arial"/>
          <w:sz w:val="21"/>
          <w:szCs w:val="21"/>
        </w:rPr>
        <w:t xml:space="preserve">O juiz deve avaliar o cabimento da tutela antecipada a partir de dois requisitos cumulativos:</w:t>
      </w:r>
    </w:p>
    <w:p>
      <w:pPr>
        <w:spacing w:after="60" w:before="60"/>
        <w:ind w:left="360"/>
      </w:pPr>
      <w:r>
        <w:rPr>
          <w:rFonts w:ascii="Arial" w:cs="Arial" w:eastAsia="Arial" w:hAnsi="Arial"/>
          <w:sz w:val="21"/>
          <w:szCs w:val="21"/>
        </w:rPr>
        <w:t xml:space="preserve">a) Probabilidade do direito (fumus boni iuris): Na aposentadoria por idade, a probabilidade do direito se demonstra pela comprovação de que o segurado atingiu a idade mínima exigida e preencheu a carência de 180 contribuições (ou o tempo de contribuição mínimo, conforme a regra aplicável). Quando o CNIS registra vínculos suficientes e não há controvérsia sobre sua validade, a probabilidade é elevada. Situações típicas de alta probabilidade: indeferimento por não reconhecimento de período urbano devidamente anotado na CTPS; indeferimento por não cômputo de período de benefício por incapacidade intercalado com atividade contributiva; indeferimento por erro no cálculo da carência.</w:t>
      </w:r>
    </w:p>
    <w:p>
      <w:pPr>
        <w:spacing w:after="60" w:before="60"/>
        <w:ind w:left="360"/>
      </w:pPr>
      <w:r>
        <w:rPr>
          <w:rFonts w:ascii="Arial" w:cs="Arial" w:eastAsia="Arial" w:hAnsi="Arial"/>
          <w:sz w:val="21"/>
          <w:szCs w:val="21"/>
        </w:rPr>
        <w:t xml:space="preserve">b) Perigo de dano ou risco ao resultado útil do processo (periculum in mora): O perigo de dano é quase inerente às ações previdenciárias envolvendo segurados idosos. A jurisprudência dos Juizados tem admitido a presunção de urgência quando o segurado é idoso (acima de 60 anos, nos termos do Estatuto da Pessoa Idosa — Lei 10.741/2003) e não dispõe de outra fonte de renda. Alguns juízes exigem comprovação concreta da situação de vulnerabilidade (declaração de hipossuficiência, comprovação de ausência de rendimentos, relatório de assistência social), enquanto outros presumem o perigo de dano pela própria natureza alimentar do benefício previdenciário.</w:t>
      </w:r>
    </w:p>
    <w:p>
      <w:pPr>
        <w:spacing w:after="100" w:before="100"/>
        <w:jc w:val="both"/>
      </w:pPr>
      <w:r>
        <w:rPr>
          <w:rFonts w:ascii="Arial" w:cs="Arial" w:eastAsia="Arial" w:hAnsi="Arial"/>
          <w:sz w:val="21"/>
          <w:szCs w:val="21"/>
        </w:rPr>
        <w:t xml:space="preserve">A concessão de tutela antecipada em matéria previdenciária é especialmente relevante quando se consideram os prazos de tramitação. Mesmo nos JEFs, cujo procedimento é sumaríssimo, o processo pode levar de seis meses a dois anos até o trânsito em julgado. Para um segurado idoso sem renda, esse período pode representar privação alimentar e de saúde concreta e irreversível.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Modelo de argumentação para tutela antecipada</w:t>
            </w:r>
          </w:p>
          <w:p>
            <w:pPr>
              <w:spacing w:after="40" w:before="40"/>
            </w:pPr>
            <w:r>
              <w:rPr>
                <w:rFonts w:ascii="Arial" w:cs="Arial" w:eastAsia="Arial" w:hAnsi="Arial"/>
                <w:sz w:val="19"/>
                <w:szCs w:val="19"/>
              </w:rPr>
              <w:t xml:space="preserve">Na petição inicial da ação de concessão de aposentadoria por idade nos JEFs, o advogado deve estruturar o pedido de tutela antecipada com os seguintes elementos:</w:t>
            </w:r>
          </w:p>
          <w:p>
            <w:pPr>
              <w:spacing w:after="40" w:before="40"/>
            </w:pPr>
            <w:r>
              <w:rPr>
                <w:rFonts w:ascii="Arial" w:cs="Arial" w:eastAsia="Arial" w:hAnsi="Arial"/>
                <w:sz w:val="19"/>
                <w:szCs w:val="19"/>
              </w:rPr>
              <w:t xml:space="preserve">1. Demonstrar a probabilidade do direito:</w:t>
            </w:r>
          </w:p>
          <w:p>
            <w:pPr>
              <w:spacing w:after="40" w:before="40"/>
            </w:pPr>
            <w:r>
              <w:rPr>
                <w:rFonts w:ascii="Arial" w:cs="Arial" w:eastAsia="Arial" w:hAnsi="Arial"/>
                <w:sz w:val="19"/>
                <w:szCs w:val="19"/>
              </w:rPr>
              <w:t xml:space="preserve">   - Apresentar CNIS atualizado, destacando os vínculos e contribuições que compõem a carência;</w:t>
            </w:r>
          </w:p>
          <w:p>
            <w:pPr>
              <w:spacing w:after="40" w:before="40"/>
            </w:pPr>
            <w:r>
              <w:rPr>
                <w:rFonts w:ascii="Arial" w:cs="Arial" w:eastAsia="Arial" w:hAnsi="Arial"/>
                <w:sz w:val="19"/>
                <w:szCs w:val="19"/>
              </w:rPr>
              <w:t xml:space="preserve">   - Juntar CTPS com anotações claras dos vínculos não reconhecidos pelo INSS;</w:t>
            </w:r>
          </w:p>
          <w:p>
            <w:pPr>
              <w:spacing w:after="40" w:before="40"/>
            </w:pPr>
            <w:r>
              <w:rPr>
                <w:rFonts w:ascii="Arial" w:cs="Arial" w:eastAsia="Arial" w:hAnsi="Arial"/>
                <w:sz w:val="19"/>
                <w:szCs w:val="19"/>
              </w:rPr>
              <w:t xml:space="preserve">   - Demonstrar, em tabela ou planilha, que o segurado atinge a carência de 180 contribuições e/ou o tempo de contribuição mínimo exigido;</w:t>
            </w:r>
          </w:p>
          <w:p>
            <w:pPr>
              <w:spacing w:after="40" w:before="40"/>
            </w:pPr>
            <w:r>
              <w:rPr>
                <w:rFonts w:ascii="Arial" w:cs="Arial" w:eastAsia="Arial" w:hAnsi="Arial"/>
                <w:sz w:val="19"/>
                <w:szCs w:val="19"/>
              </w:rPr>
              <w:t xml:space="preserve">   - Indicar expressamente a regra pela qual se requer a aposentadoria (art. 18 EC 103, regra permanente ou direito adquirido).</w:t>
            </w:r>
          </w:p>
          <w:p>
            <w:pPr>
              <w:spacing w:after="40" w:before="40"/>
            </w:pPr>
            <w:r>
              <w:rPr>
                <w:rFonts w:ascii="Arial" w:cs="Arial" w:eastAsia="Arial" w:hAnsi="Arial"/>
                <w:sz w:val="19"/>
                <w:szCs w:val="19"/>
              </w:rPr>
              <w:t xml:space="preserve">2. Demonstrar o perigo de dano:</w:t>
            </w:r>
          </w:p>
          <w:p>
            <w:pPr>
              <w:spacing w:after="40" w:before="40"/>
            </w:pPr>
            <w:r>
              <w:rPr>
                <w:rFonts w:ascii="Arial" w:cs="Arial" w:eastAsia="Arial" w:hAnsi="Arial"/>
                <w:sz w:val="19"/>
                <w:szCs w:val="19"/>
              </w:rPr>
              <w:t xml:space="preserve">   - Alegar e comprovar a idade avançada do segurado (certidão de nascimento ou RG);</w:t>
            </w:r>
          </w:p>
          <w:p>
            <w:pPr>
              <w:spacing w:after="40" w:before="40"/>
            </w:pPr>
            <w:r>
              <w:rPr>
                <w:rFonts w:ascii="Arial" w:cs="Arial" w:eastAsia="Arial" w:hAnsi="Arial"/>
                <w:sz w:val="19"/>
                <w:szCs w:val="19"/>
              </w:rPr>
              <w:t xml:space="preserve">   - Demonstrar a dependência econômica do benefício (declaração de hipossuficiência, ausência de registro no CNIS após o indeferimento, ou comprovação de que o segurado está desempregado);</w:t>
            </w:r>
          </w:p>
          <w:p>
            <w:pPr>
              <w:spacing w:after="40" w:before="40"/>
            </w:pPr>
            <w:r>
              <w:rPr>
                <w:rFonts w:ascii="Arial" w:cs="Arial" w:eastAsia="Arial" w:hAnsi="Arial"/>
                <w:sz w:val="19"/>
                <w:szCs w:val="19"/>
              </w:rPr>
              <w:t xml:space="preserve">   - Se disponível, juntar relatório médico que evidencie condição de saúde frágil;</w:t>
            </w:r>
          </w:p>
          <w:p>
            <w:pPr>
              <w:spacing w:after="40" w:before="40"/>
            </w:pPr>
            <w:r>
              <w:rPr>
                <w:rFonts w:ascii="Arial" w:cs="Arial" w:eastAsia="Arial" w:hAnsi="Arial"/>
                <w:sz w:val="19"/>
                <w:szCs w:val="19"/>
              </w:rPr>
              <w:t xml:space="preserve">   - Invocar o caráter alimentar do benefício previdenciário e a irreversibilidade do dano pela demora processual.</w:t>
            </w:r>
          </w:p>
          <w:p>
            <w:pPr>
              <w:spacing w:after="40" w:before="40"/>
            </w:pPr>
            <w:r>
              <w:rPr>
                <w:rFonts w:ascii="Arial" w:cs="Arial" w:eastAsia="Arial" w:hAnsi="Arial"/>
                <w:sz w:val="19"/>
                <w:szCs w:val="19"/>
              </w:rPr>
              <w:t xml:space="preserve">3. Requerer a implantação imediata:</w:t>
            </w:r>
          </w:p>
          <w:p>
            <w:pPr>
              <w:spacing w:after="40" w:before="40"/>
            </w:pPr>
            <w:r>
              <w:rPr>
                <w:rFonts w:ascii="Arial" w:cs="Arial" w:eastAsia="Arial" w:hAnsi="Arial"/>
                <w:sz w:val="19"/>
                <w:szCs w:val="19"/>
              </w:rPr>
              <w:t xml:space="preserve">   - "Requer a concessão de tutela provisória de urgência para determinar ao INSS que implante o benefício de aposentadoria por idade, com DIP na data da citação ou da intimação da decisão, no prazo de 30 dias, sob pena de multa diária de R$ 200,00."</w:t>
            </w:r>
          </w:p>
          <w:p>
            <w:pPr>
              <w:spacing w:after="40" w:before="40"/>
            </w:pPr>
            <w:r>
              <w:rPr>
                <w:rFonts w:ascii="Arial" w:cs="Arial" w:eastAsia="Arial" w:hAnsi="Arial"/>
                <w:sz w:val="19"/>
                <w:szCs w:val="19"/>
              </w:rPr>
              <w:t xml:space="preserve">4. Sobre as astreintes:</w:t>
            </w:r>
          </w:p>
          <w:p>
            <w:pPr>
              <w:spacing w:after="40" w:before="40"/>
            </w:pPr>
            <w:r>
              <w:rPr>
                <w:rFonts w:ascii="Arial" w:cs="Arial" w:eastAsia="Arial" w:hAnsi="Arial"/>
                <w:sz w:val="19"/>
                <w:szCs w:val="19"/>
              </w:rPr>
              <w:t xml:space="preserve">   - A fixação de multa diária (astreintes) é admitida nos JEFs contra o INSS, embora haja divergência sobre a razoabilidade do valor;</w:t>
            </w:r>
          </w:p>
          <w:p>
            <w:pPr>
              <w:spacing w:after="40" w:before="40"/>
            </w:pPr>
            <w:r>
              <w:rPr>
                <w:rFonts w:ascii="Arial" w:cs="Arial" w:eastAsia="Arial" w:hAnsi="Arial"/>
                <w:sz w:val="19"/>
                <w:szCs w:val="19"/>
              </w:rPr>
              <w:t xml:space="preserve">   - A tendência jurisprudencial é fixar astreintes entre R$ 100,00 e R$ 500,00 por dia de atraso, com limitação temporal (geralmente 30 a 60 dias de multa, ou limite pecuniário equivalente a R$ 10.000,00 a R$ 30.000,00);</w:t>
            </w:r>
          </w:p>
          <w:p>
            <w:pPr>
              <w:spacing w:after="40" w:before="40"/>
            </w:pPr>
            <w:r>
              <w:rPr>
                <w:rFonts w:ascii="Arial" w:cs="Arial" w:eastAsia="Arial" w:hAnsi="Arial"/>
                <w:sz w:val="19"/>
                <w:szCs w:val="19"/>
              </w:rPr>
              <w:t xml:space="preserve">   - Algumas Turmas Recursais têm admitido a intimação pessoal do gerente da agência do INSS para cumprimento, sob pena de responsabilização por crime de desobediência.</w:t>
            </w:r>
          </w:p>
        </w:tc>
      </w:tr>
    </w:tbl>
    <w:p>
      <w:pPr>
        <w:spacing w:after="200"/>
      </w:pPr>
    </w:p>
    <w:p>
      <w:pPr>
        <w:spacing w:after="140" w:before="280"/>
      </w:pPr>
      <w:r>
        <w:rPr>
          <w:rFonts w:ascii="Arial" w:cs="Arial" w:eastAsia="Arial" w:hAnsi="Arial"/>
          <w:b/>
          <w:bCs/>
          <w:color w:val="2E86C1"/>
          <w:sz w:val="23"/>
          <w:szCs w:val="23"/>
        </w:rPr>
        <w:t xml:space="preserve">10.14.3 Irreversibilidade e devolução de valores</w:t>
      </w:r>
    </w:p>
    <w:p>
      <w:pPr>
        <w:spacing w:after="100" w:before="100"/>
        <w:jc w:val="both"/>
      </w:pPr>
      <w:r>
        <w:rPr>
          <w:rFonts w:ascii="Arial" w:cs="Arial" w:eastAsia="Arial" w:hAnsi="Arial"/>
          <w:sz w:val="21"/>
          <w:szCs w:val="21"/>
        </w:rPr>
        <w:t xml:space="preserve">Um aspecto sensível da tutela antecipada em matéria previdenciária é a questão da irreversibilidade. O art. 300, § 3º, do CPC estabelece que a tutela de urgência de natureza antecipada não será concedida quando houver perigo de irreversibilidade dos efeitos da decisão. Contudo, a jurisprudência do STJ consolidou o entendimento de que os valores recebidos de boa-fé pelo segurado em decorrência de tutela antecipada são irrepetíveis, mesmo que a decisão final lhe seja desfavorável.</w:t>
      </w:r>
    </w:p>
    <w:p>
      <w:pPr>
        <w:spacing w:after="100" w:before="100"/>
        <w:jc w:val="both"/>
      </w:pPr>
      <w:r>
        <w:rPr>
          <w:rFonts w:ascii="Arial" w:cs="Arial" w:eastAsia="Arial" w:hAnsi="Arial"/>
          <w:sz w:val="21"/>
          <w:szCs w:val="21"/>
        </w:rPr>
        <w:t xml:space="preserve">Esse entendimento, que se aplica a todos os benefícios previdenciários, tem especial relevância na aposentadoria por idade, porque o segurado idoso que recebe proventos em caráter provisório geralmente os consome para sua subsistência. A exigência de devolução representaria enriquecimento sem causa do INSS às custas de um segurado vulnerável.</w:t>
      </w:r>
    </w:p>
    <w:p>
      <w:pPr>
        <w:spacing w:after="100" w:before="100"/>
        <w:jc w:val="both"/>
      </w:pPr>
      <w:r>
        <w:rPr>
          <w:rFonts w:ascii="Arial" w:cs="Arial" w:eastAsia="Arial" w:hAnsi="Arial"/>
          <w:sz w:val="21"/>
          <w:szCs w:val="21"/>
        </w:rPr>
        <w:t xml:space="preserve">A TNU e o STJ firmaram tese no sentido de que os valores alimentares recebidos por força de decisão judicial provisória, de boa-fé, são irrepetíveis. O fundamento está na natureza alimentar do benefício previdenciário e na boa-fé objetiva do segurado que agiu amparado por decisão judicial. Contudo, há precedentes que ressalvam a possibilidade de desconto em caso de má-fé comprovada (por exemplo, quando o segurado apresentou documentos falsos para obter a tutela).</w:t>
      </w:r>
    </w:p>
    <w:p>
      <w:pPr>
        <w:spacing w:after="140" w:before="280"/>
      </w:pPr>
      <w:r>
        <w:rPr>
          <w:rFonts w:ascii="Arial" w:cs="Arial" w:eastAsia="Arial" w:hAnsi="Arial"/>
          <w:b/>
          <w:bCs/>
          <w:color w:val="2E86C1"/>
          <w:sz w:val="23"/>
          <w:szCs w:val="23"/>
        </w:rPr>
        <w:t xml:space="preserve">10.14.2 Tutela de evidência</w:t>
      </w:r>
    </w:p>
    <w:p>
      <w:pPr>
        <w:spacing w:after="100" w:before="100"/>
        <w:jc w:val="both"/>
      </w:pPr>
      <w:r>
        <w:rPr>
          <w:rFonts w:ascii="Arial" w:cs="Arial" w:eastAsia="Arial" w:hAnsi="Arial"/>
          <w:sz w:val="21"/>
          <w:szCs w:val="21"/>
        </w:rPr>
        <w:t xml:space="preserve">A tutela de evidência (art. 311, CPC) pode ser requerida quando o direito do segurado é líquido e certo, independentemente de demonstração de urgência. No contexto da aposentadoria por idade, a tutela de evidência é cabível quando o INSS indeferiu o benefício em contrariedade a entendimento consolidado (por exemplo, recusando a contagem de tempo de contribuição que o CNIS comprova inequivocamente).</w:t>
      </w:r>
    </w:p>
    <w:p>
      <w:pPr>
        <w:spacing w:after="100" w:before="100"/>
        <w:jc w:val="both"/>
      </w:pPr>
      <w:r>
        <w:rPr>
          <w:rFonts w:ascii="Arial" w:cs="Arial" w:eastAsia="Arial" w:hAnsi="Arial"/>
          <w:sz w:val="21"/>
          <w:szCs w:val="21"/>
        </w:rPr>
        <w:t xml:space="preserve">A aplicação da tutela de evidência nos JEFs é menos frequente do que a tutela de urgência, mas constitui ferramenta relevante para casos de indeferimento administrativo claramente infundado. O art. 311, II, do CPC prevê a concessão de tutela de evidência quando as alegações de fato puderem ser comprovadas apenas documentalmente e houver tese firmada em julgamento de casos repetitivos ou em súmula vinculante. Essa hipótese é particularmente aplicável quando o segurado tem CNIS e CTPS que demonstram inequivocamente o preenchimento dos requisitos da aposentadoria por idade, e o indeferimento administrativo se baseou em interpretação jurídica superada por tese vinculante do STJ ou da TNU.</w:t>
      </w:r>
    </w:p>
    <w:p>
      <w:pPr>
        <w:spacing w:after="100" w:before="100"/>
        <w:jc w:val="both"/>
      </w:pPr>
      <w:r>
        <w:rPr>
          <w:rFonts w:ascii="Arial" w:cs="Arial" w:eastAsia="Arial" w:hAnsi="Arial"/>
          <w:sz w:val="21"/>
          <w:szCs w:val="21"/>
        </w:rPr>
        <w:t xml:space="preserve">Outra hipótese relevante de tutela de evidência é a prevista no art. 311, IV, do CPC: quando a petição inicial é instruída com prova documental suficiente dos fatos constitutivos do direito do autor, a que o réu não oponha prova capaz de gerar dúvida razoável. Na aposentadoria por idade, essa situação ocorre quando o INSS contesta a ação sem impugnar especificamente os documentos apresentados — limitando-se a alegar genericamente que o segurado não preenche os requisitos, sem demonstrar qual documento é insuficiente ou qual período é controverso.</w:t>
      </w:r>
    </w:p>
    <w:p>
      <w:pPr>
        <w:spacing w:after="100" w:before="100"/>
        <w:jc w:val="both"/>
      </w:pPr>
      <w:r>
        <w:rPr>
          <w:rFonts w:ascii="Arial" w:cs="Arial" w:eastAsia="Arial" w:hAnsi="Arial"/>
          <w:sz w:val="21"/>
          <w:szCs w:val="21"/>
        </w:rPr>
        <w:t xml:space="preserve">A vantagem prática da tutela de evidência sobre a tutela de urgência é que aquela dispensa a demonstração do periculum in mora. Para segurados que, embora idosos, não se encontram em situação de vulnerabilidade extrema (por exemplo, porque contam com outra fonte de renda, como pensão por morte de cônjuge), a tutela de evidência pode ser o caminho mais adequado para obter a implantação imediata do benefício.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10.15 Aspectos Processuais nos Juizados Especiais Federais</w:t>
      </w:r>
    </w:p>
    <w:p>
      <w:pPr>
        <w:spacing w:after="140" w:before="280"/>
      </w:pPr>
      <w:r>
        <w:rPr>
          <w:rFonts w:ascii="Arial" w:cs="Arial" w:eastAsia="Arial" w:hAnsi="Arial"/>
          <w:b/>
          <w:bCs/>
          <w:color w:val="2E86C1"/>
          <w:sz w:val="23"/>
          <w:szCs w:val="23"/>
        </w:rPr>
        <w:t xml:space="preserve">10.15.1 Competência</w:t>
      </w:r>
    </w:p>
    <w:p>
      <w:pPr>
        <w:spacing w:after="100" w:before="100"/>
        <w:jc w:val="both"/>
      </w:pPr>
      <w:r>
        <w:rPr>
          <w:rFonts w:ascii="Arial" w:cs="Arial" w:eastAsia="Arial" w:hAnsi="Arial"/>
          <w:sz w:val="21"/>
          <w:szCs w:val="21"/>
        </w:rPr>
        <w:t xml:space="preserve">A competência para processar e julgar ações de aposentadoria por idade contra o INSS é dos Juizados Especiais Federais quando o valor da causa não ultrapassa 60 salários mínimos (R$ 97.260,00 em 2026), nos termos do art. 3º da Lei 10.259/2001. O valor da causa é apurado pela soma das prestações vencidas acrescidas de 12 prestações vincendas (art. 260, CPC).</w:t>
      </w:r>
    </w:p>
    <w:p>
      <w:pPr>
        <w:spacing w:after="100" w:before="100"/>
        <w:jc w:val="both"/>
      </w:pPr>
      <w:r>
        <w:rPr>
          <w:rFonts w:ascii="Arial" w:cs="Arial" w:eastAsia="Arial" w:hAnsi="Arial"/>
          <w:sz w:val="21"/>
          <w:szCs w:val="21"/>
        </w:rPr>
        <w:t xml:space="preserve">Na maioria das ações de concessão de aposentadoria por idade, o valor da causa situa-se dentro da competência dos JEFs, pois o período de prestações vencidas raramente ultrapassa alguns anos e o valor do benefício geralmente é próximo ao salário mínimo. Entretanto, em ações de revisão do valor do benefício ou em casos de longo período entre o indeferimento e o ajuizamento, o valor pode exceder o teto dos JEFs, deslocando a competência para as Varas Federais comuns.</w:t>
      </w:r>
    </w:p>
    <w:p>
      <w:pPr>
        <w:spacing w:after="100" w:before="100"/>
        <w:jc w:val="both"/>
      </w:pPr>
      <w:r>
        <w:rPr>
          <w:rFonts w:ascii="Arial" w:cs="Arial" w:eastAsia="Arial" w:hAnsi="Arial"/>
          <w:sz w:val="21"/>
          <w:szCs w:val="21"/>
        </w:rPr>
        <w:t xml:space="preserve">A competência territorial, nos termos do art. 4º da Lei 10.259/2001, combinado com o art. 109, § 3º, da CF/88, é determinada pelo domicílio do segurado. Quando a localidade não é sede de Vara Federal ou de JEF, a competência é delegada à Justiça Estadual, que aplica a legislação federal. Essa regra é especialmente relevante para segurados que residem em municípios do interior, distantes das sedes dos JEFs, e que podem ajuizar a ação perante a Justiça Estadual com competência delegada.</w:t>
      </w:r>
    </w:p>
    <w:p>
      <w:pPr>
        <w:spacing w:after="100" w:before="100"/>
        <w:jc w:val="both"/>
      </w:pPr>
      <w:r>
        <w:rPr>
          <w:rFonts w:ascii="Arial" w:cs="Arial" w:eastAsia="Arial" w:hAnsi="Arial"/>
          <w:sz w:val="21"/>
          <w:szCs w:val="21"/>
        </w:rPr>
        <w:t xml:space="preserve">A questão da renúncia ao valor excedente merece destaque. O segurado que tem direito a valor superior a 60 salários mínimos pode optar por ajuizar a ação perante os JEFs, renunciando ao montante que exceder o teto (art. 3º, § 3º, Lei 10.259/2001). Essa opção pode ser vantajosa em razão da celeridade do procedimento sumaríssimo, da dispensa de custas e honorários advocatícios sucumbenciais em primeira instância, e da maior informalidade na instrução processual. O advogado deve orientar o cliente sobre as vantagens e desvantagens de cada foro, considerando o valor envolvido, a complexidade da prova e a expectativa de duração do processo.</w:t>
      </w:r>
    </w:p>
    <w:p>
      <w:pPr>
        <w:spacing w:after="100" w:before="100"/>
        <w:jc w:val="both"/>
      </w:pPr>
      <w:r>
        <w:rPr>
          <w:rFonts w:ascii="Arial" w:cs="Arial" w:eastAsia="Arial" w:hAnsi="Arial"/>
          <w:sz w:val="21"/>
          <w:szCs w:val="21"/>
        </w:rPr>
        <w:t xml:space="preserve">Outra questão processual relevante é a competência para ações que envolvem simultaneamente pedido de aposentadoria por idade e pedido de reconhecimento de tempo de contribuição ou revisão de dados do CNIS. Nesses casos, a competência é do JEF quando o valor total da pretensão (soma das parcelas vencidas relativas a todos os pedidos) não ultrapassa o teto. A cumulação de pedidos é admitida e, na prática, é extremamente comum: o segurado pede o reconhecimento de vínculos não registrados no CNIS e, como consequência, a concessão da aposentadoria por idade.</w:t>
      </w:r>
    </w:p>
    <w:p>
      <w:pPr>
        <w:spacing w:after="140" w:before="280"/>
      </w:pPr>
      <w:r>
        <w:rPr>
          <w:rFonts w:ascii="Arial" w:cs="Arial" w:eastAsia="Arial" w:hAnsi="Arial"/>
          <w:b/>
          <w:bCs/>
          <w:color w:val="2E86C1"/>
          <w:sz w:val="23"/>
          <w:szCs w:val="23"/>
        </w:rPr>
        <w:t xml:space="preserve">10.15.2 Documentação essencial</w:t>
      </w:r>
    </w:p>
    <w:p>
      <w:pPr>
        <w:spacing w:after="100" w:before="100"/>
        <w:jc w:val="both"/>
      </w:pPr>
      <w:r>
        <w:rPr>
          <w:rFonts w:ascii="Arial" w:cs="Arial" w:eastAsia="Arial" w:hAnsi="Arial"/>
          <w:sz w:val="21"/>
          <w:szCs w:val="21"/>
        </w:rPr>
        <w:t xml:space="preserve">O advogado que atua nos JEFs em matéria previdenciária deve instruir a petição inicial com a seguinte documentação mínima:</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Documentos pessoais: RG, CPF, comprovante de residência;</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CNIS atualizado: Extrato do Cadastro Nacional de Informações Sociais (obtido via Meu INSS ou requisitado judicialmente);</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CTPS: Todas as carteiras de trabalho, com cópias de todas as páginas com anotações (inclusive contratos encerrados);</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Carta de indeferimento do INSS: Comunicação de decisão administrativa com os motivos do indeferimento;</w:t>
      </w:r>
    </w:p>
    <w:p>
      <w:pPr>
        <w:spacing w:after="60" w:before="60"/>
        <w:ind w:left="360"/>
      </w:pPr>
      <w:r>
        <w:rPr>
          <w:rFonts w:ascii="Arial" w:cs="Arial" w:eastAsia="Arial" w:hAnsi="Arial"/>
          <w:b/>
          <w:bCs/>
          <w:sz w:val="21"/>
          <w:szCs w:val="21"/>
        </w:rPr>
        <w:t xml:space="preserve">5. </w:t>
      </w:r>
      <w:r>
        <w:rPr>
          <w:rFonts w:ascii="Arial" w:cs="Arial" w:eastAsia="Arial" w:hAnsi="Arial"/>
          <w:sz w:val="21"/>
          <w:szCs w:val="21"/>
        </w:rPr>
        <w:t xml:space="preserve">Documentos comprobatórios adicionais: Contracheques, carnês de contribuição (GPS), declarações de empregadores, certidões de tempo de contribuição, laudos médicos (se houver período de benefício por incapacidade a ser computado);</w:t>
      </w:r>
    </w:p>
    <w:p>
      <w:pPr>
        <w:spacing w:after="60" w:before="60"/>
        <w:ind w:left="360"/>
      </w:pPr>
      <w:r>
        <w:rPr>
          <w:rFonts w:ascii="Arial" w:cs="Arial" w:eastAsia="Arial" w:hAnsi="Arial"/>
          <w:b/>
          <w:bCs/>
          <w:sz w:val="21"/>
          <w:szCs w:val="21"/>
        </w:rPr>
        <w:t xml:space="preserve">6. </w:t>
      </w:r>
      <w:r>
        <w:rPr>
          <w:rFonts w:ascii="Arial" w:cs="Arial" w:eastAsia="Arial" w:hAnsi="Arial"/>
          <w:sz w:val="21"/>
          <w:szCs w:val="21"/>
        </w:rPr>
        <w:t xml:space="preserve">Simulação de cálculo: Demonstrativo do cálculo do benefício por cada regra aplicável, com indicação da mais vantajosa.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Requerimento administrativo prévio — é obrigatório?</w:t>
            </w:r>
          </w:p>
          <w:p>
            <w:pPr>
              <w:spacing w:after="40" w:before="40"/>
            </w:pPr>
            <w:r>
              <w:rPr>
                <w:rFonts w:ascii="Arial" w:cs="Arial" w:eastAsia="Arial" w:hAnsi="Arial"/>
                <w:sz w:val="19"/>
                <w:szCs w:val="19"/>
              </w:rPr>
              <w:t xml:space="preserve">A jurisprudência do STF (Tema 350 — RE 631.240) firmou que, em regra, é necessário o prévio requerimento administrativo antes do ajuizamento de ação previdenciária. Contudo, a exigência é dispensada quando:</w:t>
            </w:r>
          </w:p>
          <w:p>
            <w:pPr>
              <w:spacing w:after="40" w:before="40"/>
            </w:pPr>
            <w:r>
              <w:rPr>
                <w:rFonts w:ascii="Arial" w:cs="Arial" w:eastAsia="Arial" w:hAnsi="Arial"/>
                <w:sz w:val="19"/>
                <w:szCs w:val="19"/>
              </w:rPr>
              <w:t xml:space="preserve">1. O INSS tiver posição institucional notoriamente contrária ao pedido (resistência presumida);</w:t>
            </w:r>
          </w:p>
          <w:p>
            <w:pPr>
              <w:spacing w:after="40" w:before="40"/>
            </w:pPr>
            <w:r>
              <w:rPr>
                <w:rFonts w:ascii="Arial" w:cs="Arial" w:eastAsia="Arial" w:hAnsi="Arial"/>
                <w:sz w:val="19"/>
                <w:szCs w:val="19"/>
              </w:rPr>
              <w:t xml:space="preserve">2. O segurado demonstrar que o INSS recusou o protocolo do requerimento;</w:t>
            </w:r>
          </w:p>
          <w:p>
            <w:pPr>
              <w:spacing w:after="40" w:before="40"/>
            </w:pPr>
            <w:r>
              <w:rPr>
                <w:rFonts w:ascii="Arial" w:cs="Arial" w:eastAsia="Arial" w:hAnsi="Arial"/>
                <w:sz w:val="19"/>
                <w:szCs w:val="19"/>
              </w:rPr>
              <w:t xml:space="preserve">3. A demora administrativa for irrazoável (mais de 45 dias sem resposta, nos termos da Lei 9.784/99).</w:t>
            </w:r>
          </w:p>
          <w:p>
            <w:pPr>
              <w:spacing w:after="40" w:before="40"/>
            </w:pPr>
            <w:r>
              <w:rPr>
                <w:rFonts w:ascii="Arial" w:cs="Arial" w:eastAsia="Arial" w:hAnsi="Arial"/>
                <w:sz w:val="19"/>
                <w:szCs w:val="19"/>
              </w:rPr>
              <w:t xml:space="preserve">Na aposentadoria por idade, o requerimento administrativo prévio é quase sempre exigido, porque o benefício depende de análise documental que o INSS deve ter a oportunidade de realizar. A exceção mais comum é o caso em que o INSS já indeferiu benefício idêntico anteriormente e mantém a posição contrária.</w:t>
            </w:r>
          </w:p>
        </w:tc>
      </w:tr>
    </w:tbl>
    <w:p>
      <w:pPr>
        <w:spacing w:after="200"/>
      </w:pPr>
    </w:p>
    <w:p>
      <w:pPr>
        <w:spacing w:after="140" w:before="280"/>
      </w:pPr>
      <w:r>
        <w:rPr>
          <w:rFonts w:ascii="Arial" w:cs="Arial" w:eastAsia="Arial" w:hAnsi="Arial"/>
          <w:b/>
          <w:bCs/>
          <w:color w:val="2E86C1"/>
          <w:sz w:val="23"/>
          <w:szCs w:val="23"/>
        </w:rPr>
        <w:t xml:space="preserve">10.15.3 Audiência e instrução</w:t>
      </w:r>
    </w:p>
    <w:p>
      <w:pPr>
        <w:spacing w:after="100" w:before="100"/>
        <w:jc w:val="both"/>
      </w:pPr>
      <w:r>
        <w:rPr>
          <w:rFonts w:ascii="Arial" w:cs="Arial" w:eastAsia="Arial" w:hAnsi="Arial"/>
          <w:sz w:val="21"/>
          <w:szCs w:val="21"/>
        </w:rPr>
        <w:t xml:space="preserve">Nas ações de aposentadoria por idade nos JEFs, a instrução processual é predominantemente documental. A maior parte dos casos pode ser resolvida sem audiência, com base no CNIS, na CTPS e nos documentos que acompanham a petição inicial. O juiz, ao receber a contestação do INSS e verificar que a controvérsia é exclusivamente jurídica (por exemplo, divergência sobre a interpretação da norma aplicável ao caso) ou que a prova documental é suficiente para decidir, pode proferir sentença de plano, sem designar audiência.</w:t>
      </w:r>
    </w:p>
    <w:p>
      <w:pPr>
        <w:spacing w:after="100" w:before="100"/>
        <w:jc w:val="both"/>
      </w:pPr>
      <w:r>
        <w:rPr>
          <w:rFonts w:ascii="Arial" w:cs="Arial" w:eastAsia="Arial" w:hAnsi="Arial"/>
          <w:sz w:val="21"/>
          <w:szCs w:val="21"/>
        </w:rPr>
        <w:t xml:space="preserve">A designação de audiência é necessária quando há controvérsia sobre fatos que dependem de prova oral, como: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Reconhecimento de vínculo empregatício não registrado no CNIS e não constante da CTPS;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Comprovação de atividade como contribuinte individual sem carnê de contribuição;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Ratificação de informações constantes de declarações de ex-empregadores;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Verificação da data de início ou término de vínculo quando há divergência entre CNIS e CTPS;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Comprovação de que o segurado manteve a qualidade de segurado durante período sem contribuição.</w:t>
      </w:r>
    </w:p>
    <w:p>
      <w:pPr>
        <w:spacing w:after="100" w:before="100"/>
        <w:jc w:val="both"/>
      </w:pPr>
      <w:r>
        <w:rPr>
          <w:rFonts w:ascii="Arial" w:cs="Arial" w:eastAsia="Arial" w:hAnsi="Arial"/>
          <w:sz w:val="21"/>
          <w:szCs w:val="21"/>
        </w:rPr>
        <w:t xml:space="preserve">A prova testemunhal, nos JEFs, é colhida em audiência de instrução e julgamento (audiência una), conforme o procedimento sumaríssimo da Lei 10.259/2001. A oitiva de testemunhas é limitada a três por fato controvertido, e o depoimento pode ser tomado informalmente, sem compromisso formal de dizer a verdade (art. 36, Lei 9.099/95, c/c art. 1º, Lei 10.259/2001). Essa informalidade, contudo, não afasta as consequências penais do falso testemunho (art. 342, CP).</w:t>
      </w:r>
    </w:p>
    <w:p>
      <w:pPr>
        <w:spacing w:after="100" w:before="100"/>
        <w:jc w:val="both"/>
      </w:pPr>
      <w:r>
        <w:rPr>
          <w:rFonts w:ascii="Arial" w:cs="Arial" w:eastAsia="Arial" w:hAnsi="Arial"/>
          <w:sz w:val="21"/>
          <w:szCs w:val="21"/>
        </w:rPr>
        <w:t xml:space="preserve">Para a comprovação de tempo de contribuição urbano, a prova testemunhal tem valor complementar — ela não pode ser a prova exclusiva do vínculo (aplicação analógica da Súmula 149/STJ). A testemunha pode confirmar a existência de um vínculo empregatício não registrado, mas é necessário um início de prova material (CTPS, recibos, declarações, fichas de registro de empregados, etc.). Essa exigência de início de prova material é mais rigorosa no caso de vínculos urbanos do que no caso de atividade rural, porque a expectativa é de que o emprego urbano formal deixe rastros documentais.</w:t>
      </w:r>
    </w:p>
    <w:p>
      <w:pPr>
        <w:spacing w:after="100" w:before="100"/>
        <w:jc w:val="both"/>
      </w:pPr>
      <w:r>
        <w:rPr>
          <w:rFonts w:ascii="Arial" w:cs="Arial" w:eastAsia="Arial" w:hAnsi="Arial"/>
          <w:sz w:val="21"/>
          <w:szCs w:val="21"/>
        </w:rPr>
        <w:t xml:space="preserve">As audiências nos JEFs previdenciários apresentam peculiaridades que o advogado deve conhecer:</w:t>
      </w:r>
    </w:p>
    <w:p>
      <w:pPr>
        <w:spacing w:after="60" w:before="60"/>
        <w:ind w:left="360"/>
      </w:pPr>
      <w:r>
        <w:rPr>
          <w:rFonts w:ascii="Arial" w:cs="Arial" w:eastAsia="Arial" w:hAnsi="Arial"/>
          <w:sz w:val="21"/>
          <w:szCs w:val="21"/>
        </w:rPr>
        <w:t xml:space="preserve">a) Audiência de conciliação: O art. 10 da Lei 10.259/2001 prevê a tentativa de conciliação em audiência. Nas ações previdenciárias, a conciliação com o INSS segue parâmetros institucionais estabelecidos pela Procuradoria Federal Especializada junto ao INSS, que autoriza a celebração de acordos em determinadas faixas de valor e mediante certas condições. O juiz deve verificar se o representante do INSS tem poderes para transigir. Na prática, muitos JEFs realizam "mutirões de conciliação" previdenciários, nos quais procuradores do INSS com poderes especiais analisam os casos e propõem acordos — modalidade que tem obtido resultados expressivos na redução do acervo processual.</w:t>
      </w:r>
    </w:p>
    <w:p>
      <w:pPr>
        <w:spacing w:after="60" w:before="60"/>
        <w:ind w:left="360"/>
      </w:pPr>
      <w:r>
        <w:rPr>
          <w:rFonts w:ascii="Arial" w:cs="Arial" w:eastAsia="Arial" w:hAnsi="Arial"/>
          <w:sz w:val="21"/>
          <w:szCs w:val="21"/>
        </w:rPr>
        <w:t xml:space="preserve">b) Audiência por videoconferência: A pandemia de COVID-19 acelerou a adoção de audiências por videoconferência nos JEFs, prática que permaneceu mesmo após o retorno às atividades presenciais. A Resolução CJF 557/2022, regulamentada em cada Seção Judiciária por ato normativo próprio, autoriza a realização de audiências telepresenciais. Para o segurado idoso, a possibilidade de participar da audiência por videoconferência — de sua residência ou do escritório do advogado — representa significativa redução de custos e deslocamento.</w:t>
      </w:r>
    </w:p>
    <w:p>
      <w:pPr>
        <w:spacing w:after="60" w:before="60"/>
        <w:ind w:left="360"/>
      </w:pPr>
      <w:r>
        <w:rPr>
          <w:rFonts w:ascii="Arial" w:cs="Arial" w:eastAsia="Arial" w:hAnsi="Arial"/>
          <w:sz w:val="21"/>
          <w:szCs w:val="21"/>
        </w:rPr>
        <w:t xml:space="preserve">c) Depoimento pessoal do segurado: O juiz pode determinar o depoimento pessoal do segurado, especialmente quando há dúvida sobre a natureza das atividades exercidas, sobre a manutenção da qualidade de segurado ou sobre períodos sem contribuição. O depoimento pessoal, nos JEFs, é tomado de forma informal, e o juiz pode dialogar diretamente com a parte para esclarecimento dos fatos.</w:t>
      </w:r>
    </w:p>
    <w:p>
      <w:pPr>
        <w:spacing w:after="140" w:before="280"/>
      </w:pPr>
      <w:r>
        <w:rPr>
          <w:rFonts w:ascii="Arial" w:cs="Arial" w:eastAsia="Arial" w:hAnsi="Arial"/>
          <w:b/>
          <w:bCs/>
          <w:color w:val="2E86C1"/>
          <w:sz w:val="23"/>
          <w:szCs w:val="23"/>
        </w:rPr>
        <w:t xml:space="preserve">10.15.4 Sentença e recursos</w:t>
      </w:r>
    </w:p>
    <w:p>
      <w:pPr>
        <w:spacing w:after="100" w:before="100"/>
        <w:jc w:val="both"/>
      </w:pPr>
      <w:r>
        <w:rPr>
          <w:rFonts w:ascii="Arial" w:cs="Arial" w:eastAsia="Arial" w:hAnsi="Arial"/>
          <w:sz w:val="21"/>
          <w:szCs w:val="21"/>
        </w:rPr>
        <w:t xml:space="preserve">A sentença nos JEFs é irrecorrível por meio de apelação. O recurso cabível é o recurso inominado (art. 41, Lei 9.099/95, c/c art. 1º, Lei 10.259/2001), dirigido à Turma Recursal. O prazo é de 10 dias (dias úteis, conforme art. 219 do CPC, aplicável aos JEFs por força do art. 12, Lei 10.259/2001), e não é cabível recurso adesivo. O preparo é dispensado para o INSS (autarquia federal) e para o segurado beneficiário da justiça gratuita.</w:t>
      </w:r>
    </w:p>
    <w:p>
      <w:pPr>
        <w:spacing w:after="100" w:before="100"/>
        <w:jc w:val="both"/>
      </w:pPr>
      <w:r>
        <w:rPr>
          <w:rFonts w:ascii="Arial" w:cs="Arial" w:eastAsia="Arial" w:hAnsi="Arial"/>
          <w:sz w:val="21"/>
          <w:szCs w:val="21"/>
        </w:rPr>
        <w:t xml:space="preserve">A sentença de procedência na ação de aposentadoria por idade deve especificar: (i) a regra pela qual a aposentadoria é concedida (direito adquirido, art. 18, regra permanente); (ii) a data de início do benefício (DIB); (iii) a data de início do pagamento (DIP); (iv) a renda mensal inicial (RMI) ou, alternativamente, a determinação de que o INSS calcule a RMI pela regra mais vantajosa; (v) a condenação em prestações vencidas, corrigidas monetariamente e acrescidas de juros de mora; (vi) os honorários advocatícios, fixados sobre as parcelas vencidas até a sentença (Súmula 111/STJ).</w:t>
      </w:r>
    </w:p>
    <w:p>
      <w:pPr>
        <w:spacing w:after="100" w:before="100"/>
        <w:jc w:val="both"/>
      </w:pPr>
      <w:r>
        <w:rPr>
          <w:rFonts w:ascii="Arial" w:cs="Arial" w:eastAsia="Arial" w:hAnsi="Arial"/>
          <w:sz w:val="21"/>
          <w:szCs w:val="21"/>
        </w:rPr>
        <w:t xml:space="preserve">Quanto à correção monetária e aos juros de mora, aplica-se o Manual de Cálculos da Justiça Federal (aprovado pela Resolução CJF 784/2022), que estabelece a utilização do IPCA-E como índice de correção monetária e da taxa SELIC a partir de dezembro de 2021 (EC 113/2021, art. 3º), englobando juros e correção em parcela única.</w:t>
      </w:r>
    </w:p>
    <w:p>
      <w:pPr>
        <w:spacing w:after="100" w:before="100"/>
        <w:jc w:val="both"/>
      </w:pPr>
      <w:r>
        <w:rPr>
          <w:rFonts w:ascii="Arial" w:cs="Arial" w:eastAsia="Arial" w:hAnsi="Arial"/>
          <w:sz w:val="21"/>
          <w:szCs w:val="21"/>
        </w:rPr>
        <w:t xml:space="preserve">A Turma Recursal julga o recurso com base na prova dos autos, podendo reformar a sentença no mérito. Não há reexame necessário nos JEFs (art. 13, Lei 10.259/2001). Contra o acórdão da Turma Recursal, cabem:</w:t>
      </w:r>
    </w:p>
    <w:p>
      <w:pPr>
        <w:spacing w:after="60" w:before="60"/>
        <w:ind w:left="360"/>
      </w:pPr>
      <w:r>
        <w:rPr>
          <w:rFonts w:ascii="Arial" w:cs="Arial" w:eastAsia="Arial" w:hAnsi="Arial"/>
          <w:sz w:val="21"/>
          <w:szCs w:val="21"/>
        </w:rPr>
        <w:t xml:space="preserve">a) Embargos de declaração: Para suprir omissão, contradição, obscuridade ou erro material (art. 48, Lei 9.099/95). O prazo é de 5 dias.</w:t>
      </w:r>
    </w:p>
    <w:p>
      <w:pPr>
        <w:spacing w:after="60" w:before="60"/>
        <w:ind w:left="360"/>
      </w:pPr>
      <w:r>
        <w:rPr>
          <w:rFonts w:ascii="Arial" w:cs="Arial" w:eastAsia="Arial" w:hAnsi="Arial"/>
          <w:sz w:val="21"/>
          <w:szCs w:val="21"/>
        </w:rPr>
        <w:t xml:space="preserve">b) Pedido de uniformização regional: Dirigido à Turma Regional de Uniformização (TRU), quando houver divergência entre Turmas Recursais da mesma Região (art. 14, § 1º, Lei 10.259/2001).</w:t>
      </w:r>
    </w:p>
    <w:p>
      <w:pPr>
        <w:spacing w:after="60" w:before="60"/>
        <w:ind w:left="360"/>
      </w:pPr>
      <w:r>
        <w:rPr>
          <w:rFonts w:ascii="Arial" w:cs="Arial" w:eastAsia="Arial" w:hAnsi="Arial"/>
          <w:sz w:val="21"/>
          <w:szCs w:val="21"/>
        </w:rPr>
        <w:t xml:space="preserve">c) Pedido de uniformização nacional: Dirigido à Turma Nacional de Uniformização (TNU), quando houver divergência entre Turmas Recursais de Regiões diferentes ou entre Turma Recursal e jurisprudência do STJ (art. 14, § 2º, Lei 10.259/2001). A TNU tem desempenhado papel fundamental na fixação de teses sobre aposentadoria por idade, como as Súmulas 44 (tabela de carência) e o Tema 358 (carência pós-EC 103).</w:t>
      </w:r>
    </w:p>
    <w:p>
      <w:pPr>
        <w:spacing w:after="60" w:before="60"/>
        <w:ind w:left="360"/>
      </w:pPr>
      <w:r>
        <w:rPr>
          <w:rFonts w:ascii="Arial" w:cs="Arial" w:eastAsia="Arial" w:hAnsi="Arial"/>
          <w:sz w:val="21"/>
          <w:szCs w:val="21"/>
        </w:rPr>
        <w:t xml:space="preserve">d) Recurso extraordinário: Excepcionalmente, cabe recurso extraordinário ao STF quando a decisão contrariar dispositivo constitucional, nos termos do art. 102, III, da CF/88. O STF exige a demonstração de repercussão geral.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Execução da sentença nos JEFs — particularidades</w:t>
            </w:r>
          </w:p>
          <w:p>
            <w:pPr>
              <w:spacing w:after="40" w:before="40"/>
            </w:pPr>
            <w:r>
              <w:rPr>
                <w:rFonts w:ascii="Arial" w:cs="Arial" w:eastAsia="Arial" w:hAnsi="Arial"/>
                <w:sz w:val="19"/>
                <w:szCs w:val="19"/>
              </w:rPr>
              <w:t xml:space="preserve">Após o trânsito em julgado, a execução da sentença previdenciária nos JEFs segue procedimento próprio:</w:t>
            </w:r>
          </w:p>
          <w:p>
            <w:pPr>
              <w:spacing w:after="40" w:before="40"/>
            </w:pPr>
            <w:r>
              <w:rPr>
                <w:rFonts w:ascii="Arial" w:cs="Arial" w:eastAsia="Arial" w:hAnsi="Arial"/>
                <w:sz w:val="19"/>
                <w:szCs w:val="19"/>
              </w:rPr>
              <w:t xml:space="preserve">1. Implantação do benefício: O INSS deve implantar o benefício no prazo fixado na sentença (geralmente 30 a 45 dias após a intimação). O descumprimento pode ensejar multa diária (astreintes) e, em último caso, sequestro de valores (art. 17, Lei 10.259/2001).</w:t>
            </w:r>
          </w:p>
          <w:p>
            <w:pPr>
              <w:spacing w:after="40" w:before="40"/>
            </w:pPr>
            <w:r>
              <w:rPr>
                <w:rFonts w:ascii="Arial" w:cs="Arial" w:eastAsia="Arial" w:hAnsi="Arial"/>
                <w:sz w:val="19"/>
                <w:szCs w:val="19"/>
              </w:rPr>
              <w:t xml:space="preserve">2. Pagamento das parcelas vencidas: As parcelas vencidas são pagas mediante Requisição de Pequeno Valor (RPV) quando o montante não ultrapassa 60 salários mínimos (R$ 97.260,00 em 2026). O pagamento deve ser efetuado em até 60 dias após a requisição (art. 17, § 1º, Lei 10.259/2001). Se o valor exceder 60 SM, o pagamento se dá por precatório (art. 100, CF), com prazo significativamente mais longo.</w:t>
            </w:r>
          </w:p>
          <w:p>
            <w:pPr>
              <w:spacing w:after="40" w:before="40"/>
            </w:pPr>
            <w:r>
              <w:rPr>
                <w:rFonts w:ascii="Arial" w:cs="Arial" w:eastAsia="Arial" w:hAnsi="Arial"/>
                <w:sz w:val="19"/>
                <w:szCs w:val="19"/>
              </w:rPr>
              <w:t xml:space="preserve">3. Honorários advocatícios: São fixados sobre as parcelas vencidas até a sentença (Súmula 111/STJ) e pagos juntamente com o principal, na mesma RPV ou precatório. A sucumbência recíproca nos JEFs não implica compensação de honorários quando o segurado é beneficiário da justiça gratuita.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10.16 Questões Especiais</w:t>
      </w:r>
    </w:p>
    <w:p>
      <w:pPr>
        <w:spacing w:after="140" w:before="280"/>
      </w:pPr>
      <w:r>
        <w:rPr>
          <w:rFonts w:ascii="Arial" w:cs="Arial" w:eastAsia="Arial" w:hAnsi="Arial"/>
          <w:b/>
          <w:bCs/>
          <w:color w:val="2E86C1"/>
          <w:sz w:val="23"/>
          <w:szCs w:val="23"/>
        </w:rPr>
        <w:t xml:space="preserve">10.16.1 Aposentadoria por idade do MEI</w:t>
      </w:r>
    </w:p>
    <w:p>
      <w:pPr>
        <w:spacing w:after="100" w:before="100"/>
        <w:jc w:val="both"/>
      </w:pPr>
      <w:r>
        <w:rPr>
          <w:rFonts w:ascii="Arial" w:cs="Arial" w:eastAsia="Arial" w:hAnsi="Arial"/>
          <w:sz w:val="21"/>
          <w:szCs w:val="21"/>
        </w:rPr>
        <w:t xml:space="preserve">O Microempreendedor Individual (MEI) contribui com 5% do salário mínimo, nos termos do art. 21, § 2º, I, da Lei 8.212/91, com redação dada pela LC 123/2006. Essa contribuição reduzida garante ao MEI o direito à aposentadoria por idade (regra de transição do art. 18 ou regra permanente), mas não à aposentadoria por tempo de contribuição — salvo se o MEI complementar a contribuição até o percentual de 20% sobre o salário mínimo (diferença de 15%, conforme art. 21, § 3º, da Lei 8.212/91).</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MEI e aposentadoria por idade — questões práticas</w:t>
            </w:r>
          </w:p>
          <w:p>
            <w:pPr>
              <w:spacing w:after="40" w:before="40"/>
            </w:pPr>
            <w:r>
              <w:rPr>
                <w:rFonts w:ascii="Arial" w:cs="Arial" w:eastAsia="Arial" w:hAnsi="Arial"/>
                <w:sz w:val="19"/>
                <w:szCs w:val="19"/>
              </w:rPr>
              <w:t xml:space="preserve">1. Contribuição de 5%: Garante aposentadoria por idade no valor de 1 SM (a contribuição é apenas sobre o SM, portanto a média será o SM).</w:t>
            </w:r>
          </w:p>
          <w:p>
            <w:pPr>
              <w:spacing w:after="40" w:before="40"/>
            </w:pPr>
            <w:r>
              <w:rPr>
                <w:rFonts w:ascii="Arial" w:cs="Arial" w:eastAsia="Arial" w:hAnsi="Arial"/>
                <w:sz w:val="19"/>
                <w:szCs w:val="19"/>
              </w:rPr>
              <w:t xml:space="preserve">2. Complementação para TC: Se o MEI quiser que o período conte para aposentadoria por tempo de contribuição, deve complementar os 15% restantes, mediante GPS com código 1910.</w:t>
            </w:r>
          </w:p>
          <w:p>
            <w:pPr>
              <w:spacing w:after="40" w:before="40"/>
            </w:pPr>
            <w:r>
              <w:rPr>
                <w:rFonts w:ascii="Arial" w:cs="Arial" w:eastAsia="Arial" w:hAnsi="Arial"/>
                <w:sz w:val="19"/>
                <w:szCs w:val="19"/>
              </w:rPr>
              <w:t xml:space="preserve">3. MEI com atividade simultânea: Se o MEI é também empregado CLT, as contribuições são somadas (seção 10.9). A contribuição como empregado gera salário de contribuição proporcional à remuneração; a do MEI, sobre o SM.</w:t>
            </w:r>
          </w:p>
          <w:p>
            <w:pPr>
              <w:spacing w:after="40" w:before="40"/>
            </w:pPr>
            <w:r>
              <w:rPr>
                <w:rFonts w:ascii="Arial" w:cs="Arial" w:eastAsia="Arial" w:hAnsi="Arial"/>
                <w:sz w:val="19"/>
                <w:szCs w:val="19"/>
              </w:rPr>
              <w:t xml:space="preserve">4. Carência: As contribuições do MEI contam normalmente para carência, desde que recolhidas em dia.</w:t>
            </w:r>
          </w:p>
          <w:p>
            <w:pPr>
              <w:spacing w:after="40" w:before="40"/>
            </w:pPr>
            <w:r>
              <w:rPr>
                <w:rFonts w:ascii="Arial" w:cs="Arial" w:eastAsia="Arial" w:hAnsi="Arial"/>
                <w:sz w:val="19"/>
                <w:szCs w:val="19"/>
              </w:rPr>
              <w:t xml:space="preserve">5. Desenquadramento: Se o MEI ultrapassar o limite de faturamento e for desenquadrado, passa a contribuir como contribuinte individual (20% sobre a remuneração ou 11% sobre o SM pelo plano simplificado). O tratamento detalhado está no Capítulo 4 (seção 4.7).</w:t>
            </w:r>
          </w:p>
        </w:tc>
      </w:tr>
    </w:tbl>
    <w:p>
      <w:pPr>
        <w:spacing w:after="200"/>
      </w:pPr>
    </w:p>
    <w:p>
      <w:pPr>
        <w:spacing w:after="140" w:before="280"/>
      </w:pPr>
      <w:r>
        <w:rPr>
          <w:rFonts w:ascii="Arial" w:cs="Arial" w:eastAsia="Arial" w:hAnsi="Arial"/>
          <w:b/>
          <w:bCs/>
          <w:color w:val="2E86C1"/>
          <w:sz w:val="23"/>
          <w:szCs w:val="23"/>
        </w:rPr>
        <w:t xml:space="preserve">10.16.2 Aposentadoria por idade do segurado facultativo de baixa renda</w:t>
      </w:r>
    </w:p>
    <w:p>
      <w:pPr>
        <w:spacing w:after="100" w:before="100"/>
        <w:jc w:val="both"/>
      </w:pPr>
      <w:r>
        <w:rPr>
          <w:rFonts w:ascii="Arial" w:cs="Arial" w:eastAsia="Arial" w:hAnsi="Arial"/>
          <w:sz w:val="21"/>
          <w:szCs w:val="21"/>
        </w:rPr>
        <w:t xml:space="preserve">O segurado facultativo de baixa renda (art. 21, § 2º, II, Lei 8.212/91) contribui com 5% do salário mínimo, tal como o MEI. Os requisitos e as limitações são semelhantes: direito à aposentadoria por idade, mas não à aposentadoria por tempo de contribuição (salvo complementação). A base de cálculo é sempre o salário mínimo, o que significa que a aposentadoria será concedida no valor de um salário mínimo.</w:t>
      </w:r>
    </w:p>
    <w:p>
      <w:pPr>
        <w:spacing w:after="100" w:before="100"/>
        <w:jc w:val="both"/>
      </w:pPr>
      <w:r>
        <w:rPr>
          <w:rFonts w:ascii="Arial" w:cs="Arial" w:eastAsia="Arial" w:hAnsi="Arial"/>
          <w:sz w:val="21"/>
          <w:szCs w:val="21"/>
        </w:rPr>
        <w:t xml:space="preserve">Para enquadrar-se como facultativo de baixa renda, o segurado deve comprovar cumulativamente: (a) não exercer atividade remunerada; (b) dedicar-se exclusivamente ao trabalho doméstico no âmbito de sua residência; e (c) pertencer a família de baixa renda inscrita no CadÚnico (Cadastro Único para Programas Sociais do Governo Federal), com renda mensal familiar de até dois salários mínimos. A perda de qualquer dessas condições implica a necessidade de recolhimento pela alíquota normal (20% ou 11%).</w:t>
      </w:r>
    </w:p>
    <w:p>
      <w:pPr>
        <w:spacing w:after="100" w:before="100"/>
        <w:jc w:val="both"/>
      </w:pPr>
      <w:r>
        <w:rPr>
          <w:rFonts w:ascii="Arial" w:cs="Arial" w:eastAsia="Arial" w:hAnsi="Arial"/>
          <w:sz w:val="21"/>
          <w:szCs w:val="21"/>
        </w:rPr>
        <w:t xml:space="preserve">O perfil típico do segurado facultativo de baixa renda é o da dona de casa (ou dono de casa) de família vulnerável que não exerce atividade remunerada fora do lar. A modalidade foi criada pela Lei 12.470/2011 com o objetivo de ampliar a cobertura previdenciária a pessoas economicamente vulneráveis que, pela alíquota regular de 20%, não teriam condições de contribuir para o RGPS.</w:t>
      </w:r>
    </w:p>
    <w:p>
      <w:pPr>
        <w:spacing w:after="100" w:before="100"/>
        <w:jc w:val="both"/>
      </w:pPr>
      <w:r>
        <w:rPr>
          <w:rFonts w:ascii="Arial" w:cs="Arial" w:eastAsia="Arial" w:hAnsi="Arial"/>
          <w:sz w:val="21"/>
          <w:szCs w:val="21"/>
        </w:rPr>
        <w:t xml:space="preserve">Na prática dos JEFs, surgem controvérsias sobre o enquadramento do segurado como facultativo de baixa renda, especialmente quando: (i) a inscrição no CadÚnico foi realizada após o período de contribuição, suscitando dúvida sobre a contemporaneidade da condição de baixa renda; (ii) o segurado exerceu atividade remunerada informal concomitantemente à contribuição como facultativo de baixa renda, o que pode configurar irregularidade no enquadramento; e (iii) a renda familiar declarada no CadÚnico não corresponde à realidade, conforme apurado em diligências do INSS ou da Caixa Econômica Federal.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Facultativo de baixa renda — Questões frequentes nos JEFs</w:t>
            </w:r>
          </w:p>
          <w:p>
            <w:pPr>
              <w:spacing w:after="40" w:before="40"/>
            </w:pPr>
            <w:r>
              <w:rPr>
                <w:rFonts w:ascii="Arial" w:cs="Arial" w:eastAsia="Arial" w:hAnsi="Arial"/>
                <w:sz w:val="19"/>
                <w:szCs w:val="19"/>
              </w:rPr>
              <w:t xml:space="preserve">1. Validação das contribuições: O INSS pode realizar validação posterior das contribuições do facultativo de baixa renda, verificando a manutenção da condição junto ao CadÚnico. Contribuições recolhidas em período no qual o segurado não atendia aos requisitos podem ser invalidadas — mas o INSS deve assegurar o contraditório antes da exclusão.</w:t>
            </w:r>
          </w:p>
          <w:p>
            <w:pPr>
              <w:spacing w:after="40" w:before="40"/>
            </w:pPr>
            <w:r>
              <w:rPr>
                <w:rFonts w:ascii="Arial" w:cs="Arial" w:eastAsia="Arial" w:hAnsi="Arial"/>
                <w:sz w:val="19"/>
                <w:szCs w:val="19"/>
              </w:rPr>
              <w:t xml:space="preserve">2. Complementação retroativa: Se o segurado contribuiu como facultativo de baixa renda (5%) mas não atendia aos requisitos, pode complementar a diferença até 20% para regularizar o período. O prazo para complementação é de até cinco anos (prazo prescricional tributário, art. 150, § 4º, CTN).</w:t>
            </w:r>
          </w:p>
          <w:p>
            <w:pPr>
              <w:spacing w:after="40" w:before="40"/>
            </w:pPr>
            <w:r>
              <w:rPr>
                <w:rFonts w:ascii="Arial" w:cs="Arial" w:eastAsia="Arial" w:hAnsi="Arial"/>
                <w:sz w:val="19"/>
                <w:szCs w:val="19"/>
              </w:rPr>
              <w:t xml:space="preserve">3. Aposentadoria programada vs. aposentadoria por idade: Na regra permanente (pós-EC 103), o facultativo de baixa renda que contribui com 5% pode requerer aposentadoria programada (65H/62M + 15F/20H anos TC), mas o benefício será de um salário mínimo. Se desejar benefício superior, deve complementar para 20% e contribuir sobre base maior.</w:t>
            </w:r>
          </w:p>
        </w:tc>
      </w:tr>
    </w:tbl>
    <w:p>
      <w:pPr>
        <w:spacing w:after="200"/>
      </w:pPr>
    </w:p>
    <w:p>
      <w:pPr>
        <w:spacing w:after="140" w:before="280"/>
      </w:pPr>
      <w:r>
        <w:rPr>
          <w:rFonts w:ascii="Arial" w:cs="Arial" w:eastAsia="Arial" w:hAnsi="Arial"/>
          <w:b/>
          <w:bCs/>
          <w:color w:val="2E86C1"/>
          <w:sz w:val="23"/>
          <w:szCs w:val="23"/>
        </w:rPr>
        <w:t xml:space="preserve">10.16.3 Aposentadoria por idade e tempo de contribuição no exterior</w:t>
      </w:r>
    </w:p>
    <w:p>
      <w:pPr>
        <w:spacing w:after="100" w:before="100"/>
        <w:jc w:val="both"/>
      </w:pPr>
      <w:r>
        <w:rPr>
          <w:rFonts w:ascii="Arial" w:cs="Arial" w:eastAsia="Arial" w:hAnsi="Arial"/>
          <w:sz w:val="21"/>
          <w:szCs w:val="21"/>
        </w:rPr>
        <w:t xml:space="preserve">Segurados que trabalharam em países com os quais o Brasil mantém acordo internacional de previdência social podem computar o tempo de contribuição no exterior para fins de aposentadoria por idade no RGPS. A matéria é regulada pelos acordos bilaterais e multilaterais celebrados pelo Brasil, cuja aplicação é detalhada no Capítulo 5 (seção 5.14).</w:t>
      </w:r>
    </w:p>
    <w:p>
      <w:pPr>
        <w:spacing w:after="100" w:before="100"/>
        <w:jc w:val="both"/>
      </w:pPr>
      <w:r>
        <w:rPr>
          <w:rFonts w:ascii="Arial" w:cs="Arial" w:eastAsia="Arial" w:hAnsi="Arial"/>
          <w:sz w:val="21"/>
          <w:szCs w:val="21"/>
        </w:rPr>
        <w:t xml:space="preserve">O Brasil mantém acordos de previdência social com diversos países, incluindo: Portugal, Espanha, Itália, Alemanha, França, Japão, Cabo Verde, Grécia, Argentina, Uruguai, Paraguai, Chile, e os países do Mercosul (Acordo Multilateral de Seguridade Social do Mercosul). Cada acordo tem regras específicas sobre totalização de períodos, cálculo proporcional e procedimento de requerimento, mas todos seguem o princípio geral da totalização: os períodos cumpridos em cada país são somados para verificar se o segurado atinge os requisitos mínimos de carência ou tempo de contribuição.</w:t>
      </w:r>
    </w:p>
    <w:p>
      <w:pPr>
        <w:spacing w:after="100" w:before="100"/>
        <w:jc w:val="both"/>
      </w:pPr>
      <w:r>
        <w:rPr>
          <w:rFonts w:ascii="Arial" w:cs="Arial" w:eastAsia="Arial" w:hAnsi="Arial"/>
          <w:sz w:val="21"/>
          <w:szCs w:val="21"/>
        </w:rPr>
        <w:t xml:space="preserve">Na aposentadoria por idade, a totalização dos períodos de contribuição no Brasil e no exterior permite que o segurado atinja a carência exigida, computando contribuições efetuadas em ambos os países. O benefício, contudo, é calculado proporcionalmente ao tempo de contribuição efetivamente cumprido em cada país (princípio pro rata temporis). Isso significa que o segurado receberá dois benefícios proporcionais — um de cada país — e não um benefício único calculado sobre a totalidade do tempo de contribuição.</w:t>
      </w:r>
    </w:p>
    <w:p>
      <w:pPr>
        <w:spacing w:after="100" w:before="100"/>
        <w:jc w:val="both"/>
      </w:pPr>
      <w:r>
        <w:rPr>
          <w:rFonts w:ascii="Arial" w:cs="Arial" w:eastAsia="Arial" w:hAnsi="Arial"/>
          <w:sz w:val="21"/>
          <w:szCs w:val="21"/>
        </w:rPr>
        <w:t xml:space="preserve">O procedimento para aposentadoria por totalização internacional segue rito específico: o segurado deve requerer o benefício ao organismo de ligação do país onde reside (no Brasil, o INSS). O INSS comunica-se com o organismo de ligação do país estrangeiro, que confirma os períodos de contribuição e, se for o caso, concede a parcela proporcional do benefício. Esse procedimento pode ser demorado, envolvendo troca de formulários específicos entre os países.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Totalização internacional — armadilhas comuns</w:t>
            </w:r>
          </w:p>
          <w:p>
            <w:pPr>
              <w:spacing w:after="40" w:before="40"/>
            </w:pPr>
            <w:r>
              <w:rPr>
                <w:rFonts w:ascii="Arial" w:cs="Arial" w:eastAsia="Arial" w:hAnsi="Arial"/>
                <w:sz w:val="19"/>
                <w:szCs w:val="19"/>
              </w:rPr>
              <w:t xml:space="preserve">1. Acordo deve estar vigente: Somente períodos em países com acordo vigente podem ser totalizados. Trabalho em país sem acordo (exemplo: Estados Unidos, China, Índia) não pode ser computado para a aposentadoria brasileira.</w:t>
            </w:r>
          </w:p>
          <w:p>
            <w:pPr>
              <w:spacing w:after="40" w:before="40"/>
            </w:pPr>
            <w:r>
              <w:rPr>
                <w:rFonts w:ascii="Arial" w:cs="Arial" w:eastAsia="Arial" w:hAnsi="Arial"/>
                <w:sz w:val="19"/>
                <w:szCs w:val="19"/>
              </w:rPr>
              <w:t xml:space="preserve">2. O período totalizado não gera carência plena: O tempo no exterior é utilizado para atingir o requisito mínimo, mas o benefício brasileiro será proporcional apenas ao tempo cumprido no Brasil.</w:t>
            </w:r>
          </w:p>
          <w:p>
            <w:pPr>
              <w:spacing w:after="40" w:before="40"/>
            </w:pPr>
            <w:r>
              <w:rPr>
                <w:rFonts w:ascii="Arial" w:cs="Arial" w:eastAsia="Arial" w:hAnsi="Arial"/>
                <w:sz w:val="19"/>
                <w:szCs w:val="19"/>
              </w:rPr>
              <w:t xml:space="preserve">3. Contribuições em moeda estrangeira: Os salários de contribuição no exterior não são utilizados no cálculo do benefício brasileiro; apenas os salários de contribuição pagos ao RGPS são considerados.</w:t>
            </w:r>
          </w:p>
          <w:p>
            <w:pPr>
              <w:spacing w:after="40" w:before="40"/>
            </w:pPr>
            <w:r>
              <w:rPr>
                <w:rFonts w:ascii="Arial" w:cs="Arial" w:eastAsia="Arial" w:hAnsi="Arial"/>
                <w:sz w:val="19"/>
                <w:szCs w:val="19"/>
              </w:rPr>
              <w:t xml:space="preserve">4. Competência: Ações judiciais envolvendo acordo internacional de previdência são da competência da Justiça Federal (art. 109, III, CF/88 — causas fundadas em tratado internacional), podendo tramitar nos JEFs quando o valor da causa estiver dentro do teto.</w:t>
            </w:r>
          </w:p>
        </w:tc>
      </w:tr>
    </w:tbl>
    <w:p>
      <w:pPr>
        <w:spacing w:after="200"/>
      </w:pPr>
    </w:p>
    <w:p>
      <w:pPr>
        <w:spacing w:after="140" w:before="280"/>
      </w:pPr>
      <w:r>
        <w:rPr>
          <w:rFonts w:ascii="Arial" w:cs="Arial" w:eastAsia="Arial" w:hAnsi="Arial"/>
          <w:b/>
          <w:bCs/>
          <w:color w:val="2E86C1"/>
          <w:sz w:val="23"/>
          <w:szCs w:val="23"/>
        </w:rPr>
        <w:t xml:space="preserve">10.16.4 Aposentadoria por idade e pessoa com deficiência</w:t>
      </w:r>
    </w:p>
    <w:p>
      <w:pPr>
        <w:spacing w:after="100" w:before="100"/>
        <w:jc w:val="both"/>
      </w:pPr>
      <w:r>
        <w:rPr>
          <w:rFonts w:ascii="Arial" w:cs="Arial" w:eastAsia="Arial" w:hAnsi="Arial"/>
          <w:sz w:val="21"/>
          <w:szCs w:val="21"/>
        </w:rPr>
        <w:t xml:space="preserve">A aposentadoria por idade da pessoa com deficiência é disciplinada pela LC 142/2013 e tem requisitos diferenciados: 60 anos (homem) ou 55 anos (mulher), independentemente do grau de deficiência, com 15 anos de contribuição na condição de pessoa com deficiência. Essa modalidade é objeto do Capítulo 12.</w:t>
      </w:r>
    </w:p>
    <w:p>
      <w:pPr>
        <w:spacing w:after="100" w:before="100"/>
        <w:jc w:val="both"/>
      </w:pPr>
      <w:r>
        <w:rPr>
          <w:rFonts w:ascii="Arial" w:cs="Arial" w:eastAsia="Arial" w:hAnsi="Arial"/>
          <w:sz w:val="21"/>
          <w:szCs w:val="21"/>
        </w:rPr>
        <w:t xml:space="preserve">A interface com a aposentadoria por idade comum (Capítulo 10) surge quando o segurado com deficiência não comprova a condição durante todo o período contributivo. Nesse caso, o período de contribuição como pessoa com deficiência pode ser convertido em tempo comum (e vice-versa), conforme os fatores de conversão estabelecidos na LC 142/2013 e no Decreto 8.145/2013.</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Deficiência e aposentadoria por idade — quando escolher cada via</w:t>
            </w:r>
          </w:p>
          <w:p>
            <w:pPr>
              <w:spacing w:after="40" w:before="40"/>
            </w:pPr>
            <w:r>
              <w:rPr>
                <w:rFonts w:ascii="Arial" w:cs="Arial" w:eastAsia="Arial" w:hAnsi="Arial"/>
                <w:sz w:val="19"/>
                <w:szCs w:val="19"/>
              </w:rPr>
              <w:t xml:space="preserve">1. LC 142/2013: Exige 60H/55M + 15 anos TC na condição de PcD + avaliação biopsicossocial. O coeficiente é de 70% + 1% por grupo de 12 contribuições (regra anterior, não afetada pela EC 103/2019 para a PcD). Não incide fator previdenciário.</w:t>
            </w:r>
          </w:p>
          <w:p>
            <w:pPr>
              <w:spacing w:after="40" w:before="40"/>
            </w:pPr>
            <w:r>
              <w:rPr>
                <w:rFonts w:ascii="Arial" w:cs="Arial" w:eastAsia="Arial" w:hAnsi="Arial"/>
                <w:sz w:val="19"/>
                <w:szCs w:val="19"/>
              </w:rPr>
              <w:t xml:space="preserve">2. Regra geral (art. 18, EC 103): Exige 65H/62M + 15 anos TC + 180 contribuições. Coeficiente de 60% + 2%/ano excedente.</w:t>
            </w:r>
          </w:p>
          <w:p>
            <w:pPr>
              <w:spacing w:after="40" w:before="40"/>
            </w:pPr>
            <w:r>
              <w:rPr>
                <w:rFonts w:ascii="Arial" w:cs="Arial" w:eastAsia="Arial" w:hAnsi="Arial"/>
                <w:sz w:val="19"/>
                <w:szCs w:val="19"/>
              </w:rPr>
              <w:t xml:space="preserve">Quando a LC 142 é mais vantajosa: (a) idade inferior a 65H/62M; (b) coeficiente de 70%+1% é superior ao de 60%+2%; (c) ausência de fator previdenciário.</w:t>
            </w:r>
          </w:p>
          <w:p>
            <w:pPr>
              <w:spacing w:after="40" w:before="40"/>
            </w:pPr>
            <w:r>
              <w:rPr>
                <w:rFonts w:ascii="Arial" w:cs="Arial" w:eastAsia="Arial" w:hAnsi="Arial"/>
                <w:sz w:val="19"/>
                <w:szCs w:val="19"/>
              </w:rPr>
              <w:t xml:space="preserve">Quando a regra geral pode ser preferível: Quando o segurado tem deficiência apenas parcial do período contributivo e não consegue comprovar 15 anos como PcD.</w:t>
            </w:r>
          </w:p>
          <w:p>
            <w:pPr>
              <w:spacing w:after="40" w:before="40"/>
            </w:pPr>
            <w:r>
              <w:rPr>
                <w:rFonts w:ascii="Arial" w:cs="Arial" w:eastAsia="Arial" w:hAnsi="Arial"/>
                <w:sz w:val="19"/>
                <w:szCs w:val="19"/>
              </w:rPr>
              <w:t xml:space="preserve">O advogado deve analisar ambas as vias e orientar o cliente.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10.17 Síntese e Fluxograma Decisório</w:t>
      </w:r>
    </w:p>
    <w:p>
      <w:pPr>
        <w:spacing w:after="140" w:before="280"/>
      </w:pPr>
      <w:r>
        <w:rPr>
          <w:rFonts w:ascii="Arial" w:cs="Arial" w:eastAsia="Arial" w:hAnsi="Arial"/>
          <w:b/>
          <w:bCs/>
          <w:color w:val="2E86C1"/>
          <w:sz w:val="23"/>
          <w:szCs w:val="23"/>
        </w:rPr>
        <w:t xml:space="preserve">10.17.1 Quadro-resumo das regras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Regra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 (H/M)</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TC mínimo (H/M)</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Carência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Cálculo</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Pré-EC 103 (direito adquirido)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65/60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80% maiores SC × (70% + 1%/12 contrib.)</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18 EC 103 (transição)</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65/62</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15/15</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 × (60% + 2%/ano excedente)</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Regra permanente (programada)</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65/62</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20/15</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 × (60% + 2%/ano excedente)</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20 EC 103 (pedágio 100%)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60/57</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35+ped./30+ped.</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 × 100%</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PcD (LC 142/2013)</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60/55</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 PcD</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80% maiores × (70% + 1%/12 contrib.)</w:t>
            </w:r>
          </w:p>
        </w:tc>
      </w:tr>
    </w:tbl>
    <w:p>
      <w:pPr>
        <w:spacing w:after="160"/>
      </w:pPr>
    </w:p>
    <w:p>
      <w:pPr>
        <w:spacing w:after="140" w:before="280"/>
      </w:pPr>
      <w:r>
        <w:rPr>
          <w:rFonts w:ascii="Arial" w:cs="Arial" w:eastAsia="Arial" w:hAnsi="Arial"/>
          <w:b/>
          <w:bCs/>
          <w:color w:val="2E86C1"/>
          <w:sz w:val="23"/>
          <w:szCs w:val="23"/>
        </w:rPr>
        <w:t xml:space="preserve">10.17.2 Fluxograma de orientação ao segurado</w:t>
      </w:r>
    </w:p>
    <w:p>
      <w:pPr>
        <w:spacing w:after="100" w:before="100"/>
        <w:jc w:val="both"/>
      </w:pPr>
      <w:r>
        <w:rPr>
          <w:rFonts w:ascii="Arial" w:cs="Arial" w:eastAsia="Arial" w:hAnsi="Arial"/>
          <w:sz w:val="21"/>
          <w:szCs w:val="21"/>
        </w:rPr>
        <w:t xml:space="preserve">O advogado que recebe um cliente buscando aposentadoria por idade deve seguir o seguinte roteiro decisório:</w:t>
      </w:r>
    </w:p>
    <w:p>
      <w:pPr>
        <w:spacing w:after="60" w:before="60"/>
        <w:ind w:left="360"/>
      </w:pPr>
      <w:r>
        <w:rPr>
          <w:rFonts w:ascii="Arial" w:cs="Arial" w:eastAsia="Arial" w:hAnsi="Arial"/>
          <w:sz w:val="21"/>
          <w:szCs w:val="21"/>
        </w:rPr>
        <w:t xml:space="preserve">Passo 1: Verificar a data de nascimento e calcular a idade atual.</w:t>
      </w:r>
    </w:p>
    <w:p>
      <w:pPr>
        <w:spacing w:after="60" w:before="60"/>
        <w:ind w:left="360"/>
      </w:pPr>
      <w:r>
        <w:rPr>
          <w:rFonts w:ascii="Arial" w:cs="Arial" w:eastAsia="Arial" w:hAnsi="Arial"/>
          <w:sz w:val="21"/>
          <w:szCs w:val="21"/>
        </w:rPr>
        <w:t xml:space="preserve">Passo 2: Obter o CNIS e apurar: (a) data da primeira filiação ao RGPS; (b) total de contribuições de carência; (c) total de tempo de contribuição.</w:t>
      </w:r>
    </w:p>
    <w:p>
      <w:pPr>
        <w:spacing w:after="60" w:before="60"/>
        <w:ind w:left="360"/>
      </w:pPr>
      <w:r>
        <w:rPr>
          <w:rFonts w:ascii="Arial" w:cs="Arial" w:eastAsia="Arial" w:hAnsi="Arial"/>
          <w:sz w:val="21"/>
          <w:szCs w:val="21"/>
        </w:rPr>
        <w:t xml:space="preserve">Passo 3: Verificar se há direito adquirido à regra anterior: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Homem: tinha 65 anos + 180 contribuições em 13/11/2019?</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Mulher: tinha 60 anos + 180 contribuições em 13/11/2019?</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 sim → calcular pela regra antiga e comparar.</w:t>
      </w:r>
    </w:p>
    <w:p>
      <w:pPr>
        <w:spacing w:after="60" w:before="60"/>
        <w:ind w:left="360"/>
      </w:pPr>
      <w:r>
        <w:rPr>
          <w:rFonts w:ascii="Arial" w:cs="Arial" w:eastAsia="Arial" w:hAnsi="Arial"/>
          <w:sz w:val="21"/>
          <w:szCs w:val="21"/>
        </w:rPr>
        <w:t xml:space="preserve">Passo 4: Verificar enquadramento nas regras de transição (arts. 15, 16, 17, 18, 20, EC 103).</w:t>
      </w:r>
    </w:p>
    <w:p>
      <w:pPr>
        <w:spacing w:after="60" w:before="60"/>
        <w:ind w:left="360"/>
      </w:pPr>
      <w:r>
        <w:rPr>
          <w:rFonts w:ascii="Arial" w:cs="Arial" w:eastAsia="Arial" w:hAnsi="Arial"/>
          <w:sz w:val="21"/>
          <w:szCs w:val="21"/>
        </w:rPr>
        <w:t xml:space="preserve">Passo 5: Calcular o benefício por cada regra aplicável.</w:t>
      </w:r>
    </w:p>
    <w:p>
      <w:pPr>
        <w:spacing w:after="60" w:before="60"/>
        <w:ind w:left="360"/>
      </w:pPr>
      <w:r>
        <w:rPr>
          <w:rFonts w:ascii="Arial" w:cs="Arial" w:eastAsia="Arial" w:hAnsi="Arial"/>
          <w:sz w:val="21"/>
          <w:szCs w:val="21"/>
        </w:rPr>
        <w:t xml:space="preserve">Passo 6: Identificar a regra mais vantajosa e formular o pedido.</w:t>
      </w:r>
    </w:p>
    <w:p>
      <w:pPr>
        <w:spacing w:after="60" w:before="60"/>
        <w:ind w:left="360"/>
      </w:pPr>
      <w:r>
        <w:rPr>
          <w:rFonts w:ascii="Arial" w:cs="Arial" w:eastAsia="Arial" w:hAnsi="Arial"/>
          <w:sz w:val="21"/>
          <w:szCs w:val="21"/>
        </w:rPr>
        <w:t xml:space="preserve">Passo 7: Se nenhuma regra é atendida atualmente, projetar cenários futuros (em quantos meses/anos o segurado atingirá os requisitos por cada regra).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do advogado — Aposentadoria por idade nos JEFs</w:t>
            </w:r>
          </w:p>
          <w:p>
            <w:pPr>
              <w:spacing w:after="30" w:before="30"/>
              <w:ind w:left="200"/>
            </w:pPr>
            <w:r>
              <w:rPr>
                <w:rFonts w:ascii="Arial" w:cs="Arial" w:eastAsia="Arial" w:hAnsi="Arial"/>
                <w:sz w:val="19"/>
                <w:szCs w:val="19"/>
              </w:rPr>
              <w:t xml:space="preserve">[ ] CNIS obtido e analisado (vínculos, remunerações, indicadores)</w:t>
            </w:r>
          </w:p>
          <w:p>
            <w:pPr>
              <w:spacing w:after="30" w:before="30"/>
              <w:ind w:left="200"/>
            </w:pPr>
            <w:r>
              <w:rPr>
                <w:rFonts w:ascii="Arial" w:cs="Arial" w:eastAsia="Arial" w:hAnsi="Arial"/>
                <w:sz w:val="19"/>
                <w:szCs w:val="19"/>
              </w:rPr>
              <w:t xml:space="preserve">[ ] CTPS conferida contra o CNIS (vínculos faltantes identificados)</w:t>
            </w:r>
          </w:p>
          <w:p>
            <w:pPr>
              <w:spacing w:after="30" w:before="30"/>
              <w:ind w:left="200"/>
            </w:pPr>
            <w:r>
              <w:rPr>
                <w:rFonts w:ascii="Arial" w:cs="Arial" w:eastAsia="Arial" w:hAnsi="Arial"/>
                <w:sz w:val="19"/>
                <w:szCs w:val="19"/>
              </w:rPr>
              <w:t xml:space="preserve">[ ] Idade mínima verificada (65H/62M para regra de transição; 65H/62M para regra permanente; 60F para direito adquirido pré-EC 103)</w:t>
            </w:r>
          </w:p>
          <w:p>
            <w:pPr>
              <w:spacing w:after="30" w:before="30"/>
              <w:ind w:left="200"/>
            </w:pPr>
            <w:r>
              <w:rPr>
                <w:rFonts w:ascii="Arial" w:cs="Arial" w:eastAsia="Arial" w:hAnsi="Arial"/>
                <w:sz w:val="19"/>
                <w:szCs w:val="19"/>
              </w:rPr>
              <w:t xml:space="preserve">[ ] Carência contada mês a mês (180 contribuições efetivas)</w:t>
            </w:r>
          </w:p>
          <w:p>
            <w:pPr>
              <w:spacing w:after="30" w:before="30"/>
              <w:ind w:left="200"/>
            </w:pPr>
            <w:r>
              <w:rPr>
                <w:rFonts w:ascii="Arial" w:cs="Arial" w:eastAsia="Arial" w:hAnsi="Arial"/>
                <w:sz w:val="19"/>
                <w:szCs w:val="19"/>
              </w:rPr>
              <w:t xml:space="preserve">[ ] Tempo de contribuição calculado (incluindo períodos rurais, benefícios por incapacidade intercalados, tempo militar)</w:t>
            </w:r>
          </w:p>
          <w:p>
            <w:pPr>
              <w:spacing w:after="30" w:before="30"/>
              <w:ind w:left="200"/>
            </w:pPr>
            <w:r>
              <w:rPr>
                <w:rFonts w:ascii="Arial" w:cs="Arial" w:eastAsia="Arial" w:hAnsi="Arial"/>
                <w:sz w:val="19"/>
                <w:szCs w:val="19"/>
              </w:rPr>
              <w:t xml:space="preserve">[ ] Direito adquirido à regra anterior verificado</w:t>
            </w:r>
          </w:p>
          <w:p>
            <w:pPr>
              <w:spacing w:after="30" w:before="30"/>
              <w:ind w:left="200"/>
            </w:pPr>
            <w:r>
              <w:rPr>
                <w:rFonts w:ascii="Arial" w:cs="Arial" w:eastAsia="Arial" w:hAnsi="Arial"/>
                <w:sz w:val="19"/>
                <w:szCs w:val="19"/>
              </w:rPr>
              <w:t xml:space="preserve">[ ] Cálculo por todas as regras aplicáveis realizado</w:t>
            </w:r>
          </w:p>
          <w:p>
            <w:pPr>
              <w:spacing w:after="30" w:before="30"/>
              <w:ind w:left="200"/>
            </w:pPr>
            <w:r>
              <w:rPr>
                <w:rFonts w:ascii="Arial" w:cs="Arial" w:eastAsia="Arial" w:hAnsi="Arial"/>
                <w:sz w:val="19"/>
                <w:szCs w:val="19"/>
              </w:rPr>
              <w:t xml:space="preserve">[ ] Regra mais vantajosa identificada</w:t>
            </w:r>
          </w:p>
          <w:p>
            <w:pPr>
              <w:spacing w:after="30" w:before="30"/>
              <w:ind w:left="200"/>
            </w:pPr>
            <w:r>
              <w:rPr>
                <w:rFonts w:ascii="Arial" w:cs="Arial" w:eastAsia="Arial" w:hAnsi="Arial"/>
                <w:sz w:val="19"/>
                <w:szCs w:val="19"/>
              </w:rPr>
              <w:t xml:space="preserve">[ ] Requerimento administrativo prévio realizado (ou hipótese de dispensa justificada)</w:t>
            </w:r>
          </w:p>
          <w:p>
            <w:pPr>
              <w:spacing w:after="30" w:before="30"/>
              <w:ind w:left="200"/>
            </w:pPr>
            <w:r>
              <w:rPr>
                <w:rFonts w:ascii="Arial" w:cs="Arial" w:eastAsia="Arial" w:hAnsi="Arial"/>
                <w:sz w:val="19"/>
                <w:szCs w:val="19"/>
              </w:rPr>
              <w:t xml:space="preserve">[ ] Pedido formulado com indicação da regra mais vantajosa (principal) e alternativa (subsidiário)</w:t>
            </w:r>
          </w:p>
          <w:p>
            <w:pPr>
              <w:spacing w:after="30" w:before="30"/>
              <w:ind w:left="200"/>
            </w:pPr>
            <w:r>
              <w:rPr>
                <w:rFonts w:ascii="Arial" w:cs="Arial" w:eastAsia="Arial" w:hAnsi="Arial"/>
                <w:sz w:val="19"/>
                <w:szCs w:val="19"/>
              </w:rPr>
              <w:t xml:space="preserve">[ ] Tutela provisória requerida, se cabível</w:t>
            </w:r>
          </w:p>
          <w:p>
            <w:pPr>
              <w:spacing w:after="30" w:before="30"/>
              <w:ind w:left="200"/>
            </w:pPr>
            <w:r>
              <w:rPr>
                <w:rFonts w:ascii="Arial" w:cs="Arial" w:eastAsia="Arial" w:hAnsi="Arial"/>
                <w:sz w:val="19"/>
                <w:szCs w:val="19"/>
              </w:rPr>
              <w:t xml:space="preserve">[ ] Documentação completa juntada à inicial</w:t>
            </w:r>
          </w:p>
        </w:tc>
      </w:tr>
    </w:tbl>
    <w:p>
      <w:pPr>
        <w:spacing w:after="200"/>
      </w:pPr>
    </w:p>
    <w:p>
      <w:pPr>
        <w:spacing w:after="140" w:before="280"/>
      </w:pPr>
      <w:r>
        <w:rPr>
          <w:rFonts w:ascii="Arial" w:cs="Arial" w:eastAsia="Arial" w:hAnsi="Arial"/>
          <w:b/>
          <w:bCs/>
          <w:color w:val="2E86C1"/>
          <w:sz w:val="23"/>
          <w:szCs w:val="23"/>
        </w:rPr>
        <w:t xml:space="preserve">10.17.3 Tabela de atualização das regras de transição (2019-2033)</w:t>
      </w:r>
    </w:p>
    <w:p>
      <w:pPr>
        <w:spacing w:after="100" w:before="100"/>
        <w:jc w:val="both"/>
      </w:pPr>
      <w:r>
        <w:rPr>
          <w:rFonts w:ascii="Arial" w:cs="Arial" w:eastAsia="Arial" w:hAnsi="Arial"/>
          <w:sz w:val="21"/>
          <w:szCs w:val="21"/>
        </w:rPr>
        <w:t xml:space="preserve">Para facilitar a consulta, a tabela abaixo apresenta a evolução progressiva dos requisitos das regras de transição dos arts. 15, 16 e 18 da EC 103/2019, ano a ano, para homens e mulheres: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Art. 15 — Pontos (M)</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Art. 15 — Pontos (H)</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Art. 16 — Idade (M)</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Art. 16 — Idade (H)</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Art. 18 — Idade (M)</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2019</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86</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96</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56</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61</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2020</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87</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97</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56,5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61,5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60,5</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2021</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88</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98</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57</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61</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89</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99</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57,5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61,5</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2023</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90</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58</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63</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 (estabiliza)</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2024</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91</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101</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58,5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63,5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2025</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92</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102</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59</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64</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2026</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93</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103</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59,5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64,5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2027</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94</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104</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 (estabiliza)</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2028</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105 (estabiliza)</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2029</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96</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61</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2030</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97</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61,5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2031</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98</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 (estabiliza)</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2033</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(estabiliza)</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r>
    </w:tbl>
    <w:p>
      <w:pPr>
        <w:spacing w:after="160"/>
      </w:pPr>
    </w:p>
    <w:p>
      <w:pPr>
        <w:spacing w:after="60" w:before="60"/>
        <w:ind w:left="360"/>
      </w:pPr>
      <w:r>
        <w:rPr>
          <w:rFonts w:ascii="Arial" w:cs="Arial" w:eastAsia="Arial" w:hAnsi="Arial"/>
          <w:sz w:val="21"/>
          <w:szCs w:val="21"/>
        </w:rPr>
        <w:t xml:space="preserve">Observações: (i) Art. 15 exige 30 anos TC para mulher e 35 para homem; (ii) Art. 16 exige 30 anos TC para mulher e 35 para homem; (iii) Art. 18 exige apenas 15 anos TC (e 180 contribuições de carência); (iv) A idade do homem no art. 18 é 65 anos desde 2019, sem progressão.</w:t>
      </w:r>
    </w:p>
    <w:p>
      <w:pPr>
        <w:spacing w:after="140" w:before="280"/>
      </w:pPr>
      <w:r>
        <w:rPr>
          <w:rFonts w:ascii="Arial" w:cs="Arial" w:eastAsia="Arial" w:hAnsi="Arial"/>
          <w:b/>
          <w:bCs/>
          <w:color w:val="2E86C1"/>
          <w:sz w:val="23"/>
          <w:szCs w:val="23"/>
        </w:rPr>
        <w:t xml:space="preserve">10.17.4 Análise comparativa: qual regra escolher?</w:t>
      </w:r>
    </w:p>
    <w:p>
      <w:pPr>
        <w:spacing w:after="100" w:before="100"/>
        <w:jc w:val="both"/>
      </w:pPr>
      <w:r>
        <w:rPr>
          <w:rFonts w:ascii="Arial" w:cs="Arial" w:eastAsia="Arial" w:hAnsi="Arial"/>
          <w:sz w:val="21"/>
          <w:szCs w:val="21"/>
        </w:rPr>
        <w:t xml:space="preserve">A multiplicidade de regras torna o planejamento previdenciário uma tarefa de alta complexidade. A escolha da regra mais vantajosa depende do perfil individual do segurado e envolve variáveis como idade, tempo de contribuição total, valor dos salários de contribuição e data de filiação ao RGPS.</w:t>
      </w:r>
    </w:p>
    <w:p>
      <w:pPr>
        <w:spacing w:after="100" w:before="100"/>
        <w:jc w:val="both"/>
      </w:pPr>
      <w:r>
        <w:rPr>
          <w:rFonts w:ascii="Arial" w:cs="Arial" w:eastAsia="Arial" w:hAnsi="Arial"/>
          <w:sz w:val="21"/>
          <w:szCs w:val="21"/>
        </w:rPr>
        <w:t xml:space="preserve">Em linhas gerais, pode-se estabelecer as seguintes orientações:</w:t>
      </w:r>
    </w:p>
    <w:p>
      <w:pPr>
        <w:spacing w:after="60" w:before="60"/>
        <w:ind w:left="360"/>
      </w:pPr>
      <w:r>
        <w:rPr>
          <w:rFonts w:ascii="Arial" w:cs="Arial" w:eastAsia="Arial" w:hAnsi="Arial"/>
          <w:sz w:val="21"/>
          <w:szCs w:val="21"/>
        </w:rPr>
        <w:t xml:space="preserve">Segurado com muito tempo de contribuição (30+F / 35+H anos) e idade elevada: Deve verificar prioritariamente a regra do pedágio 100% (art. 20, EC 103), que garante coeficiente de 100% da média (sem o escalonamento de 60%+2%). Essa regra é geralmente a mais vantajosa quando o segurado tem idade suficiente (57M/60H) e o pedágio (tempo adicional) é curto.</w:t>
      </w:r>
    </w:p>
    <w:p>
      <w:pPr>
        <w:spacing w:after="60" w:before="60"/>
        <w:ind w:left="360"/>
      </w:pPr>
      <w:r>
        <w:rPr>
          <w:rFonts w:ascii="Arial" w:cs="Arial" w:eastAsia="Arial" w:hAnsi="Arial"/>
          <w:sz w:val="21"/>
          <w:szCs w:val="21"/>
        </w:rPr>
        <w:t xml:space="preserve">Segurado com pouco tempo de contribuição (15-20 anos) e idade elevada: Deve utilizar a regra de transição do art. 18 (aposentadoria por idade) ou a regra permanente (aposentadoria programada). O coeficiente será baixo (60-70%), mas é a única via disponível para quem não atingiu 30/35 anos de TC.</w:t>
      </w:r>
    </w:p>
    <w:p>
      <w:pPr>
        <w:spacing w:after="60" w:before="60"/>
        <w:ind w:left="360"/>
      </w:pPr>
      <w:r>
        <w:rPr>
          <w:rFonts w:ascii="Arial" w:cs="Arial" w:eastAsia="Arial" w:hAnsi="Arial"/>
          <w:sz w:val="21"/>
          <w:szCs w:val="21"/>
        </w:rPr>
        <w:t xml:space="preserve">Segurado que implementou requisitos antes de 13/11/2019: Deve verificar o direito adquirido à regra antiga, que frequentemente é a mais vantajosa por utilizar a média dos 80% maiores salários e o coeficiente de 70%+1% por grupo de 12 contribuições.</w:t>
      </w:r>
    </w:p>
    <w:p>
      <w:pPr>
        <w:spacing w:after="60" w:before="60"/>
        <w:ind w:left="360"/>
      </w:pPr>
      <w:r>
        <w:rPr>
          <w:rFonts w:ascii="Arial" w:cs="Arial" w:eastAsia="Arial" w:hAnsi="Arial"/>
          <w:sz w:val="21"/>
          <w:szCs w:val="21"/>
        </w:rPr>
        <w:t xml:space="preserve">Segurado próximo de completar requisitos: Deve avaliar se vale a pena aguardar alguns meses para atingir pontuação, idade ou tempo que garantam regra mais favorável. O custo de esperar (meses sem benefício) deve ser comparado ao ganho permanente no valor do benefício.</w:t>
      </w:r>
    </w:p>
    <w:p>
      <w:pPr>
        <w:spacing w:after="140" w:before="280"/>
      </w:pPr>
      <w:r>
        <w:rPr>
          <w:rFonts w:ascii="Arial" w:cs="Arial" w:eastAsia="Arial" w:hAnsi="Arial"/>
          <w:b/>
          <w:bCs/>
          <w:color w:val="2E86C1"/>
          <w:sz w:val="23"/>
          <w:szCs w:val="23"/>
        </w:rPr>
        <w:t xml:space="preserve">10.17.5 Perspectivas e tendências</w:t>
      </w:r>
    </w:p>
    <w:p>
      <w:pPr>
        <w:spacing w:after="100" w:before="100"/>
        <w:jc w:val="both"/>
      </w:pPr>
      <w:r>
        <w:rPr>
          <w:rFonts w:ascii="Arial" w:cs="Arial" w:eastAsia="Arial" w:hAnsi="Arial"/>
          <w:sz w:val="21"/>
          <w:szCs w:val="21"/>
        </w:rPr>
        <w:t xml:space="preserve">A aposentadoria por idade, em sua nova roupagem de aposentadoria programada, tende a se consolidar como a principal modalidade de aposentadoria no RGPS. Com a extinção da aposentadoria por tempo de contribuição para novos filiados após 13/11/2019, a via da idade será, progressivamente, a única disponível para esses segurados — exceto para segurados especiais (rurais) e pessoas com deficiência (LC 142/2013), que mantêm regras próprias.</w:t>
      </w:r>
    </w:p>
    <w:p>
      <w:pPr>
        <w:spacing w:after="100" w:before="100"/>
        <w:jc w:val="both"/>
      </w:pPr>
      <w:r>
        <w:rPr>
          <w:rFonts w:ascii="Arial" w:cs="Arial" w:eastAsia="Arial" w:hAnsi="Arial"/>
          <w:sz w:val="21"/>
          <w:szCs w:val="21"/>
        </w:rPr>
        <w:t xml:space="preserve">A transição entre o regime antigo e o novo será longa. As regras de transição da EC 103/2019 se aplicam a todos os segurados filiados antes de 13/11/2019 que não implementaram os requisitos para a aposentadoria até aquela data. Considerando que uma pessoa que se filiou ao RGPS em novembro de 2019, com 18 anos de idade, atingirá a idade de 62 anos (mulher) ou 65 anos (homem) somente por volta de 2063-2066, as regras de transição permanecerão relevantes por pelo menos quatro décadas. A coexistência de múltiplas regras — direito adquirido, transição (arts. 15, 16, 17, 18, 20) e permanente — criou um sistema de elevada complexidade normativa que demandará do Poder Judiciário, por muitos anos, a tarefa de interpretar e compatibilizar os diversos dispositivos.</w:t>
      </w:r>
    </w:p>
    <w:p>
      <w:pPr>
        <w:spacing w:after="100" w:before="100"/>
        <w:jc w:val="both"/>
      </w:pPr>
      <w:r>
        <w:rPr>
          <w:rFonts w:ascii="Arial" w:cs="Arial" w:eastAsia="Arial" w:hAnsi="Arial"/>
          <w:sz w:val="21"/>
          <w:szCs w:val="21"/>
        </w:rPr>
        <w:t xml:space="preserve">A tendência demográfica de envelhecimento populacional brasileiro exercerá pressão crescente sobre o sistema, potencialmente levando a novas reformas que elevem as idades mínimas ou modifiquem os critérios de cálculo. O Poder Judiciário, especialmente os JEFs, continuará sendo palco relevante das controvérsias, tanto na concessão de benefícios quanto na revisão dos já concedidos. Temas como a reafirmação da DER, a revisão da vida toda, a contagem de tempo rural como carência urbana e a exclusão de salários de contribuição da média continuarão gerando demandas nos próximos anos.</w:t>
      </w:r>
    </w:p>
    <w:p>
      <w:pPr>
        <w:spacing w:after="100" w:before="100"/>
        <w:jc w:val="both"/>
      </w:pPr>
      <w:r>
        <w:rPr>
          <w:rFonts w:ascii="Arial" w:cs="Arial" w:eastAsia="Arial" w:hAnsi="Arial"/>
          <w:sz w:val="21"/>
          <w:szCs w:val="21"/>
        </w:rPr>
        <w:t xml:space="preserve">Para o advogado previdenciário, o domínio das múltiplas regras coexistentes — direito adquirido, transição e permanente — é competência essencial que permanecerá relevante por décadas. Mais do que conhecer cada regra isoladamente, o profissional deve ser capaz de compará-las e identificar, para cada cliente individual, a combinação que resulta no benefício mais vantajoso. Essa análise comparativa, feita com rigor e atenção aos detalhes, é o que distingue a advocacia previdenciária de excelência da mera reprodução mecânica de fórmulas legais.</w:t>
      </w:r>
    </w:p>
    <w:p>
      <w:pPr>
        <w:spacing w:after="100" w:before="100"/>
        <w:jc w:val="both"/>
      </w:pPr>
      <w:r>
        <w:rPr>
          <w:rFonts w:ascii="Arial" w:cs="Arial" w:eastAsia="Arial" w:hAnsi="Arial"/>
          <w:sz w:val="21"/>
          <w:szCs w:val="21"/>
        </w:rPr>
        <w:t xml:space="preserve">O Capítulo 11, a seguir, examinará as regras de transição por tempo de contribuição (arts. 15, 16, 17 e 20 da EC 103/2019) em profundidade, incluindo o fator previdenciário, a regra 85/95, a contagem recíproca e a conversão de tempo especial — temas que complementam a visão panorâmica aqui oferecida e são indispensáveis para a orientação completa do segurado que busca o melhor benefício possível.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6"/>
        <w:szCs w:val="16"/>
      </w:rPr>
      <w:t xml:space="preserve">Cap. 10 — Aposentadoria Programada e Aposentadoria por Idade Urbana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2026-05-10T20:39:49.122Z</dcterms:created>
  <dcterms:modified xsi:type="dcterms:W3CDTF">2026-05-10T20:39:49.123Z</dcterms:modified>
</cp:coreProperties>
</file>

<file path=docProps/custom.xml><?xml version="1.0" encoding="utf-8"?>
<Properties xmlns="http://schemas.openxmlformats.org/officeDocument/2006/custom-properties" xmlns:vt="http://schemas.openxmlformats.org/officeDocument/2006/docPropsVTypes"/>
</file>