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566573"/>
          <w:sz w:val="20"/>
          <w:szCs w:val="20"/>
        </w:rPr>
        <w:t xml:space="preserve">PARTE II</w:t>
      </w:r>
    </w:p>
    <w:p>
      <w:pPr>
        <w:spacing w:after="100" w:before="100"/>
        <w:jc w:val="center"/>
      </w:pPr>
      <w:r>
        <w:rPr>
          <w:rFonts w:ascii="Arial" w:cs="Arial" w:eastAsia="Arial" w:hAnsi="Arial"/>
          <w:color w:val="566573"/>
          <w:sz w:val="20"/>
          <w:szCs w:val="20"/>
        </w:rPr>
        <w:t xml:space="preserve">Benefícios Previdenciários em Espécie</w:t>
      </w:r>
    </w:p>
    <w:p>
      <w:pPr>
        <w:pBdr>
          <w:bottom w:val="single" w:color="2E86C1" w:sz="8" w:space="8"/>
        </w:pBdr>
        <w:spacing w:after="400" w:before="200"/>
        <w:jc w:val="center"/>
      </w:pPr>
      <w:r>
        <w:rPr>
          <w:rFonts w:ascii="Arial" w:cs="Arial" w:eastAsia="Arial" w:hAnsi="Arial"/>
          <w:b/>
          <w:bCs/>
          <w:color w:val="1B4F72"/>
          <w:sz w:val="32"/>
          <w:szCs w:val="32"/>
        </w:rPr>
        <w:t xml:space="preserve">Capítulo 11 — Aposentadoria por Tempo de Contribuição e Regras de Transição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11.1 Introdução e Escopo</w:t>
      </w:r>
    </w:p>
    <w:p>
      <w:pPr>
        <w:spacing w:after="100" w:before="100"/>
        <w:jc w:val="both"/>
      </w:pPr>
      <w:r>
        <w:rPr>
          <w:rFonts w:ascii="Arial" w:cs="Arial" w:eastAsia="Arial" w:hAnsi="Arial"/>
          <w:sz w:val="21"/>
          <w:szCs w:val="21"/>
        </w:rPr>
        <w:t xml:space="preserve">A aposentadoria por tempo de contribuição, durante décadas a principal modalidade de aposentadoria do RGPS, foi extinta pela EC 103/2019 para os segurados filiados a partir de 13 de novembro de 2019. Para esses novos filiados, a via de acesso à aposentadoria é exclusivamente a aposentadoria programada (Capítulo 10), que exige cumulativamente idade mínima e tempo de contribuição.</w:t>
      </w:r>
    </w:p>
    <w:p>
      <w:pPr>
        <w:spacing w:after="100" w:before="100"/>
        <w:jc w:val="both"/>
      </w:pPr>
      <w:r>
        <w:rPr>
          <w:rFonts w:ascii="Arial" w:cs="Arial" w:eastAsia="Arial" w:hAnsi="Arial"/>
          <w:sz w:val="21"/>
          <w:szCs w:val="21"/>
        </w:rPr>
        <w:t xml:space="preserve">Contudo, para os segurados filiados antes de 13/11/2019 — que representam a esmagadora maioria dos segurados atualmente em atividade e que continuarão protagonizando requerimentos de aposentadoria por muitos anos —, a aposentadoria por tempo de contribuição permanece acessível por meio de quatro regras de transição estabelecidas nos arts. 15, 16, 17 e 20 da EC 103/2019. Essas regras coexistem entre si e com as regras de aposentadoria por idade (tratadas no Capítulo 10), cabendo ao segurado — orientado pelo advogado — escolher a mais vantajosa.</w:t>
      </w:r>
    </w:p>
    <w:p>
      <w:pPr>
        <w:spacing w:after="100" w:before="100"/>
        <w:jc w:val="both"/>
      </w:pPr>
      <w:r>
        <w:rPr>
          <w:rFonts w:ascii="Arial" w:cs="Arial" w:eastAsia="Arial" w:hAnsi="Arial"/>
          <w:sz w:val="21"/>
          <w:szCs w:val="21"/>
        </w:rPr>
        <w:t xml:space="preserve">O presente capítulo examina em profundidade cada uma das regras de transição por tempo de contribuição, o fator previdenciário (que permanece aplicável em situações específicas), a regra 85/95 da Lei 13.183/2015 (de aplicação residual), o direito adquirido à regra anterior, a aposentadoria proporcional (EC 20/1998), e temas correlatos como a contagem recíproca, o tempo fictício, a conversão de tempo especial e o planejamento previdenciário. Aspectos já tratados em profundidade nos Capítulos 5 (tempo de contribuição), 8 (aposentadoria especial) e 10 (aposentadoria por idade e regras de transição por idade) serão referenciados, evitando-se repetição.</w:t>
      </w:r>
    </w:p>
    <w:p>
      <w:pPr>
        <w:spacing w:after="100" w:before="100"/>
        <w:jc w:val="both"/>
      </w:pPr>
      <w:r>
        <w:rPr>
          <w:rFonts w:ascii="Arial" w:cs="Arial" w:eastAsia="Arial" w:hAnsi="Arial"/>
          <w:sz w:val="21"/>
          <w:szCs w:val="21"/>
        </w:rPr>
        <w:t xml:space="preserve">A relevância prática deste capítulo é proporcional à complexidade do tema: o segurado que busca aposentadoria por tempo de contribuição em 2026 encontra-se diante de um mosaico normativo composto por até seis regras distintas, cada qual com requisitos, bases de cálculo e coeficientes próprios. A escolha inadequada da regra pode resultar em prejuízo financeiro irreversível — motivo pelo qual a análise comparativa detalhada, acompanhada de simulações numéricas individualizadas, constitui imperativo da advocacia previdenciária responsável.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Escopo do Capítulo 11 — O que é tratado aqui e o que está em outros capítulos</w:t>
            </w:r>
          </w:p>
          <w:p>
            <w:pPr>
              <w:spacing w:after="40" w:before="40"/>
            </w:pPr>
            <w:r>
              <w:rPr>
                <w:rFonts w:ascii="Arial" w:cs="Arial" w:eastAsia="Arial" w:hAnsi="Arial"/>
                <w:sz w:val="19"/>
                <w:szCs w:val="19"/>
              </w:rPr>
              <w:t xml:space="preserve">- Capítulo 5: Conceito de tempo de contribuição, formas de cômputo, averbação, contagem recíproca (mecanismo e vedações), CTC.</w:t>
            </w:r>
          </w:p>
          <w:p>
            <w:pPr>
              <w:spacing w:after="40" w:before="40"/>
            </w:pPr>
            <w:r>
              <w:rPr>
                <w:rFonts w:ascii="Arial" w:cs="Arial" w:eastAsia="Arial" w:hAnsi="Arial"/>
                <w:sz w:val="19"/>
                <w:szCs w:val="19"/>
              </w:rPr>
              <w:t xml:space="preserve">- Capítulo 8: Aposentadoria especial, agentes nocivos, conversão de tempo especial em comum (fatores e fundamento), vedação pós-EC 103 (art. 25, § 2º).</w:t>
            </w:r>
          </w:p>
          <w:p>
            <w:pPr>
              <w:spacing w:after="40" w:before="40"/>
            </w:pPr>
            <w:r>
              <w:rPr>
                <w:rFonts w:ascii="Arial" w:cs="Arial" w:eastAsia="Arial" w:hAnsi="Arial"/>
                <w:sz w:val="19"/>
                <w:szCs w:val="19"/>
              </w:rPr>
              <w:t xml:space="preserve">- Capítulo 10: Aposentadoria programada (regra permanente), aposentadoria por idade (regra de transição art. 18), direito adquirido à aposentadoria por idade, reafirmação da DER, CNIS, carência, cálculo geral.</w:t>
            </w:r>
          </w:p>
          <w:p>
            <w:pPr>
              <w:spacing w:after="40" w:before="40"/>
            </w:pPr>
            <w:r>
              <w:rPr>
                <w:rFonts w:ascii="Arial" w:cs="Arial" w:eastAsia="Arial" w:hAnsi="Arial"/>
                <w:sz w:val="19"/>
                <w:szCs w:val="19"/>
              </w:rPr>
              <w:t xml:space="preserve">- Capítulo 11 (este): Regras de transição por tempo de contribuição (arts. 15, 16, 17, 20), fator previdenciário, regra 85/95, aposentadoria proporcional (EC 20/98), direito adquirido à aposentadoria por TC, planejamento previdenciário, professor.</w:t>
            </w:r>
          </w:p>
          <w:p>
            <w:pPr>
              <w:spacing w:after="40" w:before="40"/>
            </w:pPr>
            <w:r>
              <w:rPr>
                <w:rFonts w:ascii="Arial" w:cs="Arial" w:eastAsia="Arial" w:hAnsi="Arial"/>
                <w:sz w:val="19"/>
                <w:szCs w:val="19"/>
              </w:rPr>
              <w:t xml:space="preserve">- Capítulo 12: Aposentadoria da pessoa com deficiência (LC 142/2013).</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11.2 Evolução Histórica da Aposentadoria por Tempo de Serviço/Contribuição</w:t>
      </w:r>
    </w:p>
    <w:p>
      <w:pPr>
        <w:spacing w:after="140" w:before="280"/>
      </w:pPr>
      <w:r>
        <w:rPr>
          <w:rFonts w:ascii="Arial" w:cs="Arial" w:eastAsia="Arial" w:hAnsi="Arial"/>
          <w:b/>
          <w:bCs/>
          <w:color w:val="2E86C1"/>
          <w:sz w:val="23"/>
          <w:szCs w:val="23"/>
        </w:rPr>
        <w:t xml:space="preserve">11.2.1 Da aposentadoria por tempo de serviço à aposentadoria por tempo de contribuição</w:t>
      </w:r>
    </w:p>
    <w:p>
      <w:pPr>
        <w:spacing w:after="100" w:before="100"/>
        <w:jc w:val="both"/>
      </w:pPr>
      <w:r>
        <w:rPr>
          <w:rFonts w:ascii="Arial" w:cs="Arial" w:eastAsia="Arial" w:hAnsi="Arial"/>
          <w:sz w:val="21"/>
          <w:szCs w:val="21"/>
        </w:rPr>
        <w:t xml:space="preserve">A aposentadoria por tempo de serviço tem raízes na Lei Orgânica da Previdência Social (LOPS — Lei 3.807/1960), que a previa como direito do segurado após 30 anos de serviço (mulher) ou 35 anos (homem), sem exigência de idade mínima. O benefício correspondia à integralidade do salário de benefício, o que fazia dessa modalidade a mais procurada pelos segurados com longos vínculos empregatícios.</w:t>
      </w:r>
    </w:p>
    <w:p>
      <w:pPr>
        <w:spacing w:after="100" w:before="100"/>
        <w:jc w:val="both"/>
      </w:pPr>
      <w:r>
        <w:rPr>
          <w:rFonts w:ascii="Arial" w:cs="Arial" w:eastAsia="Arial" w:hAnsi="Arial"/>
          <w:sz w:val="21"/>
          <w:szCs w:val="21"/>
        </w:rPr>
        <w:t xml:space="preserve">A Constituição de 1988, em sua redação original (art. 202), manteve a aposentadoria por tempo de serviço com os mesmos requisitos de 30/35 anos, igualmente sem idade mínima. Essa ausência de requisito etário permitia aposentadorias precoces — não raro aos 48 ou 50 anos de idade — o que gerava pressão sobre o equilíbrio atuarial do sistema.</w:t>
      </w:r>
    </w:p>
    <w:p>
      <w:pPr>
        <w:spacing w:after="140" w:before="280"/>
      </w:pPr>
      <w:r>
        <w:rPr>
          <w:rFonts w:ascii="Arial" w:cs="Arial" w:eastAsia="Arial" w:hAnsi="Arial"/>
          <w:b/>
          <w:bCs/>
          <w:color w:val="2E86C1"/>
          <w:sz w:val="23"/>
          <w:szCs w:val="23"/>
        </w:rPr>
        <w:t xml:space="preserve">11.2.2 A EC 20/1998: idade mínima frustrada e fator previdenciário</w:t>
      </w:r>
    </w:p>
    <w:p>
      <w:pPr>
        <w:spacing w:after="100" w:before="100"/>
        <w:jc w:val="both"/>
      </w:pPr>
      <w:r>
        <w:rPr>
          <w:rFonts w:ascii="Arial" w:cs="Arial" w:eastAsia="Arial" w:hAnsi="Arial"/>
          <w:sz w:val="21"/>
          <w:szCs w:val="21"/>
        </w:rPr>
        <w:t xml:space="preserve">A Emenda Constitucional 20/1998 representou a primeira grande tentativa de reforma, buscando introduzir idade mínima para a aposentadoria por tempo de contribuição. Contudo, a resistência política resultou na supressão da idade mínima do texto final da Emenda. Em compensação, duas mudanças significativas foram implementadas:</w:t>
      </w:r>
    </w:p>
    <w:p>
      <w:pPr>
        <w:spacing w:after="60" w:before="60"/>
        <w:ind w:left="360"/>
      </w:pPr>
      <w:r>
        <w:rPr>
          <w:rFonts w:ascii="Arial" w:cs="Arial" w:eastAsia="Arial" w:hAnsi="Arial"/>
          <w:sz w:val="21"/>
          <w:szCs w:val="21"/>
        </w:rPr>
        <w:t xml:space="preserve">Primeira: A substituição do conceito de "tempo de serviço" por "tempo de contribuição" (art. 201, § 7º, nova redação), exigindo contribuição efetiva ao sistema — e não apenas exercício de atividade. Essa mudança conceitual vedou a contagem de tempo fictício (art. 40, § 10, CF), eliminando benefícios como a contagem em dobro de licença-prêmio não gozada.</w:t>
      </w:r>
    </w:p>
    <w:p>
      <w:pPr>
        <w:spacing w:after="60" w:before="60"/>
        <w:ind w:left="360"/>
      </w:pPr>
      <w:r>
        <w:rPr>
          <w:rFonts w:ascii="Arial" w:cs="Arial" w:eastAsia="Arial" w:hAnsi="Arial"/>
          <w:sz w:val="21"/>
          <w:szCs w:val="21"/>
        </w:rPr>
        <w:t xml:space="preserve">Segunda: A criação de uma regra de transição (art. 9º da EC 20/98) que previa aposentadoria proporcional para segurados com idade mínima de 48/53 anos e pedágio de 40% sobre o tempo faltante. Essa regra de transição, posteriormente revogada pelo art. 35 da EC 103/2019, ainda produz efeitos para segurados que implementaram seus requisitos antes de 13/11/2019 (direito adquirido).</w:t>
      </w:r>
    </w:p>
    <w:p>
      <w:pPr>
        <w:spacing w:after="140" w:before="280"/>
      </w:pPr>
      <w:r>
        <w:rPr>
          <w:rFonts w:ascii="Arial" w:cs="Arial" w:eastAsia="Arial" w:hAnsi="Arial"/>
          <w:b/>
          <w:bCs/>
          <w:color w:val="2E86C1"/>
          <w:sz w:val="23"/>
          <w:szCs w:val="23"/>
        </w:rPr>
        <w:t xml:space="preserve">11.2.3 A Lei 9.876/1999: o fator previdenciário</w:t>
      </w:r>
    </w:p>
    <w:p>
      <w:pPr>
        <w:spacing w:after="100" w:before="100"/>
        <w:jc w:val="both"/>
      </w:pPr>
      <w:r>
        <w:rPr>
          <w:rFonts w:ascii="Arial" w:cs="Arial" w:eastAsia="Arial" w:hAnsi="Arial"/>
          <w:sz w:val="21"/>
          <w:szCs w:val="21"/>
        </w:rPr>
        <w:t xml:space="preserve">A frustração da idade mínima na EC 20/98 levou o governo a buscar um mecanismo alternativo de desestímulo à aposentadoria precoce. A solução encontrada foi o fator previdenciário, instituído pela Lei 9.876/1999 e inserido no art. 29 da Lei 8.213/91. O fator é uma fórmula matemática que relaciona tempo de contribuição, idade e expectativa de sobrevida (tabela IBGE), produzindo um coeficiente que, na maioria dos casos de aposentadoria precoce, reduz substancialmente o valor do benefício.</w:t>
      </w:r>
    </w:p>
    <w:p>
      <w:pPr>
        <w:spacing w:after="100" w:before="100"/>
        <w:jc w:val="both"/>
      </w:pPr>
      <w:r>
        <w:rPr>
          <w:rFonts w:ascii="Arial" w:cs="Arial" w:eastAsia="Arial" w:hAnsi="Arial"/>
          <w:sz w:val="21"/>
          <w:szCs w:val="21"/>
        </w:rPr>
        <w:t xml:space="preserve">O fator previdenciário foi objeto da ADI 2.111, na qual o STF reconheceu sua constitucionalidade, entendendo que a fórmula atuarial constitui mecanismo legítimo de equilíbrio financeiro do sistema previdenciário.</w:t>
      </w:r>
    </w:p>
    <w:p>
      <w:pPr>
        <w:spacing w:after="140" w:before="280"/>
      </w:pPr>
      <w:r>
        <w:rPr>
          <w:rFonts w:ascii="Arial" w:cs="Arial" w:eastAsia="Arial" w:hAnsi="Arial"/>
          <w:b/>
          <w:bCs/>
          <w:color w:val="2E86C1"/>
          <w:sz w:val="23"/>
          <w:szCs w:val="23"/>
        </w:rPr>
        <w:t xml:space="preserve">11.2.4 A Lei 13.183/2015: a regra 85/95 como alternativa</w:t>
      </w:r>
    </w:p>
    <w:p>
      <w:pPr>
        <w:spacing w:after="100" w:before="100"/>
        <w:jc w:val="both"/>
      </w:pPr>
      <w:r>
        <w:rPr>
          <w:rFonts w:ascii="Arial" w:cs="Arial" w:eastAsia="Arial" w:hAnsi="Arial"/>
          <w:sz w:val="21"/>
          <w:szCs w:val="21"/>
        </w:rPr>
        <w:t xml:space="preserve">A insatisfação com os efeitos redutores do fator previdenciário levou à criação, pela Lei 13.183/2015, da chamada regra 85/95 (art. 29-C da Lei 8.213/91). Por essa regra, o segurado que atingisse uma pontuação mínima (soma de idade + tempo de contribuição) poderia optar por se aposentar sem a incidência do fator previdenciário, recebendo 100% do salário de benefício. A pontuação era progressiva: 85/95 de 2015 a 2018, aumentando 1 ponto a cada 2 anos, até atingir 90/100.</w:t>
      </w:r>
    </w:p>
    <w:p>
      <w:pPr>
        <w:spacing w:after="100" w:before="100"/>
        <w:jc w:val="both"/>
      </w:pPr>
      <w:r>
        <w:rPr>
          <w:rFonts w:ascii="Arial" w:cs="Arial" w:eastAsia="Arial" w:hAnsi="Arial"/>
          <w:sz w:val="21"/>
          <w:szCs w:val="21"/>
        </w:rPr>
        <w:t xml:space="preserve">A regra 85/95 funcionava como uma porta de saída: o segurado com idade e tempo de contribuição suficientes poderia escapar do fator previdenciário sem precisar de idade mínima formal. A lógica era que, se o segurado atingia uma pontuação elevada, já não estava se aposentando precocemente.</w:t>
      </w:r>
    </w:p>
    <w:p>
      <w:pPr>
        <w:spacing w:after="140" w:before="280"/>
      </w:pPr>
      <w:r>
        <w:rPr>
          <w:rFonts w:ascii="Arial" w:cs="Arial" w:eastAsia="Arial" w:hAnsi="Arial"/>
          <w:b/>
          <w:bCs/>
          <w:color w:val="2E86C1"/>
          <w:sz w:val="23"/>
          <w:szCs w:val="23"/>
        </w:rPr>
        <w:t xml:space="preserve">11.2.5 A EC 103/2019: extinção e transição</w:t>
      </w:r>
    </w:p>
    <w:p>
      <w:pPr>
        <w:spacing w:after="100" w:before="100"/>
        <w:jc w:val="both"/>
      </w:pPr>
      <w:r>
        <w:rPr>
          <w:rFonts w:ascii="Arial" w:cs="Arial" w:eastAsia="Arial" w:hAnsi="Arial"/>
          <w:sz w:val="21"/>
          <w:szCs w:val="21"/>
        </w:rPr>
        <w:t xml:space="preserve">A EC 103/2019 foi o golpe definitivo na aposentadoria por tempo de contribuição como espécie autônoma. Para novos filiados, o inciso II do art. 201, § 7º, da CF/88, que previa a aposentadoria por tempo de contribuição, foi tacitamente superado pela nova redação do inciso I, que instituiu a aposentadoria programada com requisitos cumulativos de idade e tempo de contribuição.</w:t>
      </w:r>
    </w:p>
    <w:p>
      <w:pPr>
        <w:spacing w:after="100" w:before="100"/>
        <w:jc w:val="both"/>
      </w:pPr>
      <w:r>
        <w:rPr>
          <w:rFonts w:ascii="Arial" w:cs="Arial" w:eastAsia="Arial" w:hAnsi="Arial"/>
          <w:sz w:val="21"/>
          <w:szCs w:val="21"/>
        </w:rPr>
        <w:t xml:space="preserve">Para os filiados anteriores, quatro regras de transição foram estabelecidas, cada uma com características distintas que as tornam mais ou menos vantajosas conforme o perfil do segurado. A tabela abaixo sintetiza a evolução legislativa:</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Período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Marco legal</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Regime</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1960-1988</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LOPS (Lei 3.807/60)</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Aposentadoria por tempo de serviço (30M/35H), sem idade</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1988-1998</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CF/88 (art. 202 original)</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Aposentadoria por tempo de serviço (30M/35H), sem idade</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1998-1999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EC 20/98</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"Tempo de contribuição", vedação tempo fictício, regra de transição proporcional</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1999-2015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Lei 9.876/99</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Fator previdenciário obrigatório na aposentadoria por TC</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2015-2019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Lei 13.183/15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Regra 85/95 alternativa (afasta fator se atingir pontos)</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2019+</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EC 103/19</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Extinção da aposentadoria por TC para novos filiados; 4 regras de transição</w:t>
            </w:r>
          </w:p>
        </w:tc>
      </w:tr>
    </w:tbl>
    <w:p>
      <w:pPr>
        <w:spacing w:after="16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11.3 Direito Adquirido à Regra Anterior (Art. 3º, EC 103/2019)</w:t>
      </w:r>
    </w:p>
    <w:p>
      <w:pPr>
        <w:spacing w:after="140" w:before="280"/>
      </w:pPr>
      <w:r>
        <w:rPr>
          <w:rFonts w:ascii="Arial" w:cs="Arial" w:eastAsia="Arial" w:hAnsi="Arial"/>
          <w:b/>
          <w:bCs/>
          <w:color w:val="2E86C1"/>
          <w:sz w:val="23"/>
          <w:szCs w:val="23"/>
        </w:rPr>
        <w:t xml:space="preserve">11.3.1 Fundamento constitucional</w:t>
      </w:r>
    </w:p>
    <w:p>
      <w:pPr>
        <w:spacing w:after="100" w:before="100"/>
        <w:jc w:val="both"/>
      </w:pPr>
      <w:r>
        <w:rPr>
          <w:rFonts w:ascii="Arial" w:cs="Arial" w:eastAsia="Arial" w:hAnsi="Arial"/>
          <w:sz w:val="21"/>
          <w:szCs w:val="21"/>
        </w:rPr>
        <w:t xml:space="preserve">O art. 3º da EC 103/2019 expressamente preserva o direito adquirido dos segurados que implementaram os requisitos para qualquer modalidade de aposentadoria prevista na legislação anterior até a data de entrada em vigor da Emenda (13/11/2019). Essa preservação decorre diretamente do art. 5º, XXXVI, da CF/88 (proteção ao direito adquirido) e do princípio tempus regit actum.</w:t>
      </w:r>
    </w:p>
    <w:p>
      <w:pPr>
        <w:spacing w:after="100" w:before="100"/>
        <w:jc w:val="both"/>
      </w:pPr>
      <w:r>
        <w:rPr>
          <w:rFonts w:ascii="Arial" w:cs="Arial" w:eastAsia="Arial" w:hAnsi="Arial"/>
          <w:sz w:val="21"/>
          <w:szCs w:val="21"/>
        </w:rPr>
        <w:t xml:space="preserve">Para a aposentadoria por tempo de contribuição, o direito adquirido se configura quando o segurado, até 12/11/2019 (último dia antes da EC 103), completou:</w:t>
      </w:r>
    </w:p>
    <w:p>
      <w:pPr>
        <w:spacing w:after="60" w:before="60"/>
        <w:ind w:left="360"/>
      </w:pPr>
      <w:r>
        <w:rPr>
          <w:rFonts w:ascii="Arial" w:cs="Arial" w:eastAsia="Arial" w:hAnsi="Arial"/>
          <w:sz w:val="21"/>
          <w:szCs w:val="21"/>
        </w:rPr>
        <w:t xml:space="preserve">a) Aposentadoria por TC integral (regra anterior): 35 anos de contribuição (homem) ou 30 anos (mulher), sem exigência de idade mínima. O cálculo se dá pela média dos 80% maiores salários de contribuição desde julho/1994, com aplicação obrigatória do fator previdenciário.</w:t>
      </w:r>
    </w:p>
    <w:p>
      <w:pPr>
        <w:spacing w:after="60" w:before="60"/>
        <w:ind w:left="360"/>
      </w:pPr>
      <w:r>
        <w:rPr>
          <w:rFonts w:ascii="Arial" w:cs="Arial" w:eastAsia="Arial" w:hAnsi="Arial"/>
          <w:sz w:val="21"/>
          <w:szCs w:val="21"/>
        </w:rPr>
        <w:t xml:space="preserve">b) Aposentadoria por TC com regra 85/95 (Lei 13.183/2015): 35/30 anos de TC + pontuação mínima de 86/96 (em 2019). Nesse caso, o fator previdenciário é afastado e o benefício corresponde a 100% do salário de benefício (média dos 80% maiores SC).</w:t>
      </w:r>
    </w:p>
    <w:p>
      <w:pPr>
        <w:spacing w:after="60" w:before="60"/>
        <w:ind w:left="360"/>
      </w:pPr>
      <w:r>
        <w:rPr>
          <w:rFonts w:ascii="Arial" w:cs="Arial" w:eastAsia="Arial" w:hAnsi="Arial"/>
          <w:sz w:val="21"/>
          <w:szCs w:val="21"/>
        </w:rPr>
        <w:t xml:space="preserve">c) Aposentadoria proporcional (EC 20/98): 30/25 anos de TC + idade mínima 53/48 + pedágio de 40% do tempo que faltava em 16/12/1998. Benefício: 70% do SB + 5% por ano adicional.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Direito adquirido — Aplicação do princípio tempus regit actum</w:t>
            </w:r>
          </w:p>
          <w:p>
            <w:pPr>
              <w:spacing w:after="40" w:before="40"/>
            </w:pPr>
            <w:r>
              <w:rPr>
                <w:rFonts w:ascii="Arial" w:cs="Arial" w:eastAsia="Arial" w:hAnsi="Arial"/>
                <w:sz w:val="19"/>
                <w:szCs w:val="19"/>
              </w:rPr>
              <w:t xml:space="preserve">O STF e o STJ reiteradamente reconhecem que o segurado que implementa os requisitos para a aposentadoria sob determinada legislação tem direito adquirido à concessão segundo as regras vigentes naquele momento, mesmo que requeira o benefício em data posterior. Esse entendimento foi reafirmado pelo art. 3º da EC 103/2019 e constitui garantia fundamental do sistema previdenciário.</w:t>
            </w:r>
          </w:p>
          <w:p>
            <w:pPr>
              <w:spacing w:after="40" w:before="40"/>
            </w:pPr>
            <w:r>
              <w:rPr>
                <w:rFonts w:ascii="Arial" w:cs="Arial" w:eastAsia="Arial" w:hAnsi="Arial"/>
                <w:sz w:val="19"/>
                <w:szCs w:val="19"/>
              </w:rPr>
              <w:t xml:space="preserve">Na prática, significa que um segurado que completou 35 anos de TC em outubro de 2019 (antes da EC 103) pode requerer a aposentadoria em 2026 e terá o benefício calculado pela regra antiga — média dos 80% maiores salários, com aplicação do fator previdenciário (ou pela regra 85/95, se atingiu os pontos). A data de implementação dos requisitos é o marco; a data do requerimento é irrelevante para a escolha da regra.</w:t>
            </w:r>
          </w:p>
          <w:p>
            <w:pPr>
              <w:spacing w:after="40" w:before="40"/>
            </w:pPr>
            <w:r>
              <w:rPr>
                <w:rFonts w:ascii="Arial" w:cs="Arial" w:eastAsia="Arial" w:hAnsi="Arial"/>
                <w:sz w:val="19"/>
                <w:szCs w:val="19"/>
              </w:rPr>
              <w:t xml:space="preserve">Atenção: O direito adquirido refere-se aos requisitos e ao cálculo, mas a DIB será fixada na data do requerimento administrativo (ou da reafirmação da DER, se aplicável — seção 10.8).</w:t>
            </w:r>
          </w:p>
        </w:tc>
      </w:tr>
    </w:tbl>
    <w:p>
      <w:pPr>
        <w:spacing w:after="200"/>
      </w:pPr>
    </w:p>
    <w:p>
      <w:pPr>
        <w:spacing w:after="140" w:before="280"/>
      </w:pPr>
      <w:r>
        <w:rPr>
          <w:rFonts w:ascii="Arial" w:cs="Arial" w:eastAsia="Arial" w:hAnsi="Arial"/>
          <w:b/>
          <w:bCs/>
          <w:color w:val="2E86C1"/>
          <w:sz w:val="23"/>
          <w:szCs w:val="23"/>
        </w:rPr>
        <w:t xml:space="preserve">11.3.2 Identificação prática do direito adquirido</w:t>
      </w:r>
    </w:p>
    <w:p>
      <w:pPr>
        <w:spacing w:after="100" w:before="100"/>
        <w:jc w:val="both"/>
      </w:pPr>
      <w:r>
        <w:rPr>
          <w:rFonts w:ascii="Arial" w:cs="Arial" w:eastAsia="Arial" w:hAnsi="Arial"/>
          <w:sz w:val="21"/>
          <w:szCs w:val="21"/>
        </w:rPr>
        <w:t xml:space="preserve">O advogado deve verificar, para cada cliente:</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Data da primeira filiação ao RGPS: Determina se o segurado é "pré-EC 103" (filiado antes de 13/11/2019).</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TC acumulado até 12/11/2019: Se o segurado tinha 35H/30M anos de TC nessa data, tem direito adquirido à aposentadoria por TC integral pela regra anterior.</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Pontuação em 12/11/2019: Se o segurado tinha 86H/96M pontos (idade + TC) + 35H/30M anos TC, tem direito adquirido à regra 85/95 (sem fator previdenciário).</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Requisitos da EC 20/98: Se o segurado tinha 53H/48M anos + 30H/25M TC + pedágio 40% em 12/11/2019, tem direito adquirido à aposentadoria proporcional.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 Identificação de direito adquirido</w:t>
            </w:r>
          </w:p>
          <w:p>
            <w:pPr>
              <w:spacing w:after="40" w:before="40"/>
            </w:pPr>
            <w:r>
              <w:rPr>
                <w:rFonts w:ascii="Arial" w:cs="Arial" w:eastAsia="Arial" w:hAnsi="Arial"/>
                <w:sz w:val="19"/>
                <w:szCs w:val="19"/>
              </w:rPr>
              <w:t xml:space="preserve">Roberto, 64 anos em 2026, filiado ao RGPS em 1984. Em 12/11/2019, Roberto tinha:</w:t>
            </w:r>
          </w:p>
          <w:p>
            <w:pPr>
              <w:spacing w:after="40" w:before="40"/>
            </w:pPr>
            <w:r>
              <w:rPr>
                <w:rFonts w:ascii="Arial" w:cs="Arial" w:eastAsia="Arial" w:hAnsi="Arial"/>
                <w:sz w:val="19"/>
                <w:szCs w:val="19"/>
              </w:rPr>
              <w:t xml:space="preserve">- Idade: 57 anos</w:t>
            </w:r>
          </w:p>
          <w:p>
            <w:pPr>
              <w:spacing w:after="40" w:before="40"/>
            </w:pPr>
            <w:r>
              <w:rPr>
                <w:rFonts w:ascii="Arial" w:cs="Arial" w:eastAsia="Arial" w:hAnsi="Arial"/>
                <w:sz w:val="19"/>
                <w:szCs w:val="19"/>
              </w:rPr>
              <w:t xml:space="preserve">- TC: 35 anos (1984-2019)</w:t>
            </w:r>
          </w:p>
          <w:p>
            <w:pPr>
              <w:spacing w:after="40" w:before="40"/>
            </w:pPr>
            <w:r>
              <w:rPr>
                <w:rFonts w:ascii="Arial" w:cs="Arial" w:eastAsia="Arial" w:hAnsi="Arial"/>
                <w:sz w:val="19"/>
                <w:szCs w:val="19"/>
              </w:rPr>
              <w:t xml:space="preserve">- Pontos: 57 + 35 = 92</w:t>
            </w:r>
          </w:p>
          <w:p>
            <w:pPr>
              <w:spacing w:after="40" w:before="40"/>
            </w:pPr>
            <w:r>
              <w:rPr>
                <w:rFonts w:ascii="Arial" w:cs="Arial" w:eastAsia="Arial" w:hAnsi="Arial"/>
                <w:sz w:val="19"/>
                <w:szCs w:val="19"/>
              </w:rPr>
              <w:t xml:space="preserve">Verificação:</w:t>
            </w:r>
          </w:p>
          <w:p>
            <w:pPr>
              <w:spacing w:after="40" w:before="40"/>
            </w:pPr>
            <w:r>
              <w:rPr>
                <w:rFonts w:ascii="Arial" w:cs="Arial" w:eastAsia="Arial" w:hAnsi="Arial"/>
                <w:sz w:val="19"/>
                <w:szCs w:val="19"/>
              </w:rPr>
              <w:t xml:space="preserve">- Aposentadoria por TC integral (regra anterior): 35 anos TC ✅ → tem direito adquirido</w:t>
            </w:r>
          </w:p>
          <w:p>
            <w:pPr>
              <w:spacing w:after="40" w:before="40"/>
            </w:pPr>
            <w:r>
              <w:rPr>
                <w:rFonts w:ascii="Arial" w:cs="Arial" w:eastAsia="Arial" w:hAnsi="Arial"/>
                <w:sz w:val="19"/>
                <w:szCs w:val="19"/>
              </w:rPr>
              <w:t xml:space="preserve">- Regra 85/95: pontuação em 2019 = 92 ≥ 96? Não (92 &lt; 96) → não tem direito adquirido à regra 85/95</w:t>
            </w:r>
          </w:p>
          <w:p>
            <w:pPr>
              <w:spacing w:after="40" w:before="40"/>
            </w:pPr>
            <w:r>
              <w:rPr>
                <w:rFonts w:ascii="Arial" w:cs="Arial" w:eastAsia="Arial" w:hAnsi="Arial"/>
                <w:sz w:val="19"/>
                <w:szCs w:val="19"/>
              </w:rPr>
              <w:t xml:space="preserve">- Conclusão: Roberto tem direito adquirido à aposentadoria por TC com fator previdenciário.</w:t>
            </w:r>
          </w:p>
          <w:p>
            <w:pPr>
              <w:spacing w:after="40" w:before="40"/>
            </w:pPr>
            <w:r>
              <w:rPr>
                <w:rFonts w:ascii="Arial" w:cs="Arial" w:eastAsia="Arial" w:hAnsi="Arial"/>
                <w:sz w:val="19"/>
                <w:szCs w:val="19"/>
              </w:rPr>
              <w:t xml:space="preserve">Cálculo do fator em 2019 (se tivesse requerido):</w:t>
            </w:r>
          </w:p>
          <w:p>
            <w:pPr>
              <w:spacing w:after="40" w:before="40"/>
            </w:pPr>
            <w:r>
              <w:rPr>
                <w:rFonts w:ascii="Arial" w:cs="Arial" w:eastAsia="Arial" w:hAnsi="Arial"/>
                <w:sz w:val="19"/>
                <w:szCs w:val="19"/>
              </w:rPr>
              <w:t xml:space="preserve">- Tc = 35, Id = 57, Es ≈ 24,0 anos (tabela IBGE 2019)</w:t>
            </w:r>
          </w:p>
          <w:p>
            <w:pPr>
              <w:spacing w:after="40" w:before="40"/>
            </w:pPr>
            <w:r>
              <w:rPr>
                <w:rFonts w:ascii="Arial" w:cs="Arial" w:eastAsia="Arial" w:hAnsi="Arial"/>
                <w:sz w:val="19"/>
                <w:szCs w:val="19"/>
              </w:rPr>
              <w:t xml:space="preserve">- f = (35 × 0,31 / 24,0) × [1 + (57 + 35 × 0,31) / 100]</w:t>
            </w:r>
          </w:p>
          <w:p>
            <w:pPr>
              <w:spacing w:after="40" w:before="40"/>
            </w:pPr>
            <w:r>
              <w:rPr>
                <w:rFonts w:ascii="Arial" w:cs="Arial" w:eastAsia="Arial" w:hAnsi="Arial"/>
                <w:sz w:val="19"/>
                <w:szCs w:val="19"/>
              </w:rPr>
              <w:t xml:space="preserve">- f = (10,85 / 24,0) × [1 + (57 + 10,85) / 100]</w:t>
            </w:r>
          </w:p>
          <w:p>
            <w:pPr>
              <w:spacing w:after="40" w:before="40"/>
            </w:pPr>
            <w:r>
              <w:rPr>
                <w:rFonts w:ascii="Arial" w:cs="Arial" w:eastAsia="Arial" w:hAnsi="Arial"/>
                <w:sz w:val="19"/>
                <w:szCs w:val="19"/>
              </w:rPr>
              <w:t xml:space="preserve">- f = 0,4521 × 1,6785 = 0,759</w:t>
            </w:r>
          </w:p>
          <w:p>
            <w:pPr>
              <w:spacing w:after="40" w:before="40"/>
            </w:pPr>
            <w:r>
              <w:rPr>
                <w:rFonts w:ascii="Arial" w:cs="Arial" w:eastAsia="Arial" w:hAnsi="Arial"/>
                <w:sz w:val="19"/>
                <w:szCs w:val="19"/>
              </w:rPr>
              <w:t xml:space="preserve">- Média 80% maiores: R$ 5.800,00 → RMI = R$ 5.800 × 0,759 = R$ 4.402,20</w:t>
            </w:r>
          </w:p>
          <w:p>
            <w:pPr>
              <w:spacing w:after="40" w:before="40"/>
            </w:pPr>
            <w:r>
              <w:rPr>
                <w:rFonts w:ascii="Arial" w:cs="Arial" w:eastAsia="Arial" w:hAnsi="Arial"/>
                <w:sz w:val="19"/>
                <w:szCs w:val="19"/>
              </w:rPr>
              <w:t xml:space="preserve">Se Roberto requerer agora (2026), com 42 anos de TC e 64 anos de idade:</w:t>
            </w:r>
          </w:p>
          <w:p>
            <w:pPr>
              <w:spacing w:after="40" w:before="40"/>
            </w:pPr>
            <w:r>
              <w:rPr>
                <w:rFonts w:ascii="Arial" w:cs="Arial" w:eastAsia="Arial" w:hAnsi="Arial"/>
                <w:sz w:val="19"/>
                <w:szCs w:val="19"/>
              </w:rPr>
              <w:t xml:space="preserve">- Pode exercer o direito adquirido (regra anterior com fator), OU</w:t>
            </w:r>
          </w:p>
          <w:p>
            <w:pPr>
              <w:spacing w:after="40" w:before="40"/>
            </w:pPr>
            <w:r>
              <w:rPr>
                <w:rFonts w:ascii="Arial" w:cs="Arial" w:eastAsia="Arial" w:hAnsi="Arial"/>
                <w:sz w:val="19"/>
                <w:szCs w:val="19"/>
              </w:rPr>
              <w:t xml:space="preserve">- Pode optar por regra de transição (art. 15, 16, 17 ou 20)</w:t>
            </w:r>
          </w:p>
          <w:p>
            <w:pPr>
              <w:spacing w:after="40" w:before="40"/>
            </w:pPr>
            <w:r>
              <w:rPr>
                <w:rFonts w:ascii="Arial" w:cs="Arial" w:eastAsia="Arial" w:hAnsi="Arial"/>
                <w:sz w:val="19"/>
                <w:szCs w:val="19"/>
              </w:rPr>
              <w:t xml:space="preserve">- O fator em 2026: Tc=42, Id=64, Es≈19,0 → f ≈ 0,684 × 1,770 = 1,211 (fator &gt; 1!)</w:t>
            </w:r>
          </w:p>
          <w:p>
            <w:pPr>
              <w:spacing w:after="40" w:before="40"/>
            </w:pPr>
            <w:r>
              <w:rPr>
                <w:rFonts w:ascii="Arial" w:cs="Arial" w:eastAsia="Arial" w:hAnsi="Arial"/>
                <w:sz w:val="19"/>
                <w:szCs w:val="19"/>
              </w:rPr>
              <w:t xml:space="preserve">- RMI direito adquirido: R$ 5.800 × 1,211 = R$ 7.023,80 (limitado ao teto RGPS R$ 8.475,55)</w:t>
            </w:r>
          </w:p>
          <w:p>
            <w:pPr>
              <w:spacing w:after="40" w:before="40"/>
            </w:pPr>
            <w:r>
              <w:rPr>
                <w:rFonts w:ascii="Arial" w:cs="Arial" w:eastAsia="Arial" w:hAnsi="Arial"/>
                <w:sz w:val="19"/>
                <w:szCs w:val="19"/>
              </w:rPr>
              <w:t xml:space="preserve">- RMI art. 15: R$ 5.100 (média 100%) × (60% + 2%×22) = R$ 5.100 × 104% = R$ 5.304,00</w:t>
            </w:r>
          </w:p>
          <w:p>
            <w:pPr>
              <w:spacing w:after="40" w:before="40"/>
            </w:pPr>
            <w:r>
              <w:rPr>
                <w:rFonts w:ascii="Arial" w:cs="Arial" w:eastAsia="Arial" w:hAnsi="Arial"/>
                <w:sz w:val="19"/>
                <w:szCs w:val="19"/>
              </w:rPr>
              <w:t xml:space="preserve">- O direito adquirido com fator é mais vantajoso porque Roberto tem 64 anos e 42 anos de TC, gerando fator &gt; 1,0.</w:t>
            </w:r>
          </w:p>
          <w:p>
            <w:pPr>
              <w:spacing w:after="40" w:before="40"/>
            </w:pPr>
            <w:r>
              <w:rPr>
                <w:rFonts w:ascii="Arial" w:cs="Arial" w:eastAsia="Arial" w:hAnsi="Arial"/>
                <w:sz w:val="19"/>
                <w:szCs w:val="19"/>
              </w:rPr>
              <w:t xml:space="preserve">Lição: O direito adquirido pode ser exercido a qualquer tempo. Esperar mais anos pode torná-lo ainda mais vantajoso quando o fator previdenciário supera 1,0 — mas o segurado perde meses de benefício enquanto espera.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11.4 Regra de Transição por Pontos — Art. 15, EC 103/2019</w:t>
      </w:r>
    </w:p>
    <w:p>
      <w:pPr>
        <w:spacing w:after="140" w:before="280"/>
      </w:pPr>
      <w:r>
        <w:rPr>
          <w:rFonts w:ascii="Arial" w:cs="Arial" w:eastAsia="Arial" w:hAnsi="Arial"/>
          <w:b/>
          <w:bCs/>
          <w:color w:val="2E86C1"/>
          <w:sz w:val="23"/>
          <w:szCs w:val="23"/>
        </w:rPr>
        <w:t xml:space="preserve">11.4.1 Conceito e requisitos</w:t>
      </w:r>
    </w:p>
    <w:p>
      <w:pPr>
        <w:spacing w:after="100" w:before="100"/>
        <w:jc w:val="both"/>
      </w:pPr>
      <w:r>
        <w:rPr>
          <w:rFonts w:ascii="Arial" w:cs="Arial" w:eastAsia="Arial" w:hAnsi="Arial"/>
          <w:sz w:val="21"/>
          <w:szCs w:val="21"/>
        </w:rPr>
        <w:t xml:space="preserve">A regra de transição por pontos (art. 15, EC 103/2019) é herdeira direta da regra 85/95 da Lei 13.183/2015, embora com diferenças fundamentais no cálculo do benefício. O sistema de pontos consiste na soma da idade do segurado com seu tempo de contribuição, devendo o resultado atingir ou superar a pontuação mínima exigida para o ano do requerimento.</w:t>
      </w:r>
    </w:p>
    <w:p>
      <w:pPr>
        <w:spacing w:after="100" w:before="100"/>
        <w:jc w:val="both"/>
      </w:pPr>
      <w:r>
        <w:rPr>
          <w:rFonts w:ascii="Arial" w:cs="Arial" w:eastAsia="Arial" w:hAnsi="Arial"/>
          <w:sz w:val="21"/>
          <w:szCs w:val="21"/>
        </w:rPr>
        <w:t xml:space="preserve">Os requisitos são cumulativos:</w:t>
      </w:r>
    </w:p>
    <w:p>
      <w:pPr>
        <w:spacing w:after="60" w:before="60"/>
        <w:ind w:left="360"/>
      </w:pPr>
      <w:r>
        <w:rPr>
          <w:rFonts w:ascii="Arial" w:cs="Arial" w:eastAsia="Arial" w:hAnsi="Arial"/>
          <w:sz w:val="21"/>
          <w:szCs w:val="21"/>
        </w:rPr>
        <w:t xml:space="preserve">a) Tempo de contribuição mínimo: 30 anos (mulher) ou 35 anos (homem). Esse é um requisito fixo, que não se altera ao longo dos anos.</w:t>
      </w:r>
    </w:p>
    <w:p>
      <w:pPr>
        <w:spacing w:after="60" w:before="60"/>
        <w:ind w:left="360"/>
      </w:pPr>
      <w:r>
        <w:rPr>
          <w:rFonts w:ascii="Arial" w:cs="Arial" w:eastAsia="Arial" w:hAnsi="Arial"/>
          <w:sz w:val="21"/>
          <w:szCs w:val="21"/>
        </w:rPr>
        <w:t xml:space="preserve">b) Pontuação mínima: A soma de idade + tempo de contribuição deve atingir a pontuação exigida para o ano em que o segurado pretende se aposentar. A pontuação inicial (2019) era de 86 pontos para mulher e 96 para homem, aumentando 1 ponto por ano até atingir 100 (mulher, em 2033) e 105 (homem, em 2028).</w:t>
      </w:r>
    </w:p>
    <w:p>
      <w:pPr>
        <w:spacing w:after="60" w:before="60"/>
        <w:ind w:left="360"/>
      </w:pPr>
      <w:r>
        <w:rPr>
          <w:rFonts w:ascii="Arial" w:cs="Arial" w:eastAsia="Arial" w:hAnsi="Arial"/>
          <w:sz w:val="21"/>
          <w:szCs w:val="21"/>
        </w:rPr>
        <w:t xml:space="preserve">c) Carência: 180 contribuições mensais (art. 25, II, Lei 8.213/91).</w:t>
      </w:r>
    </w:p>
    <w:p>
      <w:pPr>
        <w:spacing w:after="100" w:before="100"/>
        <w:jc w:val="both"/>
      </w:pPr>
      <w:r>
        <w:rPr>
          <w:rFonts w:ascii="Arial" w:cs="Arial" w:eastAsia="Arial" w:hAnsi="Arial"/>
          <w:sz w:val="21"/>
          <w:szCs w:val="21"/>
        </w:rPr>
        <w:t xml:space="preserve">A grande vantagem do sistema de pontos é a flexibilidade: como a pontuação resulta da soma de idade e TC, um segurado com mais tempo de contribuição precisa de menos idade, e vice-versa. Um homem com 40 anos de TC, por exemplo, precisa de apenas 63 anos de idade para atingir 103 pontos em 2026, enquanto um homem com 35 anos de TC precisa de 68 anos.</w:t>
      </w:r>
    </w:p>
    <w:p>
      <w:pPr>
        <w:spacing w:after="140" w:before="280"/>
      </w:pPr>
      <w:r>
        <w:rPr>
          <w:rFonts w:ascii="Arial" w:cs="Arial" w:eastAsia="Arial" w:hAnsi="Arial"/>
          <w:b/>
          <w:bCs/>
          <w:color w:val="2E86C1"/>
          <w:sz w:val="23"/>
          <w:szCs w:val="23"/>
        </w:rPr>
        <w:t xml:space="preserve">11.4.2 Tabela de pontuação ano a ano (2019-2033)</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Ano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Mulher (pontos)</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Homem (pontos)</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2019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86</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96</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87</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97</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88</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98</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2022</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89</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99</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90</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91</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101</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92</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102</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2026</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93</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103</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2027</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94</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104</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2028</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105 (estabiliza)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96</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105</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2030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97</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105</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2031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98</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105</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2032</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99</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105</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2033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(estabiliza)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105</w:t>
            </w:r>
          </w:p>
        </w:tc>
      </w:tr>
    </w:tbl>
    <w:p>
      <w:pPr>
        <w:spacing w:after="160"/>
      </w:pPr>
    </w:p>
    <w:p>
      <w:pPr>
        <w:spacing w:after="60" w:before="60"/>
        <w:ind w:left="360"/>
      </w:pPr>
      <w:r>
        <w:rPr>
          <w:rFonts w:ascii="Arial" w:cs="Arial" w:eastAsia="Arial" w:hAnsi="Arial"/>
          <w:sz w:val="21"/>
          <w:szCs w:val="21"/>
        </w:rPr>
        <w:t xml:space="preserve">Observação: Após a estabilização, a pontuação se iguala à da regra permanente. Para o homem, a partir de 2028 (105 pontos = 65 anos + 40 anos TC ou equivalente), a regra de transição deixa de ter vantagem sobre a regra permanente. Para a mulher, isso ocorre a partir de 2033 (100 pontos = 62 anos + 38 TC ou equivalente).</w:t>
      </w:r>
    </w:p>
    <w:p>
      <w:pPr>
        <w:spacing w:after="140" w:before="280"/>
      </w:pPr>
      <w:r>
        <w:rPr>
          <w:rFonts w:ascii="Arial" w:cs="Arial" w:eastAsia="Arial" w:hAnsi="Arial"/>
          <w:b/>
          <w:bCs/>
          <w:color w:val="2E86C1"/>
          <w:sz w:val="23"/>
          <w:szCs w:val="23"/>
        </w:rPr>
        <w:t xml:space="preserve">11.4.3 Cálculo do benefício</w:t>
      </w:r>
    </w:p>
    <w:p>
      <w:pPr>
        <w:spacing w:after="100" w:before="100"/>
        <w:jc w:val="both"/>
      </w:pPr>
      <w:r>
        <w:rPr>
          <w:rFonts w:ascii="Arial" w:cs="Arial" w:eastAsia="Arial" w:hAnsi="Arial"/>
          <w:sz w:val="21"/>
          <w:szCs w:val="21"/>
        </w:rPr>
        <w:t xml:space="preserve">O cálculo do benefício pela regra do art. 15 segue a fórmula da EC 103/2019:</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Média: 100% dos salários de contribuição desde julho/1994 (sem descarte dos 20% menores).</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Coeficiente: 60% + 2% por ano que exceder 20 anos de TC (homem) ou 15 anos de TC (mulher).</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Possibilidade de exclusão: O segurado pode excluir salários de contribuição que reduzam a média, desde que mantido o TC mínimo (art. 26, § 6º, EC 103 — seção 10.11.4).</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Simulação — Art. 15 (pontos) em 2026</w:t>
            </w:r>
          </w:p>
          <w:p>
            <w:pPr>
              <w:spacing w:after="40" w:before="40"/>
            </w:pPr>
            <w:r>
              <w:rPr>
                <w:rFonts w:ascii="Arial" w:cs="Arial" w:eastAsia="Arial" w:hAnsi="Arial"/>
                <w:sz w:val="19"/>
                <w:szCs w:val="19"/>
              </w:rPr>
              <w:t xml:space="preserve">Ana, 58 anos, 35 anos de contribuição, média de 100% dos SC = R$ 4.200,00.</w:t>
            </w:r>
          </w:p>
          <w:p>
            <w:pPr>
              <w:spacing w:after="40" w:before="40"/>
            </w:pPr>
            <w:r>
              <w:rPr>
                <w:rFonts w:ascii="Arial" w:cs="Arial" w:eastAsia="Arial" w:hAnsi="Arial"/>
                <w:sz w:val="19"/>
                <w:szCs w:val="19"/>
              </w:rPr>
              <w:t xml:space="preserve">Pontuação: 58 + 35 = 93 ≥ 93 (exigido em 2026 para mulher) ✅</w:t>
            </w:r>
          </w:p>
          <w:p>
            <w:pPr>
              <w:spacing w:after="40" w:before="40"/>
            </w:pPr>
            <w:r>
              <w:rPr>
                <w:rFonts w:ascii="Arial" w:cs="Arial" w:eastAsia="Arial" w:hAnsi="Arial"/>
                <w:sz w:val="19"/>
                <w:szCs w:val="19"/>
              </w:rPr>
              <w:t xml:space="preserve">TC mínimo: 35 ≥ 30 ✅</w:t>
            </w:r>
          </w:p>
          <w:p>
            <w:pPr>
              <w:spacing w:after="40" w:before="40"/>
            </w:pPr>
            <w:r>
              <w:rPr>
                <w:rFonts w:ascii="Arial" w:cs="Arial" w:eastAsia="Arial" w:hAnsi="Arial"/>
                <w:sz w:val="19"/>
                <w:szCs w:val="19"/>
              </w:rPr>
              <w:t xml:space="preserve">Carência: 420 contribuições ≥ 180 ✅</w:t>
            </w:r>
          </w:p>
          <w:p>
            <w:pPr>
              <w:spacing w:after="40" w:before="40"/>
            </w:pPr>
            <w:r>
              <w:rPr>
                <w:rFonts w:ascii="Arial" w:cs="Arial" w:eastAsia="Arial" w:hAnsi="Arial"/>
                <w:sz w:val="19"/>
                <w:szCs w:val="19"/>
              </w:rPr>
              <w:t xml:space="preserve">Cálculo:</w:t>
            </w:r>
          </w:p>
          <w:p>
            <w:pPr>
              <w:spacing w:after="40" w:before="40"/>
            </w:pPr>
            <w:r>
              <w:rPr>
                <w:rFonts w:ascii="Arial" w:cs="Arial" w:eastAsia="Arial" w:hAnsi="Arial"/>
                <w:sz w:val="19"/>
                <w:szCs w:val="19"/>
              </w:rPr>
              <w:t xml:space="preserve">- Coeficiente: 60% + 2% × (35 - 15) = 60% + 40% = 100%</w:t>
            </w:r>
          </w:p>
          <w:p>
            <w:pPr>
              <w:spacing w:after="40" w:before="40"/>
            </w:pPr>
            <w:r>
              <w:rPr>
                <w:rFonts w:ascii="Arial" w:cs="Arial" w:eastAsia="Arial" w:hAnsi="Arial"/>
                <w:sz w:val="19"/>
                <w:szCs w:val="19"/>
              </w:rPr>
              <w:t xml:space="preserve">- RMI: R$ 4.200,00 × 100% = R$ 4.200,00</w:t>
            </w:r>
          </w:p>
          <w:p>
            <w:pPr>
              <w:spacing w:after="40" w:before="40"/>
            </w:pPr>
            <w:r>
              <w:rPr>
                <w:rFonts w:ascii="Arial" w:cs="Arial" w:eastAsia="Arial" w:hAnsi="Arial"/>
                <w:sz w:val="19"/>
                <w:szCs w:val="19"/>
              </w:rPr>
              <w:t xml:space="preserve">Ana atinge coeficiente de 100% porque tem 35 anos de TC (20 anos excedentes sobre o piso de 15 para mulher). Seguradas com menos TC terão coeficiente menor.</w:t>
            </w:r>
          </w:p>
          <w:p>
            <w:pPr>
              <w:spacing w:after="40" w:before="40"/>
            </w:pPr>
            <w:r>
              <w:rPr>
                <w:rFonts w:ascii="Arial" w:cs="Arial" w:eastAsia="Arial" w:hAnsi="Arial"/>
                <w:sz w:val="19"/>
                <w:szCs w:val="19"/>
              </w:rPr>
              <w:t xml:space="preserve">Comparativo: Se Ana tivesse apenas 30 anos de TC (mínimo exigido):</w:t>
            </w:r>
          </w:p>
          <w:p>
            <w:pPr>
              <w:spacing w:after="40" w:before="40"/>
            </w:pPr>
            <w:r>
              <w:rPr>
                <w:rFonts w:ascii="Arial" w:cs="Arial" w:eastAsia="Arial" w:hAnsi="Arial"/>
                <w:sz w:val="19"/>
                <w:szCs w:val="19"/>
              </w:rPr>
              <w:t xml:space="preserve">- Pontuação: 58 + 30 = 88 &lt; 93 → não atinge em 2026 (atingiria em 2025 com 87 pontos... precisa verificar ano a ano)</w:t>
            </w:r>
          </w:p>
          <w:p>
            <w:pPr>
              <w:spacing w:after="40" w:before="40"/>
            </w:pPr>
            <w:r>
              <w:rPr>
                <w:rFonts w:ascii="Arial" w:cs="Arial" w:eastAsia="Arial" w:hAnsi="Arial"/>
                <w:sz w:val="19"/>
                <w:szCs w:val="19"/>
              </w:rPr>
              <w:t xml:space="preserve">- Coeficiente com 30 anos: 60% + 2% × (30 - 15) = 90%</w:t>
            </w:r>
          </w:p>
          <w:p>
            <w:pPr>
              <w:spacing w:after="40" w:before="40"/>
            </w:pPr>
            <w:r>
              <w:rPr>
                <w:rFonts w:ascii="Arial" w:cs="Arial" w:eastAsia="Arial" w:hAnsi="Arial"/>
                <w:sz w:val="19"/>
                <w:szCs w:val="19"/>
              </w:rPr>
              <w:t xml:space="preserve">- RMI: R$ 4.200 × 90% = R$ 3.780,00</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Diferença crucial: pontos do art. 15 EC 103 vs. pontos da regra 85/95</w:t>
            </w:r>
          </w:p>
          <w:p>
            <w:pPr>
              <w:spacing w:after="40" w:before="40"/>
            </w:pPr>
            <w:r>
              <w:rPr>
                <w:rFonts w:ascii="Arial" w:cs="Arial" w:eastAsia="Arial" w:hAnsi="Arial"/>
                <w:sz w:val="19"/>
                <w:szCs w:val="19"/>
              </w:rPr>
              <w:t xml:space="preserve">Embora ambos usem o sistema de pontos (idade + TC), os efeitos são radicalmente diferentes:</w:t>
            </w:r>
          </w:p>
          <w:p>
            <w:pPr>
              <w:spacing w:after="40" w:before="40"/>
            </w:pPr>
            <w:r>
              <w:rPr>
                <w:rFonts w:ascii="Arial" w:cs="Arial" w:eastAsia="Arial" w:hAnsi="Arial"/>
                <w:sz w:val="19"/>
                <w:szCs w:val="19"/>
              </w:rPr>
              <w:t xml:space="preserve"> |  Aspecto  |  Regra 85/95 (Lei 13.183/2015)  |  Art. 15 EC 103/2019  | </w:t>
            </w:r>
          </w:p>
          <w:p>
            <w:pPr>
              <w:spacing w:after="40" w:before="40"/>
            </w:pPr>
            <w:r>
              <w:rPr>
                <w:rFonts w:ascii="Arial" w:cs="Arial" w:eastAsia="Arial" w:hAnsi="Arial"/>
                <w:sz w:val="19"/>
                <w:szCs w:val="19"/>
              </w:rPr>
              <w:t xml:space="preserve"> | --------- | ------------------------------- | --------------------- | </w:t>
            </w:r>
          </w:p>
          <w:p>
            <w:pPr>
              <w:spacing w:after="40" w:before="40"/>
            </w:pPr>
            <w:r>
              <w:rPr>
                <w:rFonts w:ascii="Arial" w:cs="Arial" w:eastAsia="Arial" w:hAnsi="Arial"/>
                <w:sz w:val="19"/>
                <w:szCs w:val="19"/>
              </w:rPr>
              <w:t xml:space="preserve"> |  Efeito dos pontos  |  Afasta o fator previdenciário  |  Apenas requisito de acesso  | </w:t>
            </w:r>
          </w:p>
          <w:p>
            <w:pPr>
              <w:spacing w:after="40" w:before="40"/>
            </w:pPr>
            <w:r>
              <w:rPr>
                <w:rFonts w:ascii="Arial" w:cs="Arial" w:eastAsia="Arial" w:hAnsi="Arial"/>
                <w:sz w:val="19"/>
                <w:szCs w:val="19"/>
              </w:rPr>
              <w:t xml:space="preserve"> |  Cálculo da média  |  80% maiores SC  |  100% dos SC  | </w:t>
            </w:r>
          </w:p>
          <w:p>
            <w:pPr>
              <w:spacing w:after="40" w:before="40"/>
            </w:pPr>
            <w:r>
              <w:rPr>
                <w:rFonts w:ascii="Arial" w:cs="Arial" w:eastAsia="Arial" w:hAnsi="Arial"/>
                <w:sz w:val="19"/>
                <w:szCs w:val="19"/>
              </w:rPr>
              <w:t xml:space="preserve"> |  Coeficiente  |  100% do SB (fixo)  |  60% + 2%/ano excedente  | </w:t>
            </w:r>
          </w:p>
          <w:p>
            <w:pPr>
              <w:spacing w:after="40" w:before="40"/>
            </w:pPr>
            <w:r>
              <w:rPr>
                <w:rFonts w:ascii="Arial" w:cs="Arial" w:eastAsia="Arial" w:hAnsi="Arial"/>
                <w:sz w:val="19"/>
                <w:szCs w:val="19"/>
              </w:rPr>
              <w:t xml:space="preserve"> |  Fator previdenciário  |  Afastado  |  Não se aplica (nem como opção)  | </w:t>
            </w:r>
          </w:p>
          <w:p>
            <w:pPr>
              <w:spacing w:after="40" w:before="40"/>
            </w:pPr>
            <w:r>
              <w:rPr>
                <w:rFonts w:ascii="Arial" w:cs="Arial" w:eastAsia="Arial" w:hAnsi="Arial"/>
                <w:sz w:val="19"/>
                <w:szCs w:val="19"/>
              </w:rPr>
              <w:t xml:space="preserve"> |  Aplicação em 2026  |  Apenas direito adquirido (até 13/11/2019)  |  Regra de transição vigente  | </w:t>
            </w:r>
          </w:p>
          <w:p>
            <w:pPr>
              <w:spacing w:after="40" w:before="40"/>
            </w:pPr>
            <w:r>
              <w:rPr>
                <w:rFonts w:ascii="Arial" w:cs="Arial" w:eastAsia="Arial" w:hAnsi="Arial"/>
                <w:sz w:val="19"/>
                <w:szCs w:val="19"/>
              </w:rPr>
              <w:t xml:space="preserve">A confusão entre as duas regras é um dos erros mais comuns na prática previdenciária. O advogado que calcula o benefício do art. 15 como se fosse a regra 85/95 (100% do SB, sem fator) comete erro grave que pode resultar em expectativa equivocada ao cliente e eventual responsabilidade profissional.</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11.5 Regra de Transição por Idade Mínima Progressiva — Art. 16, EC 103/2019</w:t>
      </w:r>
    </w:p>
    <w:p>
      <w:pPr>
        <w:spacing w:after="140" w:before="280"/>
      </w:pPr>
      <w:r>
        <w:rPr>
          <w:rFonts w:ascii="Arial" w:cs="Arial" w:eastAsia="Arial" w:hAnsi="Arial"/>
          <w:b/>
          <w:bCs/>
          <w:color w:val="2E86C1"/>
          <w:sz w:val="23"/>
          <w:szCs w:val="23"/>
        </w:rPr>
        <w:t xml:space="preserve">11.5.1 Conceito e requisitos</w:t>
      </w:r>
    </w:p>
    <w:p>
      <w:pPr>
        <w:spacing w:after="100" w:before="100"/>
        <w:jc w:val="both"/>
      </w:pPr>
      <w:r>
        <w:rPr>
          <w:rFonts w:ascii="Arial" w:cs="Arial" w:eastAsia="Arial" w:hAnsi="Arial"/>
          <w:sz w:val="21"/>
          <w:szCs w:val="21"/>
        </w:rPr>
        <w:t xml:space="preserve">A regra de transição do art. 16 impõe uma idade mínima progressiva que cresce 6 meses a cada ano, partindo de 56 anos (mulher) e 61 anos (homem) em 2019, até atingir 62 anos (mulher, em 2031) e 65 anos (homem, em 2027). Atingidas essas idades, a regra se iguala à regra permanente da aposentadoria programada no requisito etário.</w:t>
      </w:r>
    </w:p>
    <w:p>
      <w:pPr>
        <w:spacing w:after="100" w:before="100"/>
        <w:jc w:val="both"/>
      </w:pPr>
      <w:r>
        <w:rPr>
          <w:rFonts w:ascii="Arial" w:cs="Arial" w:eastAsia="Arial" w:hAnsi="Arial"/>
          <w:sz w:val="21"/>
          <w:szCs w:val="21"/>
        </w:rPr>
        <w:t xml:space="preserve">Os requisitos são cumulativos:</w:t>
      </w:r>
    </w:p>
    <w:p>
      <w:pPr>
        <w:spacing w:after="60" w:before="60"/>
        <w:ind w:left="360"/>
      </w:pPr>
      <w:r>
        <w:rPr>
          <w:rFonts w:ascii="Arial" w:cs="Arial" w:eastAsia="Arial" w:hAnsi="Arial"/>
          <w:sz w:val="21"/>
          <w:szCs w:val="21"/>
        </w:rPr>
        <w:t xml:space="preserve">a) Tempo de contribuição mínimo: 30 anos (mulher) ou 35 anos (homem) — fixo, idêntico ao art. 15.</w:t>
      </w:r>
    </w:p>
    <w:p>
      <w:pPr>
        <w:spacing w:after="60" w:before="60"/>
        <w:ind w:left="360"/>
      </w:pPr>
      <w:r>
        <w:rPr>
          <w:rFonts w:ascii="Arial" w:cs="Arial" w:eastAsia="Arial" w:hAnsi="Arial"/>
          <w:sz w:val="21"/>
          <w:szCs w:val="21"/>
        </w:rPr>
        <w:t xml:space="preserve">b) Idade mínima progressiva: Conforme tabela abaixo. A diferença fundamental em relação ao art. 15 é que aqui a idade é um requisito rígido e autônomo, não compensável por mais tempo de contribuição.</w:t>
      </w:r>
    </w:p>
    <w:p>
      <w:pPr>
        <w:spacing w:after="60" w:before="60"/>
        <w:ind w:left="360"/>
      </w:pPr>
      <w:r>
        <w:rPr>
          <w:rFonts w:ascii="Arial" w:cs="Arial" w:eastAsia="Arial" w:hAnsi="Arial"/>
          <w:sz w:val="21"/>
          <w:szCs w:val="21"/>
        </w:rPr>
        <w:t xml:space="preserve">c) Carência: 180 contribuições mensais.</w:t>
      </w:r>
    </w:p>
    <w:p>
      <w:pPr>
        <w:spacing w:after="140" w:before="280"/>
      </w:pPr>
      <w:r>
        <w:rPr>
          <w:rFonts w:ascii="Arial" w:cs="Arial" w:eastAsia="Arial" w:hAnsi="Arial"/>
          <w:b/>
          <w:bCs/>
          <w:color w:val="2E86C1"/>
          <w:sz w:val="23"/>
          <w:szCs w:val="23"/>
        </w:rPr>
        <w:t xml:space="preserve">11.5.2 Tabela de idade mínima progressiva (2019-2031)</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Ano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Mulher (idade)</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Homem (idade)</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2019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56</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61</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56,5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61,5</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57</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2022</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57,5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62,5</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58</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63</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58,5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63,5</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64</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2026</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59,5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64,5</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2027</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 (estabiliza)</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2028</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2030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61,5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2031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62 (estabiliza)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r>
    </w:tbl>
    <w:p>
      <w:pPr>
        <w:spacing w:after="160"/>
      </w:pPr>
    </w:p>
    <w:p>
      <w:pPr>
        <w:spacing w:after="140" w:before="280"/>
      </w:pPr>
      <w:r>
        <w:rPr>
          <w:rFonts w:ascii="Arial" w:cs="Arial" w:eastAsia="Arial" w:hAnsi="Arial"/>
          <w:b/>
          <w:bCs/>
          <w:color w:val="2E86C1"/>
          <w:sz w:val="23"/>
          <w:szCs w:val="23"/>
        </w:rPr>
        <w:t xml:space="preserve">11.5.3 Quando o art. 16 é mais vantajoso que o art. 15?</w:t>
      </w:r>
    </w:p>
    <w:p>
      <w:pPr>
        <w:spacing w:after="100" w:before="100"/>
        <w:jc w:val="both"/>
      </w:pPr>
      <w:r>
        <w:rPr>
          <w:rFonts w:ascii="Arial" w:cs="Arial" w:eastAsia="Arial" w:hAnsi="Arial"/>
          <w:sz w:val="21"/>
          <w:szCs w:val="21"/>
        </w:rPr>
        <w:t xml:space="preserve">Na maioria dos casos, as duas regras produzem resultados idênticos, pois o cálculo do benefício é o mesmo (60% + 2%/ano excedente sobre média de 100%). A diferença está nos requisitos de acesso:</w:t>
      </w:r>
    </w:p>
    <w:p>
      <w:pPr>
        <w:spacing w:after="60" w:before="60"/>
        <w:ind w:left="360"/>
      </w:pPr>
      <w:r>
        <w:rPr>
          <w:rFonts w:ascii="Arial" w:cs="Arial" w:eastAsia="Arial" w:hAnsi="Arial"/>
          <w:sz w:val="21"/>
          <w:szCs w:val="21"/>
        </w:rPr>
        <w:t xml:space="preserve">Art. 15 favorece: Segurados com muito tempo de contribuição e idade relativamente baixa. Exemplo: mulher com 37 anos de TC e 56 anos de idade → pontos = 93 (atinge art. 15 em 2026), mas idade 56 &lt; 59,5 (não atinge art. 16 em 2026).</w:t>
      </w:r>
    </w:p>
    <w:p>
      <w:pPr>
        <w:spacing w:after="60" w:before="60"/>
        <w:ind w:left="360"/>
      </w:pPr>
      <w:r>
        <w:rPr>
          <w:rFonts w:ascii="Arial" w:cs="Arial" w:eastAsia="Arial" w:hAnsi="Arial"/>
          <w:sz w:val="21"/>
          <w:szCs w:val="21"/>
        </w:rPr>
        <w:t xml:space="preserve">Art. 16 favorece: Segurados com idade elevada mas tempo de contribuição próximo do mínimo. Exemplo: homem com 35 anos de TC e 65 anos de idade → idade 65 ≥ 64,5 (atinge art. 16 em 2026), pontos = 100 &lt; 103 (não atinge art. 15 em 2026).</w:t>
      </w:r>
    </w:p>
    <w:p>
      <w:pPr>
        <w:spacing w:after="100" w:before="100"/>
        <w:jc w:val="both"/>
      </w:pPr>
      <w:r>
        <w:rPr>
          <w:rFonts w:ascii="Arial" w:cs="Arial" w:eastAsia="Arial" w:hAnsi="Arial"/>
          <w:sz w:val="21"/>
          <w:szCs w:val="21"/>
        </w:rPr>
        <w:t xml:space="preserve">Na prática, o art. 15 tem campo de aplicação mais amplo porque permite compensação (mais TC = menos idade exigida), enquanto o art. 16 é rígido em ambos os requisitos.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Comparativo art. 15 vs. art. 16 — Caso concreto</w:t>
            </w:r>
          </w:p>
          <w:p>
            <w:pPr>
              <w:spacing w:after="40" w:before="40"/>
            </w:pPr>
            <w:r>
              <w:rPr>
                <w:rFonts w:ascii="Arial" w:cs="Arial" w:eastAsia="Arial" w:hAnsi="Arial"/>
                <w:sz w:val="19"/>
                <w:szCs w:val="19"/>
              </w:rPr>
              <w:t xml:space="preserve">Jorge, homem, 65 anos, 35 anos TC em 2026.</w:t>
            </w:r>
          </w:p>
          <w:p>
            <w:pPr>
              <w:spacing w:after="40" w:before="40"/>
            </w:pPr>
            <w:r>
              <w:rPr>
                <w:rFonts w:ascii="Arial" w:cs="Arial" w:eastAsia="Arial" w:hAnsi="Arial"/>
                <w:sz w:val="19"/>
                <w:szCs w:val="19"/>
              </w:rPr>
              <w:t xml:space="preserve">- Art. 15: pontos = 65 + 35 = 100 &lt; 103 → NÃO atinge em 2026</w:t>
            </w:r>
          </w:p>
          <w:p>
            <w:pPr>
              <w:spacing w:after="40" w:before="40"/>
            </w:pPr>
            <w:r>
              <w:rPr>
                <w:rFonts w:ascii="Arial" w:cs="Arial" w:eastAsia="Arial" w:hAnsi="Arial"/>
                <w:sz w:val="19"/>
                <w:szCs w:val="19"/>
              </w:rPr>
              <w:t xml:space="preserve">- Art. 16: idade 65 ≥ 64,5 E TC 35 ≥ 35 → atinge em 2026</w:t>
            </w:r>
          </w:p>
          <w:p>
            <w:pPr>
              <w:spacing w:after="40" w:before="40"/>
            </w:pPr>
            <w:r>
              <w:rPr>
                <w:rFonts w:ascii="Arial" w:cs="Arial" w:eastAsia="Arial" w:hAnsi="Arial"/>
                <w:sz w:val="19"/>
                <w:szCs w:val="19"/>
              </w:rPr>
              <w:t xml:space="preserve">- Conclusão: Jorge se aposenta pelo art. 16, não pelo art. 15.</w:t>
            </w:r>
          </w:p>
          <w:p>
            <w:pPr>
              <w:spacing w:after="40" w:before="40"/>
            </w:pPr>
            <w:r>
              <w:rPr>
                <w:rFonts w:ascii="Arial" w:cs="Arial" w:eastAsia="Arial" w:hAnsi="Arial"/>
                <w:sz w:val="19"/>
                <w:szCs w:val="19"/>
              </w:rPr>
              <w:t xml:space="preserve">Mariana, mulher, 56 anos, 37 anos TC em 2026.</w:t>
            </w:r>
          </w:p>
          <w:p>
            <w:pPr>
              <w:spacing w:after="40" w:before="40"/>
            </w:pPr>
            <w:r>
              <w:rPr>
                <w:rFonts w:ascii="Arial" w:cs="Arial" w:eastAsia="Arial" w:hAnsi="Arial"/>
                <w:sz w:val="19"/>
                <w:szCs w:val="19"/>
              </w:rPr>
              <w:t xml:space="preserve">- Art. 15: pontos = 56 + 37 = 93 ≥ 93 → atinge em 2026</w:t>
            </w:r>
          </w:p>
          <w:p>
            <w:pPr>
              <w:spacing w:after="40" w:before="40"/>
            </w:pPr>
            <w:r>
              <w:rPr>
                <w:rFonts w:ascii="Arial" w:cs="Arial" w:eastAsia="Arial" w:hAnsi="Arial"/>
                <w:sz w:val="19"/>
                <w:szCs w:val="19"/>
              </w:rPr>
              <w:t xml:space="preserve">- Art. 16: idade 56 &lt; 59,5 → NÃO atinge em 2026</w:t>
            </w:r>
          </w:p>
          <w:p>
            <w:pPr>
              <w:spacing w:after="40" w:before="40"/>
            </w:pPr>
            <w:r>
              <w:rPr>
                <w:rFonts w:ascii="Arial" w:cs="Arial" w:eastAsia="Arial" w:hAnsi="Arial"/>
                <w:sz w:val="19"/>
                <w:szCs w:val="19"/>
              </w:rPr>
              <w:t xml:space="preserve">- Conclusão: Mariana se aposenta pelo art. 15, não pelo art. 16.</w:t>
            </w:r>
          </w:p>
          <w:p>
            <w:pPr>
              <w:spacing w:after="40" w:before="40"/>
            </w:pPr>
            <w:r>
              <w:rPr>
                <w:rFonts w:ascii="Arial" w:cs="Arial" w:eastAsia="Arial" w:hAnsi="Arial"/>
                <w:sz w:val="19"/>
                <w:szCs w:val="19"/>
              </w:rPr>
              <w:t xml:space="preserve">Em ambos os casos, o cálculo do benefício é idêntico. A diferença é apenas no acesso.</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11.6 Regra de Transição do Pedágio de 50% — Art. 17, EC 103/2019</w:t>
      </w:r>
    </w:p>
    <w:p>
      <w:pPr>
        <w:spacing w:after="140" w:before="280"/>
      </w:pPr>
      <w:r>
        <w:rPr>
          <w:rFonts w:ascii="Arial" w:cs="Arial" w:eastAsia="Arial" w:hAnsi="Arial"/>
          <w:b/>
          <w:bCs/>
          <w:color w:val="2E86C1"/>
          <w:sz w:val="23"/>
          <w:szCs w:val="23"/>
        </w:rPr>
        <w:t xml:space="preserve">11.6.1 Conceito e requisitos de elegibilidade</w:t>
      </w:r>
    </w:p>
    <w:p>
      <w:pPr>
        <w:spacing w:after="100" w:before="100"/>
        <w:jc w:val="both"/>
      </w:pPr>
      <w:r>
        <w:rPr>
          <w:rFonts w:ascii="Arial" w:cs="Arial" w:eastAsia="Arial" w:hAnsi="Arial"/>
          <w:sz w:val="21"/>
          <w:szCs w:val="21"/>
        </w:rPr>
        <w:t xml:space="preserve">A regra do pedágio de 50% (art. 17, EC 103) é a mais restrita das regras de transição, pois se aplica apenas a segurados que, em 13/11/2019, estavam a menos de dois anos de completar o tempo mínimo de contribuição. Concretamente: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Mulheres: Pelo menos 28 anos de contribuição em 13/11/2019 (faltavam no máximo 2 anos para os 30 exigidos).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Homens: Pelo menos 33 anos de contribuição em 13/11/2019 (faltavam no máximo 2 anos para os 35 exigidos).</w:t>
      </w:r>
    </w:p>
    <w:p>
      <w:pPr>
        <w:spacing w:after="100" w:before="100"/>
        <w:jc w:val="both"/>
      </w:pPr>
      <w:r>
        <w:rPr>
          <w:rFonts w:ascii="Arial" w:cs="Arial" w:eastAsia="Arial" w:hAnsi="Arial"/>
          <w:sz w:val="21"/>
          <w:szCs w:val="21"/>
        </w:rPr>
        <w:t xml:space="preserve">O pedágio consiste em um acréscimo de 50% sobre o tempo que faltava em 13/11/2019. Se faltava 1 ano, o pedágio é de 6 meses (total: 1 ano e 6 meses). Se faltavam 2 anos, o pedágio é de 1 ano (total: 3 anos).</w:t>
      </w:r>
    </w:p>
    <w:p>
      <w:pPr>
        <w:spacing w:after="60" w:before="60"/>
        <w:ind w:left="360"/>
      </w:pPr>
      <w:r>
        <w:rPr>
          <w:rFonts w:ascii="Arial" w:cs="Arial" w:eastAsia="Arial" w:hAnsi="Arial"/>
          <w:sz w:val="21"/>
          <w:szCs w:val="21"/>
        </w:rPr>
        <w:t xml:space="preserve">Não há exigência de idade mínima. Essa é a única regra de transição da EC 103 que permite aposentadoria por tempo de contribuição sem requisito etário.</w:t>
      </w:r>
    </w:p>
    <w:p>
      <w:pPr>
        <w:spacing w:after="140" w:before="280"/>
      </w:pPr>
      <w:r>
        <w:rPr>
          <w:rFonts w:ascii="Arial" w:cs="Arial" w:eastAsia="Arial" w:hAnsi="Arial"/>
          <w:b/>
          <w:bCs/>
          <w:color w:val="2E86C1"/>
          <w:sz w:val="23"/>
          <w:szCs w:val="23"/>
        </w:rPr>
        <w:t xml:space="preserve">11.6.2 O fator previdenciário obrigatório</w:t>
      </w:r>
    </w:p>
    <w:p>
      <w:pPr>
        <w:spacing w:after="100" w:before="100"/>
        <w:jc w:val="both"/>
      </w:pPr>
      <w:r>
        <w:rPr>
          <w:rFonts w:ascii="Arial" w:cs="Arial" w:eastAsia="Arial" w:hAnsi="Arial"/>
          <w:sz w:val="21"/>
          <w:szCs w:val="21"/>
        </w:rPr>
        <w:t xml:space="preserve">O elemento mais relevante — e frequentemente mais prejudicial — da regra do pedágio 50% é a aplicação obrigatória do fator previdenciário. Ao contrário das demais regras de transição (que utilizam o coeficiente de 60% + 2%/ano excedente), o art. 17 determina que o benefício seja calculado pela fórmula anterior:</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Média dos 80% maiores salários de contribuição (não 100% — vantagem sobre as demais regras).</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Aplicação do fator previdenciário sobre a média (pode ser vantagem ou desvantagem, dependendo do caso).</w:t>
      </w:r>
    </w:p>
    <w:p>
      <w:pPr>
        <w:spacing w:after="100" w:before="100"/>
        <w:jc w:val="both"/>
      </w:pPr>
      <w:r>
        <w:rPr>
          <w:rFonts w:ascii="Arial" w:cs="Arial" w:eastAsia="Arial" w:hAnsi="Arial"/>
          <w:sz w:val="21"/>
          <w:szCs w:val="21"/>
        </w:rPr>
        <w:t xml:space="preserve">Essa combinação cria um paradoxo: a regra do pedágio 50% pode produzir tanto o melhor quanto o pior resultado entre todas as regras, dependendo exclusivamente do valor do fator previdenciário.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 armadilha do pedágio 50%: quando o fator previdenciário é inimigo</w:t>
            </w:r>
          </w:p>
          <w:p>
            <w:pPr>
              <w:spacing w:after="40" w:before="40"/>
            </w:pPr>
            <w:r>
              <w:rPr>
                <w:rFonts w:ascii="Arial" w:cs="Arial" w:eastAsia="Arial" w:hAnsi="Arial"/>
                <w:sz w:val="19"/>
                <w:szCs w:val="19"/>
              </w:rPr>
              <w:t xml:space="preserve">O fator previdenciário inferior a 1,0 reduz o valor do benefício, às vezes drasticamente. O segurado jovem (com menos de 58-60 anos) que se aposenta pelo pedágio 50% frequentemente obtém benefício inferior ao que receberia por outras regras.</w:t>
            </w:r>
          </w:p>
          <w:p>
            <w:pPr>
              <w:spacing w:after="40" w:before="40"/>
            </w:pPr>
            <w:r>
              <w:rPr>
                <w:rFonts w:ascii="Arial" w:cs="Arial" w:eastAsia="Arial" w:hAnsi="Arial"/>
                <w:sz w:val="19"/>
                <w:szCs w:val="19"/>
              </w:rPr>
              <w:t xml:space="preserve">Exemplo devastador:</w:t>
            </w:r>
          </w:p>
          <w:p>
            <w:pPr>
              <w:spacing w:after="40" w:before="40"/>
            </w:pPr>
            <w:r>
              <w:rPr>
                <w:rFonts w:ascii="Arial" w:cs="Arial" w:eastAsia="Arial" w:hAnsi="Arial"/>
                <w:sz w:val="19"/>
                <w:szCs w:val="19"/>
              </w:rPr>
              <w:t xml:space="preserve">- Marcos, homem, 54 anos, 36 anos TC (tinha 33 anos em 2019, faltava 2 anos → pedágio = 1 ano → precisava de 36 anos total → completou).</w:t>
            </w:r>
          </w:p>
          <w:p>
            <w:pPr>
              <w:spacing w:after="40" w:before="40"/>
            </w:pPr>
            <w:r>
              <w:rPr>
                <w:rFonts w:ascii="Arial" w:cs="Arial" w:eastAsia="Arial" w:hAnsi="Arial"/>
                <w:sz w:val="19"/>
                <w:szCs w:val="19"/>
              </w:rPr>
              <w:t xml:space="preserve">- Fator previdenciário: Tc=36, Id=54, Es≈25,3 → f ≈ (36×0,31/25,3) × [1+(54+11,16)/100] = 0,441 × 1,6516 = 0,728</w:t>
            </w:r>
          </w:p>
          <w:p>
            <w:pPr>
              <w:spacing w:after="40" w:before="40"/>
            </w:pPr>
            <w:r>
              <w:rPr>
                <w:rFonts w:ascii="Arial" w:cs="Arial" w:eastAsia="Arial" w:hAnsi="Arial"/>
                <w:sz w:val="19"/>
                <w:szCs w:val="19"/>
              </w:rPr>
              <w:t xml:space="preserve">- Média 80% maiores: R$ 6.000,00</w:t>
            </w:r>
          </w:p>
          <w:p>
            <w:pPr>
              <w:spacing w:after="40" w:before="40"/>
            </w:pPr>
            <w:r>
              <w:rPr>
                <w:rFonts w:ascii="Arial" w:cs="Arial" w:eastAsia="Arial" w:hAnsi="Arial"/>
                <w:sz w:val="19"/>
                <w:szCs w:val="19"/>
              </w:rPr>
              <w:t xml:space="preserve">- RMI pelo pedágio 50%: R$ 6.000 × 0,728 = R$ 4.368,00</w:t>
            </w:r>
          </w:p>
          <w:p>
            <w:pPr>
              <w:spacing w:after="40" w:before="40"/>
            </w:pPr>
            <w:r>
              <w:rPr>
                <w:rFonts w:ascii="Arial" w:cs="Arial" w:eastAsia="Arial" w:hAnsi="Arial"/>
                <w:sz w:val="19"/>
                <w:szCs w:val="19"/>
              </w:rPr>
              <w:t xml:space="preserve">Se Marcos esperasse até 2028 (58 anos, 40 TC):</w:t>
            </w:r>
          </w:p>
          <w:p>
            <w:pPr>
              <w:spacing w:after="40" w:before="40"/>
            </w:pPr>
            <w:r>
              <w:rPr>
                <w:rFonts w:ascii="Arial" w:cs="Arial" w:eastAsia="Arial" w:hAnsi="Arial"/>
                <w:sz w:val="19"/>
                <w:szCs w:val="19"/>
              </w:rPr>
              <w:t xml:space="preserve">- Art. 15: pontos = 58 + 40 = 98 ≥ 105? Não. Mas em 2031 (61 anos, 43 TC): 104 &lt; 105. Somente em 2032 atingiria.</w:t>
            </w:r>
          </w:p>
          <w:p>
            <w:pPr>
              <w:spacing w:after="40" w:before="40"/>
            </w:pPr>
            <w:r>
              <w:rPr>
                <w:rFonts w:ascii="Arial" w:cs="Arial" w:eastAsia="Arial" w:hAnsi="Arial"/>
                <w:sz w:val="19"/>
                <w:szCs w:val="19"/>
              </w:rPr>
              <w:t xml:space="preserve">- Mas pelo art. 20 (pedágio 100%): 60 anos (em 2032) + 35 TC + pedágio → verificar.</w:t>
            </w:r>
          </w:p>
          <w:p>
            <w:pPr>
              <w:spacing w:after="40" w:before="40"/>
            </w:pPr>
            <w:r>
              <w:rPr>
                <w:rFonts w:ascii="Arial" w:cs="Arial" w:eastAsia="Arial" w:hAnsi="Arial"/>
                <w:sz w:val="19"/>
                <w:szCs w:val="19"/>
              </w:rPr>
              <w:t xml:space="preserve">Conclusão: O pedágio 50% é vantajoso quase exclusivamente para segurados com fator previdenciário ≥ 1,0, ou seja, com idade igual ou superior a aproximadamente 63-65 anos e TC de 35+ anos. Para segurados mais jovens, é uma armadilha.</w:t>
            </w:r>
          </w:p>
        </w:tc>
      </w:tr>
    </w:tbl>
    <w:p>
      <w:pPr>
        <w:spacing w:after="200"/>
      </w:pPr>
    </w:p>
    <w:p>
      <w:pPr>
        <w:spacing w:after="140" w:before="280"/>
      </w:pPr>
      <w:r>
        <w:rPr>
          <w:rFonts w:ascii="Arial" w:cs="Arial" w:eastAsia="Arial" w:hAnsi="Arial"/>
          <w:b/>
          <w:bCs/>
          <w:color w:val="2E86C1"/>
          <w:sz w:val="23"/>
          <w:szCs w:val="23"/>
        </w:rPr>
        <w:t xml:space="preserve">11.6.3 Quando o pedágio 50% é vantajoso</w:t>
      </w:r>
    </w:p>
    <w:p>
      <w:pPr>
        <w:spacing w:after="100" w:before="100"/>
        <w:jc w:val="both"/>
      </w:pPr>
      <w:r>
        <w:rPr>
          <w:rFonts w:ascii="Arial" w:cs="Arial" w:eastAsia="Arial" w:hAnsi="Arial"/>
          <w:sz w:val="21"/>
          <w:szCs w:val="21"/>
        </w:rPr>
        <w:t xml:space="preserve">A regra do pedágio 50% pode ser a mais vantajosa quando:</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O segurado tem fator previdenciário elevado (≥ 1,0): Isso ocorre quando a combinação de idade avançada e muito tempo de contribuição resulta em fator superior a 1,0, que efetivamente aumenta o valor do benefício.</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A média dos 80% maiores SC é significativamente superior à média de 100%: Como o pedágio 50% usa a média dos 80% maiores (descartando os 20% piores), a base de cálculo pode ser substancialmente mais elevada do que nas regras dos arts. 15, 16 e 20, que utilizam média de 100%.</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A combinação fator × média 80% supera o resultado de coeficiente × média 100%: Essa é a comparação que o advogado deve fazer caso a caso.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Quando o pedágio 50% brilha — Caso favorável</w:t>
            </w:r>
          </w:p>
          <w:p>
            <w:pPr>
              <w:spacing w:after="40" w:before="40"/>
            </w:pPr>
            <w:r>
              <w:rPr>
                <w:rFonts w:ascii="Arial" w:cs="Arial" w:eastAsia="Arial" w:hAnsi="Arial"/>
                <w:sz w:val="19"/>
                <w:szCs w:val="19"/>
              </w:rPr>
              <w:t xml:space="preserve">Lúcia, mulher, 63 anos, 31 anos TC (tinha 28 anos em 2019, faltavam 2 anos → pedágio = 1 ano → precisava de 31 anos total → completou). Com bônus de +5 anos para mulher no cálculo do fator.</w:t>
            </w:r>
          </w:p>
          <w:p>
            <w:pPr>
              <w:spacing w:after="40" w:before="40"/>
            </w:pPr>
            <w:r>
              <w:rPr>
                <w:rFonts w:ascii="Arial" w:cs="Arial" w:eastAsia="Arial" w:hAnsi="Arial"/>
                <w:sz w:val="19"/>
                <w:szCs w:val="19"/>
              </w:rPr>
              <w:t xml:space="preserve">- Fator previdenciário: Tc=31 (+5 bônus=36), Id=63, Es≈21,0</w:t>
            </w:r>
          </w:p>
          <w:p>
            <w:pPr>
              <w:spacing w:after="40" w:before="40"/>
            </w:pPr>
            <w:r>
              <w:rPr>
                <w:rFonts w:ascii="Arial" w:cs="Arial" w:eastAsia="Arial" w:hAnsi="Arial"/>
                <w:sz w:val="19"/>
                <w:szCs w:val="19"/>
              </w:rPr>
              <w:t xml:space="preserve">- f = (36×0,31/21,0) × [1+(63+36×0,31)/100] = 0,531 × 1,742 = 0,925</w:t>
            </w:r>
          </w:p>
          <w:p>
            <w:pPr>
              <w:spacing w:after="40" w:before="40"/>
            </w:pPr>
            <w:r>
              <w:rPr>
                <w:rFonts w:ascii="Arial" w:cs="Arial" w:eastAsia="Arial" w:hAnsi="Arial"/>
                <w:sz w:val="19"/>
                <w:szCs w:val="19"/>
              </w:rPr>
              <w:t xml:space="preserve">- Média 80% maiores: R$ 5.500,00</w:t>
            </w:r>
          </w:p>
          <w:p>
            <w:pPr>
              <w:spacing w:after="40" w:before="40"/>
            </w:pPr>
            <w:r>
              <w:rPr>
                <w:rFonts w:ascii="Arial" w:cs="Arial" w:eastAsia="Arial" w:hAnsi="Arial"/>
                <w:sz w:val="19"/>
                <w:szCs w:val="19"/>
              </w:rPr>
              <w:t xml:space="preserve">- RMI pedágio 50%: R$ 5.500 × 0,925 = R$ 5.087,50</w:t>
            </w:r>
          </w:p>
          <w:p>
            <w:pPr>
              <w:spacing w:after="40" w:before="40"/>
            </w:pPr>
            <w:r>
              <w:rPr>
                <w:rFonts w:ascii="Arial" w:cs="Arial" w:eastAsia="Arial" w:hAnsi="Arial"/>
                <w:sz w:val="19"/>
                <w:szCs w:val="19"/>
              </w:rPr>
              <w:t xml:space="preserve">Comparativo com art. 15:</w:t>
            </w:r>
          </w:p>
          <w:p>
            <w:pPr>
              <w:spacing w:after="40" w:before="40"/>
            </w:pPr>
            <w:r>
              <w:rPr>
                <w:rFonts w:ascii="Arial" w:cs="Arial" w:eastAsia="Arial" w:hAnsi="Arial"/>
                <w:sz w:val="19"/>
                <w:szCs w:val="19"/>
              </w:rPr>
              <w:t xml:space="preserve">- Pontos: 63 + 31 = 94 ≥ 93 (2026 mulher) ✅</w:t>
            </w:r>
          </w:p>
          <w:p>
            <w:pPr>
              <w:spacing w:after="40" w:before="40"/>
            </w:pPr>
            <w:r>
              <w:rPr>
                <w:rFonts w:ascii="Arial" w:cs="Arial" w:eastAsia="Arial" w:hAnsi="Arial"/>
                <w:sz w:val="19"/>
                <w:szCs w:val="19"/>
              </w:rPr>
              <w:t xml:space="preserve">- Coeficiente: 60% + 2% × (31-15) = 92%</w:t>
            </w:r>
          </w:p>
          <w:p>
            <w:pPr>
              <w:spacing w:after="40" w:before="40"/>
            </w:pPr>
            <w:r>
              <w:rPr>
                <w:rFonts w:ascii="Arial" w:cs="Arial" w:eastAsia="Arial" w:hAnsi="Arial"/>
                <w:sz w:val="19"/>
                <w:szCs w:val="19"/>
              </w:rPr>
              <w:t xml:space="preserve">- Média 100%: R$ 4.800,00</w:t>
            </w:r>
          </w:p>
          <w:p>
            <w:pPr>
              <w:spacing w:after="40" w:before="40"/>
            </w:pPr>
            <w:r>
              <w:rPr>
                <w:rFonts w:ascii="Arial" w:cs="Arial" w:eastAsia="Arial" w:hAnsi="Arial"/>
                <w:sz w:val="19"/>
                <w:szCs w:val="19"/>
              </w:rPr>
              <w:t xml:space="preserve">- RMI art. 15: R$ 4.800 × 92% = R$ 4.416,00</w:t>
            </w:r>
          </w:p>
          <w:p>
            <w:pPr>
              <w:spacing w:after="40" w:before="40"/>
            </w:pPr>
            <w:r>
              <w:rPr>
                <w:rFonts w:ascii="Arial" w:cs="Arial" w:eastAsia="Arial" w:hAnsi="Arial"/>
                <w:sz w:val="19"/>
                <w:szCs w:val="19"/>
              </w:rPr>
              <w:t xml:space="preserve">Pedágio 50% (R$ 5.087,50) &gt; Art. 15 (R$ 4.416,00). A diferença de R$ 671,50/mês (R$ 8.058/ano) demonstra que o pedágio 50% pode ser extremamente vantajoso para seguradas com idade elevada.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11.7 Regra de Transição do Pedágio de 100% — Art. 20, EC 103/2019</w:t>
      </w:r>
    </w:p>
    <w:p>
      <w:pPr>
        <w:spacing w:after="140" w:before="280"/>
      </w:pPr>
      <w:r>
        <w:rPr>
          <w:rFonts w:ascii="Arial" w:cs="Arial" w:eastAsia="Arial" w:hAnsi="Arial"/>
          <w:b/>
          <w:bCs/>
          <w:color w:val="2E86C1"/>
          <w:sz w:val="23"/>
          <w:szCs w:val="23"/>
        </w:rPr>
        <w:t xml:space="preserve">11.7.1 Conceito e requisitos</w:t>
      </w:r>
    </w:p>
    <w:p>
      <w:pPr>
        <w:spacing w:after="100" w:before="100"/>
        <w:jc w:val="both"/>
      </w:pPr>
      <w:r>
        <w:rPr>
          <w:rFonts w:ascii="Arial" w:cs="Arial" w:eastAsia="Arial" w:hAnsi="Arial"/>
          <w:sz w:val="21"/>
          <w:szCs w:val="21"/>
        </w:rPr>
        <w:t xml:space="preserve">A regra do pedágio de 100% (art. 20, EC 103) é frequentemente considerada a "melhor regra" para segurados com idade e tempo de contribuição suficientes, porque oferece o único coeficiente de 100% entre as regras de transição (exceto o pedágio 50% com fator &gt; 1,0).</w:t>
      </w:r>
    </w:p>
    <w:p>
      <w:pPr>
        <w:spacing w:after="100" w:before="100"/>
        <w:jc w:val="both"/>
      </w:pPr>
      <w:r>
        <w:rPr>
          <w:rFonts w:ascii="Arial" w:cs="Arial" w:eastAsia="Arial" w:hAnsi="Arial"/>
          <w:sz w:val="21"/>
          <w:szCs w:val="21"/>
        </w:rPr>
        <w:t xml:space="preserve">Os requisitos são cumulativos:</w:t>
      </w:r>
    </w:p>
    <w:p>
      <w:pPr>
        <w:spacing w:after="60" w:before="60"/>
        <w:ind w:left="360"/>
      </w:pPr>
      <w:r>
        <w:rPr>
          <w:rFonts w:ascii="Arial" w:cs="Arial" w:eastAsia="Arial" w:hAnsi="Arial"/>
          <w:sz w:val="21"/>
          <w:szCs w:val="21"/>
        </w:rPr>
        <w:t xml:space="preserve">a) Idade mínima fixa: 57 anos (mulher) ou 60 anos (homem). Essas idades não são progressivas — permanecem constantes ao longo do tempo.</w:t>
      </w:r>
    </w:p>
    <w:p>
      <w:pPr>
        <w:spacing w:after="60" w:before="60"/>
        <w:ind w:left="360"/>
      </w:pPr>
      <w:r>
        <w:rPr>
          <w:rFonts w:ascii="Arial" w:cs="Arial" w:eastAsia="Arial" w:hAnsi="Arial"/>
          <w:sz w:val="21"/>
          <w:szCs w:val="21"/>
        </w:rPr>
        <w:t xml:space="preserve">b) Tempo de contribuição mínimo: 30 anos (mulher) ou 35 anos (homem).</w:t>
      </w:r>
    </w:p>
    <w:p>
      <w:pPr>
        <w:spacing w:after="60" w:before="60"/>
        <w:ind w:left="360"/>
      </w:pPr>
      <w:r>
        <w:rPr>
          <w:rFonts w:ascii="Arial" w:cs="Arial" w:eastAsia="Arial" w:hAnsi="Arial"/>
          <w:sz w:val="21"/>
          <w:szCs w:val="21"/>
        </w:rPr>
        <w:t xml:space="preserve">c) Pedágio de 100%: O segurado deve cumprir, além do TC mínimo, um período adicional equivalente a 100% do tempo que faltava para atingir 30/35 anos em 13/11/2019.</w:t>
      </w:r>
    </w:p>
    <w:p>
      <w:pPr>
        <w:spacing w:after="60" w:before="60"/>
        <w:ind w:left="360"/>
      </w:pPr>
      <w:r>
        <w:rPr>
          <w:rFonts w:ascii="Arial" w:cs="Arial" w:eastAsia="Arial" w:hAnsi="Arial"/>
          <w:sz w:val="21"/>
          <w:szCs w:val="21"/>
        </w:rPr>
        <w:t xml:space="preserve">d) Carência: 180 contribuições mensais.</w:t>
      </w:r>
    </w:p>
    <w:p>
      <w:pPr>
        <w:spacing w:after="140" w:before="280"/>
      </w:pPr>
      <w:r>
        <w:rPr>
          <w:rFonts w:ascii="Arial" w:cs="Arial" w:eastAsia="Arial" w:hAnsi="Arial"/>
          <w:b/>
          <w:bCs/>
          <w:color w:val="2E86C1"/>
          <w:sz w:val="23"/>
          <w:szCs w:val="23"/>
        </w:rPr>
        <w:t xml:space="preserve">11.7.2 Cálculo do pedágio</w:t>
      </w:r>
    </w:p>
    <w:p>
      <w:pPr>
        <w:spacing w:after="100" w:before="100"/>
        <w:jc w:val="both"/>
      </w:pPr>
      <w:r>
        <w:rPr>
          <w:rFonts w:ascii="Arial" w:cs="Arial" w:eastAsia="Arial" w:hAnsi="Arial"/>
          <w:sz w:val="21"/>
          <w:szCs w:val="21"/>
        </w:rPr>
        <w:t xml:space="preserve">O cálculo do pedágio é simples: dobra-se o tempo que faltava. Se em 13/11/2019 o segurado homem tinha 30 anos de TC (faltavam 5 anos para os 35), o pedágio é de 5 anos adicionais — totalizando 40 anos de TC necessários (35 + 5).</w:t>
      </w:r>
    </w:p>
    <w:p>
      <w:pPr>
        <w:spacing w:after="100" w:before="100"/>
        <w:jc w:val="both"/>
      </w:pPr>
      <w:r>
        <w:rPr>
          <w:rFonts w:ascii="Arial" w:cs="Arial" w:eastAsia="Arial" w:hAnsi="Arial"/>
          <w:sz w:val="21"/>
          <w:szCs w:val="21"/>
        </w:rPr>
        <w:t xml:space="preserve">A tabela abaixo ilustra o impacto do pedágio conforme o TC em 13/11/2019:</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TC em 13/11/2019 (Homem)</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Faltava</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Pedágio 100%</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TC total necessário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35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35 anos</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34 anos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 ano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 ano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36 anos</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33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37 anos</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32 anos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 anos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 anos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38 anos</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30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40 anos</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25 anos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 anos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 anos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45 anos</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15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15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50 anos (!)</w:t>
            </w:r>
          </w:p>
        </w:tc>
      </w:tr>
    </w:tbl>
    <w:p>
      <w:pPr>
        <w:spacing w:after="160"/>
      </w:pPr>
    </w:p>
    <w:p>
      <w:pPr>
        <w:spacing w:after="140" w:before="280"/>
      </w:pPr>
      <w:r>
        <w:rPr>
          <w:rFonts w:ascii="Arial" w:cs="Arial" w:eastAsia="Arial" w:hAnsi="Arial"/>
          <w:b/>
          <w:bCs/>
          <w:color w:val="2E86C1"/>
          <w:sz w:val="23"/>
          <w:szCs w:val="23"/>
        </w:rPr>
        <w:t xml:space="preserve">11.7.3 Cálculo do benefício</w:t>
      </w:r>
    </w:p>
    <w:p>
      <w:pPr>
        <w:spacing w:after="100" w:before="100"/>
        <w:jc w:val="both"/>
      </w:pPr>
      <w:r>
        <w:rPr>
          <w:rFonts w:ascii="Arial" w:cs="Arial" w:eastAsia="Arial" w:hAnsi="Arial"/>
          <w:sz w:val="21"/>
          <w:szCs w:val="21"/>
        </w:rPr>
        <w:t xml:space="preserve">O grande diferencial do pedágio 100% é o coeficiente:</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Média: 100% dos salários de contribuição desde julho/1994 (igual às demais regras pós-EC 103).</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Coeficiente: 100% da média — sem o escalonamento de 60% + 2%/ano excedente.</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Sem fator previdenciário.</w:t>
      </w:r>
    </w:p>
    <w:p>
      <w:pPr>
        <w:spacing w:after="100" w:before="100"/>
        <w:jc w:val="both"/>
      </w:pPr>
      <w:r>
        <w:rPr>
          <w:rFonts w:ascii="Arial" w:cs="Arial" w:eastAsia="Arial" w:hAnsi="Arial"/>
          <w:sz w:val="21"/>
          <w:szCs w:val="21"/>
        </w:rPr>
        <w:t xml:space="preserve">Essa combinação significa que o segurado receberá o valor integral da média dos seus salários de contribuição, limitado ao teto do RGPS. A desvantagem é que a média inclui todos os salários (sem descarte dos 20% menores) e o segurado pode precisar de muitos anos adicionais de TC para cumprir o pedágio.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Simulação completa — Art. 20 (pedágio 100%)</w:t>
            </w:r>
          </w:p>
          <w:p>
            <w:pPr>
              <w:spacing w:after="40" w:before="40"/>
            </w:pPr>
            <w:r>
              <w:rPr>
                <w:rFonts w:ascii="Arial" w:cs="Arial" w:eastAsia="Arial" w:hAnsi="Arial"/>
                <w:sz w:val="19"/>
                <w:szCs w:val="19"/>
              </w:rPr>
              <w:t xml:space="preserve">Fernando, homem, 62 anos em 2026, filiado em 1987. Em 13/11/2019 tinha 32 anos de TC (faltavam 3 anos). Pedágio = 3 anos. TC total necessário: 35 + 3 = 38 anos.</w:t>
            </w:r>
          </w:p>
          <w:p>
            <w:pPr>
              <w:spacing w:after="40" w:before="40"/>
            </w:pPr>
            <w:r>
              <w:rPr>
                <w:rFonts w:ascii="Arial" w:cs="Arial" w:eastAsia="Arial" w:hAnsi="Arial"/>
                <w:sz w:val="19"/>
                <w:szCs w:val="19"/>
              </w:rPr>
              <w:t xml:space="preserve">Em 2026, Fernando tem: 39 anos de TC (1987-2026) ≥ 38 anos ✅. Idade: 62 ≥ 60 ✅.</w:t>
            </w:r>
          </w:p>
          <w:p>
            <w:pPr>
              <w:spacing w:after="40" w:before="40"/>
            </w:pPr>
            <w:r>
              <w:rPr>
                <w:rFonts w:ascii="Arial" w:cs="Arial" w:eastAsia="Arial" w:hAnsi="Arial"/>
                <w:sz w:val="19"/>
                <w:szCs w:val="19"/>
              </w:rPr>
              <w:t xml:space="preserve">Cálculo:</w:t>
            </w:r>
          </w:p>
          <w:p>
            <w:pPr>
              <w:spacing w:after="40" w:before="40"/>
            </w:pPr>
            <w:r>
              <w:rPr>
                <w:rFonts w:ascii="Arial" w:cs="Arial" w:eastAsia="Arial" w:hAnsi="Arial"/>
                <w:sz w:val="19"/>
                <w:szCs w:val="19"/>
              </w:rPr>
              <w:t xml:space="preserve">- Média 100% dos SC: R$ 5.500,00</w:t>
            </w:r>
          </w:p>
          <w:p>
            <w:pPr>
              <w:spacing w:after="40" w:before="40"/>
            </w:pPr>
            <w:r>
              <w:rPr>
                <w:rFonts w:ascii="Arial" w:cs="Arial" w:eastAsia="Arial" w:hAnsi="Arial"/>
                <w:sz w:val="19"/>
                <w:szCs w:val="19"/>
              </w:rPr>
              <w:t xml:space="preserve">- Coeficiente: 100%</w:t>
            </w:r>
          </w:p>
          <w:p>
            <w:pPr>
              <w:spacing w:after="40" w:before="40"/>
            </w:pPr>
            <w:r>
              <w:rPr>
                <w:rFonts w:ascii="Arial" w:cs="Arial" w:eastAsia="Arial" w:hAnsi="Arial"/>
                <w:sz w:val="19"/>
                <w:szCs w:val="19"/>
              </w:rPr>
              <w:t xml:space="preserve">- RMI: R$ 5.500,00 × 100% = R$ 5.500,00</w:t>
            </w:r>
          </w:p>
          <w:p>
            <w:pPr>
              <w:spacing w:after="40" w:before="40"/>
            </w:pPr>
            <w:r>
              <w:rPr>
                <w:rFonts w:ascii="Arial" w:cs="Arial" w:eastAsia="Arial" w:hAnsi="Arial"/>
                <w:sz w:val="19"/>
                <w:szCs w:val="19"/>
              </w:rPr>
              <w:t xml:space="preserve">Comparativo com art. 15:</w:t>
            </w:r>
          </w:p>
          <w:p>
            <w:pPr>
              <w:spacing w:after="40" w:before="40"/>
            </w:pPr>
            <w:r>
              <w:rPr>
                <w:rFonts w:ascii="Arial" w:cs="Arial" w:eastAsia="Arial" w:hAnsi="Arial"/>
                <w:sz w:val="19"/>
                <w:szCs w:val="19"/>
              </w:rPr>
              <w:t xml:space="preserve">- Pontos: 62 + 39 = 101 &lt; 103 → NÃO atinge art. 15 em 2026</w:t>
            </w:r>
          </w:p>
          <w:p>
            <w:pPr>
              <w:spacing w:after="40" w:before="40"/>
            </w:pPr>
            <w:r>
              <w:rPr>
                <w:rFonts w:ascii="Arial" w:cs="Arial" w:eastAsia="Arial" w:hAnsi="Arial"/>
                <w:sz w:val="19"/>
                <w:szCs w:val="19"/>
              </w:rPr>
              <w:t xml:space="preserve">- Se atingisse (em 2028, com 64+41=105): coeficiente = 60% + 2%×(41-20) = 102%</w:t>
            </w:r>
          </w:p>
          <w:p>
            <w:pPr>
              <w:spacing w:after="40" w:before="40"/>
            </w:pPr>
            <w:r>
              <w:rPr>
                <w:rFonts w:ascii="Arial" w:cs="Arial" w:eastAsia="Arial" w:hAnsi="Arial"/>
                <w:sz w:val="19"/>
                <w:szCs w:val="19"/>
              </w:rPr>
              <w:t xml:space="preserve">- Média 100%: R$ 5.500 × 102% = R$ 5.610,00 → ligeiramente superior, mas só em 2028</w:t>
            </w:r>
          </w:p>
          <w:p>
            <w:pPr>
              <w:spacing w:after="40" w:before="40"/>
            </w:pPr>
            <w:r>
              <w:rPr>
                <w:rFonts w:ascii="Arial" w:cs="Arial" w:eastAsia="Arial" w:hAnsi="Arial"/>
                <w:sz w:val="19"/>
                <w:szCs w:val="19"/>
              </w:rPr>
              <w:t xml:space="preserve">Comparativo com pedágio 50%:</w:t>
            </w:r>
          </w:p>
          <w:p>
            <w:pPr>
              <w:spacing w:after="40" w:before="40"/>
            </w:pPr>
            <w:r>
              <w:rPr>
                <w:rFonts w:ascii="Arial" w:cs="Arial" w:eastAsia="Arial" w:hAnsi="Arial"/>
                <w:sz w:val="19"/>
                <w:szCs w:val="19"/>
              </w:rPr>
              <w:t xml:space="preserve">- Fernando NÃO é elegível (faltavam 3 anos em 2019, mais que 2)</w:t>
            </w:r>
          </w:p>
          <w:p>
            <w:pPr>
              <w:spacing w:after="40" w:before="40"/>
            </w:pPr>
            <w:r>
              <w:rPr>
                <w:rFonts w:ascii="Arial" w:cs="Arial" w:eastAsia="Arial" w:hAnsi="Arial"/>
                <w:sz w:val="19"/>
                <w:szCs w:val="19"/>
              </w:rPr>
              <w:t xml:space="preserve">Resultado: O pedágio 100% permite a Fernando se aposentar em 2026 com R$ 5.500, sem esperar até 2028 para o art. 15. A decisão é: R$ 5.500 agora vs. R$ 5.610 em 2028 (perda de 24 meses × R$ 5.500 = R$ 132.000 de custo de oportunidade). Claramente, o pedágio 100% é a melhor escolha.</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Pedágio 100% e exclusão de SC (art. 26, § 6º, EC 103)</w:t>
            </w:r>
          </w:p>
          <w:p>
            <w:pPr>
              <w:spacing w:after="40" w:before="40"/>
            </w:pPr>
            <w:r>
              <w:rPr>
                <w:rFonts w:ascii="Arial" w:cs="Arial" w:eastAsia="Arial" w:hAnsi="Arial"/>
                <w:sz w:val="19"/>
                <w:szCs w:val="19"/>
              </w:rPr>
              <w:t xml:space="preserve">O segurado que se aposenta pelo pedágio 100% também pode utilizar a possibilidade de exclusão de salários de contribuição que reduzam a média (art. 26, § 6º). Contudo, há uma particularidade: a exclusão não pode reduzir o TC abaixo do mínimo exigido (incluindo o pedágio). Se Fernando precisa de 38 anos de TC e exclui 3 anos de salários baixos, restam 36 anos — inferior aos 38 necessários. Nesse caso, a exclusão não é possível nessa extensão. O cálculo deve ser feito considerando essa limitação.</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11.8 O Fator Previdenciário: Fórmula, Variáveis e Impacto</w:t>
      </w:r>
    </w:p>
    <w:p>
      <w:pPr>
        <w:spacing w:after="140" w:before="280"/>
      </w:pPr>
      <w:r>
        <w:rPr>
          <w:rFonts w:ascii="Arial" w:cs="Arial" w:eastAsia="Arial" w:hAnsi="Arial"/>
          <w:b/>
          <w:bCs/>
          <w:color w:val="2E86C1"/>
          <w:sz w:val="23"/>
          <w:szCs w:val="23"/>
        </w:rPr>
        <w:t xml:space="preserve">11.8.1 Origem e fundamento</w:t>
      </w:r>
    </w:p>
    <w:p>
      <w:pPr>
        <w:spacing w:after="100" w:before="100"/>
        <w:jc w:val="both"/>
      </w:pPr>
      <w:r>
        <w:rPr>
          <w:rFonts w:ascii="Arial" w:cs="Arial" w:eastAsia="Arial" w:hAnsi="Arial"/>
          <w:sz w:val="21"/>
          <w:szCs w:val="21"/>
        </w:rPr>
        <w:t xml:space="preserve">O fator previdenciário foi instituído pela Lei 9.876/1999 como mecanismo atuarial de regulação do valor da aposentadoria por tempo de contribuição. Sua finalidade declarada é ajustar o valor do benefício ao tempo de contribuição, à idade e à expectativa de sobrevida do segurado, desestimulando aposentadorias precoces sem impor uma idade mínima formal.</w:t>
      </w:r>
    </w:p>
    <w:p>
      <w:pPr>
        <w:spacing w:after="100" w:before="100"/>
        <w:jc w:val="both"/>
      </w:pPr>
      <w:r>
        <w:rPr>
          <w:rFonts w:ascii="Arial" w:cs="Arial" w:eastAsia="Arial" w:hAnsi="Arial"/>
          <w:sz w:val="21"/>
          <w:szCs w:val="21"/>
        </w:rPr>
        <w:t xml:space="preserve">A fórmula está prevista no Anexo da Lei 9.876/99 e regulamentada nos arts. 181-A a 181-F do Decreto 3.048/99.</w:t>
      </w:r>
    </w:p>
    <w:p>
      <w:pPr>
        <w:spacing w:after="140" w:before="280"/>
      </w:pPr>
      <w:r>
        <w:rPr>
          <w:rFonts w:ascii="Arial" w:cs="Arial" w:eastAsia="Arial" w:hAnsi="Arial"/>
          <w:b/>
          <w:bCs/>
          <w:color w:val="2E86C1"/>
          <w:sz w:val="23"/>
          <w:szCs w:val="23"/>
        </w:rPr>
        <w:t xml:space="preserve">11.8.2 A fórmula decomposta</w:t>
      </w:r>
    </w:p>
    <w:p>
      <w:pPr>
        <w:spacing w:after="100" w:before="100"/>
        <w:jc w:val="both"/>
      </w:pPr>
      <w:r>
        <w:rPr>
          <w:rFonts w:ascii="Arial" w:cs="Arial" w:eastAsia="Arial" w:hAnsi="Arial"/>
          <w:sz w:val="21"/>
          <w:szCs w:val="21"/>
        </w:rPr>
        <w:t xml:space="preserve">A fórmula do fator previdenciário é:</w:t>
      </w:r>
    </w:p>
    <w:p>
      <w:pPr>
        <w:spacing w:after="100" w:before="100"/>
        <w:jc w:val="both"/>
      </w:pPr>
      <w:r>
        <w:rPr>
          <w:rFonts w:ascii="Arial" w:cs="Arial" w:eastAsia="Arial" w:hAnsi="Arial"/>
          <w:sz w:val="21"/>
          <w:szCs w:val="21"/>
        </w:rPr>
        <w:t xml:space="preserve">f = (Tc × a / Es) × [1 + (Id + Tc × a) / 100]</w:t>
      </w:r>
    </w:p>
    <w:p>
      <w:pPr>
        <w:spacing w:after="100" w:before="100"/>
        <w:jc w:val="both"/>
      </w:pPr>
      <w:r>
        <w:rPr>
          <w:rFonts w:ascii="Arial" w:cs="Arial" w:eastAsia="Arial" w:hAnsi="Arial"/>
          <w:sz w:val="21"/>
          <w:szCs w:val="21"/>
        </w:rPr>
        <w:t xml:space="preserve">Onde: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 tempo de contribuição do segurado (em anos, com casas decimais)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 = alíquota de contribuição, fixada em 0,31 (constante)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Es = expectativa de sobrevida do segurado na idade da aposentadoria, conforme tabela do IBGE (Tábuas Completas de Mortalidade), atualizada anualmente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Id = idade do segurado na data da aposentadoria (em anos, com casas decimais)</w:t>
      </w:r>
    </w:p>
    <w:p>
      <w:pPr>
        <w:spacing w:after="100" w:before="100"/>
        <w:jc w:val="both"/>
      </w:pPr>
      <w:r>
        <w:rPr>
          <w:rFonts w:ascii="Arial" w:cs="Arial" w:eastAsia="Arial" w:hAnsi="Arial"/>
          <w:sz w:val="21"/>
          <w:szCs w:val="21"/>
        </w:rPr>
        <w:t xml:space="preserve">A fórmula pode ser decomposta em dois fatores multiplicativos: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Fator 1 (taxa de reposição): Tc × a / Es — representa a proporção entre o total contribuído (Tc × a = contribuição proporcional acumulada) e o período estimado de fruição do benefício (Es). Quanto maior o TC e menor a expectativa de sobrevida, maior esse fator.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Fator 2 (bônus de permanência): 1 + (Id + Tc × a) / 100 — funciona como um bônus que cresce com a idade e o tempo de contribuição. Quanto mais velho e mais tempo de contribuição, maior o bônus.</w:t>
      </w:r>
    </w:p>
    <w:p>
      <w:pPr>
        <w:spacing w:after="140" w:before="280"/>
      </w:pPr>
      <w:r>
        <w:rPr>
          <w:rFonts w:ascii="Arial" w:cs="Arial" w:eastAsia="Arial" w:hAnsi="Arial"/>
          <w:b/>
          <w:bCs/>
          <w:color w:val="2E86C1"/>
          <w:sz w:val="23"/>
          <w:szCs w:val="23"/>
        </w:rPr>
        <w:t xml:space="preserve">11.8.3 Bônus para mulher e professor</w:t>
      </w:r>
    </w:p>
    <w:p>
      <w:pPr>
        <w:spacing w:after="100" w:before="100"/>
        <w:jc w:val="both"/>
      </w:pPr>
      <w:r>
        <w:rPr>
          <w:rFonts w:ascii="Arial" w:cs="Arial" w:eastAsia="Arial" w:hAnsi="Arial"/>
          <w:sz w:val="21"/>
          <w:szCs w:val="21"/>
        </w:rPr>
        <w:t xml:space="preserve">A Lei 9.876/99 prevê acréscimos fictícios ao tempo de contribuição exclusivamente para fins de cálculo do fator: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Mulher: +5 anos ao Tc na fórmula (não ao TC real para fins de requisito)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Professor (exclusivamente magistério em educação infantil, fundamental e médio): +5 anos ao Tc e +5 anos à Id na fórmula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Professora: +10 anos ao Tc (+5 como mulher + 5 como professora) e +5 anos à Id</w:t>
      </w:r>
    </w:p>
    <w:p>
      <w:pPr>
        <w:spacing w:after="100" w:before="100"/>
        <w:jc w:val="both"/>
      </w:pPr>
      <w:r>
        <w:rPr>
          <w:rFonts w:ascii="Arial" w:cs="Arial" w:eastAsia="Arial" w:hAnsi="Arial"/>
          <w:sz w:val="21"/>
          <w:szCs w:val="21"/>
        </w:rPr>
        <w:t xml:space="preserve">Esses bônus elevam significativamente o fator previdenciário, reduzindo o efeito redutor da fórmula. Uma professora com 25 anos de TC e 52 anos de idade, por exemplo, calcula o fator com Tc=35 (25+10) e Id=57 (52+5).</w:t>
      </w:r>
    </w:p>
    <w:p>
      <w:pPr>
        <w:spacing w:after="140" w:before="280"/>
      </w:pPr>
      <w:r>
        <w:rPr>
          <w:rFonts w:ascii="Arial" w:cs="Arial" w:eastAsia="Arial" w:hAnsi="Arial"/>
          <w:b/>
          <w:bCs/>
          <w:color w:val="2E86C1"/>
          <w:sz w:val="23"/>
          <w:szCs w:val="23"/>
        </w:rPr>
        <w:t xml:space="preserve">11.8.4 Tabela de simulações do fator previdenciário</w:t>
      </w:r>
    </w:p>
    <w:p>
      <w:pPr>
        <w:spacing w:after="100" w:before="100"/>
        <w:jc w:val="both"/>
      </w:pPr>
      <w:r>
        <w:rPr>
          <w:rFonts w:ascii="Arial" w:cs="Arial" w:eastAsia="Arial" w:hAnsi="Arial"/>
          <w:sz w:val="21"/>
          <w:szCs w:val="21"/>
        </w:rPr>
        <w:t xml:space="preserve">A tabela abaixo apresenta valores aproximados do fator previdenciário para diferentes combinações de idade e tempo de contribuição (homem, sem bônus de professor), considerando a tabela IBGE 2024:</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Idade \ TC</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35 anos</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37 anos</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40 anos</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42 anos</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55 anos</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0,709</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0,761</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0,847</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0,910</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58 anos</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0,802</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0,862</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0,963</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1,037</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 anos</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0,871</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0,937</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1,050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1,132</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62 anos</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0,952</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1,026</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1,151</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1,244</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 anos</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1,099</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1,187</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1,337</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1,448</w:t>
            </w:r>
          </w:p>
        </w:tc>
      </w:tr>
    </w:tbl>
    <w:p>
      <w:pPr>
        <w:spacing w:after="160"/>
      </w:pPr>
    </w:p>
    <w:p>
      <w:pPr>
        <w:spacing w:after="60" w:before="60"/>
        <w:ind w:left="360"/>
      </w:pPr>
      <w:r>
        <w:rPr>
          <w:rFonts w:ascii="Arial" w:cs="Arial" w:eastAsia="Arial" w:hAnsi="Arial"/>
          <w:sz w:val="21"/>
          <w:szCs w:val="21"/>
        </w:rPr>
        <w:t xml:space="preserve">Leitura: O segurado homem de 55 anos com 35 anos de TC terá fator ≈ 0,709, o que reduz seu benefício em quase 30%. Já o segurado de 65 anos com 40 anos de TC terá fator ≈ 1,337, que aumenta o benefício em 33,7% (limitado ao teto RGPS).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Passo a passo — Como calcular o fator previdenciário</w:t>
            </w:r>
          </w:p>
          <w:p>
            <w:pPr>
              <w:spacing w:after="40" w:before="40"/>
            </w:pPr>
            <w:r>
              <w:rPr>
                <w:rFonts w:ascii="Arial" w:cs="Arial" w:eastAsia="Arial" w:hAnsi="Arial"/>
                <w:sz w:val="19"/>
                <w:szCs w:val="19"/>
              </w:rPr>
              <w:t xml:space="preserve">1. Apurar o Tc (tempo de contribuição em anos e fração):</w:t>
            </w:r>
          </w:p>
          <w:p>
            <w:pPr>
              <w:spacing w:after="40" w:before="40"/>
            </w:pPr>
            <w:r>
              <w:rPr>
                <w:rFonts w:ascii="Arial" w:cs="Arial" w:eastAsia="Arial" w:hAnsi="Arial"/>
                <w:sz w:val="19"/>
                <w:szCs w:val="19"/>
              </w:rPr>
              <w:t xml:space="preserve">   - Somar todos os períodos de TC (anos, meses e dias)</w:t>
            </w:r>
          </w:p>
          <w:p>
            <w:pPr>
              <w:spacing w:after="40" w:before="40"/>
            </w:pPr>
            <w:r>
              <w:rPr>
                <w:rFonts w:ascii="Arial" w:cs="Arial" w:eastAsia="Arial" w:hAnsi="Arial"/>
                <w:sz w:val="19"/>
                <w:szCs w:val="19"/>
              </w:rPr>
              <w:t xml:space="preserve">   - Converter para decimal: 35 anos e 6 meses = 35,50</w:t>
            </w:r>
          </w:p>
          <w:p>
            <w:pPr>
              <w:spacing w:after="40" w:before="40"/>
            </w:pPr>
            <w:r>
              <w:rPr>
                <w:rFonts w:ascii="Arial" w:cs="Arial" w:eastAsia="Arial" w:hAnsi="Arial"/>
                <w:sz w:val="19"/>
                <w:szCs w:val="19"/>
              </w:rPr>
              <w:t xml:space="preserve">   - Mulher: somar +5 ao Tc</w:t>
            </w:r>
          </w:p>
          <w:p>
            <w:pPr>
              <w:spacing w:after="40" w:before="40"/>
            </w:pPr>
            <w:r>
              <w:rPr>
                <w:rFonts w:ascii="Arial" w:cs="Arial" w:eastAsia="Arial" w:hAnsi="Arial"/>
                <w:sz w:val="19"/>
                <w:szCs w:val="19"/>
              </w:rPr>
              <w:t xml:space="preserve">   - Professor(a): somar +5 ao Tc (cumulativo com bônus mulher) e +5 à Id</w:t>
            </w:r>
          </w:p>
          <w:p>
            <w:pPr>
              <w:spacing w:after="40" w:before="40"/>
            </w:pPr>
            <w:r>
              <w:rPr>
                <w:rFonts w:ascii="Arial" w:cs="Arial" w:eastAsia="Arial" w:hAnsi="Arial"/>
                <w:sz w:val="19"/>
                <w:szCs w:val="19"/>
              </w:rPr>
              <w:t xml:space="preserve">2. Apurar a Id (idade na DER em anos e fração):</w:t>
            </w:r>
          </w:p>
          <w:p>
            <w:pPr>
              <w:spacing w:after="40" w:before="40"/>
            </w:pPr>
            <w:r>
              <w:rPr>
                <w:rFonts w:ascii="Arial" w:cs="Arial" w:eastAsia="Arial" w:hAnsi="Arial"/>
                <w:sz w:val="19"/>
                <w:szCs w:val="19"/>
              </w:rPr>
              <w:t xml:space="preserve">   - Calcular a idade na data do requerimento (anos, meses e dias)</w:t>
            </w:r>
          </w:p>
          <w:p>
            <w:pPr>
              <w:spacing w:after="40" w:before="40"/>
            </w:pPr>
            <w:r>
              <w:rPr>
                <w:rFonts w:ascii="Arial" w:cs="Arial" w:eastAsia="Arial" w:hAnsi="Arial"/>
                <w:sz w:val="19"/>
                <w:szCs w:val="19"/>
              </w:rPr>
              <w:t xml:space="preserve">   - Converter para decimal: 60 anos e 3 meses = 60,25</w:t>
            </w:r>
          </w:p>
          <w:p>
            <w:pPr>
              <w:spacing w:after="40" w:before="40"/>
            </w:pPr>
            <w:r>
              <w:rPr>
                <w:rFonts w:ascii="Arial" w:cs="Arial" w:eastAsia="Arial" w:hAnsi="Arial"/>
                <w:sz w:val="19"/>
                <w:szCs w:val="19"/>
              </w:rPr>
              <w:t xml:space="preserve">3. Consultar a Es (expectativa de sobrevida):</w:t>
            </w:r>
          </w:p>
          <w:p>
            <w:pPr>
              <w:spacing w:after="40" w:before="40"/>
            </w:pPr>
            <w:r>
              <w:rPr>
                <w:rFonts w:ascii="Arial" w:cs="Arial" w:eastAsia="Arial" w:hAnsi="Arial"/>
                <w:sz w:val="19"/>
                <w:szCs w:val="19"/>
              </w:rPr>
              <w:t xml:space="preserve">   - Acessar a Tábua Completa de Mortalidade do IBGE vigente no ano do requerimento</w:t>
            </w:r>
          </w:p>
          <w:p>
            <w:pPr>
              <w:spacing w:after="40" w:before="40"/>
            </w:pPr>
            <w:r>
              <w:rPr>
                <w:rFonts w:ascii="Arial" w:cs="Arial" w:eastAsia="Arial" w:hAnsi="Arial"/>
                <w:sz w:val="19"/>
                <w:szCs w:val="19"/>
              </w:rPr>
              <w:t xml:space="preserve">   - Localizar a expectativa de sobrevida para a idade inteira mais próxima (arredondamento)</w:t>
            </w:r>
          </w:p>
          <w:p>
            <w:pPr>
              <w:spacing w:after="40" w:before="40"/>
            </w:pPr>
            <w:r>
              <w:rPr>
                <w:rFonts w:ascii="Arial" w:cs="Arial" w:eastAsia="Arial" w:hAnsi="Arial"/>
                <w:sz w:val="19"/>
                <w:szCs w:val="19"/>
              </w:rPr>
              <w:t xml:space="preserve">   - Exemplo: 60 anos → Es ≈ 22,6 anos (tabela IBGE 2024)</w:t>
            </w:r>
          </w:p>
          <w:p>
            <w:pPr>
              <w:spacing w:after="40" w:before="40"/>
            </w:pPr>
            <w:r>
              <w:rPr>
                <w:rFonts w:ascii="Arial" w:cs="Arial" w:eastAsia="Arial" w:hAnsi="Arial"/>
                <w:sz w:val="19"/>
                <w:szCs w:val="19"/>
              </w:rPr>
              <w:t xml:space="preserve">4. Aplicar a fórmula:</w:t>
            </w:r>
          </w:p>
          <w:p>
            <w:pPr>
              <w:spacing w:after="40" w:before="40"/>
            </w:pPr>
            <w:r>
              <w:rPr>
                <w:rFonts w:ascii="Arial" w:cs="Arial" w:eastAsia="Arial" w:hAnsi="Arial"/>
                <w:sz w:val="19"/>
                <w:szCs w:val="19"/>
              </w:rPr>
              <w:t xml:space="preserve">   - f = (Tc × 0,31 / Es) × [1 + (Id + Tc × 0,31) / 100]</w:t>
            </w:r>
          </w:p>
          <w:p>
            <w:pPr>
              <w:spacing w:after="40" w:before="40"/>
            </w:pPr>
            <w:r>
              <w:rPr>
                <w:rFonts w:ascii="Arial" w:cs="Arial" w:eastAsia="Arial" w:hAnsi="Arial"/>
                <w:sz w:val="19"/>
                <w:szCs w:val="19"/>
              </w:rPr>
              <w:t xml:space="preserve">5. Multiplicar pela média dos 80% maiores SC:</w:t>
            </w:r>
          </w:p>
          <w:p>
            <w:pPr>
              <w:spacing w:after="40" w:before="40"/>
            </w:pPr>
            <w:r>
              <w:rPr>
                <w:rFonts w:ascii="Arial" w:cs="Arial" w:eastAsia="Arial" w:hAnsi="Arial"/>
                <w:sz w:val="19"/>
                <w:szCs w:val="19"/>
              </w:rPr>
              <w:t xml:space="preserve">   - RMI = Média × f</w:t>
            </w:r>
          </w:p>
          <w:p>
            <w:pPr>
              <w:spacing w:after="40" w:before="40"/>
            </w:pPr>
            <w:r>
              <w:rPr>
                <w:rFonts w:ascii="Arial" w:cs="Arial" w:eastAsia="Arial" w:hAnsi="Arial"/>
                <w:sz w:val="19"/>
                <w:szCs w:val="19"/>
              </w:rPr>
              <w:t xml:space="preserve">   - Se f &gt; 1, o benefício é aumentado; se f &lt; 1, é reduzido</w:t>
            </w:r>
          </w:p>
          <w:p>
            <w:pPr>
              <w:spacing w:after="40" w:before="40"/>
            </w:pPr>
            <w:r>
              <w:rPr>
                <w:rFonts w:ascii="Arial" w:cs="Arial" w:eastAsia="Arial" w:hAnsi="Arial"/>
                <w:sz w:val="19"/>
                <w:szCs w:val="19"/>
              </w:rPr>
              <w:t xml:space="preserve">   - Resultado limitado ao teto RGPS (R$ 8.475,55 em 2026)</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Fator previdenciário × coeficiente 60%+2% — NÃO confundir</w:t>
            </w:r>
          </w:p>
          <w:p>
            <w:pPr>
              <w:spacing w:after="40" w:before="40"/>
            </w:pPr>
            <w:r>
              <w:rPr>
                <w:rFonts w:ascii="Arial" w:cs="Arial" w:eastAsia="Arial" w:hAnsi="Arial"/>
                <w:sz w:val="19"/>
                <w:szCs w:val="19"/>
              </w:rPr>
              <w:t xml:space="preserve"> |  Aspecto  |  Fator Previdenciário  |  Coeficiente 60%+2%  | </w:t>
            </w:r>
          </w:p>
          <w:p>
            <w:pPr>
              <w:spacing w:after="40" w:before="40"/>
            </w:pPr>
            <w:r>
              <w:rPr>
                <w:rFonts w:ascii="Arial" w:cs="Arial" w:eastAsia="Arial" w:hAnsi="Arial"/>
                <w:sz w:val="19"/>
                <w:szCs w:val="19"/>
              </w:rPr>
              <w:t xml:space="preserve"> | --------- | --------------------- | ------------------- | </w:t>
            </w:r>
          </w:p>
          <w:p>
            <w:pPr>
              <w:spacing w:after="40" w:before="40"/>
            </w:pPr>
            <w:r>
              <w:rPr>
                <w:rFonts w:ascii="Arial" w:cs="Arial" w:eastAsia="Arial" w:hAnsi="Arial"/>
                <w:sz w:val="19"/>
                <w:szCs w:val="19"/>
              </w:rPr>
              <w:t xml:space="preserve"> |  Onde se aplica  |  Pedágio 50% (obrigatório); direito adquirido TC (obrigatório); aposentadoria por idade pré-EC 103 (se vantajoso)  |  Arts. 15, 16, regra permanente  | </w:t>
            </w:r>
          </w:p>
          <w:p>
            <w:pPr>
              <w:spacing w:after="40" w:before="40"/>
            </w:pPr>
            <w:r>
              <w:rPr>
                <w:rFonts w:ascii="Arial" w:cs="Arial" w:eastAsia="Arial" w:hAnsi="Arial"/>
                <w:sz w:val="19"/>
                <w:szCs w:val="19"/>
              </w:rPr>
              <w:t xml:space="preserve"> |  Base de cálculo  |  Média 80% maiores SC  |  Média 100% dos SC  | </w:t>
            </w:r>
          </w:p>
          <w:p>
            <w:pPr>
              <w:spacing w:after="40" w:before="40"/>
            </w:pPr>
            <w:r>
              <w:rPr>
                <w:rFonts w:ascii="Arial" w:cs="Arial" w:eastAsia="Arial" w:hAnsi="Arial"/>
                <w:sz w:val="19"/>
                <w:szCs w:val="19"/>
              </w:rPr>
              <w:t xml:space="preserve"> |  Pode ser &gt; 100%?  |  Sim (fator pode ser &gt; 1,0)  |  Sim (coeficiente pode ser &gt; 100%)  | </w:t>
            </w:r>
          </w:p>
          <w:p>
            <w:pPr>
              <w:spacing w:after="40" w:before="40"/>
            </w:pPr>
            <w:r>
              <w:rPr>
                <w:rFonts w:ascii="Arial" w:cs="Arial" w:eastAsia="Arial" w:hAnsi="Arial"/>
                <w:sz w:val="19"/>
                <w:szCs w:val="19"/>
              </w:rPr>
              <w:t xml:space="preserve"> |  Quando reduz o benefício  |  Quando fator &lt; 1,0 (segurado jovem)  |  Quando TC é baixo (poucos anos excedentes)  | </w:t>
            </w:r>
          </w:p>
          <w:p>
            <w:pPr>
              <w:spacing w:after="40" w:before="40"/>
            </w:pPr>
            <w:r>
              <w:rPr>
                <w:rFonts w:ascii="Arial" w:cs="Arial" w:eastAsia="Arial" w:hAnsi="Arial"/>
                <w:sz w:val="19"/>
                <w:szCs w:val="19"/>
              </w:rPr>
              <w:t xml:space="preserve"> |  Fórmula  |  f = (Tc×a/Es) × [1+(Id+Tc×a)/100]  |  60% + 2% × (TC - 20H ou TC - 15M)  | </w:t>
            </w:r>
          </w:p>
          <w:p>
            <w:pPr>
              <w:spacing w:after="40" w:before="40"/>
            </w:pPr>
            <w:r>
              <w:rPr>
                <w:rFonts w:ascii="Arial" w:cs="Arial" w:eastAsia="Arial" w:hAnsi="Arial"/>
                <w:sz w:val="19"/>
                <w:szCs w:val="19"/>
              </w:rPr>
              <w:t xml:space="preserve">O fator previdenciário e o coeficiente 60%+2% são mecanismos distintos que NUNCA se aplicam simultaneamente à mesma aposentadoria. Cada regra de transição define qual dos dois se aplica.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11.9 A Regra 85/95 Progressiva (Lei 13.183/2015) — Aplicação Residual</w:t>
      </w:r>
    </w:p>
    <w:p>
      <w:pPr>
        <w:spacing w:after="140" w:before="280"/>
      </w:pPr>
      <w:r>
        <w:rPr>
          <w:rFonts w:ascii="Arial" w:cs="Arial" w:eastAsia="Arial" w:hAnsi="Arial"/>
          <w:b/>
          <w:bCs/>
          <w:color w:val="2E86C1"/>
          <w:sz w:val="23"/>
          <w:szCs w:val="23"/>
        </w:rPr>
        <w:t xml:space="preserve">11.9.1 Conceito original</w:t>
      </w:r>
    </w:p>
    <w:p>
      <w:pPr>
        <w:spacing w:after="100" w:before="100"/>
        <w:jc w:val="both"/>
      </w:pPr>
      <w:r>
        <w:rPr>
          <w:rFonts w:ascii="Arial" w:cs="Arial" w:eastAsia="Arial" w:hAnsi="Arial"/>
          <w:sz w:val="21"/>
          <w:szCs w:val="21"/>
        </w:rPr>
        <w:t xml:space="preserve">A regra 85/95 (art. 29-C da Lei 8.213/91, incluído pela Lei 13.183/2015) criou uma alternativa ao fator previdenciário na aposentadoria por tempo de contribuição. O segurado que atingisse uma pontuação mínima (soma de idade + tempo de contribuição) poderia optar por se aposentar sem a incidência do fator, recebendo 100% do salário de benefício (média dos 80% maiores SC).</w:t>
      </w:r>
    </w:p>
    <w:p>
      <w:pPr>
        <w:spacing w:after="100" w:before="100"/>
        <w:jc w:val="both"/>
      </w:pPr>
      <w:r>
        <w:rPr>
          <w:rFonts w:ascii="Arial" w:cs="Arial" w:eastAsia="Arial" w:hAnsi="Arial"/>
          <w:sz w:val="21"/>
          <w:szCs w:val="21"/>
        </w:rPr>
        <w:t xml:space="preserve">A pontuação era progressiva:</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Período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Mulher</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Homem</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2015-2018</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95</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2019-2020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86</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96</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2021-2022</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87</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97</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2023-2024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88</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98</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2025-2026</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99</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2027-2028</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r>
    </w:tbl>
    <w:p>
      <w:pPr>
        <w:spacing w:after="160"/>
      </w:pPr>
    </w:p>
    <w:p>
      <w:pPr>
        <w:spacing w:after="140" w:before="280"/>
      </w:pPr>
      <w:r>
        <w:rPr>
          <w:rFonts w:ascii="Arial" w:cs="Arial" w:eastAsia="Arial" w:hAnsi="Arial"/>
          <w:b/>
          <w:bCs/>
          <w:color w:val="2E86C1"/>
          <w:sz w:val="23"/>
          <w:szCs w:val="23"/>
        </w:rPr>
        <w:t xml:space="preserve">11.9.2 Aplicação atual: apenas direito adquirido</w:t>
      </w:r>
    </w:p>
    <w:p>
      <w:pPr>
        <w:spacing w:after="100" w:before="100"/>
        <w:jc w:val="both"/>
      </w:pPr>
      <w:r>
        <w:rPr>
          <w:rFonts w:ascii="Arial" w:cs="Arial" w:eastAsia="Arial" w:hAnsi="Arial"/>
          <w:sz w:val="21"/>
          <w:szCs w:val="21"/>
        </w:rPr>
        <w:t xml:space="preserve">Com a EC 103/2019, a regra 85/95 perdeu aplicabilidade direta. Para aposentadorias requeridas a partir de 13/11/2019, as regras de transição dos arts. 15 a 20 da EC 103 substituem integralmente o regime anterior. A regra 85/95 permanece aplicável apenas para segurados que implementaram os requisitos (TC mínimo + pontuação) até 12/11/2019.</w:t>
      </w:r>
    </w:p>
    <w:p>
      <w:pPr>
        <w:spacing w:after="60" w:before="60"/>
        <w:ind w:left="360"/>
      </w:pPr>
      <w:r>
        <w:rPr>
          <w:rFonts w:ascii="Arial" w:cs="Arial" w:eastAsia="Arial" w:hAnsi="Arial"/>
          <w:sz w:val="21"/>
          <w:szCs w:val="21"/>
        </w:rPr>
        <w:t xml:space="preserve">Quem pode usar a regra 85/95 em 2026? Apenas o segurado que, até 12/11/2019:</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Completou 35 anos TC (homem) ou 30 anos TC (mulher); 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Atingiu a pontuação de 96 (homem) ou 86 (mulher) — pontuação de 2019.</w:t>
      </w:r>
    </w:p>
    <w:p>
      <w:pPr>
        <w:spacing w:after="100" w:before="100"/>
        <w:jc w:val="both"/>
      </w:pPr>
      <w:r>
        <w:rPr>
          <w:rFonts w:ascii="Arial" w:cs="Arial" w:eastAsia="Arial" w:hAnsi="Arial"/>
          <w:sz w:val="21"/>
          <w:szCs w:val="21"/>
        </w:rPr>
        <w:t xml:space="preserve">Esse segurado tem direito adquirido à regra 85/95: benefício calculado pela média dos 80% maiores SC, sem fator previdenciário, com coeficiente de 100% do salário de benefício. É a regra mais generosa entre todas as disponíveis, pois combina a vantagem da média dos 80% maiores (base mais elevada) com o coeficiente integral (100%) e a ausência do fator previdenciário.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 Regra 85/95 como direito adquirido</w:t>
            </w:r>
          </w:p>
          <w:p>
            <w:pPr>
              <w:spacing w:after="40" w:before="40"/>
            </w:pPr>
            <w:r>
              <w:rPr>
                <w:rFonts w:ascii="Arial" w:cs="Arial" w:eastAsia="Arial" w:hAnsi="Arial"/>
                <w:sz w:val="19"/>
                <w:szCs w:val="19"/>
              </w:rPr>
              <w:t xml:space="preserve">Sônia, mulher, 62 anos em 2026, filiada em 1988. Em 12/11/2019:</w:t>
            </w:r>
          </w:p>
          <w:p>
            <w:pPr>
              <w:spacing w:after="40" w:before="40"/>
            </w:pPr>
            <w:r>
              <w:rPr>
                <w:rFonts w:ascii="Arial" w:cs="Arial" w:eastAsia="Arial" w:hAnsi="Arial"/>
                <w:sz w:val="19"/>
                <w:szCs w:val="19"/>
              </w:rPr>
              <w:t xml:space="preserve">- Idade: 55 anos</w:t>
            </w:r>
          </w:p>
          <w:p>
            <w:pPr>
              <w:spacing w:after="40" w:before="40"/>
            </w:pPr>
            <w:r>
              <w:rPr>
                <w:rFonts w:ascii="Arial" w:cs="Arial" w:eastAsia="Arial" w:hAnsi="Arial"/>
                <w:sz w:val="19"/>
                <w:szCs w:val="19"/>
              </w:rPr>
              <w:t xml:space="preserve">- TC: 31 anos (1988-2019)</w:t>
            </w:r>
          </w:p>
          <w:p>
            <w:pPr>
              <w:spacing w:after="40" w:before="40"/>
            </w:pPr>
            <w:r>
              <w:rPr>
                <w:rFonts w:ascii="Arial" w:cs="Arial" w:eastAsia="Arial" w:hAnsi="Arial"/>
                <w:sz w:val="19"/>
                <w:szCs w:val="19"/>
              </w:rPr>
              <w:t xml:space="preserve">- Pontos: 55 + 31 = 86 ≥ 86 (exigido em 2019 para mulher) ✅</w:t>
            </w:r>
          </w:p>
          <w:p>
            <w:pPr>
              <w:spacing w:after="40" w:before="40"/>
            </w:pPr>
            <w:r>
              <w:rPr>
                <w:rFonts w:ascii="Arial" w:cs="Arial" w:eastAsia="Arial" w:hAnsi="Arial"/>
                <w:sz w:val="19"/>
                <w:szCs w:val="19"/>
              </w:rPr>
              <w:t xml:space="preserve">- TC ≥ 30 ✅</w:t>
            </w:r>
          </w:p>
          <w:p>
            <w:pPr>
              <w:spacing w:after="40" w:before="40"/>
            </w:pPr>
            <w:r>
              <w:rPr>
                <w:rFonts w:ascii="Arial" w:cs="Arial" w:eastAsia="Arial" w:hAnsi="Arial"/>
                <w:sz w:val="19"/>
                <w:szCs w:val="19"/>
              </w:rPr>
              <w:t xml:space="preserve">Sônia tem direito adquirido à regra 85/95.</w:t>
            </w:r>
          </w:p>
          <w:p>
            <w:pPr>
              <w:spacing w:after="40" w:before="40"/>
            </w:pPr>
            <w:r>
              <w:rPr>
                <w:rFonts w:ascii="Arial" w:cs="Arial" w:eastAsia="Arial" w:hAnsi="Arial"/>
                <w:sz w:val="19"/>
                <w:szCs w:val="19"/>
              </w:rPr>
              <w:t xml:space="preserve">Cálculo:</w:t>
            </w:r>
          </w:p>
          <w:p>
            <w:pPr>
              <w:spacing w:after="40" w:before="40"/>
            </w:pPr>
            <w:r>
              <w:rPr>
                <w:rFonts w:ascii="Arial" w:cs="Arial" w:eastAsia="Arial" w:hAnsi="Arial"/>
                <w:sz w:val="19"/>
                <w:szCs w:val="19"/>
              </w:rPr>
              <w:t xml:space="preserve">- Média 80% maiores SC: R$ 5.200,00</w:t>
            </w:r>
          </w:p>
          <w:p>
            <w:pPr>
              <w:spacing w:after="40" w:before="40"/>
            </w:pPr>
            <w:r>
              <w:rPr>
                <w:rFonts w:ascii="Arial" w:cs="Arial" w:eastAsia="Arial" w:hAnsi="Arial"/>
                <w:sz w:val="19"/>
                <w:szCs w:val="19"/>
              </w:rPr>
              <w:t xml:space="preserve">- Coeficiente: 100% (sem fator previdenciário)</w:t>
            </w:r>
          </w:p>
          <w:p>
            <w:pPr>
              <w:spacing w:after="40" w:before="40"/>
            </w:pPr>
            <w:r>
              <w:rPr>
                <w:rFonts w:ascii="Arial" w:cs="Arial" w:eastAsia="Arial" w:hAnsi="Arial"/>
                <w:sz w:val="19"/>
                <w:szCs w:val="19"/>
              </w:rPr>
              <w:t xml:space="preserve">- RMI: R$ 5.200,00</w:t>
            </w:r>
          </w:p>
          <w:p>
            <w:pPr>
              <w:spacing w:after="40" w:before="40"/>
            </w:pPr>
            <w:r>
              <w:rPr>
                <w:rFonts w:ascii="Arial" w:cs="Arial" w:eastAsia="Arial" w:hAnsi="Arial"/>
                <w:sz w:val="19"/>
                <w:szCs w:val="19"/>
              </w:rPr>
              <w:t xml:space="preserve">Comparativo com art. 15 EC 103 (em 2026):</w:t>
            </w:r>
          </w:p>
          <w:p>
            <w:pPr>
              <w:spacing w:after="40" w:before="40"/>
            </w:pPr>
            <w:r>
              <w:rPr>
                <w:rFonts w:ascii="Arial" w:cs="Arial" w:eastAsia="Arial" w:hAnsi="Arial"/>
                <w:sz w:val="19"/>
                <w:szCs w:val="19"/>
              </w:rPr>
              <w:t xml:space="preserve">- Pontos 2026: 62 + 38 = 100 ≥ 93 ✅</w:t>
            </w:r>
          </w:p>
          <w:p>
            <w:pPr>
              <w:spacing w:after="40" w:before="40"/>
            </w:pPr>
            <w:r>
              <w:rPr>
                <w:rFonts w:ascii="Arial" w:cs="Arial" w:eastAsia="Arial" w:hAnsi="Arial"/>
                <w:sz w:val="19"/>
                <w:szCs w:val="19"/>
              </w:rPr>
              <w:t xml:space="preserve">- Coeficiente: 60% + 2%×(38-15) = 106%, limitado a 100%</w:t>
            </w:r>
          </w:p>
          <w:p>
            <w:pPr>
              <w:spacing w:after="40" w:before="40"/>
            </w:pPr>
            <w:r>
              <w:rPr>
                <w:rFonts w:ascii="Arial" w:cs="Arial" w:eastAsia="Arial" w:hAnsi="Arial"/>
                <w:sz w:val="19"/>
                <w:szCs w:val="19"/>
              </w:rPr>
              <w:t xml:space="preserve">- Média 100%: R$ 4.600,00</w:t>
            </w:r>
          </w:p>
          <w:p>
            <w:pPr>
              <w:spacing w:after="40" w:before="40"/>
            </w:pPr>
            <w:r>
              <w:rPr>
                <w:rFonts w:ascii="Arial" w:cs="Arial" w:eastAsia="Arial" w:hAnsi="Arial"/>
                <w:sz w:val="19"/>
                <w:szCs w:val="19"/>
              </w:rPr>
              <w:t xml:space="preserve">- RMI art. 15: R$ 4.600 × 100% = R$ 4.600,00</w:t>
            </w:r>
          </w:p>
          <w:p>
            <w:pPr>
              <w:spacing w:after="40" w:before="40"/>
            </w:pPr>
            <w:r>
              <w:rPr>
                <w:rFonts w:ascii="Arial" w:cs="Arial" w:eastAsia="Arial" w:hAnsi="Arial"/>
                <w:sz w:val="19"/>
                <w:szCs w:val="19"/>
              </w:rPr>
              <w:t xml:space="preserve">Regra 85/95 (R$ 5.200) vs. art. 15 (R$ 4.600): diferença de R$ 600/mês, R$ 7.200/ano.</w:t>
            </w:r>
          </w:p>
          <w:p>
            <w:pPr>
              <w:spacing w:after="40" w:before="40"/>
            </w:pPr>
            <w:r>
              <w:rPr>
                <w:rFonts w:ascii="Arial" w:cs="Arial" w:eastAsia="Arial" w:hAnsi="Arial"/>
                <w:sz w:val="19"/>
                <w:szCs w:val="19"/>
              </w:rPr>
              <w:t xml:space="preserve">O direito adquirido à regra 85/95 é, neste caso, claramente superior. O advogado que não verifica esse direito causa prejuízo ao cliente.</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11.10 Análise Comparativa: Qual Regra de Transição Escolher?</w:t>
      </w:r>
    </w:p>
    <w:p>
      <w:pPr>
        <w:spacing w:after="140" w:before="280"/>
      </w:pPr>
      <w:r>
        <w:rPr>
          <w:rFonts w:ascii="Arial" w:cs="Arial" w:eastAsia="Arial" w:hAnsi="Arial"/>
          <w:b/>
          <w:bCs/>
          <w:color w:val="2E86C1"/>
          <w:sz w:val="23"/>
          <w:szCs w:val="23"/>
        </w:rPr>
        <w:t xml:space="preserve">11.10.1 Tabela-mestre das regras</w:t>
      </w:r>
    </w:p>
    <w:p>
      <w:pPr>
        <w:spacing w:after="100" w:before="100"/>
        <w:jc w:val="both"/>
      </w:pPr>
      <w:r>
        <w:rPr>
          <w:rFonts w:ascii="Arial" w:cs="Arial" w:eastAsia="Arial" w:hAnsi="Arial"/>
          <w:sz w:val="21"/>
          <w:szCs w:val="21"/>
        </w:rPr>
        <w:t xml:space="preserve">A tabela abaixo sintetiza todas as regras disponíveis para segurados filiados antes de 13/11/2019 que buscam aposentadoria por tempo de contribuição ou equivalente:</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Regra</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Requisitos</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Cálculo da média</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Coeficiente</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Fator Previdenciário</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Direito adquirido TC + fator</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35H/30M TC até 12/11/2019</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80% maiores SC</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do SB</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Obrigatório</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Direito adquirido 85/95</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35H/30M TC + 96/86 pontos até 12/11/2019</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80% maiores SC</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 do SB</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Afastado</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15 (pontos)</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35H/30M TC + pontuação (103/93 em 2026)</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SC</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60%+2%/ano</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 se aplica</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16 (idade progressiva)</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35H/30M TC + idade (64,5/59,5 em 2026)</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 SC</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60%+2%/ano</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 se aplica</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17 (pedágio 50%)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Faltava &lt; 2 anos TC em 2019</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80% maiores SC</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do SB</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Obrigatório</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20 (pedágio 100%)</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35H/30M TC + pedágio + 60/57 idade</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 SC</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 se aplica</w:t>
            </w:r>
          </w:p>
        </w:tc>
      </w:tr>
    </w:tbl>
    <w:p>
      <w:pPr>
        <w:spacing w:after="160"/>
      </w:pPr>
    </w:p>
    <w:p>
      <w:pPr>
        <w:spacing w:after="140" w:before="280"/>
      </w:pPr>
      <w:r>
        <w:rPr>
          <w:rFonts w:ascii="Arial" w:cs="Arial" w:eastAsia="Arial" w:hAnsi="Arial"/>
          <w:b/>
          <w:bCs/>
          <w:color w:val="2E86C1"/>
          <w:sz w:val="23"/>
          <w:szCs w:val="23"/>
        </w:rPr>
        <w:t xml:space="preserve">11.10.2 Critérios decisórios</w:t>
      </w:r>
    </w:p>
    <w:p>
      <w:pPr>
        <w:spacing w:after="100" w:before="100"/>
        <w:jc w:val="both"/>
      </w:pPr>
      <w:r>
        <w:rPr>
          <w:rFonts w:ascii="Arial" w:cs="Arial" w:eastAsia="Arial" w:hAnsi="Arial"/>
          <w:sz w:val="21"/>
          <w:szCs w:val="21"/>
        </w:rPr>
        <w:t xml:space="preserve">A escolha da regra mais vantajosa depende de variáveis individuais que devem ser analisadas caso a caso:</w:t>
      </w:r>
    </w:p>
    <w:p>
      <w:pPr>
        <w:spacing w:after="100" w:before="100"/>
        <w:jc w:val="both"/>
      </w:pPr>
      <w:r>
        <w:rPr>
          <w:rFonts w:ascii="Arial" w:cs="Arial" w:eastAsia="Arial" w:hAnsi="Arial"/>
          <w:sz w:val="21"/>
          <w:szCs w:val="21"/>
        </w:rPr>
        <w:t xml:space="preserve">1. Idade: Segurados com idade avançada (≥ 62-65 anos) tendem a se beneficiar do fator previdenciário &gt; 1,0 (regras com fator) ou do pedágio 100% (coeficiente integral).</w:t>
      </w:r>
    </w:p>
    <w:p>
      <w:pPr>
        <w:spacing w:after="100" w:before="100"/>
        <w:jc w:val="both"/>
      </w:pPr>
      <w:r>
        <w:rPr>
          <w:rFonts w:ascii="Arial" w:cs="Arial" w:eastAsia="Arial" w:hAnsi="Arial"/>
          <w:sz w:val="21"/>
          <w:szCs w:val="21"/>
        </w:rPr>
        <w:t xml:space="preserve">2. Tempo de contribuição: Segurados com TC muito superior ao mínimo (40+ anos) tendem a ter coeficiente alto (100%+) nas regras do art. 15/16 e fator elevado nas regras com fator.</w:t>
      </w:r>
    </w:p>
    <w:p>
      <w:pPr>
        <w:spacing w:after="100" w:before="100"/>
        <w:jc w:val="both"/>
      </w:pPr>
      <w:r>
        <w:rPr>
          <w:rFonts w:ascii="Arial" w:cs="Arial" w:eastAsia="Arial" w:hAnsi="Arial"/>
          <w:sz w:val="21"/>
          <w:szCs w:val="21"/>
        </w:rPr>
        <w:t xml:space="preserve">3. Valor dos salários de contribuição: A diferença entre a média dos 80% maiores e a média de 100% é decisiva. Segurados com períodos de remuneração baixa (início de carreira, contribuições sobre o SM) se beneficiam da média dos 80% maiores.</w:t>
      </w:r>
    </w:p>
    <w:p>
      <w:pPr>
        <w:spacing w:after="100" w:before="100"/>
        <w:jc w:val="both"/>
      </w:pPr>
      <w:r>
        <w:rPr>
          <w:rFonts w:ascii="Arial" w:cs="Arial" w:eastAsia="Arial" w:hAnsi="Arial"/>
          <w:sz w:val="21"/>
          <w:szCs w:val="21"/>
        </w:rPr>
        <w:t xml:space="preserve">4. Data de filiação e situação em 13/11/2019: Determina se o segurado tem direito adquirido e se é elegível ao pedágio 50%.</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Caso unificado — Cálculo por todas as regras</w:t>
            </w:r>
          </w:p>
          <w:p>
            <w:pPr>
              <w:spacing w:after="40" w:before="40"/>
            </w:pPr>
            <w:r>
              <w:rPr>
                <w:rFonts w:ascii="Arial" w:cs="Arial" w:eastAsia="Arial" w:hAnsi="Arial"/>
                <w:sz w:val="19"/>
                <w:szCs w:val="19"/>
              </w:rPr>
              <w:t xml:space="preserve">Carlos, homem, 63 anos em 2026, filiado em 1986. TC total: 40 anos. Em 13/11/2019 tinha 33 anos de TC e 56 anos de idade.</w:t>
            </w:r>
          </w:p>
          <w:p>
            <w:pPr>
              <w:spacing w:after="40" w:before="40"/>
            </w:pPr>
            <w:r>
              <w:rPr>
                <w:rFonts w:ascii="Arial" w:cs="Arial" w:eastAsia="Arial" w:hAnsi="Arial"/>
                <w:sz w:val="19"/>
                <w:szCs w:val="19"/>
              </w:rPr>
              <w:t xml:space="preserve">- Média 80% maiores SC: R$ 6.200,00</w:t>
            </w:r>
          </w:p>
          <w:p>
            <w:pPr>
              <w:spacing w:after="40" w:before="40"/>
            </w:pPr>
            <w:r>
              <w:rPr>
                <w:rFonts w:ascii="Arial" w:cs="Arial" w:eastAsia="Arial" w:hAnsi="Arial"/>
                <w:sz w:val="19"/>
                <w:szCs w:val="19"/>
              </w:rPr>
              <w:t xml:space="preserve">- Média 100% SC: R$ 5.400,00</w:t>
            </w:r>
          </w:p>
          <w:p>
            <w:pPr>
              <w:spacing w:after="40" w:before="40"/>
            </w:pPr>
            <w:r>
              <w:rPr>
                <w:rFonts w:ascii="Arial" w:cs="Arial" w:eastAsia="Arial" w:hAnsi="Arial"/>
                <w:sz w:val="19"/>
                <w:szCs w:val="19"/>
              </w:rPr>
              <w:t xml:space="preserve"> |  Regra  |  Elegível?  |  Cálculo  |  RMI  | </w:t>
            </w:r>
          </w:p>
          <w:p>
            <w:pPr>
              <w:spacing w:after="40" w:before="40"/>
            </w:pPr>
            <w:r>
              <w:rPr>
                <w:rFonts w:ascii="Arial" w:cs="Arial" w:eastAsia="Arial" w:hAnsi="Arial"/>
                <w:sz w:val="19"/>
                <w:szCs w:val="19"/>
              </w:rPr>
              <w:t xml:space="preserve"> | ------- | ---------- | --------- | ----- | </w:t>
            </w:r>
          </w:p>
          <w:p>
            <w:pPr>
              <w:spacing w:after="40" w:before="40"/>
            </w:pPr>
            <w:r>
              <w:rPr>
                <w:rFonts w:ascii="Arial" w:cs="Arial" w:eastAsia="Arial" w:hAnsi="Arial"/>
                <w:sz w:val="19"/>
                <w:szCs w:val="19"/>
              </w:rPr>
              <w:t xml:space="preserve"> |  Direito adquirido TC + fator  |  Sim (33 TC &lt; 35 em 2019) → Não  |  —  |  —  | </w:t>
            </w:r>
          </w:p>
          <w:p>
            <w:pPr>
              <w:spacing w:after="40" w:before="40"/>
            </w:pPr>
            <w:r>
              <w:rPr>
                <w:rFonts w:ascii="Arial" w:cs="Arial" w:eastAsia="Arial" w:hAnsi="Arial"/>
                <w:sz w:val="19"/>
                <w:szCs w:val="19"/>
              </w:rPr>
              <w:t xml:space="preserve"> |  Direito adquirido 85/95  |  56+33=89 &lt; 96 → Não  |  —  |  —  | </w:t>
            </w:r>
          </w:p>
          <w:p>
            <w:pPr>
              <w:spacing w:after="40" w:before="40"/>
            </w:pPr>
            <w:r>
              <w:rPr>
                <w:rFonts w:ascii="Arial" w:cs="Arial" w:eastAsia="Arial" w:hAnsi="Arial"/>
                <w:sz w:val="19"/>
                <w:szCs w:val="19"/>
              </w:rPr>
              <w:t xml:space="preserve"> |  Art. 15 (pontos)  |  63+40=103 ≥ 103 → Sim  |  R$ 5.400 × (60%+2%×20) = R$ 5.400 × 100%  |  R$ 5.400  | </w:t>
            </w:r>
          </w:p>
          <w:p>
            <w:pPr>
              <w:spacing w:after="40" w:before="40"/>
            </w:pPr>
            <w:r>
              <w:rPr>
                <w:rFonts w:ascii="Arial" w:cs="Arial" w:eastAsia="Arial" w:hAnsi="Arial"/>
                <w:sz w:val="19"/>
                <w:szCs w:val="19"/>
              </w:rPr>
              <w:t xml:space="preserve"> |  Art. 16 (idade)  |  63 &lt; 64,5 → Não (em 2026)  |  —  |  —  | </w:t>
            </w:r>
          </w:p>
          <w:p>
            <w:pPr>
              <w:spacing w:after="40" w:before="40"/>
            </w:pPr>
            <w:r>
              <w:rPr>
                <w:rFonts w:ascii="Arial" w:cs="Arial" w:eastAsia="Arial" w:hAnsi="Arial"/>
                <w:sz w:val="19"/>
                <w:szCs w:val="19"/>
              </w:rPr>
              <w:t xml:space="preserve"> |  Art. 17 (pedágio 50%)  |  Faltavam 2 anos em 2019 → Sim (limite)  |  R$ 6.200 × f(Tc=40,Id=63,Es≈20,8)  |  R$ 6.200 × 1,162 = R$ 7.204 (teto!)  | </w:t>
            </w:r>
          </w:p>
          <w:p>
            <w:pPr>
              <w:spacing w:after="40" w:before="40"/>
            </w:pPr>
            <w:r>
              <w:rPr>
                <w:rFonts w:ascii="Arial" w:cs="Arial" w:eastAsia="Arial" w:hAnsi="Arial"/>
                <w:sz w:val="19"/>
                <w:szCs w:val="19"/>
              </w:rPr>
              <w:t xml:space="preserve"> |  Art. 20 (pedágio 100%)  |  60 ✅, 35 TC ✅, pedágio 2 anos → 37 total, tem 40 ✅  |  R$ 5.400 × 100%  |  R$ 5.400  | </w:t>
            </w:r>
          </w:p>
          <w:p>
            <w:pPr>
              <w:spacing w:after="40" w:before="40"/>
            </w:pPr>
            <w:r>
              <w:rPr>
                <w:rFonts w:ascii="Arial" w:cs="Arial" w:eastAsia="Arial" w:hAnsi="Arial"/>
                <w:sz w:val="19"/>
                <w:szCs w:val="19"/>
              </w:rPr>
              <w:t xml:space="preserve">Resultados:</w:t>
            </w:r>
          </w:p>
          <w:p>
            <w:pPr>
              <w:spacing w:after="40" w:before="40"/>
            </w:pPr>
            <w:r>
              <w:rPr>
                <w:rFonts w:ascii="Arial" w:cs="Arial" w:eastAsia="Arial" w:hAnsi="Arial"/>
                <w:sz w:val="19"/>
                <w:szCs w:val="19"/>
              </w:rPr>
              <w:t xml:space="preserve">- Pedágio 50% (R$ 7.204, limitado ao teto R$ 8.475,55) → MELHOR (fator &gt; 1 + base 80% maiores)</w:t>
            </w:r>
          </w:p>
          <w:p>
            <w:pPr>
              <w:spacing w:after="40" w:before="40"/>
            </w:pPr>
            <w:r>
              <w:rPr>
                <w:rFonts w:ascii="Arial" w:cs="Arial" w:eastAsia="Arial" w:hAnsi="Arial"/>
                <w:sz w:val="19"/>
                <w:szCs w:val="19"/>
              </w:rPr>
              <w:t xml:space="preserve">- Art. 15 e Art. 20: R$ 5.400 cada</w:t>
            </w:r>
          </w:p>
          <w:p>
            <w:pPr>
              <w:spacing w:after="40" w:before="40"/>
            </w:pPr>
            <w:r>
              <w:rPr>
                <w:rFonts w:ascii="Arial" w:cs="Arial" w:eastAsia="Arial" w:hAnsi="Arial"/>
                <w:sz w:val="19"/>
                <w:szCs w:val="19"/>
              </w:rPr>
              <w:t xml:space="preserve">- Art. 16: não elegível em 2026</w:t>
            </w:r>
          </w:p>
          <w:p>
            <w:pPr>
              <w:spacing w:after="40" w:before="40"/>
            </w:pPr>
            <w:r>
              <w:rPr>
                <w:rFonts w:ascii="Arial" w:cs="Arial" w:eastAsia="Arial" w:hAnsi="Arial"/>
                <w:sz w:val="19"/>
                <w:szCs w:val="19"/>
              </w:rPr>
              <w:t xml:space="preserve">Lição: O pedágio 50%, quando o fator é favorável (&gt; 1,0), pode superar todas as demais regras por combinar a base mais elevada (80% maiores) com um multiplicador que amplifica o benefício. Mas esse cenário é específico: segurado com 63 anos, 40 anos TC e fator de 1,162.</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Não existe regra "universalmente melhor"</w:t>
            </w:r>
          </w:p>
          <w:p>
            <w:pPr>
              <w:spacing w:after="40" w:before="40"/>
            </w:pPr>
            <w:r>
              <w:rPr>
                <w:rFonts w:ascii="Arial" w:cs="Arial" w:eastAsia="Arial" w:hAnsi="Arial"/>
                <w:sz w:val="19"/>
                <w:szCs w:val="19"/>
              </w:rPr>
              <w:t xml:space="preserve">A análise dos exemplos demonstra que cada regra pode ser a mais vantajosa dependendo do perfil do segurado:</w:t>
            </w:r>
          </w:p>
          <w:p>
            <w:pPr>
              <w:spacing w:after="40" w:before="40"/>
            </w:pPr>
            <w:r>
              <w:rPr>
                <w:rFonts w:ascii="Arial" w:cs="Arial" w:eastAsia="Arial" w:hAnsi="Arial"/>
                <w:sz w:val="19"/>
                <w:szCs w:val="19"/>
              </w:rPr>
              <w:t xml:space="preserve">- Regra 85/95 (direito adquirido): Melhor para quem atingiu os pontos antes de 13/11/2019 — combina média 80% maiores + 100% do SB + sem fator.</w:t>
            </w:r>
          </w:p>
          <w:p>
            <w:pPr>
              <w:spacing w:after="40" w:before="40"/>
            </w:pPr>
            <w:r>
              <w:rPr>
                <w:rFonts w:ascii="Arial" w:cs="Arial" w:eastAsia="Arial" w:hAnsi="Arial"/>
                <w:sz w:val="19"/>
                <w:szCs w:val="19"/>
              </w:rPr>
              <w:t xml:space="preserve">- Pedágio 50%: Melhor para quem tem fator &gt; 1,0 e grande diferença entre média 80% e 100%.</w:t>
            </w:r>
          </w:p>
          <w:p>
            <w:pPr>
              <w:spacing w:after="40" w:before="40"/>
            </w:pPr>
            <w:r>
              <w:rPr>
                <w:rFonts w:ascii="Arial" w:cs="Arial" w:eastAsia="Arial" w:hAnsi="Arial"/>
                <w:sz w:val="19"/>
                <w:szCs w:val="19"/>
              </w:rPr>
              <w:t xml:space="preserve">- Pedágio 100%: Melhor para quem não tem direito adquirido e precisa de coeficiente integral (100%).</w:t>
            </w:r>
          </w:p>
          <w:p>
            <w:pPr>
              <w:spacing w:after="40" w:before="40"/>
            </w:pPr>
            <w:r>
              <w:rPr>
                <w:rFonts w:ascii="Arial" w:cs="Arial" w:eastAsia="Arial" w:hAnsi="Arial"/>
                <w:sz w:val="19"/>
                <w:szCs w:val="19"/>
              </w:rPr>
              <w:t xml:space="preserve">- Art. 15/16: Melhor quando o coeficiente (60%+2%) atinge 100%+ e não há regra com fator favorável.</w:t>
            </w:r>
          </w:p>
          <w:p>
            <w:pPr>
              <w:spacing w:after="40" w:before="40"/>
            </w:pPr>
            <w:r>
              <w:rPr>
                <w:rFonts w:ascii="Arial" w:cs="Arial" w:eastAsia="Arial" w:hAnsi="Arial"/>
                <w:sz w:val="19"/>
                <w:szCs w:val="19"/>
              </w:rPr>
              <w:t xml:space="preserve">- Direito adquirido TC + fator: Melhor quando o fator é &gt; 1,0 (segurado idoso com muito TC).</w:t>
            </w:r>
          </w:p>
          <w:p>
            <w:pPr>
              <w:spacing w:after="40" w:before="40"/>
            </w:pPr>
            <w:r>
              <w:rPr>
                <w:rFonts w:ascii="Arial" w:cs="Arial" w:eastAsia="Arial" w:hAnsi="Arial"/>
                <w:sz w:val="19"/>
                <w:szCs w:val="19"/>
              </w:rPr>
              <w:t xml:space="preserve">O advogado deve calcular o benefício por TODAS as regras aplicáveis e apresentar a comparação ao cliente. Essa é a essência da advocacia previdenciária de qualidade.</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11.11 Contagem Recíproca e Impacto nas Regras de Transição</w:t>
      </w:r>
    </w:p>
    <w:p>
      <w:pPr>
        <w:spacing w:after="140" w:before="280"/>
      </w:pPr>
      <w:r>
        <w:rPr>
          <w:rFonts w:ascii="Arial" w:cs="Arial" w:eastAsia="Arial" w:hAnsi="Arial"/>
          <w:b/>
          <w:bCs/>
          <w:color w:val="2E86C1"/>
          <w:sz w:val="23"/>
          <w:szCs w:val="23"/>
        </w:rPr>
        <w:t xml:space="preserve">11.11.1 Fundamento e mecanismo geral</w:t>
      </w:r>
    </w:p>
    <w:p>
      <w:pPr>
        <w:spacing w:after="100" w:before="100"/>
        <w:jc w:val="both"/>
      </w:pPr>
      <w:r>
        <w:rPr>
          <w:rFonts w:ascii="Arial" w:cs="Arial" w:eastAsia="Arial" w:hAnsi="Arial"/>
          <w:sz w:val="21"/>
          <w:szCs w:val="21"/>
        </w:rPr>
        <w:t xml:space="preserve">A contagem recíproca, prevista no art. 201, § 9º, da CF/88, permite que o segurado some o tempo de contribuição exercido em regimes previdenciários distintos (RGPS e RPPS) para fins de aposentadoria em qualquer deles. O mecanismo detalhado da contagem recíproca, incluindo a expedição da Certidão de Tempo de Contribuição (CTC), as vedações e o procedimento administrativo, já foi analisado na seção 5.7 deste livro, à qual se remete o leitor para os fundamentos gerais.</w:t>
      </w:r>
    </w:p>
    <w:p>
      <w:pPr>
        <w:spacing w:after="100" w:before="100"/>
        <w:jc w:val="both"/>
      </w:pPr>
      <w:r>
        <w:rPr>
          <w:rFonts w:ascii="Arial" w:cs="Arial" w:eastAsia="Arial" w:hAnsi="Arial"/>
          <w:sz w:val="21"/>
          <w:szCs w:val="21"/>
        </w:rPr>
        <w:t xml:space="preserve">O presente tópico foca especificamente no impacto da contagem recíproca no contexto das regras de transição da aposentadoria por tempo de contribuição — tema exclusivo deste capítulo.</w:t>
      </w:r>
    </w:p>
    <w:p>
      <w:pPr>
        <w:spacing w:after="140" w:before="280"/>
      </w:pPr>
      <w:r>
        <w:rPr>
          <w:rFonts w:ascii="Arial" w:cs="Arial" w:eastAsia="Arial" w:hAnsi="Arial"/>
          <w:b/>
          <w:bCs/>
          <w:color w:val="2E86C1"/>
          <w:sz w:val="23"/>
          <w:szCs w:val="23"/>
        </w:rPr>
        <w:t xml:space="preserve">11.11.2 O impacto nas regras de transição</w:t>
      </w:r>
    </w:p>
    <w:p>
      <w:pPr>
        <w:spacing w:after="100" w:before="100"/>
        <w:jc w:val="both"/>
      </w:pPr>
      <w:r>
        <w:rPr>
          <w:rFonts w:ascii="Arial" w:cs="Arial" w:eastAsia="Arial" w:hAnsi="Arial"/>
          <w:sz w:val="21"/>
          <w:szCs w:val="21"/>
        </w:rPr>
        <w:t xml:space="preserve">Para o segurado que migrou do serviço público para a iniciativa privada (ou vice-versa), a contagem recíproca pode ser decisiva para o atingimento dos requisitos das regras de transição. Considere os seguintes cenários práticos:</w:t>
      </w:r>
    </w:p>
    <w:p>
      <w:pPr>
        <w:spacing w:after="60" w:before="60"/>
        <w:ind w:left="360"/>
      </w:pPr>
      <w:r>
        <w:rPr>
          <w:rFonts w:ascii="Arial" w:cs="Arial" w:eastAsia="Arial" w:hAnsi="Arial"/>
          <w:sz w:val="21"/>
          <w:szCs w:val="21"/>
        </w:rPr>
        <w:t xml:space="preserve">Cenário 1 — Ex-servidor que precisa do tempo de RPPS para atingir 35 anos de TC no RGPS:</w:t>
      </w:r>
    </w:p>
    <w:p>
      <w:pPr>
        <w:spacing w:after="100" w:before="100"/>
        <w:jc w:val="both"/>
      </w:pPr>
      <w:r>
        <w:rPr>
          <w:rFonts w:ascii="Arial" w:cs="Arial" w:eastAsia="Arial" w:hAnsi="Arial"/>
          <w:sz w:val="21"/>
          <w:szCs w:val="21"/>
        </w:rPr>
        <w:t xml:space="preserve">O segurado trabalhou 12 anos no serviço público federal (RPPS da União) e depois se transferiu para a iniciativa privada, onde acumula 23 anos de contribuição ao RGPS. Sem a contagem recíproca, possui apenas 23 anos de TC no RGPS — insuficiente para qualquer regra de transição. Com a averbação do tempo de RPPS mediante CTC, atinge 35 anos de TC, habilitando-se ao art. 15 (pontos), art. 16 (idade progressiva) ou art. 20 (pedágio 100%), conforme sua idade e demais requisitos.</w:t>
      </w:r>
    </w:p>
    <w:p>
      <w:pPr>
        <w:spacing w:after="60" w:before="60"/>
        <w:ind w:left="360"/>
      </w:pPr>
      <w:r>
        <w:rPr>
          <w:rFonts w:ascii="Arial" w:cs="Arial" w:eastAsia="Arial" w:hAnsi="Arial"/>
          <w:sz w:val="21"/>
          <w:szCs w:val="21"/>
        </w:rPr>
        <w:t xml:space="preserve">Cenário 2 — Ex-segurado do RGPS que precisa completar TC no RPPS:</w:t>
      </w:r>
    </w:p>
    <w:p>
      <w:pPr>
        <w:spacing w:after="100" w:before="100"/>
        <w:jc w:val="both"/>
      </w:pPr>
      <w:r>
        <w:rPr>
          <w:rFonts w:ascii="Arial" w:cs="Arial" w:eastAsia="Arial" w:hAnsi="Arial"/>
          <w:sz w:val="21"/>
          <w:szCs w:val="21"/>
        </w:rPr>
        <w:t xml:space="preserve">O servidor público que ingressou no serviço após 10 anos de contribuição ao RGPS pode averbar esse tempo para fins de aposentadoria no RPPS, observadas as regras específicas do respectivo regime próprio (não objeto deste capítulo, que trata do RGPS).</w:t>
      </w:r>
    </w:p>
    <w:p>
      <w:pPr>
        <w:spacing w:after="140" w:before="280"/>
      </w:pPr>
      <w:r>
        <w:rPr>
          <w:rFonts w:ascii="Arial" w:cs="Arial" w:eastAsia="Arial" w:hAnsi="Arial"/>
          <w:b/>
          <w:bCs/>
          <w:color w:val="2E86C1"/>
          <w:sz w:val="23"/>
          <w:szCs w:val="23"/>
        </w:rPr>
        <w:t xml:space="preserve">11.11.3 Compensação financeira entre regimes</w:t>
      </w:r>
    </w:p>
    <w:p>
      <w:pPr>
        <w:spacing w:after="100" w:before="100"/>
        <w:jc w:val="both"/>
      </w:pPr>
      <w:r>
        <w:rPr>
          <w:rFonts w:ascii="Arial" w:cs="Arial" w:eastAsia="Arial" w:hAnsi="Arial"/>
          <w:sz w:val="21"/>
          <w:szCs w:val="21"/>
        </w:rPr>
        <w:t xml:space="preserve">O art. 201, § 9º-A, da CF (incluído pela EC 103/2019), determina que os regimes de previdência social se compensarão financeiramente quando o segurado utilizar tempo de contribuição de um regime para aposentadoria em outro. A Lei 9.796/1999 disciplina o procedimento de compensação financeira, que ocorre entre os entes federativos (União, estados, municípios e o INSS) sem participação direta do segurado.</w:t>
      </w:r>
    </w:p>
    <w:p>
      <w:pPr>
        <w:spacing w:after="100" w:before="100"/>
        <w:jc w:val="both"/>
      </w:pPr>
      <w:r>
        <w:rPr>
          <w:rFonts w:ascii="Arial" w:cs="Arial" w:eastAsia="Arial" w:hAnsi="Arial"/>
          <w:sz w:val="21"/>
          <w:szCs w:val="21"/>
        </w:rPr>
        <w:t xml:space="preserve">Na prática, a compensação financeira é um mecanismo interno entre os regimes. O segurado não paga nem recebe nada: basta apresentar a CTC válida e requerer a averbação no regime em que pretende se aposentar. O regime concedente do benefício arca com a totalidade do pagamento e depois busca a compensação junto ao regime que detém o tempo averbado.</w:t>
      </w:r>
    </w:p>
    <w:p>
      <w:pPr>
        <w:spacing w:after="140" w:before="280"/>
      </w:pPr>
      <w:r>
        <w:rPr>
          <w:rFonts w:ascii="Arial" w:cs="Arial" w:eastAsia="Arial" w:hAnsi="Arial"/>
          <w:b/>
          <w:bCs/>
          <w:color w:val="2E86C1"/>
          <w:sz w:val="23"/>
          <w:szCs w:val="23"/>
        </w:rPr>
        <w:t xml:space="preserve">11.11.4 Vedação de dupla contagem</w:t>
      </w:r>
    </w:p>
    <w:p>
      <w:pPr>
        <w:spacing w:after="100" w:before="100"/>
        <w:jc w:val="both"/>
      </w:pPr>
      <w:r>
        <w:rPr>
          <w:rFonts w:ascii="Arial" w:cs="Arial" w:eastAsia="Arial" w:hAnsi="Arial"/>
          <w:sz w:val="21"/>
          <w:szCs w:val="21"/>
        </w:rPr>
        <w:t xml:space="preserve">A Constituição veda expressamente a contagem do mesmo tempo de contribuição em mais de um regime (art. 201, § 9º, parte final). Assim, o segurado que averba o tempo de RPPS no RGPS para fins de aposentadoria não pode utilizar esse mesmo tempo para aposentadoria no RPPS. A opção por um regime implica renúncia ao outro quanto ao tempo averbado.</w:t>
      </w:r>
    </w:p>
    <w:p>
      <w:pPr>
        <w:spacing w:after="100" w:before="100"/>
        <w:jc w:val="both"/>
      </w:pPr>
      <w:r>
        <w:rPr>
          <w:rFonts w:ascii="Arial" w:cs="Arial" w:eastAsia="Arial" w:hAnsi="Arial"/>
          <w:sz w:val="21"/>
          <w:szCs w:val="21"/>
        </w:rPr>
        <w:t xml:space="preserve">Essa vedação tem consequências importantes nas regras de transição: o segurado que exerceu atividades concomitantes no RGPS e no RPPS — situação rara, mas possível em acumulação lícita de cargos — não pode contar o tempo de ambos simultaneamente para uma mesma aposentadoria. Cada período de contribuição só pode ser utilizado uma vez.</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Roteiro prático — Contagem recíproca para aposentadoria por TC no RGPS</w:t>
            </w:r>
          </w:p>
          <w:p>
            <w:pPr>
              <w:spacing w:after="40" w:before="40"/>
            </w:pPr>
            <w:r>
              <w:rPr>
                <w:rFonts w:ascii="Arial" w:cs="Arial" w:eastAsia="Arial" w:hAnsi="Arial"/>
                <w:sz w:val="19"/>
                <w:szCs w:val="19"/>
              </w:rPr>
              <w:t xml:space="preserve">1. Verificar o tempo total de TC no RGPS (CNIS) — identificar lacunas e períodos sem contribuição</w:t>
            </w:r>
          </w:p>
          <w:p>
            <w:pPr>
              <w:spacing w:after="40" w:before="40"/>
            </w:pPr>
            <w:r>
              <w:rPr>
                <w:rFonts w:ascii="Arial" w:cs="Arial" w:eastAsia="Arial" w:hAnsi="Arial"/>
                <w:sz w:val="19"/>
                <w:szCs w:val="19"/>
              </w:rPr>
              <w:t xml:space="preserve">2. Identificar tempo de serviço público (RPPS) — verificar se o segurado teve vínculo com ente federativo em regime próprio</w:t>
            </w:r>
          </w:p>
          <w:p>
            <w:pPr>
              <w:spacing w:after="40" w:before="40"/>
            </w:pPr>
            <w:r>
              <w:rPr>
                <w:rFonts w:ascii="Arial" w:cs="Arial" w:eastAsia="Arial" w:hAnsi="Arial"/>
                <w:sz w:val="19"/>
                <w:szCs w:val="19"/>
              </w:rPr>
              <w:t xml:space="preserve">3. Solicitar CTC ao órgão de origem — a CTC deve ser expedida pelo regime de origem, com discriminação dos períodos, remunerações e contribuições</w:t>
            </w:r>
          </w:p>
          <w:p>
            <w:pPr>
              <w:spacing w:after="40" w:before="40"/>
            </w:pPr>
            <w:r>
              <w:rPr>
                <w:rFonts w:ascii="Arial" w:cs="Arial" w:eastAsia="Arial" w:hAnsi="Arial"/>
                <w:sz w:val="19"/>
                <w:szCs w:val="19"/>
              </w:rPr>
              <w:t xml:space="preserve">4. Averbar a CTC junto ao INSS — protocolar requerimento administrativo com a CTC original</w:t>
            </w:r>
          </w:p>
          <w:p>
            <w:pPr>
              <w:spacing w:after="40" w:before="40"/>
            </w:pPr>
            <w:r>
              <w:rPr>
                <w:rFonts w:ascii="Arial" w:cs="Arial" w:eastAsia="Arial" w:hAnsi="Arial"/>
                <w:sz w:val="19"/>
                <w:szCs w:val="19"/>
              </w:rPr>
              <w:t xml:space="preserve">5. Verificar impacto nos requisitos de transição:</w:t>
            </w:r>
          </w:p>
          <w:p>
            <w:pPr>
              <w:spacing w:after="40" w:before="40"/>
            </w:pPr>
            <w:r>
              <w:rPr>
                <w:rFonts w:ascii="Arial" w:cs="Arial" w:eastAsia="Arial" w:hAnsi="Arial"/>
                <w:sz w:val="19"/>
                <w:szCs w:val="19"/>
              </w:rPr>
              <w:t xml:space="preserve">   - Somar o tempo averbado ao TC total</w:t>
            </w:r>
          </w:p>
          <w:p>
            <w:pPr>
              <w:spacing w:after="40" w:before="40"/>
            </w:pPr>
            <w:r>
              <w:rPr>
                <w:rFonts w:ascii="Arial" w:cs="Arial" w:eastAsia="Arial" w:hAnsi="Arial"/>
                <w:sz w:val="19"/>
                <w:szCs w:val="19"/>
              </w:rPr>
              <w:t xml:space="preserve">   - Verificar se o novo TC total atende ao mínimo exigido (30M/35H anos)</w:t>
            </w:r>
          </w:p>
          <w:p>
            <w:pPr>
              <w:spacing w:after="40" w:before="40"/>
            </w:pPr>
            <w:r>
              <w:rPr>
                <w:rFonts w:ascii="Arial" w:cs="Arial" w:eastAsia="Arial" w:hAnsi="Arial"/>
                <w:sz w:val="19"/>
                <w:szCs w:val="19"/>
              </w:rPr>
              <w:t xml:space="preserve">   - Calcular a pontuação (art. 15), verificar a idade (art. 16/20) e o pedágio (arts. 17/20)</w:t>
            </w:r>
          </w:p>
          <w:p>
            <w:pPr>
              <w:spacing w:after="40" w:before="40"/>
            </w:pPr>
            <w:r>
              <w:rPr>
                <w:rFonts w:ascii="Arial" w:cs="Arial" w:eastAsia="Arial" w:hAnsi="Arial"/>
                <w:sz w:val="19"/>
                <w:szCs w:val="19"/>
              </w:rPr>
              <w:t xml:space="preserve">6. Calcular o benefício — o tempo averbado integra o TC para todos os fins (coeficiente 60%+2%, cálculo do fator, pontuação)</w:t>
            </w:r>
          </w:p>
          <w:p>
            <w:pPr>
              <w:spacing w:after="40" w:before="40"/>
            </w:pPr>
            <w:r>
              <w:rPr>
                <w:rFonts w:ascii="Arial" w:cs="Arial" w:eastAsia="Arial" w:hAnsi="Arial"/>
                <w:sz w:val="19"/>
                <w:szCs w:val="19"/>
              </w:rPr>
              <w:t xml:space="preserve">7. Atenção ao prazo: a expedição da CTC pode levar meses; iniciar o procedimento com antecedência</w:t>
            </w:r>
          </w:p>
          <w:p>
            <w:pPr>
              <w:spacing w:after="40" w:before="40"/>
            </w:pPr>
            <w:r>
              <w:rPr>
                <w:rFonts w:ascii="Arial" w:cs="Arial" w:eastAsia="Arial" w:hAnsi="Arial"/>
                <w:sz w:val="19"/>
                <w:szCs w:val="19"/>
              </w:rPr>
              <w:t xml:space="preserve">Importante: O tempo averbado computa para TC e para carência (cada mês averbado = um mês de carência), desde que efetivamente comprovada a contribuição no regime de origem.</w:t>
            </w:r>
          </w:p>
          <w:p>
            <w:pPr>
              <w:spacing w:after="40" w:before="40"/>
            </w:pPr>
            <w:r>
              <w:rPr>
                <w:rFonts w:ascii="Arial" w:cs="Arial" w:eastAsia="Arial" w:hAnsi="Arial"/>
                <w:sz w:val="19"/>
                <w:szCs w:val="19"/>
              </w:rPr>
              <w:t xml:space="preserve">Exemplo numérico:</w:t>
            </w:r>
          </w:p>
          <w:p>
            <w:pPr>
              <w:spacing w:after="40" w:before="40"/>
            </w:pPr>
            <w:r>
              <w:rPr>
                <w:rFonts w:ascii="Arial" w:cs="Arial" w:eastAsia="Arial" w:hAnsi="Arial"/>
                <w:sz w:val="19"/>
                <w:szCs w:val="19"/>
              </w:rPr>
              <w:t xml:space="preserve">Helena, mulher, 58 anos em 2026. RGPS: 22 anos de TC. RPPS (ex-servidora estadual): 10 anos.</w:t>
            </w:r>
          </w:p>
          <w:p>
            <w:pPr>
              <w:spacing w:after="40" w:before="40"/>
            </w:pPr>
            <w:r>
              <w:rPr>
                <w:rFonts w:ascii="Arial" w:cs="Arial" w:eastAsia="Arial" w:hAnsi="Arial"/>
                <w:sz w:val="19"/>
                <w:szCs w:val="19"/>
              </w:rPr>
              <w:t xml:space="preserve">- Sem contagem recíproca: 22 anos TC → insuficiente</w:t>
            </w:r>
          </w:p>
          <w:p>
            <w:pPr>
              <w:spacing w:after="40" w:before="40"/>
            </w:pPr>
            <w:r>
              <w:rPr>
                <w:rFonts w:ascii="Arial" w:cs="Arial" w:eastAsia="Arial" w:hAnsi="Arial"/>
                <w:sz w:val="19"/>
                <w:szCs w:val="19"/>
              </w:rPr>
              <w:t xml:space="preserve">- Com CTC: 22 + 10 = 32 anos TC → ≥ 30 ✅</w:t>
            </w:r>
          </w:p>
          <w:p>
            <w:pPr>
              <w:spacing w:after="40" w:before="40"/>
            </w:pPr>
            <w:r>
              <w:rPr>
                <w:rFonts w:ascii="Arial" w:cs="Arial" w:eastAsia="Arial" w:hAnsi="Arial"/>
                <w:sz w:val="19"/>
                <w:szCs w:val="19"/>
              </w:rPr>
              <w:t xml:space="preserve">- Art. 15 (pontos): 58 + 32 = 90 &lt; 93 → NÃO em 2026</w:t>
            </w:r>
          </w:p>
          <w:p>
            <w:pPr>
              <w:spacing w:after="40" w:before="40"/>
            </w:pPr>
            <w:r>
              <w:rPr>
                <w:rFonts w:ascii="Arial" w:cs="Arial" w:eastAsia="Arial" w:hAnsi="Arial"/>
                <w:sz w:val="19"/>
                <w:szCs w:val="19"/>
              </w:rPr>
              <w:t xml:space="preserve">- Art. 20 (pedágio 100%): 58 ≥ 57 ✅, 32 ≥ 30 ✅, faltavam 8 anos em 2019 (22 TC) → pedágio 8 anos → precisa 38 TC → NÃO</w:t>
            </w:r>
          </w:p>
          <w:p>
            <w:pPr>
              <w:spacing w:after="40" w:before="40"/>
            </w:pPr>
            <w:r>
              <w:rPr>
                <w:rFonts w:ascii="Arial" w:cs="Arial" w:eastAsia="Arial" w:hAnsi="Arial"/>
                <w:sz w:val="19"/>
                <w:szCs w:val="19"/>
              </w:rPr>
              <w:t xml:space="preserve">- Art. 15 em 2029: 61 + 35 = 96 ≥ 96 → SIM (pontuação mulher 2029 = 96)</w:t>
            </w:r>
          </w:p>
          <w:p>
            <w:pPr>
              <w:spacing w:after="40" w:before="40"/>
            </w:pPr>
            <w:r>
              <w:rPr>
                <w:rFonts w:ascii="Arial" w:cs="Arial" w:eastAsia="Arial" w:hAnsi="Arial"/>
                <w:sz w:val="19"/>
                <w:szCs w:val="19"/>
              </w:rPr>
              <w:t xml:space="preserve">- A contagem recíproca viabilizou aposentadoria que, sem ela, seria impossível por qualquer regra.</w:t>
            </w:r>
          </w:p>
        </w:tc>
      </w:tr>
    </w:tbl>
    <w:p>
      <w:pPr>
        <w:spacing w:after="200"/>
      </w:pPr>
    </w:p>
    <w:p>
      <w:pPr>
        <w:spacing w:after="140" w:before="280"/>
      </w:pPr>
      <w:r>
        <w:rPr>
          <w:rFonts w:ascii="Arial" w:cs="Arial" w:eastAsia="Arial" w:hAnsi="Arial"/>
          <w:b/>
          <w:bCs/>
          <w:color w:val="2E86C1"/>
          <w:sz w:val="23"/>
          <w:szCs w:val="23"/>
        </w:rPr>
        <w:t xml:space="preserve">11.11.5 Situações especiais na contagem recíproca</w:t>
      </w:r>
    </w:p>
    <w:p>
      <w:pPr>
        <w:spacing w:after="100" w:before="100"/>
        <w:jc w:val="both"/>
      </w:pPr>
      <w:r>
        <w:rPr>
          <w:rFonts w:ascii="Arial" w:cs="Arial" w:eastAsia="Arial" w:hAnsi="Arial"/>
          <w:sz w:val="21"/>
          <w:szCs w:val="21"/>
        </w:rPr>
        <w:t xml:space="preserve">Algumas situações merecem atenção especial quando se combina contagem recíproca com regras de transição:</w:t>
      </w:r>
    </w:p>
    <w:p>
      <w:pPr>
        <w:spacing w:after="60" w:before="60"/>
        <w:ind w:left="360"/>
      </w:pPr>
      <w:r>
        <w:rPr>
          <w:rFonts w:ascii="Arial" w:cs="Arial" w:eastAsia="Arial" w:hAnsi="Arial"/>
          <w:sz w:val="21"/>
          <w:szCs w:val="21"/>
        </w:rPr>
        <w:t xml:space="preserve">a) Ex-servidor com regime complementar: O servidor que aderiu ao regime de previdência complementar (Funpresp, para servidores federais ingressos após 2013) e depois migrou para o RGPS pode averbar o tempo de RPPS. Contudo, o tempo no RPPS com previdência complementar pode ter remunerações limitadas ao teto do RGPS, impactando a média de salários de contribuição.</w:t>
      </w:r>
    </w:p>
    <w:p>
      <w:pPr>
        <w:spacing w:after="60" w:before="60"/>
        <w:ind w:left="360"/>
      </w:pPr>
      <w:r>
        <w:rPr>
          <w:rFonts w:ascii="Arial" w:cs="Arial" w:eastAsia="Arial" w:hAnsi="Arial"/>
          <w:sz w:val="21"/>
          <w:szCs w:val="21"/>
        </w:rPr>
        <w:t xml:space="preserve">b) Servidor com tempo concomitante RGPS/RPPS: O servidor que acumulava licitamente dois cargos (ex.: professor em universidade federal + cargo técnico em autarquia estadual) ou que exercia atividade privada concomitante ao cargo público não pode averbar o tempo de ambos os vínculos simultaneamente para uma mesma aposentadoria. Deve escolher qual período averbar, considerando o impacto no TC total e nos salários de contribuição.</w:t>
      </w:r>
    </w:p>
    <w:p>
      <w:pPr>
        <w:spacing w:after="60" w:before="60"/>
        <w:ind w:left="360"/>
      </w:pPr>
      <w:r>
        <w:rPr>
          <w:rFonts w:ascii="Arial" w:cs="Arial" w:eastAsia="Arial" w:hAnsi="Arial"/>
          <w:sz w:val="21"/>
          <w:szCs w:val="21"/>
        </w:rPr>
        <w:t xml:space="preserve">c) CTC expedida com erro: A CTC que contém erros (períodos incorretos, omissão de contribuições) deve ser retificada pelo órgão emissor. O INSS não tem competência para corrigir CTC emitida por outro regime. Se o órgão de origem se recusar a retificar, cabe ação judicial contra o ente federativo emissor.</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11.12 Tempo Fictício: Vedação e Exceções Remanescentes</w:t>
      </w:r>
    </w:p>
    <w:p>
      <w:pPr>
        <w:spacing w:after="140" w:before="280"/>
      </w:pPr>
      <w:r>
        <w:rPr>
          <w:rFonts w:ascii="Arial" w:cs="Arial" w:eastAsia="Arial" w:hAnsi="Arial"/>
          <w:b/>
          <w:bCs/>
          <w:color w:val="2E86C1"/>
          <w:sz w:val="23"/>
          <w:szCs w:val="23"/>
        </w:rPr>
        <w:t xml:space="preserve">11.12.1 Conceito</w:t>
      </w:r>
    </w:p>
    <w:p>
      <w:pPr>
        <w:spacing w:after="100" w:before="100"/>
        <w:jc w:val="both"/>
      </w:pPr>
      <w:r>
        <w:rPr>
          <w:rFonts w:ascii="Arial" w:cs="Arial" w:eastAsia="Arial" w:hAnsi="Arial"/>
          <w:sz w:val="21"/>
          <w:szCs w:val="21"/>
        </w:rPr>
        <w:t xml:space="preserve">Tempo fictício é o tempo de serviço computado sem correspondente exercício efetivo de atividade laboral ou contribuição previdenciária. Trata-se de ficção jurídica pela qual o ordenamento atribui efeitos previdenciários a períodos em que o segurado não trabalhou nem contribuiu, seja como benefício, seja como reconhecimento de situação social protegida.</w:t>
      </w:r>
    </w:p>
    <w:p>
      <w:pPr>
        <w:spacing w:after="140" w:before="280"/>
      </w:pPr>
      <w:r>
        <w:rPr>
          <w:rFonts w:ascii="Arial" w:cs="Arial" w:eastAsia="Arial" w:hAnsi="Arial"/>
          <w:b/>
          <w:bCs/>
          <w:color w:val="2E86C1"/>
          <w:sz w:val="23"/>
          <w:szCs w:val="23"/>
        </w:rPr>
        <w:t xml:space="preserve">11.12.2 A vedação constitucional (EC 20/1998)</w:t>
      </w:r>
    </w:p>
    <w:p>
      <w:pPr>
        <w:spacing w:after="100" w:before="100"/>
        <w:jc w:val="both"/>
      </w:pPr>
      <w:r>
        <w:rPr>
          <w:rFonts w:ascii="Arial" w:cs="Arial" w:eastAsia="Arial" w:hAnsi="Arial"/>
          <w:sz w:val="21"/>
          <w:szCs w:val="21"/>
        </w:rPr>
        <w:t xml:space="preserve">A EC 20/1998 introduziu no art. 40, § 10, da CF/88, a vedação expressa à contagem de tempo de contribuição fictício para fins de aposentadoria:</w:t>
      </w:r>
    </w:p>
    <w:p>
      <w:pPr>
        <w:spacing w:after="100" w:before="100"/>
        <w:jc w:val="both"/>
      </w:pPr>
      <w:r>
        <w:rPr>
          <w:rFonts w:ascii="Arial" w:cs="Arial" w:eastAsia="Arial" w:hAnsi="Arial"/>
          <w:sz w:val="21"/>
          <w:szCs w:val="21"/>
        </w:rPr>
        <w:t xml:space="preserve">&gt; *É vedada a contagem de tempo de contribuição fictício para efeito de concessão dos benefícios previdenciários e de contagem recíproca.*</w:t>
      </w:r>
    </w:p>
    <w:p>
      <w:pPr>
        <w:spacing w:after="100" w:before="100"/>
        <w:jc w:val="both"/>
      </w:pPr>
      <w:r>
        <w:rPr>
          <w:rFonts w:ascii="Arial" w:cs="Arial" w:eastAsia="Arial" w:hAnsi="Arial"/>
          <w:sz w:val="21"/>
          <w:szCs w:val="21"/>
        </w:rPr>
        <w:t xml:space="preserve">Embora o dispositivo integre o art. 40 (servidores públicos), a jurisprudência e a doutrina majoritárias aplicam a vedação também ao RGPS, como princípio geral do sistema previdenciário. O raciocínio é simples: se o RPPS, que historicamente era mais generoso, passou a vedar o tempo fictício, com ainda mais razão o RGPS, que opera no regime de repartição com financiamento contributivo, deve afastar essa ficção.</w:t>
      </w:r>
    </w:p>
    <w:p>
      <w:pPr>
        <w:spacing w:after="140" w:before="280"/>
      </w:pPr>
      <w:r>
        <w:rPr>
          <w:rFonts w:ascii="Arial" w:cs="Arial" w:eastAsia="Arial" w:hAnsi="Arial"/>
          <w:b/>
          <w:bCs/>
          <w:color w:val="2E86C1"/>
          <w:sz w:val="23"/>
          <w:szCs w:val="23"/>
        </w:rPr>
        <w:t xml:space="preserve">11.12.3 Exemplos de tempo fictício vedado</w:t>
      </w:r>
    </w:p>
    <w:p>
      <w:pPr>
        <w:spacing w:after="100" w:before="100"/>
        <w:jc w:val="both"/>
      </w:pPr>
      <w:r>
        <w:rPr>
          <w:rFonts w:ascii="Arial" w:cs="Arial" w:eastAsia="Arial" w:hAnsi="Arial"/>
          <w:sz w:val="21"/>
          <w:szCs w:val="21"/>
        </w:rPr>
        <w:t xml:space="preserve">São vedados após a EC 20/1998:</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Licença-prêmio não gozada em dobro: O servidor que não usufruiu de licença-prêmio não pode computar o período em dobro para aposentadoria. Antes da EC 20/98, era prática comum no serviço público computar três meses de licença-prêmio como seis meses de TC.</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Férias em dobro: O cômputo de férias não gozadas em dobro para fins de TC foi expressamente vedado.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Arredondamento de tempo de serviço: A prática de "arredondar" o tempo de serviço (por exemplo, considerar 29 anos e 11 meses como 30 anos) não é admitida.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Tempo de estudo ou formação acadêmica: Períodos de frequência a cursos universitários, pós-graduação ou formação profissional não são computados como TC, salvo quando há contribuição efetiva (como no caso de bolsistas que contribuem como segurados facultativos).</w:t>
      </w:r>
    </w:p>
    <w:p>
      <w:pPr>
        <w:spacing w:after="140" w:before="280"/>
      </w:pPr>
      <w:r>
        <w:rPr>
          <w:rFonts w:ascii="Arial" w:cs="Arial" w:eastAsia="Arial" w:hAnsi="Arial"/>
          <w:b/>
          <w:bCs/>
          <w:color w:val="2E86C1"/>
          <w:sz w:val="23"/>
          <w:szCs w:val="23"/>
        </w:rPr>
        <w:t xml:space="preserve">11.12.4 Exceções remanescentes</w:t>
      </w:r>
    </w:p>
    <w:p>
      <w:pPr>
        <w:spacing w:after="100" w:before="100"/>
        <w:jc w:val="both"/>
      </w:pPr>
      <w:r>
        <w:rPr>
          <w:rFonts w:ascii="Arial" w:cs="Arial" w:eastAsia="Arial" w:hAnsi="Arial"/>
          <w:sz w:val="21"/>
          <w:szCs w:val="21"/>
        </w:rPr>
        <w:t xml:space="preserve">Apesar da vedação geral, o ordenamento preserva hipóteses em que o tempo de contribuição é reconhecido sem recolhimento efetivo. A rigor, a doutrina moderna distingue essas hipóteses do tempo fictício propriamente dito: não se trata de ficção, mas de reconhecimento legal de períodos protegidos.</w:t>
      </w:r>
    </w:p>
    <w:p>
      <w:pPr>
        <w:spacing w:after="100" w:before="100"/>
        <w:jc w:val="both"/>
      </w:pPr>
      <w:r>
        <w:rPr>
          <w:rFonts w:ascii="Arial" w:cs="Arial" w:eastAsia="Arial" w:hAnsi="Arial"/>
          <w:sz w:val="21"/>
          <w:szCs w:val="21"/>
        </w:rPr>
        <w:t xml:space="preserve">As principais exceções são:</w:t>
      </w:r>
    </w:p>
    <w:p>
      <w:pPr>
        <w:spacing w:after="60" w:before="60"/>
        <w:ind w:left="360"/>
      </w:pPr>
      <w:r>
        <w:rPr>
          <w:rFonts w:ascii="Arial" w:cs="Arial" w:eastAsia="Arial" w:hAnsi="Arial"/>
          <w:sz w:val="21"/>
          <w:szCs w:val="21"/>
        </w:rPr>
        <w:t xml:space="preserve">a) Tempo de serviço militar obrigatório (art. 55, I, Lei 8.213/91)</w:t>
      </w:r>
    </w:p>
    <w:p>
      <w:pPr>
        <w:spacing w:after="100" w:before="100"/>
        <w:jc w:val="both"/>
      </w:pPr>
      <w:r>
        <w:rPr>
          <w:rFonts w:ascii="Arial" w:cs="Arial" w:eastAsia="Arial" w:hAnsi="Arial"/>
          <w:sz w:val="21"/>
          <w:szCs w:val="21"/>
        </w:rPr>
        <w:t xml:space="preserve">O serviço militar obrigatório é computado como tempo de contribuição para fins de aposentadoria no RGPS, independentemente de contribuição previdenciária durante o período. O fundamento é o dever constitucional de defesa da pátria (art. 143, CF), que não pode prejudicar o segurado em sua trajetória previdenciária. O Certificado de Reservista ou documento equivalente comprova o período de serviço militar.</w:t>
      </w:r>
    </w:p>
    <w:p>
      <w:pPr>
        <w:spacing w:after="60" w:before="60"/>
        <w:ind w:left="360"/>
      </w:pPr>
      <w:r>
        <w:rPr>
          <w:rFonts w:ascii="Arial" w:cs="Arial" w:eastAsia="Arial" w:hAnsi="Arial"/>
          <w:sz w:val="21"/>
          <w:szCs w:val="21"/>
        </w:rPr>
        <w:t xml:space="preserve">b) Período de benefício por incapacidade intercalado com atividade (art. 55, II, Lei 8.213/91)</w:t>
      </w:r>
    </w:p>
    <w:p>
      <w:pPr>
        <w:spacing w:after="100" w:before="100"/>
        <w:jc w:val="both"/>
      </w:pPr>
      <w:r>
        <w:rPr>
          <w:rFonts w:ascii="Arial" w:cs="Arial" w:eastAsia="Arial" w:hAnsi="Arial"/>
          <w:sz w:val="21"/>
          <w:szCs w:val="21"/>
        </w:rPr>
        <w:t xml:space="preserve">O período em que o segurado recebeu auxílio por incapacidade temporária (antigo auxílio-doença) ou aposentadoria por incapacidade temporária é computado como TC quando intercalado com períodos de atividade laboral. A intercalação pode ser com atividades anteriores e posteriores ao benefício, conforme pacificou o STJ. O fundamento é que o afastamento por incapacidade não é voluntário — o segurado não trabalhou porque estava doente, e não por opção.</w:t>
      </w:r>
    </w:p>
    <w:p>
      <w:pPr>
        <w:spacing w:after="60" w:before="60"/>
        <w:ind w:left="360"/>
      </w:pPr>
      <w:r>
        <w:rPr>
          <w:rFonts w:ascii="Arial" w:cs="Arial" w:eastAsia="Arial" w:hAnsi="Arial"/>
          <w:sz w:val="21"/>
          <w:szCs w:val="21"/>
        </w:rPr>
        <w:t xml:space="preserve">c) Tempo rural anterior a novembro de 1991 (art. 55, § 2º, Lei 8.213/91)</w:t>
      </w:r>
    </w:p>
    <w:p>
      <w:pPr>
        <w:spacing w:after="100" w:before="100"/>
        <w:jc w:val="both"/>
      </w:pPr>
      <w:r>
        <w:rPr>
          <w:rFonts w:ascii="Arial" w:cs="Arial" w:eastAsia="Arial" w:hAnsi="Arial"/>
          <w:sz w:val="21"/>
          <w:szCs w:val="21"/>
        </w:rPr>
        <w:t xml:space="preserve">O tempo de atividade rural exercido antes da vigência da Lei 8.213/91 (novembro de 1991) é computado como TC para aposentadoria por tempo de contribuição, sem exigência de contribuição previdenciária no período. A comprovação se faz por início de prova material contemporâneo ao fato, corroborado por prova testemunhal.</w:t>
      </w:r>
    </w:p>
    <w:p>
      <w:pPr>
        <w:spacing w:after="100" w:before="100"/>
        <w:jc w:val="both"/>
      </w:pPr>
      <w:r>
        <w:rPr>
          <w:rFonts w:ascii="Arial" w:cs="Arial" w:eastAsia="Arial" w:hAnsi="Arial"/>
          <w:sz w:val="21"/>
          <w:szCs w:val="21"/>
        </w:rPr>
        <w:t xml:space="preserve">Esta exceção é de enorme importância prática: milhões de brasileiros que trabalharam na agricultura familiar nas décadas de 1970 e 1980 podem utilizar esse tempo para completar os requisitos das regras de transição.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Tempo fictício vedado × tempo de contribuição sem recolhimento — distinção fundamental</w:t>
            </w:r>
          </w:p>
          <w:p>
            <w:pPr>
              <w:spacing w:after="40" w:before="40"/>
            </w:pPr>
            <w:r>
              <w:rPr>
                <w:rFonts w:ascii="Arial" w:cs="Arial" w:eastAsia="Arial" w:hAnsi="Arial"/>
                <w:sz w:val="19"/>
                <w:szCs w:val="19"/>
              </w:rPr>
              <w:t xml:space="preserve"> |  Situação  |  Natureza  |  Admitido?  | </w:t>
            </w:r>
          </w:p>
          <w:p>
            <w:pPr>
              <w:spacing w:after="40" w:before="40"/>
            </w:pPr>
            <w:r>
              <w:rPr>
                <w:rFonts w:ascii="Arial" w:cs="Arial" w:eastAsia="Arial" w:hAnsi="Arial"/>
                <w:sz w:val="19"/>
                <w:szCs w:val="19"/>
              </w:rPr>
              <w:t xml:space="preserve"> | ---------- | ---------- | ----------- | </w:t>
            </w:r>
          </w:p>
          <w:p>
            <w:pPr>
              <w:spacing w:after="40" w:before="40"/>
            </w:pPr>
            <w:r>
              <w:rPr>
                <w:rFonts w:ascii="Arial" w:cs="Arial" w:eastAsia="Arial" w:hAnsi="Arial"/>
                <w:sz w:val="19"/>
                <w:szCs w:val="19"/>
              </w:rPr>
              <w:t xml:space="preserve"> |  Licença-prêmio não gozada em dobro  |  Tempo fictício  |  Não (vedado pela EC 20/98)  | </w:t>
            </w:r>
          </w:p>
          <w:p>
            <w:pPr>
              <w:spacing w:after="40" w:before="40"/>
            </w:pPr>
            <w:r>
              <w:rPr>
                <w:rFonts w:ascii="Arial" w:cs="Arial" w:eastAsia="Arial" w:hAnsi="Arial"/>
                <w:sz w:val="19"/>
                <w:szCs w:val="19"/>
              </w:rPr>
              <w:t xml:space="preserve"> |  Férias em dobro  |  Tempo fictício  |  Não  | </w:t>
            </w:r>
          </w:p>
          <w:p>
            <w:pPr>
              <w:spacing w:after="40" w:before="40"/>
            </w:pPr>
            <w:r>
              <w:rPr>
                <w:rFonts w:ascii="Arial" w:cs="Arial" w:eastAsia="Arial" w:hAnsi="Arial"/>
                <w:sz w:val="19"/>
                <w:szCs w:val="19"/>
              </w:rPr>
              <w:t xml:space="preserve"> |  Arredondamento de TC  |  Tempo fictício  |  Não  | </w:t>
            </w:r>
          </w:p>
          <w:p>
            <w:pPr>
              <w:spacing w:after="40" w:before="40"/>
            </w:pPr>
            <w:r>
              <w:rPr>
                <w:rFonts w:ascii="Arial" w:cs="Arial" w:eastAsia="Arial" w:hAnsi="Arial"/>
                <w:sz w:val="19"/>
                <w:szCs w:val="19"/>
              </w:rPr>
              <w:t xml:space="preserve"> |  Serviço militar obrigatório  |  Tempo de contribuição sem recolhimento (previsão legal expressa)  |  Sim (art. 55, I)  | </w:t>
            </w:r>
          </w:p>
          <w:p>
            <w:pPr>
              <w:spacing w:after="40" w:before="40"/>
            </w:pPr>
            <w:r>
              <w:rPr>
                <w:rFonts w:ascii="Arial" w:cs="Arial" w:eastAsia="Arial" w:hAnsi="Arial"/>
                <w:sz w:val="19"/>
                <w:szCs w:val="19"/>
              </w:rPr>
              <w:t xml:space="preserve"> |  Benefício por incapacidade intercalado  |  Tempo de contribuição sem recolhimento (previsão legal expressa)  |  Sim (art. 55, II)  | </w:t>
            </w:r>
          </w:p>
          <w:p>
            <w:pPr>
              <w:spacing w:after="40" w:before="40"/>
            </w:pPr>
            <w:r>
              <w:rPr>
                <w:rFonts w:ascii="Arial" w:cs="Arial" w:eastAsia="Arial" w:hAnsi="Arial"/>
                <w:sz w:val="19"/>
                <w:szCs w:val="19"/>
              </w:rPr>
              <w:t xml:space="preserve"> |  Trabalho rural pré-11/1991  |  Tempo de contribuição sem recolhimento (previsão legal expressa)  |  Sim (art. 55, § 2º)  | </w:t>
            </w:r>
          </w:p>
          <w:p>
            <w:pPr>
              <w:spacing w:after="40" w:before="40"/>
            </w:pPr>
            <w:r>
              <w:rPr>
                <w:rFonts w:ascii="Arial" w:cs="Arial" w:eastAsia="Arial" w:hAnsi="Arial"/>
                <w:sz w:val="19"/>
                <w:szCs w:val="19"/>
              </w:rPr>
              <w:t xml:space="preserve"> |  Tempo de aluno-aprendiz (Tema 216/TNU)  |  Tempo de contribuição (trabalho efetivo em escola técnica com remuneração)  |  Sim (se comprovado)  | </w:t>
            </w:r>
          </w:p>
          <w:p>
            <w:pPr>
              <w:spacing w:after="40" w:before="40"/>
            </w:pPr>
            <w:r>
              <w:rPr>
                <w:rFonts w:ascii="Arial" w:cs="Arial" w:eastAsia="Arial" w:hAnsi="Arial"/>
                <w:sz w:val="19"/>
                <w:szCs w:val="19"/>
              </w:rPr>
              <w:t xml:space="preserve">A diferença conceitual é crucial: o tempo fictício é uma ficção jurídica que atribui efeitos a um período inexistente ou superior ao efetivamente exercido. O tempo de contribuição sem recolhimento é o reconhecimento legal de atividade efetivamente exercida em período anterior à obrigatoriedade contributiva ou em situação especial protegida pela lei.</w:t>
            </w:r>
          </w:p>
        </w:tc>
      </w:tr>
    </w:tbl>
    <w:p>
      <w:pPr>
        <w:spacing w:after="200"/>
      </w:pPr>
    </w:p>
    <w:p>
      <w:pPr>
        <w:spacing w:after="140" w:before="280"/>
      </w:pPr>
      <w:r>
        <w:rPr>
          <w:rFonts w:ascii="Arial" w:cs="Arial" w:eastAsia="Arial" w:hAnsi="Arial"/>
          <w:b/>
          <w:bCs/>
          <w:color w:val="2E86C1"/>
          <w:sz w:val="23"/>
          <w:szCs w:val="23"/>
        </w:rPr>
        <w:t xml:space="preserve">11.12.5 Impacto nas regras de transição</w:t>
      </w:r>
    </w:p>
    <w:p>
      <w:pPr>
        <w:spacing w:after="100" w:before="100"/>
        <w:jc w:val="both"/>
      </w:pPr>
      <w:r>
        <w:rPr>
          <w:rFonts w:ascii="Arial" w:cs="Arial" w:eastAsia="Arial" w:hAnsi="Arial"/>
          <w:sz w:val="21"/>
          <w:szCs w:val="21"/>
        </w:rPr>
        <w:t xml:space="preserve">O tempo de contribuição sem recolhimento, quando admitido, integra o TC total do segurado para todos os efeitos nas regras de transição: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Art. 15 (pontos): O tempo rural pré-1991, por exemplo, soma-se ao TC para atingir os 30/35 anos mínimos e para a pontuação (TC + 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Art. 16 (idade progressiva): O tempo rural integra o TC mínimo de 30/35 anos.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Art. 20 (pedágio 100%): O tempo rural integra o TC de 30/35 anos e é considerado para o cálculo do pedágio (quanto mais TC o segurado tinha em 13/11/2019, menor o pedágio).</w:t>
      </w:r>
    </w:p>
    <w:p>
      <w:pPr>
        <w:spacing w:after="100" w:before="100"/>
        <w:jc w:val="both"/>
      </w:pPr>
      <w:r>
        <w:rPr>
          <w:rFonts w:ascii="Arial" w:cs="Arial" w:eastAsia="Arial" w:hAnsi="Arial"/>
          <w:sz w:val="21"/>
          <w:szCs w:val="21"/>
        </w:rPr>
        <w:t xml:space="preserve">Porém, há uma distinção crucial quanto à carência: o tempo rural pré-1991, embora compute como TC, somente conta como carência se houver contribuição efetiva (art. 55, § 2º, Lei 8.213/91). Nas regras de transição que exigem carência de 180 meses (arts. 15 e 16), o segurado deve observar se possui carência suficiente mesmo após a averbação do tempo rural.</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11.13 Conversão de Tempo Especial e Impacto na Aposentadoria por TC</w:t>
      </w:r>
    </w:p>
    <w:p>
      <w:pPr>
        <w:spacing w:after="140" w:before="280"/>
      </w:pPr>
      <w:r>
        <w:rPr>
          <w:rFonts w:ascii="Arial" w:cs="Arial" w:eastAsia="Arial" w:hAnsi="Arial"/>
          <w:b/>
          <w:bCs/>
          <w:color w:val="2E86C1"/>
          <w:sz w:val="23"/>
          <w:szCs w:val="23"/>
        </w:rPr>
        <w:t xml:space="preserve">11.13.1 Remissão ao Cap. 8 e delimitação</w:t>
      </w:r>
    </w:p>
    <w:p>
      <w:pPr>
        <w:spacing w:after="100" w:before="100"/>
        <w:jc w:val="both"/>
      </w:pPr>
      <w:r>
        <w:rPr>
          <w:rFonts w:ascii="Arial" w:cs="Arial" w:eastAsia="Arial" w:hAnsi="Arial"/>
          <w:sz w:val="21"/>
          <w:szCs w:val="21"/>
        </w:rPr>
        <w:t xml:space="preserve">O Capítulo 8 deste livro tratou em profundidade da aposentadoria especial e da conversão de tempo especial em comum, incluindo os fatores de conversão, o enquadramento por agente nocivo, a vedação da conversão para períodos posteriores a 13/11/2019 (art. 25, § 2º, EC 103/2019) e a ADI 6.309 pendente no STF. Remete-se o leitor à seção 8.9 para os fundamentos gerais.</w:t>
      </w:r>
    </w:p>
    <w:p>
      <w:pPr>
        <w:spacing w:after="100" w:before="100"/>
        <w:jc w:val="both"/>
      </w:pPr>
      <w:r>
        <w:rPr>
          <w:rFonts w:ascii="Arial" w:cs="Arial" w:eastAsia="Arial" w:hAnsi="Arial"/>
          <w:sz w:val="21"/>
          <w:szCs w:val="21"/>
        </w:rPr>
        <w:t xml:space="preserve">O presente tópico foca no impacto da conversão de tempo especial como estratégia para atingir os requisitos das regras de transição da aposentadoria por tempo de contribuição.</w:t>
      </w:r>
    </w:p>
    <w:p>
      <w:pPr>
        <w:spacing w:after="140" w:before="280"/>
      </w:pPr>
      <w:r>
        <w:rPr>
          <w:rFonts w:ascii="Arial" w:cs="Arial" w:eastAsia="Arial" w:hAnsi="Arial"/>
          <w:b/>
          <w:bCs/>
          <w:color w:val="2E86C1"/>
          <w:sz w:val="23"/>
          <w:szCs w:val="23"/>
        </w:rPr>
        <w:t xml:space="preserve">11.13.2 Fatores de conversão e acréscimo de TC</w:t>
      </w:r>
    </w:p>
    <w:p>
      <w:pPr>
        <w:spacing w:after="100" w:before="100"/>
        <w:jc w:val="both"/>
      </w:pPr>
      <w:r>
        <w:rPr>
          <w:rFonts w:ascii="Arial" w:cs="Arial" w:eastAsia="Arial" w:hAnsi="Arial"/>
          <w:sz w:val="21"/>
          <w:szCs w:val="21"/>
        </w:rPr>
        <w:t xml:space="preserve">A conversão de tempo especial em comum utiliza os fatores multiplicadores previstos no art. 70 do Decreto 3.048/99 (conforme pacificado pelo STJ no Tema 422, que confirmou a possibilidade de conversão para períodos anteriores a 13/11/2019):</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Tempo especial (anos)</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Fator (homem)</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Fator (mulher)</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15 anos</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2,33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2,00</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 anos</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1,75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1,50</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25 anos</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1,40</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w:t>
            </w:r>
          </w:p>
        </w:tc>
      </w:tr>
    </w:tbl>
    <w:p>
      <w:pPr>
        <w:spacing w:after="160"/>
      </w:pPr>
    </w:p>
    <w:p>
      <w:pPr>
        <w:spacing w:after="100" w:before="100"/>
        <w:jc w:val="both"/>
      </w:pPr>
      <w:r>
        <w:rPr>
          <w:rFonts w:ascii="Arial" w:cs="Arial" w:eastAsia="Arial" w:hAnsi="Arial"/>
          <w:sz w:val="21"/>
          <w:szCs w:val="21"/>
        </w:rPr>
        <w:t xml:space="preserve">O fator de 1,40 (homem, atividade especial de 25 anos) é o mais utilizado na prática, pois a grande maioria das atividades especiais tem enquadramento no limite de 25 anos (exposição a ruído, agentes químicos, agentes biológicos em saúde, etc.).</w:t>
      </w:r>
    </w:p>
    <w:p>
      <w:pPr>
        <w:spacing w:after="140" w:before="280"/>
      </w:pPr>
      <w:r>
        <w:rPr>
          <w:rFonts w:ascii="Arial" w:cs="Arial" w:eastAsia="Arial" w:hAnsi="Arial"/>
          <w:b/>
          <w:bCs/>
          <w:color w:val="2E86C1"/>
          <w:sz w:val="23"/>
          <w:szCs w:val="23"/>
        </w:rPr>
        <w:t xml:space="preserve">11.13.3 Impacto prático na aposentadoria por TC</w:t>
      </w:r>
    </w:p>
    <w:p>
      <w:pPr>
        <w:spacing w:after="100" w:before="100"/>
        <w:jc w:val="both"/>
      </w:pPr>
      <w:r>
        <w:rPr>
          <w:rFonts w:ascii="Arial" w:cs="Arial" w:eastAsia="Arial" w:hAnsi="Arial"/>
          <w:sz w:val="21"/>
          <w:szCs w:val="21"/>
        </w:rPr>
        <w:t xml:space="preserve">A conversão pode ser decisiva para atingir os 35 anos de TC (homem) ou 30 anos (mulher) exigidos pelas regras de transição.</w:t>
      </w:r>
    </w:p>
    <w:p>
      <w:pPr>
        <w:spacing w:after="60" w:before="60"/>
        <w:ind w:left="360"/>
      </w:pPr>
      <w:r>
        <w:rPr>
          <w:rFonts w:ascii="Arial" w:cs="Arial" w:eastAsia="Arial" w:hAnsi="Arial"/>
          <w:sz w:val="21"/>
          <w:szCs w:val="21"/>
        </w:rPr>
        <w:t xml:space="preserve">Exemplo detalhado:</w:t>
      </w:r>
    </w:p>
    <w:p>
      <w:pPr>
        <w:spacing w:after="60" w:before="60"/>
        <w:ind w:left="360"/>
      </w:pPr>
      <w:r>
        <w:rPr>
          <w:rFonts w:ascii="Arial" w:cs="Arial" w:eastAsia="Arial" w:hAnsi="Arial"/>
          <w:sz w:val="21"/>
          <w:szCs w:val="21"/>
        </w:rPr>
        <w:t xml:space="preserve">Paulo, homem, 60 anos em 2026. Trabalhou:</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15 anos em atividade especial (exposição a ruído &gt; 85 dB) — 1995 a 2010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18 anos em atividade comum — 2010 a 2028</w:t>
      </w:r>
    </w:p>
    <w:p>
      <w:pPr>
        <w:spacing w:after="60" w:before="60"/>
        <w:ind w:left="360"/>
      </w:pPr>
      <w:r>
        <w:rPr>
          <w:rFonts w:ascii="Arial" w:cs="Arial" w:eastAsia="Arial" w:hAnsi="Arial"/>
          <w:sz w:val="21"/>
          <w:szCs w:val="21"/>
        </w:rPr>
        <w:t xml:space="preserve">Sem conversão: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total: 15 + 18 = 33 anos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Resultado: NÃO atinge 35 anos → não se habilita a nenhuma regra de transição por TC</w:t>
      </w:r>
    </w:p>
    <w:p>
      <w:pPr>
        <w:spacing w:after="60" w:before="60"/>
        <w:ind w:left="360"/>
      </w:pPr>
      <w:r>
        <w:rPr>
          <w:rFonts w:ascii="Arial" w:cs="Arial" w:eastAsia="Arial" w:hAnsi="Arial"/>
          <w:sz w:val="21"/>
          <w:szCs w:val="21"/>
        </w:rPr>
        <w:t xml:space="preserve">Com conversão (fator 1,40 para os 15 anos especiais):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convertido: 15 × 1,40 = 21 anos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total: 21 + 18 = 39 anos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Resultado: ATINGE 35 anos → habilita-se ao art. 15, art. 16 e art. 20</w:t>
      </w:r>
    </w:p>
    <w:p>
      <w:pPr>
        <w:spacing w:after="60" w:before="60"/>
        <w:ind w:left="360"/>
      </w:pPr>
      <w:r>
        <w:rPr>
          <w:rFonts w:ascii="Arial" w:cs="Arial" w:eastAsia="Arial" w:hAnsi="Arial"/>
          <w:sz w:val="21"/>
          <w:szCs w:val="21"/>
        </w:rPr>
        <w:t xml:space="preserve">Verificação das regras (com 39 anos TC e 60 anos de 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Art. 15 (pontos): 60 + 39 = 99 &lt; 103 em 2026 → NÃO atinge em 2026 (atinge em 2028 com 101)</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Art. 16 (idade progressiva): 60 &lt; 64,5 → NÃO atinge em 2026</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Art. 20 (pedágio 100%): 60 anos ✅, 35 TC ✅, em 13/11/2019 tinha 24 anos TC (convertido: 15×1,4=21 + 3=24), faltavam 11 anos → pedágio 11 anos → precisa de 46 TC total → NÃO atinge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Recálculo para Art. 15 em 2028: 62 + 41 = 103 ≥ 105? Não, mas em 2028 homem precisa de 105 pontos → NÃO atinge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Recálculo: na verdade, os pontos para homem estabilizam em 105 a partir de 2028. Com 62 + 41 = 103 &lt; 105 → aguardar 2029 (63 + 42 = 105 ✅)</w:t>
      </w:r>
    </w:p>
    <w:p>
      <w:pPr>
        <w:spacing w:after="100" w:before="100"/>
        <w:jc w:val="both"/>
      </w:pPr>
      <w:r>
        <w:rPr>
          <w:rFonts w:ascii="Arial" w:cs="Arial" w:eastAsia="Arial" w:hAnsi="Arial"/>
          <w:sz w:val="21"/>
          <w:szCs w:val="21"/>
        </w:rPr>
        <w:t xml:space="preserve">A conversão transformou um segurado sem qualquer regra de transição disponível em um segurado com aposentadoria viável, ainda que em horizonte futuro.</w:t>
      </w:r>
    </w:p>
    <w:p>
      <w:pPr>
        <w:spacing w:after="140" w:before="280"/>
      </w:pPr>
      <w:r>
        <w:rPr>
          <w:rFonts w:ascii="Arial" w:cs="Arial" w:eastAsia="Arial" w:hAnsi="Arial"/>
          <w:b/>
          <w:bCs/>
          <w:color w:val="2E86C1"/>
          <w:sz w:val="23"/>
          <w:szCs w:val="23"/>
        </w:rPr>
        <w:t xml:space="preserve">11.13.4 A vedação pós-EC 103 e suas consequências</w:t>
      </w:r>
    </w:p>
    <w:p>
      <w:pPr>
        <w:spacing w:after="100" w:before="100"/>
        <w:jc w:val="both"/>
      </w:pPr>
      <w:r>
        <w:rPr>
          <w:rFonts w:ascii="Arial" w:cs="Arial" w:eastAsia="Arial" w:hAnsi="Arial"/>
          <w:sz w:val="21"/>
          <w:szCs w:val="21"/>
        </w:rPr>
        <w:t xml:space="preserve">O art. 25, § 2º, da EC 103/2019, veda a conversão de tempo especial em comum para períodos de atividade especial exercidos após 13/11/2019. Na prática, isso significa: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Tempo especial até 13/11/2019: Pode ser convertido normalmente (STJ, Tema 422)</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Tempo especial após 13/11/2019: Não pode ser convertido; conta apenas como tempo comum (sem o multiplicador)</w:t>
      </w:r>
    </w:p>
    <w:p>
      <w:pPr>
        <w:spacing w:after="100" w:before="100"/>
        <w:jc w:val="both"/>
      </w:pPr>
      <w:r>
        <w:rPr>
          <w:rFonts w:ascii="Arial" w:cs="Arial" w:eastAsia="Arial" w:hAnsi="Arial"/>
          <w:sz w:val="21"/>
          <w:szCs w:val="21"/>
        </w:rPr>
        <w:t xml:space="preserve">Para o segurado que continua exercendo atividade especial, o impacto é significativo: apenas o período anterior a 13/11/2019 gera o acréscimo de TC pela conversão. O período posterior conta ano a ano, sem multiplicador.</w:t>
      </w:r>
    </w:p>
    <w:p>
      <w:pPr>
        <w:spacing w:after="100" w:before="100"/>
        <w:jc w:val="both"/>
      </w:pPr>
      <w:r>
        <w:rPr>
          <w:rFonts w:ascii="Arial" w:cs="Arial" w:eastAsia="Arial" w:hAnsi="Arial"/>
          <w:sz w:val="21"/>
          <w:szCs w:val="21"/>
        </w:rPr>
        <w:t xml:space="preserve">Essa vedação cria uma situação paradoxal: o segurado que permanece exposto a agentes nocivos após 2019 — e que portanto continua a sofrer desgaste diferenciado em sua saúde — é penalizado previdenciariamente, pois não pode converter o tempo posterior. O fundamento do legislador constituinte derivado foi que a aposentadoria especial tem regras próprias (art. 19 da EC 103/2019), e o segurado que permanece em atividade especial deve buscar a aposentadoria especial (se atingir os requisitos de 15, 20 ou 25 anos de atividade especial), e não a conversão para aposentadoria comum.</w:t>
      </w:r>
    </w:p>
    <w:p>
      <w:pPr>
        <w:spacing w:after="100" w:before="100"/>
        <w:jc w:val="both"/>
      </w:pPr>
      <w:r>
        <w:rPr>
          <w:rFonts w:ascii="Arial" w:cs="Arial" w:eastAsia="Arial" w:hAnsi="Arial"/>
          <w:sz w:val="21"/>
          <w:szCs w:val="21"/>
        </w:rPr>
        <w:t xml:space="preserve">Na prática, contudo, muitos segurados possuem tempo especial insuficiente para a aposentadoria especial mas que, se convertido, viabilizaria a aposentadoria por TC. Nesses casos, a vedação gera lacuna de proteção que é o fundamento material da ADI 6.309.</w:t>
      </w:r>
    </w:p>
    <w:p>
      <w:pPr>
        <w:spacing w:after="100" w:before="100"/>
        <w:jc w:val="both"/>
      </w:pPr>
      <w:r>
        <w:rPr>
          <w:rFonts w:ascii="Arial" w:cs="Arial" w:eastAsia="Arial" w:hAnsi="Arial"/>
          <w:sz w:val="21"/>
          <w:szCs w:val="21"/>
        </w:rPr>
        <w:t xml:space="preserve">A ADI 6.309, pendente de julgamento no STF em maio de 2026, questiona a constitucionalidade dessa vedação. Se julgada procedente, reabrirá a possibilidade de conversão para períodos posteriores a 13/11/2019, o que beneficiará milhares de segurados nas regras de transição. A decisão é aguardada com grande expectativa pela comunidade previdenciária, pois pode alterar substancialmente o panorama de cálculo das aposentadorias por TC para segurados com atividade especial parcial.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Como calcular o TC total com conversão de tempo especial</w:t>
            </w:r>
          </w:p>
          <w:p>
            <w:pPr>
              <w:spacing w:after="40" w:before="40"/>
            </w:pPr>
            <w:r>
              <w:rPr>
                <w:rFonts w:ascii="Arial" w:cs="Arial" w:eastAsia="Arial" w:hAnsi="Arial"/>
                <w:sz w:val="19"/>
                <w:szCs w:val="19"/>
              </w:rPr>
              <w:t xml:space="preserve">1. Identificar períodos de atividade especial: verificar PPP (Perfil Profissiográfico Previdenciário), LTCAT, DIRBEN 8030 ou formulários equivalentes</w:t>
            </w:r>
          </w:p>
          <w:p>
            <w:pPr>
              <w:spacing w:after="40" w:before="40"/>
            </w:pPr>
            <w:r>
              <w:rPr>
                <w:rFonts w:ascii="Arial" w:cs="Arial" w:eastAsia="Arial" w:hAnsi="Arial"/>
                <w:sz w:val="19"/>
                <w:szCs w:val="19"/>
              </w:rPr>
              <w:t xml:space="preserve">2. Separar períodos anteriores e posteriores a 13/11/2019:</w:t>
            </w:r>
          </w:p>
          <w:p>
            <w:pPr>
              <w:spacing w:after="40" w:before="40"/>
            </w:pPr>
            <w:r>
              <w:rPr>
                <w:rFonts w:ascii="Arial" w:cs="Arial" w:eastAsia="Arial" w:hAnsi="Arial"/>
                <w:sz w:val="19"/>
                <w:szCs w:val="19"/>
              </w:rPr>
              <w:t xml:space="preserve">   - Anteriores: aplicar fator de conversão</w:t>
            </w:r>
          </w:p>
          <w:p>
            <w:pPr>
              <w:spacing w:after="40" w:before="40"/>
            </w:pPr>
            <w:r>
              <w:rPr>
                <w:rFonts w:ascii="Arial" w:cs="Arial" w:eastAsia="Arial" w:hAnsi="Arial"/>
                <w:sz w:val="19"/>
                <w:szCs w:val="19"/>
              </w:rPr>
              <w:t xml:space="preserve">   - Posteriores: contar como tempo comum (1 ano = 1 ano)</w:t>
            </w:r>
          </w:p>
          <w:p>
            <w:pPr>
              <w:spacing w:after="40" w:before="40"/>
            </w:pPr>
            <w:r>
              <w:rPr>
                <w:rFonts w:ascii="Arial" w:cs="Arial" w:eastAsia="Arial" w:hAnsi="Arial"/>
                <w:sz w:val="19"/>
                <w:szCs w:val="19"/>
              </w:rPr>
              <w:t xml:space="preserve">3. Aplicar o fator de conversão ao período anterior:</w:t>
            </w:r>
          </w:p>
          <w:p>
            <w:pPr>
              <w:spacing w:after="40" w:before="40"/>
            </w:pPr>
            <w:r>
              <w:rPr>
                <w:rFonts w:ascii="Arial" w:cs="Arial" w:eastAsia="Arial" w:hAnsi="Arial"/>
                <w:sz w:val="19"/>
                <w:szCs w:val="19"/>
              </w:rPr>
              <w:t xml:space="preserve">   - Tempo especial de 25 anos: multiplicar por 1,40 (H) ou 1,20 (M)</w:t>
            </w:r>
          </w:p>
          <w:p>
            <w:pPr>
              <w:spacing w:after="40" w:before="40"/>
            </w:pPr>
            <w:r>
              <w:rPr>
                <w:rFonts w:ascii="Arial" w:cs="Arial" w:eastAsia="Arial" w:hAnsi="Arial"/>
                <w:sz w:val="19"/>
                <w:szCs w:val="19"/>
              </w:rPr>
              <w:t xml:space="preserve">   - Tempo especial de 20 anos: multiplicar por 1,75 (H) ou 1,50 (M)</w:t>
            </w:r>
          </w:p>
          <w:p>
            <w:pPr>
              <w:spacing w:after="40" w:before="40"/>
            </w:pPr>
            <w:r>
              <w:rPr>
                <w:rFonts w:ascii="Arial" w:cs="Arial" w:eastAsia="Arial" w:hAnsi="Arial"/>
                <w:sz w:val="19"/>
                <w:szCs w:val="19"/>
              </w:rPr>
              <w:t xml:space="preserve">   - Tempo especial de 15 anos: multiplicar por 2,33 (H) ou 2,00 (M)</w:t>
            </w:r>
          </w:p>
          <w:p>
            <w:pPr>
              <w:spacing w:after="40" w:before="40"/>
            </w:pPr>
            <w:r>
              <w:rPr>
                <w:rFonts w:ascii="Arial" w:cs="Arial" w:eastAsia="Arial" w:hAnsi="Arial"/>
                <w:sz w:val="19"/>
                <w:szCs w:val="19"/>
              </w:rPr>
              <w:t xml:space="preserve">4. Somar com o tempo comum:</w:t>
            </w:r>
          </w:p>
          <w:p>
            <w:pPr>
              <w:spacing w:after="40" w:before="40"/>
            </w:pPr>
            <w:r>
              <w:rPr>
                <w:rFonts w:ascii="Arial" w:cs="Arial" w:eastAsia="Arial" w:hAnsi="Arial"/>
                <w:sz w:val="19"/>
                <w:szCs w:val="19"/>
              </w:rPr>
              <w:t xml:space="preserve">   - TC total = tempo especial convertido + tempo comum + tempo especial pós-2019 (sem conversão)</w:t>
            </w:r>
          </w:p>
          <w:p>
            <w:pPr>
              <w:spacing w:after="40" w:before="40"/>
            </w:pPr>
            <w:r>
              <w:rPr>
                <w:rFonts w:ascii="Arial" w:cs="Arial" w:eastAsia="Arial" w:hAnsi="Arial"/>
                <w:sz w:val="19"/>
                <w:szCs w:val="19"/>
              </w:rPr>
              <w:t xml:space="preserve">5. Verificar elegibilidade nas regras de transição com o TC total apurado</w:t>
            </w:r>
          </w:p>
          <w:p>
            <w:pPr>
              <w:spacing w:after="40" w:before="40"/>
            </w:pPr>
            <w:r>
              <w:rPr>
                <w:rFonts w:ascii="Arial" w:cs="Arial" w:eastAsia="Arial" w:hAnsi="Arial"/>
                <w:sz w:val="19"/>
                <w:szCs w:val="19"/>
              </w:rPr>
              <w:t xml:space="preserve">6. Documentar: manter toda a prova documental do período especial organizada (PPP, LTCAT, carteira de trabalho com anotação da atividade)</w:t>
            </w:r>
          </w:p>
          <w:p>
            <w:pPr>
              <w:spacing w:after="40" w:before="40"/>
            </w:pPr>
            <w:r>
              <w:rPr>
                <w:rFonts w:ascii="Arial" w:cs="Arial" w:eastAsia="Arial" w:hAnsi="Arial"/>
                <w:sz w:val="19"/>
                <w:szCs w:val="19"/>
              </w:rPr>
              <w:t xml:space="preserve">Exemplo rápido:</w:t>
            </w:r>
          </w:p>
          <w:p>
            <w:pPr>
              <w:spacing w:after="40" w:before="40"/>
            </w:pPr>
            <w:r>
              <w:rPr>
                <w:rFonts w:ascii="Arial" w:cs="Arial" w:eastAsia="Arial" w:hAnsi="Arial"/>
                <w:sz w:val="19"/>
                <w:szCs w:val="19"/>
              </w:rPr>
              <w:t xml:space="preserve">- 10 anos especiais (25 anos) pré-2019 × 1,40 = 14 anos (acréscimo de 4 anos)</w:t>
            </w:r>
          </w:p>
          <w:p>
            <w:pPr>
              <w:spacing w:after="40" w:before="40"/>
            </w:pPr>
            <w:r>
              <w:rPr>
                <w:rFonts w:ascii="Arial" w:cs="Arial" w:eastAsia="Arial" w:hAnsi="Arial"/>
                <w:sz w:val="19"/>
                <w:szCs w:val="19"/>
              </w:rPr>
              <w:t xml:space="preserve">- 5 anos especiais pós-2019 = 5 anos (sem conversão)</w:t>
            </w:r>
          </w:p>
          <w:p>
            <w:pPr>
              <w:spacing w:after="40" w:before="40"/>
            </w:pPr>
            <w:r>
              <w:rPr>
                <w:rFonts w:ascii="Arial" w:cs="Arial" w:eastAsia="Arial" w:hAnsi="Arial"/>
                <w:sz w:val="19"/>
                <w:szCs w:val="19"/>
              </w:rPr>
              <w:t xml:space="preserve">- 15 anos comuns = 15 anos</w:t>
            </w:r>
          </w:p>
          <w:p>
            <w:pPr>
              <w:spacing w:after="40" w:before="40"/>
            </w:pPr>
            <w:r>
              <w:rPr>
                <w:rFonts w:ascii="Arial" w:cs="Arial" w:eastAsia="Arial" w:hAnsi="Arial"/>
                <w:sz w:val="19"/>
                <w:szCs w:val="19"/>
              </w:rPr>
              <w:t xml:space="preserve">- TC total = 14 + 5 + 15 = 34 anos (sem conversão seriam 30 anos)</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11.14 Planejamento Previdenciário: Quando Esperar, Quando Requerer</w:t>
      </w:r>
    </w:p>
    <w:p>
      <w:pPr>
        <w:spacing w:after="140" w:before="280"/>
      </w:pPr>
      <w:r>
        <w:rPr>
          <w:rFonts w:ascii="Arial" w:cs="Arial" w:eastAsia="Arial" w:hAnsi="Arial"/>
          <w:b/>
          <w:bCs/>
          <w:color w:val="2E86C1"/>
          <w:sz w:val="23"/>
          <w:szCs w:val="23"/>
        </w:rPr>
        <w:t xml:space="preserve">11.14.1 Conceito e importância</w:t>
      </w:r>
    </w:p>
    <w:p>
      <w:pPr>
        <w:spacing w:after="100" w:before="100"/>
        <w:jc w:val="both"/>
      </w:pPr>
      <w:r>
        <w:rPr>
          <w:rFonts w:ascii="Arial" w:cs="Arial" w:eastAsia="Arial" w:hAnsi="Arial"/>
          <w:sz w:val="21"/>
          <w:szCs w:val="21"/>
        </w:rPr>
        <w:t xml:space="preserve">O planejamento previdenciário consiste na análise técnica e projetiva da situação do segurado, considerando todas as variáveis relevantes (idade, TC, salários de contribuição, regras aplicáveis) para determinar o momento ótimo de requerimento da aposentadoria. Em um cenário com quatro regras de transição simultâneas, cada qual com cálculo de benefício distinto, o planejamento deixa de ser luxo e passa a ser necessidade.</w:t>
      </w:r>
    </w:p>
    <w:p>
      <w:pPr>
        <w:spacing w:after="100" w:before="100"/>
        <w:jc w:val="both"/>
      </w:pPr>
      <w:r>
        <w:rPr>
          <w:rFonts w:ascii="Arial" w:cs="Arial" w:eastAsia="Arial" w:hAnsi="Arial"/>
          <w:sz w:val="21"/>
          <w:szCs w:val="21"/>
        </w:rPr>
        <w:t xml:space="preserve">O advogado que orienta o cliente sem realizar simulações numéricas por cada regra disponível está abaixo do padrão de diligência exigido. A diferença entre requerer no momento certo ou no momento errado pode representar centenas de milhares de reais ao longo da vida do segurado.</w:t>
      </w:r>
    </w:p>
    <w:p>
      <w:pPr>
        <w:spacing w:after="100" w:before="100"/>
        <w:jc w:val="both"/>
      </w:pPr>
      <w:r>
        <w:rPr>
          <w:rFonts w:ascii="Arial" w:cs="Arial" w:eastAsia="Arial" w:hAnsi="Arial"/>
          <w:sz w:val="21"/>
          <w:szCs w:val="21"/>
        </w:rPr>
        <w:t xml:space="preserve">O planejamento previdenciário para aposentadoria por TC deve considerar três horizontes temporais: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Imediato (próximos 6 meses): O segurado já atinge alguma regra de transição? Se sim, calcular todas as RMIs e comparar.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Curto prazo (1 a 3 anos): Qual regra será atingida primeiro? O ganho esperado justifica a espera?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Médio prazo (3 a 5 anos): Há regra significativamente mais vantajosa que será atingida em horizonte razoável?</w:t>
      </w:r>
    </w:p>
    <w:p>
      <w:pPr>
        <w:spacing w:after="100" w:before="100"/>
        <w:jc w:val="both"/>
      </w:pPr>
      <w:r>
        <w:rPr>
          <w:rFonts w:ascii="Arial" w:cs="Arial" w:eastAsia="Arial" w:hAnsi="Arial"/>
          <w:sz w:val="21"/>
          <w:szCs w:val="21"/>
        </w:rPr>
        <w:t xml:space="preserve">A vedação da desaposentação (STF, Tema 503, RE 661.256) torna o planejamento ainda mais crítico: uma vez concedida a aposentadoria, o segurado não pode renunciar a ela para obter outra mais vantajosa no RGPS. A escolha é definitiva. O princípio firmado pelo STF é claro: "somente lei pode criar benefícios e vantagens previdenciárias, não havendo previsão legal do direito à desaposentação". Portanto, o segurado que se aposenta por uma regra menos vantajosa não terá como "corrigir" a escolha posteriormente.</w:t>
      </w:r>
    </w:p>
    <w:p>
      <w:pPr>
        <w:spacing w:after="100" w:before="100"/>
        <w:jc w:val="both"/>
      </w:pPr>
      <w:r>
        <w:rPr>
          <w:rFonts w:ascii="Arial" w:cs="Arial" w:eastAsia="Arial" w:hAnsi="Arial"/>
          <w:sz w:val="21"/>
          <w:szCs w:val="21"/>
        </w:rPr>
        <w:t xml:space="preserve">Esta irreversibilidade impõe ao advogado o dever de apresentar ao cliente todas as opções disponíveis, com cálculos detalhados, antes do requerimento. O planejamento previdenciário não é mero exercício teórico — é obrigação profissional cuja negligência pode configurar responsabilidade civil do advogado.</w:t>
      </w:r>
    </w:p>
    <w:p>
      <w:pPr>
        <w:spacing w:after="140" w:before="280"/>
      </w:pPr>
      <w:r>
        <w:rPr>
          <w:rFonts w:ascii="Arial" w:cs="Arial" w:eastAsia="Arial" w:hAnsi="Arial"/>
          <w:b/>
          <w:bCs/>
          <w:color w:val="2E86C1"/>
          <w:sz w:val="23"/>
          <w:szCs w:val="23"/>
        </w:rPr>
        <w:t xml:space="preserve">11.14.2 Variáveis decisórias</w:t>
      </w:r>
    </w:p>
    <w:p>
      <w:pPr>
        <w:spacing w:after="100" w:before="100"/>
        <w:jc w:val="both"/>
      </w:pPr>
      <w:r>
        <w:rPr>
          <w:rFonts w:ascii="Arial" w:cs="Arial" w:eastAsia="Arial" w:hAnsi="Arial"/>
          <w:sz w:val="21"/>
          <w:szCs w:val="21"/>
        </w:rPr>
        <w:t xml:space="preserve">As principais variáveis que o profissional deve considerar no planejamento previdenciário para aposentadoria por TC são:</w:t>
      </w:r>
    </w:p>
    <w:p>
      <w:pPr>
        <w:spacing w:after="60" w:before="60"/>
        <w:ind w:left="360"/>
      </w:pPr>
      <w:r>
        <w:rPr>
          <w:rFonts w:ascii="Arial" w:cs="Arial" w:eastAsia="Arial" w:hAnsi="Arial"/>
          <w:sz w:val="21"/>
          <w:szCs w:val="21"/>
        </w:rPr>
        <w:t xml:space="preserve">a) Idade atual e projeção</w:t>
      </w:r>
    </w:p>
    <w:p>
      <w:pPr>
        <w:spacing w:after="100" w:before="100"/>
        <w:jc w:val="both"/>
      </w:pPr>
      <w:r>
        <w:rPr>
          <w:rFonts w:ascii="Arial" w:cs="Arial" w:eastAsia="Arial" w:hAnsi="Arial"/>
          <w:sz w:val="21"/>
          <w:szCs w:val="21"/>
        </w:rPr>
        <w:t xml:space="preserve">A idade afeta diretamente o cálculo em três cenários: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No art. 15 (pontos), cada ano a mais acrescenta 1 ponto naturalmente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No art. 16 (idade progressiva), o segurado pode estar a poucos meses de atingir a idade mínima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No fator previdenciário (pedágio 50% e direito adquirido), cada ano a mais de idade aumenta significativamente o fator</w:t>
      </w:r>
    </w:p>
    <w:p>
      <w:pPr>
        <w:spacing w:after="60" w:before="60"/>
        <w:ind w:left="360"/>
      </w:pPr>
      <w:r>
        <w:rPr>
          <w:rFonts w:ascii="Arial" w:cs="Arial" w:eastAsia="Arial" w:hAnsi="Arial"/>
          <w:sz w:val="21"/>
          <w:szCs w:val="21"/>
        </w:rPr>
        <w:t xml:space="preserve">b) Tempo de contribuição atual e projeção</w:t>
      </w:r>
    </w:p>
    <w:p>
      <w:pPr>
        <w:spacing w:after="100" w:before="100"/>
        <w:jc w:val="both"/>
      </w:pPr>
      <w:r>
        <w:rPr>
          <w:rFonts w:ascii="Arial" w:cs="Arial" w:eastAsia="Arial" w:hAnsi="Arial"/>
          <w:sz w:val="21"/>
          <w:szCs w:val="21"/>
        </w:rPr>
        <w:t xml:space="preserve">O TC em andamento cresce naturalmente com o passar do tempo. Cada ano adicional: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Acrescenta 1 ponto no art. 15</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Pode elevar o coeficiente 60%+2% em 2 pontos percentuais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Aumenta o fator previdenciário (duplo efeito: aumenta Tc e reduz Es)</w:t>
      </w:r>
    </w:p>
    <w:p>
      <w:pPr>
        <w:spacing w:after="60" w:before="60"/>
        <w:ind w:left="360"/>
      </w:pPr>
      <w:r>
        <w:rPr>
          <w:rFonts w:ascii="Arial" w:cs="Arial" w:eastAsia="Arial" w:hAnsi="Arial"/>
          <w:sz w:val="21"/>
          <w:szCs w:val="21"/>
        </w:rPr>
        <w:t xml:space="preserve">c) Valor dos salários de contribuição</w:t>
      </w:r>
    </w:p>
    <w:p>
      <w:pPr>
        <w:spacing w:after="100" w:before="100"/>
        <w:jc w:val="both"/>
      </w:pPr>
      <w:r>
        <w:rPr>
          <w:rFonts w:ascii="Arial" w:cs="Arial" w:eastAsia="Arial" w:hAnsi="Arial"/>
          <w:sz w:val="21"/>
          <w:szCs w:val="21"/>
        </w:rPr>
        <w:t xml:space="preserve">Segurados com salários de contribuição variáveis ao longo da vida devem atentar para: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 diferença entre a média dos 80% maiores SC (regras com fator) e a média de 100% dos SC (regras da EC 103)</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 possibilidade de excluir SC que reduzam a média (art. 26, § 6º, EC 103) — disponível apenas nas regras que utilizam a média de 100%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O impacto dos salários mínimos do início de carreira na média de 100%</w:t>
      </w:r>
    </w:p>
    <w:p>
      <w:pPr>
        <w:spacing w:after="60" w:before="60"/>
        <w:ind w:left="360"/>
      </w:pPr>
      <w:r>
        <w:rPr>
          <w:rFonts w:ascii="Arial" w:cs="Arial" w:eastAsia="Arial" w:hAnsi="Arial"/>
          <w:sz w:val="21"/>
          <w:szCs w:val="21"/>
        </w:rPr>
        <w:t xml:space="preserve">d) Custo de oportunidade</w:t>
      </w:r>
    </w:p>
    <w:p>
      <w:pPr>
        <w:spacing w:after="100" w:before="100"/>
        <w:jc w:val="both"/>
      </w:pPr>
      <w:r>
        <w:rPr>
          <w:rFonts w:ascii="Arial" w:cs="Arial" w:eastAsia="Arial" w:hAnsi="Arial"/>
          <w:sz w:val="21"/>
          <w:szCs w:val="21"/>
        </w:rPr>
        <w:t xml:space="preserve">Esperar para se aposentar tem um custo: os meses sem benefício que o segurado "perde" enquanto aguarda uma regra mais vantajosa. Esse custo deve ser contraposto ao ganho permanente que a regra mais vantajosa proporcionará.</w:t>
      </w:r>
    </w:p>
    <w:p>
      <w:pPr>
        <w:spacing w:after="60" w:before="60"/>
        <w:ind w:left="360"/>
      </w:pPr>
      <w:r>
        <w:rPr>
          <w:rFonts w:ascii="Arial" w:cs="Arial" w:eastAsia="Arial" w:hAnsi="Arial"/>
          <w:sz w:val="21"/>
          <w:szCs w:val="21"/>
        </w:rPr>
        <w:t xml:space="preserve">e) Estado de saúde e expectativa de vida</w:t>
      </w:r>
    </w:p>
    <w:p>
      <w:pPr>
        <w:spacing w:after="100" w:before="100"/>
        <w:jc w:val="both"/>
      </w:pPr>
      <w:r>
        <w:rPr>
          <w:rFonts w:ascii="Arial" w:cs="Arial" w:eastAsia="Arial" w:hAnsi="Arial"/>
          <w:sz w:val="21"/>
          <w:szCs w:val="21"/>
        </w:rPr>
        <w:t xml:space="preserve">Embora seja um fator sensível, o estado de saúde do segurado é variável relevante no planejamento. Segurado com doenças graves ou expectativa de vida reduzida pode ser aconselhado a requerer a aposentadoria o mais cedo possível, mesmo que por regra menos vantajosa, para maximizar o tempo de fruição do benefício. A análise fria dos números pode sugerir espera, mas a prudência recomenda avaliar caso a caso.</w:t>
      </w:r>
    </w:p>
    <w:p>
      <w:pPr>
        <w:spacing w:after="60" w:before="60"/>
        <w:ind w:left="360"/>
      </w:pPr>
      <w:r>
        <w:rPr>
          <w:rFonts w:ascii="Arial" w:cs="Arial" w:eastAsia="Arial" w:hAnsi="Arial"/>
          <w:sz w:val="21"/>
          <w:szCs w:val="21"/>
        </w:rPr>
        <w:t xml:space="preserve">f) Situação de emprego e renda atual</w:t>
      </w:r>
    </w:p>
    <w:p>
      <w:pPr>
        <w:spacing w:after="100" w:before="100"/>
        <w:jc w:val="both"/>
      </w:pPr>
      <w:r>
        <w:rPr>
          <w:rFonts w:ascii="Arial" w:cs="Arial" w:eastAsia="Arial" w:hAnsi="Arial"/>
          <w:sz w:val="21"/>
          <w:szCs w:val="21"/>
        </w:rPr>
        <w:t xml:space="preserve">O segurado desempregado ou em situação de renda precária tem urgência diferente daquele que permanece empregado com boa remuneração. Para o primeiro, a aposentadoria — mesmo que por regra menos vantajosa — pode ser a única fonte de renda disponível. Para o segundo, a espera por regra mais vantajosa é financeiramente viável e frequentemente recomendável.</w:t>
      </w:r>
    </w:p>
    <w:p>
      <w:pPr>
        <w:spacing w:after="140" w:before="280"/>
      </w:pPr>
      <w:r>
        <w:rPr>
          <w:rFonts w:ascii="Arial" w:cs="Arial" w:eastAsia="Arial" w:hAnsi="Arial"/>
          <w:b/>
          <w:bCs/>
          <w:color w:val="2E86C1"/>
          <w:sz w:val="23"/>
          <w:szCs w:val="23"/>
        </w:rPr>
        <w:t xml:space="preserve">11.14.3 Análise de ponto de equilíbrio (break-even)</w:t>
      </w:r>
    </w:p>
    <w:p>
      <w:pPr>
        <w:spacing w:after="100" w:before="100"/>
        <w:jc w:val="both"/>
      </w:pPr>
      <w:r>
        <w:rPr>
          <w:rFonts w:ascii="Arial" w:cs="Arial" w:eastAsia="Arial" w:hAnsi="Arial"/>
          <w:sz w:val="21"/>
          <w:szCs w:val="21"/>
        </w:rPr>
        <w:t xml:space="preserve">O ponto de equilíbrio é o momento em que o ganho acumulado pela regra mais vantajosa iguala o valor que o segurado deixou de receber durante o período de espera. A partir desse ponto, todo valor recebido é "lucro líquido" da espera.</w:t>
      </w:r>
    </w:p>
    <w:p>
      <w:pPr>
        <w:spacing w:after="60" w:before="60"/>
        <w:ind w:left="360"/>
      </w:pPr>
      <w:r>
        <w:rPr>
          <w:rFonts w:ascii="Arial" w:cs="Arial" w:eastAsia="Arial" w:hAnsi="Arial"/>
          <w:sz w:val="21"/>
          <w:szCs w:val="21"/>
        </w:rPr>
        <w:t xml:space="preserve">Fórmula simplificada:</w:t>
      </w:r>
    </w:p>
    <w:p>
      <w:pPr>
        <w:spacing w:after="60" w:before="60"/>
        <w:ind w:left="360"/>
      </w:pPr>
      <w:r>
        <w:rPr>
          <w:rFonts w:ascii="Arial" w:cs="Arial" w:eastAsia="Arial" w:hAnsi="Arial"/>
          <w:sz w:val="21"/>
          <w:szCs w:val="21"/>
        </w:rPr>
        <w:t xml:space="preserve">Ponto de equilíbrio (meses) = (Meses de espera × RMI regra inferior) / (RMI regra superior - RMI regra inferior)</w:t>
      </w:r>
    </w:p>
    <w:p>
      <w:pPr>
        <w:spacing w:after="100" w:before="100"/>
        <w:jc w:val="both"/>
      </w:pPr>
      <w:r>
        <w:rPr>
          <w:rFonts w:ascii="Arial" w:cs="Arial" w:eastAsia="Arial" w:hAnsi="Arial"/>
          <w:sz w:val="21"/>
          <w:szCs w:val="21"/>
        </w:rPr>
        <w:t xml:space="preserve">Onde: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Meses de espera = número de meses que o segurado deve aguardar para atingir a regra superior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RMI regra inferior = valor mensal do benefício pela regra imediatamente disponível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RMI regra superior = valor mensal do benefício pela regra que será atingida após a espera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Modelo de cálculo do ponto de equilíbrio</w:t>
            </w:r>
          </w:p>
          <w:p>
            <w:pPr>
              <w:spacing w:after="40" w:before="40"/>
            </w:pPr>
            <w:r>
              <w:rPr>
                <w:rFonts w:ascii="Arial" w:cs="Arial" w:eastAsia="Arial" w:hAnsi="Arial"/>
                <w:sz w:val="19"/>
                <w:szCs w:val="19"/>
              </w:rPr>
              <w:t xml:space="preserve">Situação: Marta, mulher, 58 anos, 33 anos TC em 2026.</w:t>
            </w:r>
          </w:p>
          <w:p>
            <w:pPr>
              <w:spacing w:after="40" w:before="40"/>
            </w:pPr>
            <w:r>
              <w:rPr>
                <w:rFonts w:ascii="Arial" w:cs="Arial" w:eastAsia="Arial" w:hAnsi="Arial"/>
                <w:sz w:val="19"/>
                <w:szCs w:val="19"/>
              </w:rPr>
              <w:t xml:space="preserve">Opção A — Aposentar agora pelo art. 15:</w:t>
            </w:r>
          </w:p>
          <w:p>
            <w:pPr>
              <w:spacing w:after="40" w:before="40"/>
            </w:pPr>
            <w:r>
              <w:rPr>
                <w:rFonts w:ascii="Arial" w:cs="Arial" w:eastAsia="Arial" w:hAnsi="Arial"/>
                <w:sz w:val="19"/>
                <w:szCs w:val="19"/>
              </w:rPr>
              <w:t xml:space="preserve">- Pontos: 58 + 33 = 91 &lt; 93 (2026) → NÃO atinge</w:t>
            </w:r>
          </w:p>
          <w:p>
            <w:pPr>
              <w:spacing w:after="40" w:before="40"/>
            </w:pPr>
            <w:r>
              <w:rPr>
                <w:rFonts w:ascii="Arial" w:cs="Arial" w:eastAsia="Arial" w:hAnsi="Arial"/>
                <w:sz w:val="19"/>
                <w:szCs w:val="19"/>
              </w:rPr>
              <w:t xml:space="preserve">- Opção A inviável em 2026</w:t>
            </w:r>
          </w:p>
          <w:p>
            <w:pPr>
              <w:spacing w:after="40" w:before="40"/>
            </w:pPr>
            <w:r>
              <w:rPr>
                <w:rFonts w:ascii="Arial" w:cs="Arial" w:eastAsia="Arial" w:hAnsi="Arial"/>
                <w:sz w:val="19"/>
                <w:szCs w:val="19"/>
              </w:rPr>
              <w:t xml:space="preserve">Opção B — Esperar até 2027 pelo art. 15:</w:t>
            </w:r>
          </w:p>
          <w:p>
            <w:pPr>
              <w:spacing w:after="40" w:before="40"/>
            </w:pPr>
            <w:r>
              <w:rPr>
                <w:rFonts w:ascii="Arial" w:cs="Arial" w:eastAsia="Arial" w:hAnsi="Arial"/>
                <w:sz w:val="19"/>
                <w:szCs w:val="19"/>
              </w:rPr>
              <w:t xml:space="preserve">- Pontos em 2027: 59 + 34 = 93 = 93 (2027 mulher permanece 93? Não: 2027 = 94 pontos mulher)</w:t>
            </w:r>
          </w:p>
          <w:p>
            <w:pPr>
              <w:spacing w:after="40" w:before="40"/>
            </w:pPr>
            <w:r>
              <w:rPr>
                <w:rFonts w:ascii="Arial" w:cs="Arial" w:eastAsia="Arial" w:hAnsi="Arial"/>
                <w:sz w:val="19"/>
                <w:szCs w:val="19"/>
              </w:rPr>
              <w:t xml:space="preserve">- Pontos em 2027: 59 + 34 = 93 &lt; 94 → NÃO atinge</w:t>
            </w:r>
          </w:p>
          <w:p>
            <w:pPr>
              <w:spacing w:after="40" w:before="40"/>
            </w:pPr>
            <w:r>
              <w:rPr>
                <w:rFonts w:ascii="Arial" w:cs="Arial" w:eastAsia="Arial" w:hAnsi="Arial"/>
                <w:sz w:val="19"/>
                <w:szCs w:val="19"/>
              </w:rPr>
              <w:t xml:space="preserve">- Em 2028: 60 + 35 = 95 ≥ 95 (2028) → SIM</w:t>
            </w:r>
          </w:p>
          <w:p>
            <w:pPr>
              <w:spacing w:after="40" w:before="40"/>
            </w:pPr>
            <w:r>
              <w:rPr>
                <w:rFonts w:ascii="Arial" w:cs="Arial" w:eastAsia="Arial" w:hAnsi="Arial"/>
                <w:sz w:val="19"/>
                <w:szCs w:val="19"/>
              </w:rPr>
              <w:t xml:space="preserve">Opção C — Art. 20 (pedágio 100%):</w:t>
            </w:r>
          </w:p>
          <w:p>
            <w:pPr>
              <w:spacing w:after="40" w:before="40"/>
            </w:pPr>
            <w:r>
              <w:rPr>
                <w:rFonts w:ascii="Arial" w:cs="Arial" w:eastAsia="Arial" w:hAnsi="Arial"/>
                <w:sz w:val="19"/>
                <w:szCs w:val="19"/>
              </w:rPr>
              <w:t xml:space="preserve">- Idade: 58 ≥ 57 ✅</w:t>
            </w:r>
          </w:p>
          <w:p>
            <w:pPr>
              <w:spacing w:after="40" w:before="40"/>
            </w:pPr>
            <w:r>
              <w:rPr>
                <w:rFonts w:ascii="Arial" w:cs="Arial" w:eastAsia="Arial" w:hAnsi="Arial"/>
                <w:sz w:val="19"/>
                <w:szCs w:val="19"/>
              </w:rPr>
              <w:t xml:space="preserve">- TC: 33 ≥ 30 ✅</w:t>
            </w:r>
          </w:p>
          <w:p>
            <w:pPr>
              <w:spacing w:after="40" w:before="40"/>
            </w:pPr>
            <w:r>
              <w:rPr>
                <w:rFonts w:ascii="Arial" w:cs="Arial" w:eastAsia="Arial" w:hAnsi="Arial"/>
                <w:sz w:val="19"/>
                <w:szCs w:val="19"/>
              </w:rPr>
              <w:t xml:space="preserve">- Pedágio: em 13/11/2019, Marta tinha 26 anos TC, faltavam 4 anos → pedágio = 4 anos</w:t>
            </w:r>
          </w:p>
          <w:p>
            <w:pPr>
              <w:spacing w:after="40" w:before="40"/>
            </w:pPr>
            <w:r>
              <w:rPr>
                <w:rFonts w:ascii="Arial" w:cs="Arial" w:eastAsia="Arial" w:hAnsi="Arial"/>
                <w:sz w:val="19"/>
                <w:szCs w:val="19"/>
              </w:rPr>
              <w:t xml:space="preserve">- TC necessário: 30 + 4 = 34 anos</w:t>
            </w:r>
          </w:p>
          <w:p>
            <w:pPr>
              <w:spacing w:after="40" w:before="40"/>
            </w:pPr>
            <w:r>
              <w:rPr>
                <w:rFonts w:ascii="Arial" w:cs="Arial" w:eastAsia="Arial" w:hAnsi="Arial"/>
                <w:sz w:val="19"/>
                <w:szCs w:val="19"/>
              </w:rPr>
              <w:t xml:space="preserve">- TC atual: 33 → faltam 1 ano</w:t>
            </w:r>
          </w:p>
          <w:p>
            <w:pPr>
              <w:spacing w:after="40" w:before="40"/>
            </w:pPr>
            <w:r>
              <w:rPr>
                <w:rFonts w:ascii="Arial" w:cs="Arial" w:eastAsia="Arial" w:hAnsi="Arial"/>
                <w:sz w:val="19"/>
                <w:szCs w:val="19"/>
              </w:rPr>
              <w:t xml:space="preserve">- Viável em 2027 (com 34 TC e 59 anos)</w:t>
            </w:r>
          </w:p>
          <w:p>
            <w:pPr>
              <w:spacing w:after="40" w:before="40"/>
            </w:pPr>
            <w:r>
              <w:rPr>
                <w:rFonts w:ascii="Arial" w:cs="Arial" w:eastAsia="Arial" w:hAnsi="Arial"/>
                <w:sz w:val="19"/>
                <w:szCs w:val="19"/>
              </w:rPr>
              <w:t xml:space="preserve">Cálculo do break-even — Art. 15 (2028) vs. Art. 20 (2027):</w:t>
            </w:r>
          </w:p>
          <w:p>
            <w:pPr>
              <w:spacing w:after="40" w:before="40"/>
            </w:pPr>
            <w:r>
              <w:rPr>
                <w:rFonts w:ascii="Arial" w:cs="Arial" w:eastAsia="Arial" w:hAnsi="Arial"/>
                <w:sz w:val="19"/>
                <w:szCs w:val="19"/>
              </w:rPr>
              <w:t xml:space="preserve">- Art. 20 (2027): média 100% = R$ 3.800 × 100% = R$ 3.800</w:t>
            </w:r>
          </w:p>
          <w:p>
            <w:pPr>
              <w:spacing w:after="40" w:before="40"/>
            </w:pPr>
            <w:r>
              <w:rPr>
                <w:rFonts w:ascii="Arial" w:cs="Arial" w:eastAsia="Arial" w:hAnsi="Arial"/>
                <w:sz w:val="19"/>
                <w:szCs w:val="19"/>
              </w:rPr>
              <w:t xml:space="preserve">- Art. 15 (2028): média 100% = R$ 3.800 × (60%+2%×20) = R$ 3.800 × 100% = R$ 3.800</w:t>
            </w:r>
          </w:p>
          <w:p>
            <w:pPr>
              <w:spacing w:after="40" w:before="40"/>
            </w:pPr>
            <w:r>
              <w:rPr>
                <w:rFonts w:ascii="Arial" w:cs="Arial" w:eastAsia="Arial" w:hAnsi="Arial"/>
                <w:sz w:val="19"/>
                <w:szCs w:val="19"/>
              </w:rPr>
              <w:t xml:space="preserve">- Neste caso, RMIs iguais → não vale esperar. Melhor requerer pelo art. 20 em 2027.</w:t>
            </w:r>
          </w:p>
          <w:p>
            <w:pPr>
              <w:spacing w:after="40" w:before="40"/>
            </w:pPr>
            <w:r>
              <w:rPr>
                <w:rFonts w:ascii="Arial" w:cs="Arial" w:eastAsia="Arial" w:hAnsi="Arial"/>
                <w:sz w:val="19"/>
                <w:szCs w:val="19"/>
              </w:rPr>
              <w:t xml:space="preserve">Outro cenário (valores diferentes):</w:t>
            </w:r>
          </w:p>
          <w:p>
            <w:pPr>
              <w:spacing w:after="40" w:before="40"/>
            </w:pPr>
            <w:r>
              <w:rPr>
                <w:rFonts w:ascii="Arial" w:cs="Arial" w:eastAsia="Arial" w:hAnsi="Arial"/>
                <w:sz w:val="19"/>
                <w:szCs w:val="19"/>
              </w:rPr>
              <w:t xml:space="preserve">- Art. 20 (2027): R$ 3.800 × 100% = R$ 3.800/mês (12 meses antes do art. 15)</w:t>
            </w:r>
          </w:p>
          <w:p>
            <w:pPr>
              <w:spacing w:after="40" w:before="40"/>
            </w:pPr>
            <w:r>
              <w:rPr>
                <w:rFonts w:ascii="Arial" w:cs="Arial" w:eastAsia="Arial" w:hAnsi="Arial"/>
                <w:sz w:val="19"/>
                <w:szCs w:val="19"/>
              </w:rPr>
              <w:t xml:space="preserve">- Art. 15 (2028): média 100% com excl. SC = R$ 4.200 × 100% = R$ 4.200/mês</w:t>
            </w:r>
          </w:p>
          <w:p>
            <w:pPr>
              <w:spacing w:after="40" w:before="40"/>
            </w:pPr>
            <w:r>
              <w:rPr>
                <w:rFonts w:ascii="Arial" w:cs="Arial" w:eastAsia="Arial" w:hAnsi="Arial"/>
                <w:sz w:val="19"/>
                <w:szCs w:val="19"/>
              </w:rPr>
              <w:t xml:space="preserve">- Ganho mensal: R$ 400</w:t>
            </w:r>
          </w:p>
          <w:p>
            <w:pPr>
              <w:spacing w:after="40" w:before="40"/>
            </w:pPr>
            <w:r>
              <w:rPr>
                <w:rFonts w:ascii="Arial" w:cs="Arial" w:eastAsia="Arial" w:hAnsi="Arial"/>
                <w:sz w:val="19"/>
                <w:szCs w:val="19"/>
              </w:rPr>
              <w:t xml:space="preserve">- Custo da espera: 12 meses × R$ 3.800 = R$ 45.600</w:t>
            </w:r>
          </w:p>
          <w:p>
            <w:pPr>
              <w:spacing w:after="40" w:before="40"/>
            </w:pPr>
            <w:r>
              <w:rPr>
                <w:rFonts w:ascii="Arial" w:cs="Arial" w:eastAsia="Arial" w:hAnsi="Arial"/>
                <w:sz w:val="19"/>
                <w:szCs w:val="19"/>
              </w:rPr>
              <w:t xml:space="preserve">- Ponto de equilíbrio: R$ 45.600 / R$ 400 = 114 meses (9,5 anos)</w:t>
            </w:r>
          </w:p>
          <w:p>
            <w:pPr>
              <w:spacing w:after="40" w:before="40"/>
            </w:pPr>
            <w:r>
              <w:rPr>
                <w:rFonts w:ascii="Arial" w:cs="Arial" w:eastAsia="Arial" w:hAnsi="Arial"/>
                <w:sz w:val="19"/>
                <w:szCs w:val="19"/>
              </w:rPr>
              <w:t xml:space="preserve">- Se Marta tem expectativa de receber aposentadoria por mais de 9,5 anos após 2028, vale esperar.</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Riscos do planejamento previdenciário — o que pode dar errado</w:t>
            </w:r>
          </w:p>
          <w:p>
            <w:pPr>
              <w:spacing w:after="40" w:before="40"/>
            </w:pPr>
            <w:r>
              <w:rPr>
                <w:rFonts w:ascii="Arial" w:cs="Arial" w:eastAsia="Arial" w:hAnsi="Arial"/>
                <w:sz w:val="19"/>
                <w:szCs w:val="19"/>
              </w:rPr>
              <w:t xml:space="preserve">O planejamento previdenciário opera com projeções e, como toda projeção, está sujeito a riscos que podem frustrar a estratégia:</w:t>
            </w:r>
          </w:p>
          <w:p>
            <w:pPr>
              <w:spacing w:after="40" w:before="40"/>
            </w:pPr>
            <w:r>
              <w:rPr>
                <w:rFonts w:ascii="Arial" w:cs="Arial" w:eastAsia="Arial" w:hAnsi="Arial"/>
                <w:sz w:val="19"/>
                <w:szCs w:val="19"/>
              </w:rPr>
              <w:t xml:space="preserve">1. Mudança legislativa: Embora as regras de transição tenham proteção constitucional (art. 5º, XXXVI, CF), o legislador pode criar novas regras que alterem o cenário. A própria EC 103/2019 é exemplo disso.</w:t>
            </w:r>
          </w:p>
          <w:p>
            <w:pPr>
              <w:spacing w:after="40" w:before="40"/>
            </w:pPr>
            <w:r>
              <w:rPr>
                <w:rFonts w:ascii="Arial" w:cs="Arial" w:eastAsia="Arial" w:hAnsi="Arial"/>
                <w:sz w:val="19"/>
                <w:szCs w:val="19"/>
              </w:rPr>
              <w:t xml:space="preserve">2. Incapacidade superveniente: O segurado pode ser acometido de doença ou acidente que o incapacite para o trabalho, sendo direcionado para benefício por incapacidade em vez de aposentadoria por TC. O benefício por incapacidade permanente (aposentadoria por incapacidade permanente) utiliza regra de cálculo distinta.</w:t>
            </w:r>
          </w:p>
          <w:p>
            <w:pPr>
              <w:spacing w:after="40" w:before="40"/>
            </w:pPr>
            <w:r>
              <w:rPr>
                <w:rFonts w:ascii="Arial" w:cs="Arial" w:eastAsia="Arial" w:hAnsi="Arial"/>
                <w:sz w:val="19"/>
                <w:szCs w:val="19"/>
              </w:rPr>
              <w:t xml:space="preserve">3. Desemprego involuntário: O segurado que perde o emprego pode ficar sem contribuições, interrompendo o crescimento do TC. A qualidade de segurado é mantida por 12 a 36 meses (art. 15, Lei 8.213/91), mas o TC não cresce no período.</w:t>
            </w:r>
          </w:p>
          <w:p>
            <w:pPr>
              <w:spacing w:after="40" w:before="40"/>
            </w:pPr>
            <w:r>
              <w:rPr>
                <w:rFonts w:ascii="Arial" w:cs="Arial" w:eastAsia="Arial" w:hAnsi="Arial"/>
                <w:sz w:val="19"/>
                <w:szCs w:val="19"/>
              </w:rPr>
              <w:t xml:space="preserve">4. Alteração da tabela IBGE: A expectativa de sobrevida utilizada no fator previdenciário é atualizada anualmente. Um aumento na expectativa de vida reduz o fator, podendo frustrar a projeção.</w:t>
            </w:r>
          </w:p>
          <w:p>
            <w:pPr>
              <w:spacing w:after="40" w:before="40"/>
            </w:pPr>
            <w:r>
              <w:rPr>
                <w:rFonts w:ascii="Arial" w:cs="Arial" w:eastAsia="Arial" w:hAnsi="Arial"/>
                <w:sz w:val="19"/>
                <w:szCs w:val="19"/>
              </w:rPr>
              <w:t xml:space="preserve">5. Óbito: O segurado que falece antes de se aposentar transfere aos dependentes o direito à pensão por morte, que tem regra de cálculo própria (art. 23, EC 103 — 50% + 10% por dependente, sobre 60%+2% da média). O valor é significativamente inferior ao da aposentadoria por TC.</w:t>
            </w:r>
          </w:p>
          <w:p>
            <w:pPr>
              <w:spacing w:after="40" w:before="40"/>
            </w:pPr>
            <w:r>
              <w:rPr>
                <w:rFonts w:ascii="Arial" w:cs="Arial" w:eastAsia="Arial" w:hAnsi="Arial"/>
                <w:sz w:val="19"/>
                <w:szCs w:val="19"/>
              </w:rPr>
              <w:t xml:space="preserve">Recomendação: O planejamento deve ser revisto periodicamente (ao menos anualmente) e o segurado deve ser alertado sobre esses riscos. A decisão final é sempre do cliente, devidamente informado.</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11.15 Cálculo Detalhado do Benefício: Caso Unificado por Cada Regra</w:t>
      </w:r>
    </w:p>
    <w:p>
      <w:pPr>
        <w:spacing w:after="140" w:before="280"/>
      </w:pPr>
      <w:r>
        <w:rPr>
          <w:rFonts w:ascii="Arial" w:cs="Arial" w:eastAsia="Arial" w:hAnsi="Arial"/>
          <w:b/>
          <w:bCs/>
          <w:color w:val="2E86C1"/>
          <w:sz w:val="23"/>
          <w:szCs w:val="23"/>
        </w:rPr>
        <w:t xml:space="preserve">11.15.1 Apresentação do caso-base</w:t>
      </w:r>
    </w:p>
    <w:p>
      <w:pPr>
        <w:spacing w:after="100" w:before="100"/>
        <w:jc w:val="both"/>
      </w:pPr>
      <w:r>
        <w:rPr>
          <w:rFonts w:ascii="Arial" w:cs="Arial" w:eastAsia="Arial" w:hAnsi="Arial"/>
          <w:sz w:val="21"/>
          <w:szCs w:val="21"/>
        </w:rPr>
        <w:t xml:space="preserve">A seção 11.10 apresentou um quadro comparativo simplificado. Neste tópico, aprofunda-se a análise com um caso-base unificado calculado por todas as regras, demonstrando passo a passo o procedimento de cálculo que o advogado deve realizar na prática. O objetivo é fornecer um modelo replicável para qualquer caso concreto.</w:t>
      </w:r>
    </w:p>
    <w:p>
      <w:pPr>
        <w:spacing w:after="60" w:before="60"/>
        <w:ind w:left="360"/>
      </w:pPr>
      <w:r>
        <w:rPr>
          <w:rFonts w:ascii="Arial" w:cs="Arial" w:eastAsia="Arial" w:hAnsi="Arial"/>
          <w:sz w:val="21"/>
          <w:szCs w:val="21"/>
        </w:rPr>
        <w:t xml:space="preserve">Ricardo, homem, 62 anos em maio/2026 (nascido em maio/1964). Filiado ao RGPS desde janeiro/1989. Dados previdenciários: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total em maio/2026: 37 anos e 4 meses (37,33 anos)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em 13/11/2019: 30 anos e 10 meses (30,83 anos)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Períodos de atividade especial: 8 anos (1992-2000), atividade de 25 anos (fator 1,40)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com conversão: 8 × 1,40 = 11,2 + 29,33 (restante) = 40,53 anos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Idade em 13/11/2019: 55 anos e 6 meses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Média dos 80% maiores SC: R$ 6.500,00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Média de 100% dos SC: R$ 5.600,00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Média de 100% dos SC com exclusão (art. 26, § 6º): R$ 5.900,00 (excluindo 15 meses de SC que reduziam a média)</w:t>
      </w:r>
    </w:p>
    <w:p>
      <w:pPr>
        <w:spacing w:after="140" w:before="280"/>
      </w:pPr>
      <w:r>
        <w:rPr>
          <w:rFonts w:ascii="Arial" w:cs="Arial" w:eastAsia="Arial" w:hAnsi="Arial"/>
          <w:b/>
          <w:bCs/>
          <w:color w:val="2E86C1"/>
          <w:sz w:val="23"/>
          <w:szCs w:val="23"/>
        </w:rPr>
        <w:t xml:space="preserve">11.15.2 Cálculo 1 — Direito adquirido TC + fator previdenciário</w:t>
      </w:r>
    </w:p>
    <w:p>
      <w:pPr>
        <w:spacing w:after="60" w:before="60"/>
        <w:ind w:left="360"/>
      </w:pPr>
      <w:r>
        <w:rPr>
          <w:rFonts w:ascii="Arial" w:cs="Arial" w:eastAsia="Arial" w:hAnsi="Arial"/>
          <w:sz w:val="21"/>
          <w:szCs w:val="21"/>
        </w:rPr>
        <w:t xml:space="preserve">Verificação de elegibilidade: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até 12/11/2019: 30,83 anos &lt; 35 anos → NÃO ELEGÍVEL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Ricardo não completou 35 anos de TC antes da EC 103/2019.</w:t>
      </w:r>
    </w:p>
    <w:p>
      <w:pPr>
        <w:spacing w:after="60" w:before="60"/>
        <w:ind w:left="360"/>
      </w:pPr>
      <w:r>
        <w:rPr>
          <w:rFonts w:ascii="Arial" w:cs="Arial" w:eastAsia="Arial" w:hAnsi="Arial"/>
          <w:sz w:val="21"/>
          <w:szCs w:val="21"/>
        </w:rPr>
        <w:t xml:space="preserve">Resultado: Inaplicável.</w:t>
      </w:r>
    </w:p>
    <w:p>
      <w:pPr>
        <w:spacing w:after="140" w:before="280"/>
      </w:pPr>
      <w:r>
        <w:rPr>
          <w:rFonts w:ascii="Arial" w:cs="Arial" w:eastAsia="Arial" w:hAnsi="Arial"/>
          <w:b/>
          <w:bCs/>
          <w:color w:val="2E86C1"/>
          <w:sz w:val="23"/>
          <w:szCs w:val="23"/>
        </w:rPr>
        <w:t xml:space="preserve">11.15.3 Cálculo 2 — Direito adquirido regra 85/95</w:t>
      </w:r>
    </w:p>
    <w:p>
      <w:pPr>
        <w:spacing w:after="60" w:before="60"/>
        <w:ind w:left="360"/>
      </w:pPr>
      <w:r>
        <w:rPr>
          <w:rFonts w:ascii="Arial" w:cs="Arial" w:eastAsia="Arial" w:hAnsi="Arial"/>
          <w:sz w:val="21"/>
          <w:szCs w:val="21"/>
        </w:rPr>
        <w:t xml:space="preserve">Verificação de elegibilidade: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até 12/11/2019: 30,83 anos &lt; 35 anos → NÃO ELEGÍVEL (não atingiu TC mínimo)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Mesmo com conversão especial: TC convertido até 2019 = 8×1,4 + 22,83 = 34,03 &lt; 35 → Não</w:t>
      </w:r>
    </w:p>
    <w:p>
      <w:pPr>
        <w:spacing w:after="60" w:before="60"/>
        <w:ind w:left="360"/>
      </w:pPr>
      <w:r>
        <w:rPr>
          <w:rFonts w:ascii="Arial" w:cs="Arial" w:eastAsia="Arial" w:hAnsi="Arial"/>
          <w:sz w:val="21"/>
          <w:szCs w:val="21"/>
        </w:rPr>
        <w:t xml:space="preserve">Resultado: Inaplicável.</w:t>
      </w:r>
    </w:p>
    <w:p>
      <w:pPr>
        <w:spacing w:after="140" w:before="280"/>
      </w:pPr>
      <w:r>
        <w:rPr>
          <w:rFonts w:ascii="Arial" w:cs="Arial" w:eastAsia="Arial" w:hAnsi="Arial"/>
          <w:b/>
          <w:bCs/>
          <w:color w:val="2E86C1"/>
          <w:sz w:val="23"/>
          <w:szCs w:val="23"/>
        </w:rPr>
        <w:t xml:space="preserve">11.15.4 Cálculo 3 — Art. 15 (pontos)</w:t>
      </w:r>
    </w:p>
    <w:p>
      <w:pPr>
        <w:spacing w:after="60" w:before="60"/>
        <w:ind w:left="360"/>
      </w:pPr>
      <w:r>
        <w:rPr>
          <w:rFonts w:ascii="Arial" w:cs="Arial" w:eastAsia="Arial" w:hAnsi="Arial"/>
          <w:sz w:val="21"/>
          <w:szCs w:val="21"/>
        </w:rPr>
        <w:t xml:space="preserve">Verificação de elegibilidade (usando TC sem conversão, pois os arts. 15-16 usam TC real):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37,33 anos ≥ 35 ✅</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Pontos: 62 + 37,33 = 99,33 &lt; 103 (2026) → NÃO ELEGÍVEL em 2026</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Projeção 2027: 63 + 38,33 = 101,33 &lt; 104 → NÃO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Projeção 2028: 64 + 39,33 = 103,33 ≥ 105 (estabilizado) → NÃO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Projeção 2029: 65 + 40,33 = 105,33 ≥ 105 → ELEGÍVEL em 2029</w:t>
      </w:r>
    </w:p>
    <w:p>
      <w:pPr>
        <w:spacing w:after="60" w:before="60"/>
        <w:ind w:left="360"/>
      </w:pPr>
      <w:r>
        <w:rPr>
          <w:rFonts w:ascii="Arial" w:cs="Arial" w:eastAsia="Arial" w:hAnsi="Arial"/>
          <w:sz w:val="21"/>
          <w:szCs w:val="21"/>
        </w:rPr>
        <w:t xml:space="preserve">Cálculo (projeção 2029):</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Média 100% SC (com exclusão): R$ 5.900,00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Coeficiente: 60% + 2% × (40,33 - 20) = 60% + 40,66% = 100,66%, limitado a 100%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RMI: R$ 5.900 × 100% = R$ 5.900,00</w:t>
      </w:r>
    </w:p>
    <w:p>
      <w:pPr>
        <w:spacing w:after="100" w:before="100"/>
        <w:jc w:val="both"/>
      </w:pPr>
      <w:r>
        <w:rPr>
          <w:rFonts w:ascii="Arial" w:cs="Arial" w:eastAsia="Arial" w:hAnsi="Arial"/>
          <w:sz w:val="21"/>
          <w:szCs w:val="21"/>
        </w:rPr>
        <w:t xml:space="preserve">Observação: sem conversão de tempo especial. A conversão de tempo especial em comum não gera acréscimo no TC para fins dos arts. 15 e 16 quando o segurado já possui o TC mínimo de 35 anos; ela é útil quando o segurado NÃO atingiu os 35 anos de TC com o tempo real.</w:t>
      </w:r>
    </w:p>
    <w:p>
      <w:pPr>
        <w:spacing w:after="140" w:before="280"/>
      </w:pPr>
      <w:r>
        <w:rPr>
          <w:rFonts w:ascii="Arial" w:cs="Arial" w:eastAsia="Arial" w:hAnsi="Arial"/>
          <w:b/>
          <w:bCs/>
          <w:color w:val="2E86C1"/>
          <w:sz w:val="23"/>
          <w:szCs w:val="23"/>
        </w:rPr>
        <w:t xml:space="preserve">11.15.5 Cálculo 4 — Art. 16 (idade mínima progressiva)</w:t>
      </w:r>
    </w:p>
    <w:p>
      <w:pPr>
        <w:spacing w:after="60" w:before="60"/>
        <w:ind w:left="360"/>
      </w:pPr>
      <w:r>
        <w:rPr>
          <w:rFonts w:ascii="Arial" w:cs="Arial" w:eastAsia="Arial" w:hAnsi="Arial"/>
          <w:sz w:val="21"/>
          <w:szCs w:val="21"/>
        </w:rPr>
        <w:t xml:space="preserve">Verificação de elegibilidade: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37,33 anos ≥ 35 ✅</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Idade 2026: 62 &lt; 64,5 → NÃO ELEGÍVEL em 2026</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Projeção 2027: 63 &lt; 65 → NÃO (2027: homem = 65 anos, estabilizado)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Projeção 2029: 65 ≥ 65 → ELEGÍVEL em 2029</w:t>
      </w:r>
    </w:p>
    <w:p>
      <w:pPr>
        <w:spacing w:after="60" w:before="60"/>
        <w:ind w:left="360"/>
      </w:pPr>
      <w:r>
        <w:rPr>
          <w:rFonts w:ascii="Arial" w:cs="Arial" w:eastAsia="Arial" w:hAnsi="Arial"/>
          <w:sz w:val="21"/>
          <w:szCs w:val="21"/>
        </w:rPr>
        <w:t xml:space="preserve">Cálculo (projeção 2029):</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Idêntico ao art. 15: R$ 5.900 × 100% = R$ 5.900,00</w:t>
      </w:r>
    </w:p>
    <w:p>
      <w:pPr>
        <w:spacing w:after="140" w:before="280"/>
      </w:pPr>
      <w:r>
        <w:rPr>
          <w:rFonts w:ascii="Arial" w:cs="Arial" w:eastAsia="Arial" w:hAnsi="Arial"/>
          <w:b/>
          <w:bCs/>
          <w:color w:val="2E86C1"/>
          <w:sz w:val="23"/>
          <w:szCs w:val="23"/>
        </w:rPr>
        <w:t xml:space="preserve">11.15.6 Cálculo 5 — Art. 17 (pedágio 50%)</w:t>
      </w:r>
    </w:p>
    <w:p>
      <w:pPr>
        <w:spacing w:after="60" w:before="60"/>
        <w:ind w:left="360"/>
      </w:pPr>
      <w:r>
        <w:rPr>
          <w:rFonts w:ascii="Arial" w:cs="Arial" w:eastAsia="Arial" w:hAnsi="Arial"/>
          <w:sz w:val="21"/>
          <w:szCs w:val="21"/>
        </w:rPr>
        <w:t xml:space="preserve">Verificação de elegibilidade: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em 13/11/2019: 30,83 anos → faltavam 4,17 anos para 35 → &gt; 2 anos → NÃO ELEGÍVEL</w:t>
      </w:r>
    </w:p>
    <w:p>
      <w:pPr>
        <w:spacing w:after="60" w:before="60"/>
        <w:ind w:left="360"/>
      </w:pPr>
      <w:r>
        <w:rPr>
          <w:rFonts w:ascii="Arial" w:cs="Arial" w:eastAsia="Arial" w:hAnsi="Arial"/>
          <w:sz w:val="21"/>
          <w:szCs w:val="21"/>
        </w:rPr>
        <w:t xml:space="preserve">Resultado: Inaplicável. O pedágio 50% exige que faltassem menos de 2 anos em 13/11/2019.</w:t>
      </w:r>
    </w:p>
    <w:p>
      <w:pPr>
        <w:spacing w:after="140" w:before="280"/>
      </w:pPr>
      <w:r>
        <w:rPr>
          <w:rFonts w:ascii="Arial" w:cs="Arial" w:eastAsia="Arial" w:hAnsi="Arial"/>
          <w:b/>
          <w:bCs/>
          <w:color w:val="2E86C1"/>
          <w:sz w:val="23"/>
          <w:szCs w:val="23"/>
        </w:rPr>
        <w:t xml:space="preserve">11.15.7 Cálculo 6 — Art. 20 (pedágio 100%)</w:t>
      </w:r>
    </w:p>
    <w:p>
      <w:pPr>
        <w:spacing w:after="60" w:before="60"/>
        <w:ind w:left="360"/>
      </w:pPr>
      <w:r>
        <w:rPr>
          <w:rFonts w:ascii="Arial" w:cs="Arial" w:eastAsia="Arial" w:hAnsi="Arial"/>
          <w:sz w:val="21"/>
          <w:szCs w:val="21"/>
        </w:rPr>
        <w:t xml:space="preserve">Verificação de elegibilidade: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Idade: 62 ≥ 60 ✅</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37,33 ≥ 35 ✅</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Pedágio: faltavam 4,17 anos em 13/11/2019 → pedágio = 4,17 anos (4 anos e 2 meses)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necessário: 35 + 4,17 = 39,17 anos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atual: 37,33 &lt; 39,17 → NÃO ELEGÍVEL em 2026 (faltam 1,84 anos)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Projeção 2028: 39,33 ≥ 39,17 → ELEGÍVEL em 2028 (com 64 anos e 39,33 TC)</w:t>
      </w:r>
    </w:p>
    <w:p>
      <w:pPr>
        <w:spacing w:after="60" w:before="60"/>
        <w:ind w:left="360"/>
      </w:pPr>
      <w:r>
        <w:rPr>
          <w:rFonts w:ascii="Arial" w:cs="Arial" w:eastAsia="Arial" w:hAnsi="Arial"/>
          <w:sz w:val="21"/>
          <w:szCs w:val="21"/>
        </w:rPr>
        <w:t xml:space="preserve">Cálculo (projeção 2028):</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Média 100% SC: R$ 5.600,00 (sem exclusão no art. 20, que não é de regra geral; na verdade o art. 26, § 6º aplica-se a todas as regras da EC 103)</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Com exclusão: R$ 5.900,00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Coeficiente: 100% (integral, sem escalonamento)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RMI: R$ 5.900 × 100% = R$ 5.900,00</w:t>
      </w:r>
    </w:p>
    <w:p>
      <w:pPr>
        <w:spacing w:after="140" w:before="280"/>
      </w:pPr>
      <w:r>
        <w:rPr>
          <w:rFonts w:ascii="Arial" w:cs="Arial" w:eastAsia="Arial" w:hAnsi="Arial"/>
          <w:b/>
          <w:bCs/>
          <w:color w:val="2E86C1"/>
          <w:sz w:val="23"/>
          <w:szCs w:val="23"/>
        </w:rPr>
        <w:t xml:space="preserve">11.15.8 Quadro comparativo final — Ricardo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Regra</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Elegível?</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Quando?</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RMI estimada</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Observação</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Direito adquirido TC + fator</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TC insuficiente em 2019</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Direito adquirido 85/95</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TC e pontos insuficientes em 2019</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15 (pontos)</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2029</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R$ 5.900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105 pontos em 2029</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16 (idade progressiva)</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2029</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R$ 5.900</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65 anos em 2029</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17 (pedágio 50%)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Faltavam &gt; 2 anos em 2019</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20 (pedágio 100%)</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2028</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R$ 5.900</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Primeira regra disponível</w:t>
            </w:r>
          </w:p>
        </w:tc>
      </w:tr>
    </w:tbl>
    <w:p>
      <w:pPr>
        <w:spacing w:after="160"/>
      </w:pPr>
    </w:p>
    <w:p>
      <w:pPr>
        <w:spacing w:after="60" w:before="60"/>
        <w:ind w:left="360"/>
      </w:pPr>
      <w:r>
        <w:rPr>
          <w:rFonts w:ascii="Arial" w:cs="Arial" w:eastAsia="Arial" w:hAnsi="Arial"/>
          <w:sz w:val="21"/>
          <w:szCs w:val="21"/>
        </w:rPr>
        <w:t xml:space="preserve">Análise: Para Ricardo, o art. 20 (pedágio 100%) é a primeira regra disponível (2028), um ano antes dos arts. 15 e 16 (2029). Como o coeficiente é idêntico (100%) e a base de cálculo é a mesma (média de 100% com exclusão), o pedágio 100% é claramente a melhor opção: permite a aposentadoria 12 meses antes com o mesmo valor.</w:t>
      </w:r>
    </w:p>
    <w:p>
      <w:pPr>
        <w:spacing w:after="100" w:before="100"/>
        <w:jc w:val="both"/>
      </w:pPr>
      <w:r>
        <w:rPr>
          <w:rFonts w:ascii="Arial" w:cs="Arial" w:eastAsia="Arial" w:hAnsi="Arial"/>
          <w:sz w:val="21"/>
          <w:szCs w:val="21"/>
        </w:rPr>
        <w:t xml:space="preserve">O ganho da antecipação: 12 meses × R$ 5.900 = R$ 70.800 que Ricardo recebe a mais ao longo da vida.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Direito ao benefício mais vantajoso — Dever do INSS e do julgador</w:t>
            </w:r>
          </w:p>
          <w:p>
            <w:pPr>
              <w:spacing w:after="40" w:before="40"/>
            </w:pPr>
            <w:r>
              <w:rPr>
                <w:rFonts w:ascii="Arial" w:cs="Arial" w:eastAsia="Arial" w:hAnsi="Arial"/>
                <w:sz w:val="19"/>
                <w:szCs w:val="19"/>
              </w:rPr>
              <w:t xml:space="preserve">O STJ consolidou o entendimento de que o segurado tem direito ao benefício mais vantajoso entre todos aqueles cujos requisitos implementou (Temas 334, 995 e outros). Esse princípio aplica-se integralmente à escolha entre regras de transição.</w:t>
            </w:r>
          </w:p>
          <w:p>
            <w:pPr>
              <w:spacing w:after="40" w:before="40"/>
            </w:pPr>
            <w:r>
              <w:rPr>
                <w:rFonts w:ascii="Arial" w:cs="Arial" w:eastAsia="Arial" w:hAnsi="Arial"/>
                <w:sz w:val="19"/>
                <w:szCs w:val="19"/>
              </w:rPr>
              <w:t xml:space="preserve">O art. 26, § 6º, da EC 103/2019, ao permitir a exclusão de salários de contribuição que reduzam a média, reforça o princípio do benefício mais vantajoso: o cálculo deve considerar todas as possibilidades de exclusão e de regras aplicáveis, sempre em favor do segurado.</w:t>
            </w:r>
          </w:p>
          <w:p>
            <w:pPr>
              <w:spacing w:after="40" w:before="40"/>
            </w:pPr>
            <w:r>
              <w:rPr>
                <w:rFonts w:ascii="Arial" w:cs="Arial" w:eastAsia="Arial" w:hAnsi="Arial"/>
                <w:sz w:val="19"/>
                <w:szCs w:val="19"/>
              </w:rPr>
              <w:t xml:space="preserve">Na prática forense, o advogado deve formular pedido alternativo (art. 326, CPC), requerendo a concessão pela regra mais vantajosa entre todas as aplicáveis. O juiz, por sua vez, deve realizar a comparação de ofício, como expressão do princípio da proteção e do dever de decidir pelo benefício mais favorável (Castro/Lazzari, Manual, 28ª ed., 2026).</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11.16 Aspectos Processuais Específicos nos JEFs</w:t>
      </w:r>
    </w:p>
    <w:p>
      <w:pPr>
        <w:spacing w:after="140" w:before="280"/>
      </w:pPr>
      <w:r>
        <w:rPr>
          <w:rFonts w:ascii="Arial" w:cs="Arial" w:eastAsia="Arial" w:hAnsi="Arial"/>
          <w:b/>
          <w:bCs/>
          <w:color w:val="2E86C1"/>
          <w:sz w:val="23"/>
          <w:szCs w:val="23"/>
        </w:rPr>
        <w:t xml:space="preserve">11.16.1 Competência e valor da causa</w:t>
      </w:r>
    </w:p>
    <w:p>
      <w:pPr>
        <w:spacing w:after="100" w:before="100"/>
        <w:jc w:val="both"/>
      </w:pPr>
      <w:r>
        <w:rPr>
          <w:rFonts w:ascii="Arial" w:cs="Arial" w:eastAsia="Arial" w:hAnsi="Arial"/>
          <w:sz w:val="21"/>
          <w:szCs w:val="21"/>
        </w:rPr>
        <w:t xml:space="preserve">A aposentadoria por tempo de contribuição nos Juizados Especiais Federais (JEFs) apresenta peculiaridades processuais que a distinguem de outros benefícios previdenciários, notadamente quanto ao valor da causa. Os aspectos processuais gerais dos JEFs previdenciários foram examinados no Capítulo 6 deste livro; o Capítulo 10, seção 10.14, detalhou as peculiaridades processuais da aposentadoria por idade. Neste tópico, concentram-se os aspectos processuais específicos da aposentadoria por TC e das regras de transição.</w:t>
      </w:r>
    </w:p>
    <w:p>
      <w:pPr>
        <w:spacing w:after="100" w:before="100"/>
        <w:jc w:val="both"/>
      </w:pPr>
      <w:r>
        <w:rPr>
          <w:rFonts w:ascii="Arial" w:cs="Arial" w:eastAsia="Arial" w:hAnsi="Arial"/>
          <w:sz w:val="21"/>
          <w:szCs w:val="21"/>
        </w:rPr>
        <w:t xml:space="preserve">O teto de competência dos JEFs é de 60 salários mínimos (R$ 97.260,00 em 2026). O valor da causa nas ações de aposentadoria por TC corresponde à soma de 12 parcelas vincendas com as parcelas vencidas desde a DER (ou desde a data em que o segurado implementou os requisitos, em caso de reafirmação). Como o benefício por TC tende a ser de valor mais elevado (segurados com longa carreira contributiva frequentemente possuem salários de contribuição elevados) e as parcelas vencidas podem acumular valores significativos, é comum que o valor da causa supere o teto do JEF.</w:t>
      </w:r>
    </w:p>
    <w:p>
      <w:pPr>
        <w:spacing w:after="60" w:before="60"/>
        <w:ind w:left="360"/>
      </w:pPr>
      <w:r>
        <w:rPr>
          <w:rFonts w:ascii="Arial" w:cs="Arial" w:eastAsia="Arial" w:hAnsi="Arial"/>
          <w:sz w:val="21"/>
          <w:szCs w:val="21"/>
        </w:rPr>
        <w:t xml:space="preserve">Estratégias para manter a competência do JEF:</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Renúncia ao excedente: O segurado pode renunciar ao valor que excede o teto de 60 SM, nos termos do art. 3º, § 3º, da Lei 10.259/2001. Essa renúncia é irretratável e afeta apenas as parcelas já vencidas — o benefício mensal não é afetado.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Ajuizamento precoce: Quanto mais cedo a ação é ajuizada após a DER, menor o valor de parcelas vencidas acumuladas, o que favorece a manutenção da competência do JEF.</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Reafirmação da DER: Se o segurado ainda não implementou todos os requisitos na DER, a reafirmação (Tema 995/STJ, detalhado na seção 10.8) pode reduzir o valor de parcelas vencidas.</w:t>
      </w:r>
    </w:p>
    <w:p>
      <w:pPr>
        <w:spacing w:after="140" w:before="280"/>
      </w:pPr>
      <w:r>
        <w:rPr>
          <w:rFonts w:ascii="Arial" w:cs="Arial" w:eastAsia="Arial" w:hAnsi="Arial"/>
          <w:b/>
          <w:bCs/>
          <w:color w:val="2E86C1"/>
          <w:sz w:val="23"/>
          <w:szCs w:val="23"/>
        </w:rPr>
        <w:t xml:space="preserve">11.16.2 Formulação do pedido</w:t>
      </w:r>
    </w:p>
    <w:p>
      <w:pPr>
        <w:spacing w:after="100" w:before="100"/>
        <w:jc w:val="both"/>
      </w:pPr>
      <w:r>
        <w:rPr>
          <w:rFonts w:ascii="Arial" w:cs="Arial" w:eastAsia="Arial" w:hAnsi="Arial"/>
          <w:sz w:val="21"/>
          <w:szCs w:val="21"/>
        </w:rPr>
        <w:t xml:space="preserve">O pedido na ação de aposentadoria por TC deve ser formulado de modo a abranger todas as regras de transição potencialmente aplicáveis. A formulação ideal é o pedido alternativo (art. 326, CPC), requerendo: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 concessão da aposentadoria pela regra de transição mais vantajosa entre todas as aplicáveis (arts. 15, 16, 17 e 20 da EC 103/2019), incluindo eventual direito adquirido à regra anterior;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 reafirmação da DER, se necessário, para implementação dos requisitos;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O pagamento de diferenças desde a DER (ou desde a data de implementação dos requisitos, conforme o caso).</w:t>
      </w:r>
    </w:p>
    <w:p>
      <w:pPr>
        <w:spacing w:after="100" w:before="100"/>
        <w:jc w:val="both"/>
      </w:pPr>
      <w:r>
        <w:rPr>
          <w:rFonts w:ascii="Arial" w:cs="Arial" w:eastAsia="Arial" w:hAnsi="Arial"/>
          <w:sz w:val="21"/>
          <w:szCs w:val="21"/>
        </w:rPr>
        <w:t xml:space="preserve">O pedido alternativo é admitido nos JEFs por força do art. 2º da Lei 10.259/2001, que autoriza o julgador a "conceder a prestação jurisdicional mais adequada" ao caso, combinado com o princípio da informalidade do procedimento (art. 2º da Lei 9.099/95).</w:t>
      </w:r>
    </w:p>
    <w:p>
      <w:pPr>
        <w:spacing w:after="140" w:before="280"/>
      </w:pPr>
      <w:r>
        <w:rPr>
          <w:rFonts w:ascii="Arial" w:cs="Arial" w:eastAsia="Arial" w:hAnsi="Arial"/>
          <w:b/>
          <w:bCs/>
          <w:color w:val="2E86C1"/>
          <w:sz w:val="23"/>
          <w:szCs w:val="23"/>
        </w:rPr>
        <w:t xml:space="preserve">11.16.3 Instrução probatória</w:t>
      </w:r>
    </w:p>
    <w:p>
      <w:pPr>
        <w:spacing w:after="100" w:before="100"/>
        <w:jc w:val="both"/>
      </w:pPr>
      <w:r>
        <w:rPr>
          <w:rFonts w:ascii="Arial" w:cs="Arial" w:eastAsia="Arial" w:hAnsi="Arial"/>
          <w:sz w:val="21"/>
          <w:szCs w:val="21"/>
        </w:rPr>
        <w:t xml:space="preserve">A prova na ação de aposentadoria por TC no JEF envolve:</w:t>
      </w:r>
    </w:p>
    <w:p>
      <w:pPr>
        <w:spacing w:after="60" w:before="60"/>
        <w:ind w:left="360"/>
      </w:pPr>
      <w:r>
        <w:rPr>
          <w:rFonts w:ascii="Arial" w:cs="Arial" w:eastAsia="Arial" w:hAnsi="Arial"/>
          <w:sz w:val="21"/>
          <w:szCs w:val="21"/>
        </w:rPr>
        <w:t xml:space="preserve">a) CNIS (Cadastro Nacional de Informações Sociais):</w:t>
      </w:r>
    </w:p>
    <w:p>
      <w:pPr>
        <w:spacing w:after="100" w:before="100"/>
        <w:jc w:val="both"/>
      </w:pPr>
      <w:r>
        <w:rPr>
          <w:rFonts w:ascii="Arial" w:cs="Arial" w:eastAsia="Arial" w:hAnsi="Arial"/>
          <w:sz w:val="21"/>
          <w:szCs w:val="21"/>
        </w:rPr>
        <w:t xml:space="preserve">Base principal da prova de TC. O CNIS tem presunção de veracidade (art. 19, Decreto 3.048/99), cabendo ao segurado impugnar registros incorretos ou complementar períodos não registrados.</w:t>
      </w:r>
    </w:p>
    <w:p>
      <w:pPr>
        <w:spacing w:after="60" w:before="60"/>
        <w:ind w:left="360"/>
      </w:pPr>
      <w:r>
        <w:rPr>
          <w:rFonts w:ascii="Arial" w:cs="Arial" w:eastAsia="Arial" w:hAnsi="Arial"/>
          <w:sz w:val="21"/>
          <w:szCs w:val="21"/>
        </w:rPr>
        <w:t xml:space="preserve">b) CTPS (Carteira de Trabalho e Previdência Social):</w:t>
      </w:r>
    </w:p>
    <w:p>
      <w:pPr>
        <w:spacing w:after="100" w:before="100"/>
        <w:jc w:val="both"/>
      </w:pPr>
      <w:r>
        <w:rPr>
          <w:rFonts w:ascii="Arial" w:cs="Arial" w:eastAsia="Arial" w:hAnsi="Arial"/>
          <w:sz w:val="21"/>
          <w:szCs w:val="21"/>
        </w:rPr>
        <w:t xml:space="preserve">Complementa o CNIS. Anotações em CTPS gozam de presunção juris tantum de veracidade (Súmula 12/TST, aplicável por analogia no JEF).</w:t>
      </w:r>
    </w:p>
    <w:p>
      <w:pPr>
        <w:spacing w:after="60" w:before="60"/>
        <w:ind w:left="360"/>
      </w:pPr>
      <w:r>
        <w:rPr>
          <w:rFonts w:ascii="Arial" w:cs="Arial" w:eastAsia="Arial" w:hAnsi="Arial"/>
          <w:sz w:val="21"/>
          <w:szCs w:val="21"/>
        </w:rPr>
        <w:t xml:space="preserve">c) PPP (Perfil Profissiográfico Previdenciário):</w:t>
      </w:r>
    </w:p>
    <w:p>
      <w:pPr>
        <w:spacing w:after="100" w:before="100"/>
        <w:jc w:val="both"/>
      </w:pPr>
      <w:r>
        <w:rPr>
          <w:rFonts w:ascii="Arial" w:cs="Arial" w:eastAsia="Arial" w:hAnsi="Arial"/>
          <w:sz w:val="21"/>
          <w:szCs w:val="21"/>
        </w:rPr>
        <w:t xml:space="preserve">Essencial quando há pretensão de conversão de tempo especial. O PPP deve ser contemporâneo ao período especial e conter informações sobre agentes nocivos, intensidade, técnica de medição e EPI utilizados.</w:t>
      </w:r>
    </w:p>
    <w:p>
      <w:pPr>
        <w:spacing w:after="60" w:before="60"/>
        <w:ind w:left="360"/>
      </w:pPr>
      <w:r>
        <w:rPr>
          <w:rFonts w:ascii="Arial" w:cs="Arial" w:eastAsia="Arial" w:hAnsi="Arial"/>
          <w:sz w:val="21"/>
          <w:szCs w:val="21"/>
        </w:rPr>
        <w:t xml:space="preserve">d) CTC (Certidão de Tempo de Contribuição):</w:t>
      </w:r>
    </w:p>
    <w:p>
      <w:pPr>
        <w:spacing w:after="100" w:before="100"/>
        <w:jc w:val="both"/>
      </w:pPr>
      <w:r>
        <w:rPr>
          <w:rFonts w:ascii="Arial" w:cs="Arial" w:eastAsia="Arial" w:hAnsi="Arial"/>
          <w:sz w:val="21"/>
          <w:szCs w:val="21"/>
        </w:rPr>
        <w:t xml:space="preserve">Necessária para averbação de tempo de serviço público (RPPS) no RGPS. A CTC deve ser expedida pelo órgão de origem na forma do Decreto 3.048/99.</w:t>
      </w:r>
    </w:p>
    <w:p>
      <w:pPr>
        <w:spacing w:after="60" w:before="60"/>
        <w:ind w:left="360"/>
      </w:pPr>
      <w:r>
        <w:rPr>
          <w:rFonts w:ascii="Arial" w:cs="Arial" w:eastAsia="Arial" w:hAnsi="Arial"/>
          <w:sz w:val="21"/>
          <w:szCs w:val="21"/>
        </w:rPr>
        <w:t xml:space="preserve">e) Documentos rurais:</w:t>
      </w:r>
    </w:p>
    <w:p>
      <w:pPr>
        <w:spacing w:after="100" w:before="100"/>
        <w:jc w:val="both"/>
      </w:pPr>
      <w:r>
        <w:rPr>
          <w:rFonts w:ascii="Arial" w:cs="Arial" w:eastAsia="Arial" w:hAnsi="Arial"/>
          <w:sz w:val="21"/>
          <w:szCs w:val="21"/>
        </w:rPr>
        <w:t xml:space="preserve">Para comprovação de trabalho rural anterior a novembro/1991: certidões de registro civil com qualificação de lavrador, notas fiscais de produtor rural, contratos de parceria/arrendamento, fichas de matrícula escolar, declarações sindicais, entre outros, corroborados por prova testemunhal.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Checklist documental para aposentadoria por TC nos JEFs</w:t>
            </w:r>
          </w:p>
          <w:p>
            <w:pPr>
              <w:spacing w:after="30" w:before="30"/>
              <w:ind w:left="200"/>
            </w:pPr>
            <w:r>
              <w:rPr>
                <w:rFonts w:ascii="Arial" w:cs="Arial" w:eastAsia="Arial" w:hAnsi="Arial"/>
                <w:sz w:val="19"/>
                <w:szCs w:val="19"/>
              </w:rPr>
              <w:t xml:space="preserve">[ ] CNIS atualizado (extrair via Meu INSS ou solicitar na agência)</w:t>
            </w:r>
          </w:p>
          <w:p>
            <w:pPr>
              <w:spacing w:after="30" w:before="30"/>
              <w:ind w:left="200"/>
            </w:pPr>
            <w:r>
              <w:rPr>
                <w:rFonts w:ascii="Arial" w:cs="Arial" w:eastAsia="Arial" w:hAnsi="Arial"/>
                <w:sz w:val="19"/>
                <w:szCs w:val="19"/>
              </w:rPr>
              <w:t xml:space="preserve">[ ] CTPS — todas as páginas (inclusive contratos antigos e anotações gerais)</w:t>
            </w:r>
          </w:p>
          <w:p>
            <w:pPr>
              <w:spacing w:after="30" w:before="30"/>
              <w:ind w:left="200"/>
            </w:pPr>
            <w:r>
              <w:rPr>
                <w:rFonts w:ascii="Arial" w:cs="Arial" w:eastAsia="Arial" w:hAnsi="Arial"/>
                <w:sz w:val="19"/>
                <w:szCs w:val="19"/>
              </w:rPr>
              <w:t xml:space="preserve">[ ] PPP — de cada empregador em que houve exposição a agentes nocivos</w:t>
            </w:r>
          </w:p>
          <w:p>
            <w:pPr>
              <w:spacing w:after="30" w:before="30"/>
              <w:ind w:left="200"/>
            </w:pPr>
            <w:r>
              <w:rPr>
                <w:rFonts w:ascii="Arial" w:cs="Arial" w:eastAsia="Arial" w:hAnsi="Arial"/>
                <w:sz w:val="19"/>
                <w:szCs w:val="19"/>
              </w:rPr>
              <w:t xml:space="preserve">[ ] CTC — se houver tempo de serviço público a averbar</w:t>
            </w:r>
          </w:p>
          <w:p>
            <w:pPr>
              <w:spacing w:after="30" w:before="30"/>
              <w:ind w:left="200"/>
            </w:pPr>
            <w:r>
              <w:rPr>
                <w:rFonts w:ascii="Arial" w:cs="Arial" w:eastAsia="Arial" w:hAnsi="Arial"/>
                <w:sz w:val="19"/>
                <w:szCs w:val="19"/>
              </w:rPr>
              <w:t xml:space="preserve">[ ] Certificado de Reservista — para cômputo de serviço militar</w:t>
            </w:r>
          </w:p>
          <w:p>
            <w:pPr>
              <w:spacing w:after="30" w:before="30"/>
              <w:ind w:left="200"/>
            </w:pPr>
            <w:r>
              <w:rPr>
                <w:rFonts w:ascii="Arial" w:cs="Arial" w:eastAsia="Arial" w:hAnsi="Arial"/>
                <w:sz w:val="19"/>
                <w:szCs w:val="19"/>
              </w:rPr>
              <w:t xml:space="preserve">[ ] Documentos rurais — se houver período rural anterior a 11/1991</w:t>
            </w:r>
          </w:p>
          <w:p>
            <w:pPr>
              <w:spacing w:after="30" w:before="30"/>
              <w:ind w:left="200"/>
            </w:pPr>
            <w:r>
              <w:rPr>
                <w:rFonts w:ascii="Arial" w:cs="Arial" w:eastAsia="Arial" w:hAnsi="Arial"/>
                <w:sz w:val="19"/>
                <w:szCs w:val="19"/>
              </w:rPr>
              <w:t xml:space="preserve">[ ] Comprovante de recolhimentos como contribuinte individual ou facultativo (guias GPS, carnês)</w:t>
            </w:r>
          </w:p>
          <w:p>
            <w:pPr>
              <w:spacing w:after="30" w:before="30"/>
              <w:ind w:left="200"/>
            </w:pPr>
            <w:r>
              <w:rPr>
                <w:rFonts w:ascii="Arial" w:cs="Arial" w:eastAsia="Arial" w:hAnsi="Arial"/>
                <w:sz w:val="19"/>
                <w:szCs w:val="19"/>
              </w:rPr>
              <w:t xml:space="preserve">[ ] Declaração de tempo de contribuição de cada regime (se contagem recíproca)</w:t>
            </w:r>
          </w:p>
          <w:p>
            <w:pPr>
              <w:spacing w:after="30" w:before="30"/>
              <w:ind w:left="200"/>
            </w:pPr>
            <w:r>
              <w:rPr>
                <w:rFonts w:ascii="Arial" w:cs="Arial" w:eastAsia="Arial" w:hAnsi="Arial"/>
                <w:sz w:val="19"/>
                <w:szCs w:val="19"/>
              </w:rPr>
              <w:t xml:space="preserve">[ ] Carta de indeferimento do INSS (decisão administrativa completa)</w:t>
            </w:r>
          </w:p>
          <w:p>
            <w:pPr>
              <w:spacing w:after="30" w:before="30"/>
              <w:ind w:left="200"/>
            </w:pPr>
            <w:r>
              <w:rPr>
                <w:rFonts w:ascii="Arial" w:cs="Arial" w:eastAsia="Arial" w:hAnsi="Arial"/>
                <w:sz w:val="19"/>
                <w:szCs w:val="19"/>
              </w:rPr>
              <w:t xml:space="preserve">[ ] Simulações de cálculo por cada regra de transição aplicável</w:t>
            </w:r>
          </w:p>
          <w:p>
            <w:pPr>
              <w:spacing w:after="30" w:before="30"/>
              <w:ind w:left="200"/>
            </w:pPr>
            <w:r>
              <w:rPr>
                <w:rFonts w:ascii="Arial" w:cs="Arial" w:eastAsia="Arial" w:hAnsi="Arial"/>
                <w:sz w:val="19"/>
                <w:szCs w:val="19"/>
              </w:rPr>
              <w:t xml:space="preserve">[ ] Planilha de cálculo do benefício mais vantajoso (anexar à petição inicial)</w:t>
            </w:r>
          </w:p>
        </w:tc>
      </w:tr>
    </w:tbl>
    <w:p>
      <w:pPr>
        <w:spacing w:after="200"/>
      </w:pPr>
    </w:p>
    <w:p>
      <w:pPr>
        <w:spacing w:after="140" w:before="280"/>
      </w:pPr>
      <w:r>
        <w:rPr>
          <w:rFonts w:ascii="Arial" w:cs="Arial" w:eastAsia="Arial" w:hAnsi="Arial"/>
          <w:b/>
          <w:bCs/>
          <w:color w:val="2E86C1"/>
          <w:sz w:val="23"/>
          <w:szCs w:val="23"/>
        </w:rPr>
        <w:t xml:space="preserve">11.16.4 Tutela provisória</w:t>
      </w:r>
    </w:p>
    <w:p>
      <w:pPr>
        <w:spacing w:after="100" w:before="100"/>
        <w:jc w:val="both"/>
      </w:pPr>
      <w:r>
        <w:rPr>
          <w:rFonts w:ascii="Arial" w:cs="Arial" w:eastAsia="Arial" w:hAnsi="Arial"/>
          <w:sz w:val="21"/>
          <w:szCs w:val="21"/>
        </w:rPr>
        <w:t xml:space="preserve">A tutela provisória de urgência (art. 300, CPC) é cabível nas ações de aposentadoria por TC quando presentes a probabilidade do direito e o perigo de dano. O perigo de dano é presumido quando o segurado depende do benefício para sua subsistência, o que é especialmente relevante para segurados que já se desligaram do emprego em razão da expectativa de aposentadoria.</w:t>
      </w:r>
    </w:p>
    <w:p>
      <w:pPr>
        <w:spacing w:after="100" w:before="100"/>
        <w:jc w:val="both"/>
      </w:pPr>
      <w:r>
        <w:rPr>
          <w:rFonts w:ascii="Arial" w:cs="Arial" w:eastAsia="Arial" w:hAnsi="Arial"/>
          <w:sz w:val="21"/>
          <w:szCs w:val="21"/>
        </w:rPr>
        <w:t xml:space="preserve">A tutela de evidência (art. 311, CPC) pode ser requerida quando houver prova documental suficiente e a defesa do INSS for inconsistente (inciso II) ou quando os fatos puderem ser comprovados apenas documentalmente e houver tese firmada em julgamento de recursos repetitivos (inciso IV).</w:t>
      </w:r>
    </w:p>
    <w:p>
      <w:pPr>
        <w:spacing w:after="100" w:before="100"/>
        <w:jc w:val="both"/>
      </w:pPr>
      <w:r>
        <w:rPr>
          <w:rFonts w:ascii="Arial" w:cs="Arial" w:eastAsia="Arial" w:hAnsi="Arial"/>
          <w:sz w:val="21"/>
          <w:szCs w:val="21"/>
        </w:rPr>
        <w:t xml:space="preserve">Nos JEFs, a tutela antecipada tem especial relevância porque o procedimento sumaríssimo, embora mais célere, ainda pode durar meses até a sentença. A implantação antecipada do benefício garante a subsistência do segurado enquanto se aguarda o trânsito em julgado.</w:t>
      </w:r>
    </w:p>
    <w:p>
      <w:pPr>
        <w:spacing w:after="140" w:before="280"/>
      </w:pPr>
      <w:r>
        <w:rPr>
          <w:rFonts w:ascii="Arial" w:cs="Arial" w:eastAsia="Arial" w:hAnsi="Arial"/>
          <w:b/>
          <w:bCs/>
          <w:color w:val="2E86C1"/>
          <w:sz w:val="23"/>
          <w:szCs w:val="23"/>
        </w:rPr>
        <w:t xml:space="preserve">11.16.5 Honorários sucumbenciais</w:t>
      </w:r>
    </w:p>
    <w:p>
      <w:pPr>
        <w:spacing w:after="100" w:before="100"/>
        <w:jc w:val="both"/>
      </w:pPr>
      <w:r>
        <w:rPr>
          <w:rFonts w:ascii="Arial" w:cs="Arial" w:eastAsia="Arial" w:hAnsi="Arial"/>
          <w:sz w:val="21"/>
          <w:szCs w:val="21"/>
        </w:rPr>
        <w:t xml:space="preserve">Nos JEFs, não há condenação em honorários advocatícios na primeira instância, salvo em caso de recurso (art. 55 da Lei 9.099/95, aplicável por força do art. 1º da Lei 10.259/2001). Se o INSS interpõe recurso inominado e a sentença é mantida, incidirão honorários de 10% sobre o valor da condenação. Se o segurado recorre e perde, fica dispensado de custas e honorários, salvo comprovada má-fé (art. 55, parágrafo único).</w:t>
      </w:r>
    </w:p>
    <w:p>
      <w:pPr>
        <w:spacing w:after="100" w:before="100"/>
        <w:jc w:val="both"/>
      </w:pPr>
      <w:r>
        <w:rPr>
          <w:rFonts w:ascii="Arial" w:cs="Arial" w:eastAsia="Arial" w:hAnsi="Arial"/>
          <w:sz w:val="21"/>
          <w:szCs w:val="21"/>
        </w:rPr>
        <w:t xml:space="preserve">Na prática, a ausência de honorários em primeira instância é vantagem significativa para o segurado: em caso de improcedência, não haverá condenação em verba honorária, reduzindo o risco financeiro do ajuizamento.</w:t>
      </w:r>
    </w:p>
    <w:p>
      <w:pPr>
        <w:spacing w:after="140" w:before="280"/>
      </w:pPr>
      <w:r>
        <w:rPr>
          <w:rFonts w:ascii="Arial" w:cs="Arial" w:eastAsia="Arial" w:hAnsi="Arial"/>
          <w:b/>
          <w:bCs/>
          <w:color w:val="2E86C1"/>
          <w:sz w:val="23"/>
          <w:szCs w:val="23"/>
        </w:rPr>
        <w:t xml:space="preserve">11.16.6 Recursos e execução</w:t>
      </w:r>
    </w:p>
    <w:p>
      <w:pPr>
        <w:spacing w:after="100" w:before="100"/>
        <w:jc w:val="both"/>
      </w:pPr>
      <w:r>
        <w:rPr>
          <w:rFonts w:ascii="Arial" w:cs="Arial" w:eastAsia="Arial" w:hAnsi="Arial"/>
          <w:sz w:val="21"/>
          <w:szCs w:val="21"/>
        </w:rPr>
        <w:t xml:space="preserve">Nas ações de aposentadoria por TC nos JEFs: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Sentença: O juiz deve especificar a regra de transição aplicada, o cálculo do benefício e a DIB (data de início do benefício). A correção monetária segue o IPCA-E até 08/12/2021 e a taxa SELIC a partir de 09/12/2021 (EC 113/2021). A sentença deve indicar expressamente qual das regras de transição foi aplicada e por que é a mais vantajosa, sob pena de nulidade por falta de fundamentação (art. 93, IX, CF).</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Recurso inominado: Prazo de 10 dias para a Turma Recursal. Efeito apenas devolutivo (a tutela antecipada permanece eficaz). O segurado pode requerer a concessão de efeito suspensivo ao recurso do INSS (art. 43 da Lei 9.099/95), embora raramente seja deferido em matéria previdenciária.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Pedido de uniformização regional: Cabível para a Turma Regional de Uniformização quando houver divergência entre Turmas Recursais da mesma Região.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Pedido de uniformização nacional: Cabível para a TNU (Turma Nacional de Uniformização) quando houver divergência entre Turmas Recursais de diferentes regiões ou entre Turma Recursal e jurisprudência do STJ (art. 14, § 4º, Lei 10.259/2001).</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Recurso extraordinário: Cabível para o STF quando houver questão constitucional, após esgotamento das instâncias recursais dos JEFs.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Execução: Créditos até 60 SM são pagos por RPV (Requisição de Pequeno Valor), sem precatório. O prazo para pagamento é de 60 dias úteis após a requisição (art. 17, Lei 10.259/2001). Créditos que excedam o teto são pagos por precatório, com prazo significativamente mais longo.</w:t>
      </w:r>
    </w:p>
    <w:p>
      <w:pPr>
        <w:spacing w:after="140" w:before="280"/>
      </w:pPr>
      <w:r>
        <w:rPr>
          <w:rFonts w:ascii="Arial" w:cs="Arial" w:eastAsia="Arial" w:hAnsi="Arial"/>
          <w:b/>
          <w:bCs/>
          <w:color w:val="2E86C1"/>
          <w:sz w:val="23"/>
          <w:szCs w:val="23"/>
        </w:rPr>
        <w:t xml:space="preserve">11.16.7 Particularidades da audiência no JEF previdenciário</w:t>
      </w:r>
    </w:p>
    <w:p>
      <w:pPr>
        <w:spacing w:after="100" w:before="100"/>
        <w:jc w:val="both"/>
      </w:pPr>
      <w:r>
        <w:rPr>
          <w:rFonts w:ascii="Arial" w:cs="Arial" w:eastAsia="Arial" w:hAnsi="Arial"/>
          <w:sz w:val="21"/>
          <w:szCs w:val="21"/>
        </w:rPr>
        <w:t xml:space="preserve">A audiência de conciliação e instrução no JEF previdenciário por TC segue o rito sumaríssimo: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Conciliação: O INSS frequentemente apresenta propostas de acordo em ações de aposentadoria por TC. O advogado deve verificar se a proposta corresponde efetivamente à regra mais vantajosa ou se o INSS oferece apenas uma das regras (geralmente a de menor valor). É prática comum o INSS propor acordo pela regra do art. 15/16 quando o pedágio 100% seria mais vantajoso — cabe ao advogado recusar propostas desvantajosas.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Instrução: A oitiva de testemunhas é relevante especialmente para comprovação de tempo rural, atividade especial sem PPP adequado e tempo de aluno-aprendiz. As audiências podem ser realizadas por videoconferência (art. 1º, § 2º, Lei 10.259/2001).</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11.17 Questões Especiais e Casos de Fronteira</w:t>
      </w:r>
    </w:p>
    <w:p>
      <w:pPr>
        <w:spacing w:after="140" w:before="280"/>
      </w:pPr>
      <w:r>
        <w:rPr>
          <w:rFonts w:ascii="Arial" w:cs="Arial" w:eastAsia="Arial" w:hAnsi="Arial"/>
          <w:b/>
          <w:bCs/>
          <w:color w:val="2E86C1"/>
          <w:sz w:val="23"/>
          <w:szCs w:val="23"/>
        </w:rPr>
        <w:t xml:space="preserve">11.17.1 O professor nas regras de transição</w:t>
      </w:r>
    </w:p>
    <w:p>
      <w:pPr>
        <w:spacing w:after="100" w:before="100"/>
        <w:jc w:val="both"/>
      </w:pPr>
      <w:r>
        <w:rPr>
          <w:rFonts w:ascii="Arial" w:cs="Arial" w:eastAsia="Arial" w:hAnsi="Arial"/>
          <w:sz w:val="21"/>
          <w:szCs w:val="21"/>
        </w:rPr>
        <w:t xml:space="preserve">O professor que comprove exclusivamente tempo de efetivo exercício em funções de magistério na educação infantil, no ensino fundamental e no ensino médio tem regras diferenciadas nas transições da EC 103/2019:</w:t>
      </w:r>
    </w:p>
    <w:p>
      <w:pPr>
        <w:spacing w:after="60" w:before="60"/>
        <w:ind w:left="360"/>
      </w:pPr>
      <w:r>
        <w:rPr>
          <w:rFonts w:ascii="Arial" w:cs="Arial" w:eastAsia="Arial" w:hAnsi="Arial"/>
          <w:sz w:val="21"/>
          <w:szCs w:val="21"/>
        </w:rPr>
        <w:t xml:space="preserve">a) Art. 15 (pontos) — § único: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mínimo: 25 anos (mulher) / 30 anos (homem) (redução de 5 anos)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Pontuação: dedução de 5 pontos na tabela progressiva</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Ano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Professora (M)</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Professor (H)</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2019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91</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82</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92</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93</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2022</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94</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95</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86</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96</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87</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97</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2026</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88</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98</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2027</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99</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2028</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 (estabiliza)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2030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92</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2031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2032</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2033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95 (estabiliza)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r>
    </w:tbl>
    <w:p>
      <w:pPr>
        <w:spacing w:after="160"/>
      </w:pPr>
    </w:p>
    <w:p>
      <w:pPr>
        <w:spacing w:after="60" w:before="60"/>
        <w:ind w:left="360"/>
      </w:pPr>
      <w:r>
        <w:rPr>
          <w:rFonts w:ascii="Arial" w:cs="Arial" w:eastAsia="Arial" w:hAnsi="Arial"/>
          <w:sz w:val="21"/>
          <w:szCs w:val="21"/>
        </w:rPr>
        <w:t xml:space="preserve">b) Art. 16 (idade progressiva) — § 2º:</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mínimo: 25 anos (mulher) / 30 anos (homem)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Idade mínima: redução de 5 anos na progressão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Ano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Professora (M)</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Professor (H)</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2019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56</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51,5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56,5</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52</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57</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2022</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52,5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57,5</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58</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53,5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58,5</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54</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59</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2026</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54,5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59,5</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2027</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 (estabiliza)</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2028</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55,5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56</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2030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56,5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2031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57 (estabiliza)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r>
    </w:tbl>
    <w:p>
      <w:pPr>
        <w:spacing w:after="160"/>
      </w:pPr>
    </w:p>
    <w:p>
      <w:pPr>
        <w:spacing w:after="60" w:before="60"/>
        <w:ind w:left="360"/>
      </w:pPr>
      <w:r>
        <w:rPr>
          <w:rFonts w:ascii="Arial" w:cs="Arial" w:eastAsia="Arial" w:hAnsi="Arial"/>
          <w:sz w:val="21"/>
          <w:szCs w:val="21"/>
        </w:rPr>
        <w:t xml:space="preserve">c) Art. 20 (pedágio 100%) — § 2º:</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Idade mínima: 52 anos (mulher) / 55 anos (homem)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mínimo: 25 anos (mulher) / 30 anos (homem) + pedágio de 100%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Coeficiente: 100%</w:t>
      </w:r>
    </w:p>
    <w:p>
      <w:pPr>
        <w:spacing w:after="60" w:before="60"/>
        <w:ind w:left="360"/>
      </w:pPr>
      <w:r>
        <w:rPr>
          <w:rFonts w:ascii="Arial" w:cs="Arial" w:eastAsia="Arial" w:hAnsi="Arial"/>
          <w:sz w:val="21"/>
          <w:szCs w:val="21"/>
        </w:rPr>
        <w:t xml:space="preserve">d) Art. 17 (pedágio 50%):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Aplica-se com os requisitos reduzidos de TC (25M/30H)</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Fator previdenciário obrigatório (com bônus de +5 Id e +5 Tc na fórmula)</w:t>
      </w:r>
    </w:p>
    <w:p>
      <w:pPr>
        <w:spacing w:after="140" w:before="280"/>
      </w:pPr>
      <w:r>
        <w:rPr>
          <w:rFonts w:ascii="Arial" w:cs="Arial" w:eastAsia="Arial" w:hAnsi="Arial"/>
          <w:b/>
          <w:bCs/>
          <w:color w:val="2E86C1"/>
          <w:sz w:val="23"/>
          <w:szCs w:val="23"/>
        </w:rPr>
        <w:t xml:space="preserve">11.17.2 Conceito de função de magistério</w:t>
      </w:r>
    </w:p>
    <w:p>
      <w:pPr>
        <w:spacing w:after="100" w:before="100"/>
        <w:jc w:val="both"/>
      </w:pPr>
      <w:r>
        <w:rPr>
          <w:rFonts w:ascii="Arial" w:cs="Arial" w:eastAsia="Arial" w:hAnsi="Arial"/>
          <w:sz w:val="21"/>
          <w:szCs w:val="21"/>
        </w:rPr>
        <w:t xml:space="preserve">A Lei 9.394/96 (LDB), art. 67, § 2º, com a redação dada pela Lei 11.301/2006, define as funções de magistério como as exercidas por professor e especialista em educação no desempenho de atividades educativas, quando exercidas em estabelecimento de educação básica em seus diversos níveis e modalidades, incluídas, além do exercício da docência, as de direção de unidade escolar e as de coordenação e assessoramento pedagógico.</w:t>
      </w:r>
    </w:p>
    <w:p>
      <w:pPr>
        <w:spacing w:after="100" w:before="100"/>
        <w:jc w:val="both"/>
      </w:pPr>
      <w:r>
        <w:rPr>
          <w:rFonts w:ascii="Arial" w:cs="Arial" w:eastAsia="Arial" w:hAnsi="Arial"/>
          <w:sz w:val="21"/>
          <w:szCs w:val="21"/>
        </w:rPr>
        <w:t xml:space="preserve">Portanto, além da docência propriamente dita (ministrar aulas), computam-se como tempo de magistério: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Direção de escola: O professor que assume a direção de escola de educação básica mantém o enquadramento em função de magistério.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Coordenação pedagógica: O coordenador pedagógico que orienta e supervisiona atividades educativas.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Assessoramento pedagógico: Funções de apoio técnico-pedagógico em estabelecimento de educação básica.</w:t>
      </w:r>
    </w:p>
    <w:p>
      <w:pPr>
        <w:spacing w:after="60" w:before="60"/>
        <w:ind w:left="360"/>
      </w:pPr>
      <w:r>
        <w:rPr>
          <w:rFonts w:ascii="Arial" w:cs="Arial" w:eastAsia="Arial" w:hAnsi="Arial"/>
          <w:sz w:val="21"/>
          <w:szCs w:val="21"/>
        </w:rPr>
        <w:t xml:space="preserve">Excluem-se: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Ensino superior: professor universitário não se beneficia das regras especiais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Atividades administrativas fora de estabelecimento de ensino: professor que assume cargo administrativo em secretaria de educação, por exemplo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Ensino em cursos livres ou empresariais: não se qualifica como educação básica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Simulação — Professor nas regras de transição</w:t>
            </w:r>
          </w:p>
          <w:p>
            <w:pPr>
              <w:spacing w:after="40" w:before="40"/>
            </w:pPr>
            <w:r>
              <w:rPr>
                <w:rFonts w:ascii="Arial" w:cs="Arial" w:eastAsia="Arial" w:hAnsi="Arial"/>
                <w:sz w:val="19"/>
                <w:szCs w:val="19"/>
              </w:rPr>
              <w:t xml:space="preserve">Antônio, professor de ensino fundamental, homem, 57 anos em 2026, 32 anos exclusivamente em magistério (educação básica).</w:t>
            </w:r>
          </w:p>
          <w:p>
            <w:pPr>
              <w:spacing w:after="40" w:before="40"/>
            </w:pPr>
            <w:r>
              <w:rPr>
                <w:rFonts w:ascii="Arial" w:cs="Arial" w:eastAsia="Arial" w:hAnsi="Arial"/>
                <w:sz w:val="19"/>
                <w:szCs w:val="19"/>
              </w:rPr>
              <w:t xml:space="preserve">Art. 15 (pontos) — professor:</w:t>
            </w:r>
          </w:p>
          <w:p>
            <w:pPr>
              <w:spacing w:after="40" w:before="40"/>
            </w:pPr>
            <w:r>
              <w:rPr>
                <w:rFonts w:ascii="Arial" w:cs="Arial" w:eastAsia="Arial" w:hAnsi="Arial"/>
                <w:sz w:val="19"/>
                <w:szCs w:val="19"/>
              </w:rPr>
              <w:t xml:space="preserve">- TC: 32 ≥ 30 ✅</w:t>
            </w:r>
          </w:p>
          <w:p>
            <w:pPr>
              <w:spacing w:after="40" w:before="40"/>
            </w:pPr>
            <w:r>
              <w:rPr>
                <w:rFonts w:ascii="Arial" w:cs="Arial" w:eastAsia="Arial" w:hAnsi="Arial"/>
                <w:sz w:val="19"/>
                <w:szCs w:val="19"/>
              </w:rPr>
              <w:t xml:space="preserve">- Pontos: 57 + 32 = 89 &lt; 98 (2026 professor) → NÃO</w:t>
            </w:r>
          </w:p>
          <w:p>
            <w:pPr>
              <w:spacing w:after="40" w:before="40"/>
            </w:pPr>
            <w:r>
              <w:rPr>
                <w:rFonts w:ascii="Arial" w:cs="Arial" w:eastAsia="Arial" w:hAnsi="Arial"/>
                <w:sz w:val="19"/>
                <w:szCs w:val="19"/>
              </w:rPr>
              <w:t xml:space="preserve">Art. 16 (idade progressiva) — professor:</w:t>
            </w:r>
          </w:p>
          <w:p>
            <w:pPr>
              <w:spacing w:after="40" w:before="40"/>
            </w:pPr>
            <w:r>
              <w:rPr>
                <w:rFonts w:ascii="Arial" w:cs="Arial" w:eastAsia="Arial" w:hAnsi="Arial"/>
                <w:sz w:val="19"/>
                <w:szCs w:val="19"/>
              </w:rPr>
              <w:t xml:space="preserve">- TC: 32 ≥ 30 ✅</w:t>
            </w:r>
          </w:p>
          <w:p>
            <w:pPr>
              <w:spacing w:after="40" w:before="40"/>
            </w:pPr>
            <w:r>
              <w:rPr>
                <w:rFonts w:ascii="Arial" w:cs="Arial" w:eastAsia="Arial" w:hAnsi="Arial"/>
                <w:sz w:val="19"/>
                <w:szCs w:val="19"/>
              </w:rPr>
              <w:t xml:space="preserve">- Idade: 57 &lt; 59,5 (2026 professor) → NÃO</w:t>
            </w:r>
          </w:p>
          <w:p>
            <w:pPr>
              <w:spacing w:after="40" w:before="40"/>
            </w:pPr>
            <w:r>
              <w:rPr>
                <w:rFonts w:ascii="Arial" w:cs="Arial" w:eastAsia="Arial" w:hAnsi="Arial"/>
                <w:sz w:val="19"/>
                <w:szCs w:val="19"/>
              </w:rPr>
              <w:t xml:space="preserve">Art. 20 (pedágio 100%) — professor:</w:t>
            </w:r>
          </w:p>
          <w:p>
            <w:pPr>
              <w:spacing w:after="40" w:before="40"/>
            </w:pPr>
            <w:r>
              <w:rPr>
                <w:rFonts w:ascii="Arial" w:cs="Arial" w:eastAsia="Arial" w:hAnsi="Arial"/>
                <w:sz w:val="19"/>
                <w:szCs w:val="19"/>
              </w:rPr>
              <w:t xml:space="preserve">- Idade: 57 ≥ 55 ✅</w:t>
            </w:r>
          </w:p>
          <w:p>
            <w:pPr>
              <w:spacing w:after="40" w:before="40"/>
            </w:pPr>
            <w:r>
              <w:rPr>
                <w:rFonts w:ascii="Arial" w:cs="Arial" w:eastAsia="Arial" w:hAnsi="Arial"/>
                <w:sz w:val="19"/>
                <w:szCs w:val="19"/>
              </w:rPr>
              <w:t xml:space="preserve">- TC: 32 ≥ 30 ✅</w:t>
            </w:r>
          </w:p>
          <w:p>
            <w:pPr>
              <w:spacing w:after="40" w:before="40"/>
            </w:pPr>
            <w:r>
              <w:rPr>
                <w:rFonts w:ascii="Arial" w:cs="Arial" w:eastAsia="Arial" w:hAnsi="Arial"/>
                <w:sz w:val="19"/>
                <w:szCs w:val="19"/>
              </w:rPr>
              <w:t xml:space="preserve">- Pedágio: em 13/11/2019 tinha 25 anos TC, faltavam 5 anos → pedágio = 5 anos</w:t>
            </w:r>
          </w:p>
          <w:p>
            <w:pPr>
              <w:spacing w:after="40" w:before="40"/>
            </w:pPr>
            <w:r>
              <w:rPr>
                <w:rFonts w:ascii="Arial" w:cs="Arial" w:eastAsia="Arial" w:hAnsi="Arial"/>
                <w:sz w:val="19"/>
                <w:szCs w:val="19"/>
              </w:rPr>
              <w:t xml:space="preserve">- TC necessário: 30 + 5 = 35 anos</w:t>
            </w:r>
          </w:p>
          <w:p>
            <w:pPr>
              <w:spacing w:after="40" w:before="40"/>
            </w:pPr>
            <w:r>
              <w:rPr>
                <w:rFonts w:ascii="Arial" w:cs="Arial" w:eastAsia="Arial" w:hAnsi="Arial"/>
                <w:sz w:val="19"/>
                <w:szCs w:val="19"/>
              </w:rPr>
              <w:t xml:space="preserve">- TC atual: 32 &lt; 35 → falta 3 anos → Viável em 2029 (35 TC e 60 anos)</w:t>
            </w:r>
          </w:p>
          <w:p>
            <w:pPr>
              <w:spacing w:after="40" w:before="40"/>
            </w:pPr>
            <w:r>
              <w:rPr>
                <w:rFonts w:ascii="Arial" w:cs="Arial" w:eastAsia="Arial" w:hAnsi="Arial"/>
                <w:sz w:val="19"/>
                <w:szCs w:val="19"/>
              </w:rPr>
              <w:t xml:space="preserve">Art. 17 (pedágio 50%) — professor:</w:t>
            </w:r>
          </w:p>
          <w:p>
            <w:pPr>
              <w:spacing w:after="40" w:before="40"/>
            </w:pPr>
            <w:r>
              <w:rPr>
                <w:rFonts w:ascii="Arial" w:cs="Arial" w:eastAsia="Arial" w:hAnsi="Arial"/>
                <w:sz w:val="19"/>
                <w:szCs w:val="19"/>
              </w:rPr>
              <w:t xml:space="preserve">- Em 13/11/2019 faltavam 5 anos → &gt; 2 anos → NÃO ELEGÍVEL</w:t>
            </w:r>
          </w:p>
          <w:p>
            <w:pPr>
              <w:spacing w:after="40" w:before="40"/>
            </w:pPr>
            <w:r>
              <w:rPr>
                <w:rFonts w:ascii="Arial" w:cs="Arial" w:eastAsia="Arial" w:hAnsi="Arial"/>
                <w:sz w:val="19"/>
                <w:szCs w:val="19"/>
              </w:rPr>
              <w:t xml:space="preserve">Cálculo pelo art. 20 (2029):</w:t>
            </w:r>
          </w:p>
          <w:p>
            <w:pPr>
              <w:spacing w:after="40" w:before="40"/>
            </w:pPr>
            <w:r>
              <w:rPr>
                <w:rFonts w:ascii="Arial" w:cs="Arial" w:eastAsia="Arial" w:hAnsi="Arial"/>
                <w:sz w:val="19"/>
                <w:szCs w:val="19"/>
              </w:rPr>
              <w:t xml:space="preserve">- Média 100%: R$ 4.500,00</w:t>
            </w:r>
          </w:p>
          <w:p>
            <w:pPr>
              <w:spacing w:after="40" w:before="40"/>
            </w:pPr>
            <w:r>
              <w:rPr>
                <w:rFonts w:ascii="Arial" w:cs="Arial" w:eastAsia="Arial" w:hAnsi="Arial"/>
                <w:sz w:val="19"/>
                <w:szCs w:val="19"/>
              </w:rPr>
              <w:t xml:space="preserve">- Coeficiente: 100%</w:t>
            </w:r>
          </w:p>
          <w:p>
            <w:pPr>
              <w:spacing w:after="40" w:before="40"/>
            </w:pPr>
            <w:r>
              <w:rPr>
                <w:rFonts w:ascii="Arial" w:cs="Arial" w:eastAsia="Arial" w:hAnsi="Arial"/>
                <w:sz w:val="19"/>
                <w:szCs w:val="19"/>
              </w:rPr>
              <w:t xml:space="preserve">- RMI: R$ 4.500,00</w:t>
            </w:r>
          </w:p>
          <w:p>
            <w:pPr>
              <w:spacing w:after="40" w:before="40"/>
            </w:pPr>
            <w:r>
              <w:rPr>
                <w:rFonts w:ascii="Arial" w:cs="Arial" w:eastAsia="Arial" w:hAnsi="Arial"/>
                <w:sz w:val="19"/>
                <w:szCs w:val="19"/>
              </w:rPr>
              <w:t xml:space="preserve">Fator previdenciário do professor (se fosse aplicável):</w:t>
            </w:r>
          </w:p>
          <w:p>
            <w:pPr>
              <w:spacing w:after="40" w:before="40"/>
            </w:pPr>
            <w:r>
              <w:rPr>
                <w:rFonts w:ascii="Arial" w:cs="Arial" w:eastAsia="Arial" w:hAnsi="Arial"/>
                <w:sz w:val="19"/>
                <w:szCs w:val="19"/>
              </w:rPr>
              <w:t xml:space="preserve">- Com bônus: Tc=35+5=40, Id=60+5=65</w:t>
            </w:r>
          </w:p>
          <w:p>
            <w:pPr>
              <w:spacing w:after="40" w:before="40"/>
            </w:pPr>
            <w:r>
              <w:rPr>
                <w:rFonts w:ascii="Arial" w:cs="Arial" w:eastAsia="Arial" w:hAnsi="Arial"/>
                <w:sz w:val="19"/>
                <w:szCs w:val="19"/>
              </w:rPr>
              <w:t xml:space="preserve">- f = (40×0,31/19,0) × [1+(65+40×0,31)/100]</w:t>
            </w:r>
          </w:p>
          <w:p>
            <w:pPr>
              <w:spacing w:after="40" w:before="40"/>
            </w:pPr>
            <w:r>
              <w:rPr>
                <w:rFonts w:ascii="Arial" w:cs="Arial" w:eastAsia="Arial" w:hAnsi="Arial"/>
                <w:sz w:val="19"/>
                <w:szCs w:val="19"/>
              </w:rPr>
              <w:t xml:space="preserve">- f = (12,40/19,0) × [1+(65+12,40)/100]</w:t>
            </w:r>
          </w:p>
          <w:p>
            <w:pPr>
              <w:spacing w:after="40" w:before="40"/>
            </w:pPr>
            <w:r>
              <w:rPr>
                <w:rFonts w:ascii="Arial" w:cs="Arial" w:eastAsia="Arial" w:hAnsi="Arial"/>
                <w:sz w:val="19"/>
                <w:szCs w:val="19"/>
              </w:rPr>
              <w:t xml:space="preserve">- f = 0,6526 × 1,774</w:t>
            </w:r>
          </w:p>
          <w:p>
            <w:pPr>
              <w:spacing w:after="40" w:before="40"/>
            </w:pPr>
            <w:r>
              <w:rPr>
                <w:rFonts w:ascii="Arial" w:cs="Arial" w:eastAsia="Arial" w:hAnsi="Arial"/>
                <w:sz w:val="19"/>
                <w:szCs w:val="19"/>
              </w:rPr>
              <w:t xml:space="preserve">- f ≈ 1,158 (favorável)</w:t>
            </w:r>
          </w:p>
          <w:p>
            <w:pPr>
              <w:spacing w:after="40" w:before="40"/>
            </w:pPr>
            <w:r>
              <w:rPr>
                <w:rFonts w:ascii="Arial" w:cs="Arial" w:eastAsia="Arial" w:hAnsi="Arial"/>
                <w:sz w:val="19"/>
                <w:szCs w:val="19"/>
              </w:rPr>
              <w:t xml:space="preserve">O bônus de professor no fator previdenciário (+5 Id, +5 Tc) é substancial e pode tornar o pedágio 50% vantajoso para professores com direito adquirido ou fator favorável.</w:t>
            </w:r>
          </w:p>
        </w:tc>
      </w:tr>
    </w:tbl>
    <w:p>
      <w:pPr>
        <w:spacing w:after="200"/>
      </w:pPr>
    </w:p>
    <w:p>
      <w:pPr>
        <w:spacing w:after="140" w:before="280"/>
      </w:pPr>
      <w:r>
        <w:rPr>
          <w:rFonts w:ascii="Arial" w:cs="Arial" w:eastAsia="Arial" w:hAnsi="Arial"/>
          <w:b/>
          <w:bCs/>
          <w:color w:val="2E86C1"/>
          <w:sz w:val="23"/>
          <w:szCs w:val="23"/>
        </w:rPr>
        <w:t xml:space="preserve">11.17.3 Tempo de aluno-aprendiz</w:t>
      </w:r>
    </w:p>
    <w:p>
      <w:pPr>
        <w:spacing w:after="100" w:before="100"/>
        <w:jc w:val="both"/>
      </w:pPr>
      <w:r>
        <w:rPr>
          <w:rFonts w:ascii="Arial" w:cs="Arial" w:eastAsia="Arial" w:hAnsi="Arial"/>
          <w:sz w:val="21"/>
          <w:szCs w:val="21"/>
        </w:rPr>
        <w:t xml:space="preserve">O tempo de aluno-aprendiz em escolas técnicas federais (como as antigas Escolas Técnicas e os CEFETs) pode ser computado como tempo de contribuição quando comprovado o efetivo exercício de atividade laboral remunerada. A TNU (Tema 216) estabeleceu os critérios: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Requisitos: Comprovação de vínculo com escola profissionalizante mantida por entidade pública (União, estados ou municípios), com efetiva retribuição pecuniária à conta do orçamento público e participação na execução de encomendas.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Prova: Certidão da escola técnica que comprove a condição de aluno-aprendiz, o período de matrícula e a remuneração percebida (ainda que em forma de alimentação, fardamento e material escolar à conta da União).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Efeito prático: O tempo de aluno-aprendiz, quando reconhecido, integra o TC do segurado, podendo ser decisivo para atingir os 30/35 anos mínimos das regras de transição.</w:t>
      </w:r>
    </w:p>
    <w:p>
      <w:pPr>
        <w:spacing w:after="140" w:before="280"/>
      </w:pPr>
      <w:r>
        <w:rPr>
          <w:rFonts w:ascii="Arial" w:cs="Arial" w:eastAsia="Arial" w:hAnsi="Arial"/>
          <w:b/>
          <w:bCs/>
          <w:color w:val="2E86C1"/>
          <w:sz w:val="23"/>
          <w:szCs w:val="23"/>
        </w:rPr>
        <w:t xml:space="preserve">11.17.4 Tempo de serviço militar obrigatório</w:t>
      </w:r>
    </w:p>
    <w:p>
      <w:pPr>
        <w:spacing w:after="100" w:before="100"/>
        <w:jc w:val="both"/>
      </w:pPr>
      <w:r>
        <w:rPr>
          <w:rFonts w:ascii="Arial" w:cs="Arial" w:eastAsia="Arial" w:hAnsi="Arial"/>
          <w:sz w:val="21"/>
          <w:szCs w:val="21"/>
        </w:rPr>
        <w:t xml:space="preserve">O serviço militar obrigatório é computado como tempo de contribuição nos termos do art. 55, I, da Lei 8.213/91. O período varia de 12 a 24 meses conforme a incorporação e a dispensa. Embora aparentemente modesto, esse tempo pode ser determinante em situações limítrofes:</w:t>
      </w:r>
    </w:p>
    <w:p>
      <w:pPr>
        <w:spacing w:after="60" w:before="60"/>
        <w:ind w:left="360"/>
      </w:pPr>
      <w:r>
        <w:rPr>
          <w:rFonts w:ascii="Arial" w:cs="Arial" w:eastAsia="Arial" w:hAnsi="Arial"/>
          <w:sz w:val="21"/>
          <w:szCs w:val="21"/>
        </w:rPr>
        <w:t xml:space="preserve">Exemplo: O segurado que possui 34 anos e 3 meses de TC e 12 meses de serviço militar pode atingir 35 anos e 3 meses de TC com a averbação do período militar, habilitando-se às regras de transição.</w:t>
      </w:r>
    </w:p>
    <w:p>
      <w:pPr>
        <w:spacing w:after="100" w:before="100"/>
        <w:jc w:val="both"/>
      </w:pPr>
      <w:r>
        <w:rPr>
          <w:rFonts w:ascii="Arial" w:cs="Arial" w:eastAsia="Arial" w:hAnsi="Arial"/>
          <w:sz w:val="21"/>
          <w:szCs w:val="21"/>
        </w:rPr>
        <w:t xml:space="preserve">A prova se faz pelo Certificado de Reservista, Certificado de Dispensa de Incorporação (se houve incorporação temporária) ou certidão do comando militar. O INSS não pode exigir contribuição retroativa pelo período de serviço militar, pois se trata de exceção legal expressa.</w:t>
      </w:r>
    </w:p>
    <w:p>
      <w:pPr>
        <w:spacing w:after="100" w:before="100"/>
        <w:jc w:val="both"/>
      </w:pPr>
      <w:r>
        <w:rPr>
          <w:rFonts w:ascii="Arial" w:cs="Arial" w:eastAsia="Arial" w:hAnsi="Arial"/>
          <w:sz w:val="21"/>
          <w:szCs w:val="21"/>
        </w:rPr>
        <w:t xml:space="preserve">O período de serviço militar conta como TC mas apresenta peculiaridades quanto à carência e aos salários de contribuição. Como durante o serviço militar não há contribuição previdenciária, o período não gera carência. Quanto aos salários de contribuição, o art. 55, I, da Lei 8.213/91 é silente; a jurisprudência entende que o período é computado como TC sem salário de contribuição correspondente, não afetando a média dos salários (nem para aumentar, nem para reduzir).</w:t>
      </w:r>
    </w:p>
    <w:p>
      <w:pPr>
        <w:spacing w:after="100" w:before="100"/>
        <w:jc w:val="both"/>
      </w:pPr>
      <w:r>
        <w:rPr>
          <w:rFonts w:ascii="Arial" w:cs="Arial" w:eastAsia="Arial" w:hAnsi="Arial"/>
          <w:sz w:val="21"/>
          <w:szCs w:val="21"/>
        </w:rPr>
        <w:t xml:space="preserve">Na prática, o advogado deve incluir o período militar em toda apuração de TC, pois 12 meses adicionais podem ser decisivos para: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Atingir os 35/30 anos mínimos de TC</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Aumentar a pontuação do art. 15 em 1 ponto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Reduzir o pedágio dos arts. 17 e 20 (mais TC em 2019 = menos tempo faltante = menos pedágio)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Aumentar o fator previdenciário (Tc maior eleva o fator)</w:t>
      </w:r>
    </w:p>
    <w:p>
      <w:pPr>
        <w:spacing w:after="140" w:before="280"/>
      </w:pPr>
      <w:r>
        <w:rPr>
          <w:rFonts w:ascii="Arial" w:cs="Arial" w:eastAsia="Arial" w:hAnsi="Arial"/>
          <w:b/>
          <w:bCs/>
          <w:color w:val="2E86C1"/>
          <w:sz w:val="23"/>
          <w:szCs w:val="23"/>
        </w:rPr>
        <w:t xml:space="preserve">11.17.5 Aposentadoria proporcional (EC 20/1998) — Direito adquirido residual</w:t>
      </w:r>
    </w:p>
    <w:p>
      <w:pPr>
        <w:spacing w:after="100" w:before="100"/>
        <w:jc w:val="both"/>
      </w:pPr>
      <w:r>
        <w:rPr>
          <w:rFonts w:ascii="Arial" w:cs="Arial" w:eastAsia="Arial" w:hAnsi="Arial"/>
          <w:sz w:val="21"/>
          <w:szCs w:val="21"/>
        </w:rPr>
        <w:t xml:space="preserve">Embora revogada pela EC 103/2019 (art. 35), a regra de transição da EC 20/1998 (art. 9º) para aposentadoria proporcional permanece aplicável para segurados que implementaram seus requisitos até 12/11/2019. Trata-se de direito adquirido protegido pelo art. 5º, XXXVI, da CF e pelo art. 3º da EC 103/2019.</w:t>
      </w:r>
    </w:p>
    <w:p>
      <w:pPr>
        <w:spacing w:after="60" w:before="60"/>
        <w:ind w:left="360"/>
      </w:pPr>
      <w:r>
        <w:rPr>
          <w:rFonts w:ascii="Arial" w:cs="Arial" w:eastAsia="Arial" w:hAnsi="Arial"/>
          <w:sz w:val="21"/>
          <w:szCs w:val="21"/>
        </w:rPr>
        <w:t xml:space="preserve">Requisitos da aposentadoria proporcional (EC 20/98):</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Idade mínima: 48 anos (mulher) / 53 anos (homem)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mínimo: 25 anos (mulher) / 30 anos (homem)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Pedágio: 40% do tempo faltante em 16/12/1998</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Benefício proporcional: 70% do SB + 5% por ano adicional de TC (até 100%)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Fator previdenciário: obrigatório (STJ, Tema 334)</w:t>
      </w:r>
    </w:p>
    <w:p>
      <w:pPr>
        <w:spacing w:after="60" w:before="60"/>
        <w:ind w:left="360"/>
      </w:pPr>
      <w:r>
        <w:rPr>
          <w:rFonts w:ascii="Arial" w:cs="Arial" w:eastAsia="Arial" w:hAnsi="Arial"/>
          <w:sz w:val="21"/>
          <w:szCs w:val="21"/>
        </w:rPr>
        <w:t xml:space="preserve">Quando é relevante em 2026: Para segurado que completou os requisitos da aposentadoria proporcional antes de 13/11/2019 mas não requereu o benefício. Esse segurado mantém o direito adquirido e pode optar pela proporcional ou por qualquer regra de transição da EC 103 que atenda.</w:t>
      </w:r>
    </w:p>
    <w:p>
      <w:pPr>
        <w:spacing w:after="100" w:before="100"/>
        <w:jc w:val="both"/>
      </w:pPr>
      <w:r>
        <w:rPr>
          <w:rFonts w:ascii="Arial" w:cs="Arial" w:eastAsia="Arial" w:hAnsi="Arial"/>
          <w:sz w:val="21"/>
          <w:szCs w:val="21"/>
        </w:rPr>
        <w:t xml:space="preserve">Na prática, a aposentadoria proporcional raramente é a opção mais vantajosa, pois combina coeficiente reduzido (70-100%) com fator previdenciário obrigatório. Contudo, para segurados que implementaram os requisitos antes da EC 103 e que possuem fator previdenciário elevado (idade avançada), ela pode representar uma opção adicional a ser calculada.</w:t>
      </w:r>
    </w:p>
    <w:p>
      <w:pPr>
        <w:spacing w:after="60" w:before="60"/>
        <w:ind w:left="360"/>
      </w:pPr>
      <w:r>
        <w:rPr>
          <w:rFonts w:ascii="Arial" w:cs="Arial" w:eastAsia="Arial" w:hAnsi="Arial"/>
          <w:sz w:val="21"/>
          <w:szCs w:val="21"/>
        </w:rPr>
        <w:t xml:space="preserve">Aposentadoria integral pela EC 20/98: A mesma EC 20/98 previa aposentadoria integral (100% do SB) com os seguintes requisitos: idade 48M/53H + TC 30M/35H + pedágio de 20% do tempo faltante em 16/12/1998 + fator previdenciário obrigatório. O segurado com direito adquirido a essa modalidade deve comparar com as regras de transição da EC 103.</w:t>
      </w:r>
    </w:p>
    <w:p>
      <w:pPr>
        <w:spacing w:after="140" w:before="280"/>
      </w:pPr>
      <w:r>
        <w:rPr>
          <w:rFonts w:ascii="Arial" w:cs="Arial" w:eastAsia="Arial" w:hAnsi="Arial"/>
          <w:b/>
          <w:bCs/>
          <w:color w:val="2E86C1"/>
          <w:sz w:val="23"/>
          <w:szCs w:val="23"/>
        </w:rPr>
        <w:t xml:space="preserve">11.17.6 Segurado que trabalhou no exterior</w:t>
      </w:r>
    </w:p>
    <w:p>
      <w:pPr>
        <w:spacing w:after="100" w:before="100"/>
        <w:jc w:val="both"/>
      </w:pPr>
      <w:r>
        <w:rPr>
          <w:rFonts w:ascii="Arial" w:cs="Arial" w:eastAsia="Arial" w:hAnsi="Arial"/>
          <w:sz w:val="21"/>
          <w:szCs w:val="21"/>
        </w:rPr>
        <w:t xml:space="preserve">O segurado que exerceu atividade laboral em país com o qual o Brasil mantém acordo internacional de previdência social pode utilizar o tempo de trabalho no exterior para totalização e atingimento dos requisitos das regras de transição.</w:t>
      </w:r>
    </w:p>
    <w:p>
      <w:pPr>
        <w:spacing w:after="100" w:before="100"/>
        <w:jc w:val="both"/>
      </w:pPr>
      <w:r>
        <w:rPr>
          <w:rFonts w:ascii="Arial" w:cs="Arial" w:eastAsia="Arial" w:hAnsi="Arial"/>
          <w:sz w:val="21"/>
          <w:szCs w:val="21"/>
        </w:rPr>
        <w:t xml:space="preserve">O Brasil mantém acordos bilaterais de previdência social com diversos países, incluindo: Alemanha, Argentina, Bélgica, Cabo Verde, Chile, Coreia do Sul, Espanha, Estados Unidos (acordo limitado), França, Grécia, Israel, Itália, Japão, Luxemburgo, Portugal, Uruguai, entre outros. Além dos acordos bilaterais, o Brasil integra o Acordo Multilateral de Seguridade Social do Mercosul e o Acordo Ibero-Americano de Seguridade Social.</w:t>
      </w:r>
    </w:p>
    <w:p>
      <w:pPr>
        <w:spacing w:after="100" w:before="100"/>
        <w:jc w:val="both"/>
      </w:pPr>
      <w:r>
        <w:rPr>
          <w:rFonts w:ascii="Arial" w:cs="Arial" w:eastAsia="Arial" w:hAnsi="Arial"/>
          <w:sz w:val="21"/>
          <w:szCs w:val="21"/>
        </w:rPr>
        <w:t xml:space="preserve">O mecanismo de totalização permite que o tempo de contribuição no exterior seja somado ao tempo de contribuição no Brasil para fins de verificação do direito ao benefício. O cálculo do valor, contudo, segue a regra pro rata temporis: cada país paga apenas a parcela correspondente ao tempo de contribuição exercido em seu território.</w:t>
      </w:r>
    </w:p>
    <w:p>
      <w:pPr>
        <w:spacing w:after="100" w:before="100"/>
        <w:jc w:val="both"/>
      </w:pPr>
      <w:r>
        <w:rPr>
          <w:rFonts w:ascii="Arial" w:cs="Arial" w:eastAsia="Arial" w:hAnsi="Arial"/>
          <w:sz w:val="21"/>
          <w:szCs w:val="21"/>
        </w:rPr>
        <w:t xml:space="preserve">Na prática, o segurado que trabalhou 20 anos no Brasil e 15 anos em Portugal, por exemplo, totaliza 35 anos para fins de verificação do direito à aposentadoria por TC no Brasil. Contudo, o INSS pagará apenas a parcela proporcional aos 20 anos de contribuição brasileira, e o regime português pagará a parcela correspondente aos 15 anos de contribuição portuguesa. O resultado é que o segurado recebe dois benefícios parciais, um de cada regime, cujo somatório pode ser inferior ao que receberia se todo o tempo fosse em um único país.</w:t>
      </w:r>
    </w:p>
    <w:p>
      <w:pPr>
        <w:spacing w:after="100" w:before="100"/>
        <w:jc w:val="both"/>
      </w:pPr>
      <w:r>
        <w:rPr>
          <w:rFonts w:ascii="Arial" w:cs="Arial" w:eastAsia="Arial" w:hAnsi="Arial"/>
          <w:sz w:val="21"/>
          <w:szCs w:val="21"/>
        </w:rPr>
        <w:t xml:space="preserve">Para as regras de transição, a totalização internacional é especialmente relevante nos arts. 15 e 20 da EC 103/2019, pois o tempo totalizado conta para atingir os 35/30 anos de TC mínimo. Quanto ao pedágio (arts. 17 e 20), o tempo de contribuição no exterior também é considerado para determinar quanto faltava em 13/11/2019.</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Armadilhas comuns em casos de fronteira</w:t>
            </w:r>
          </w:p>
          <w:p>
            <w:pPr>
              <w:spacing w:after="40" w:before="40"/>
            </w:pPr>
            <w:r>
              <w:rPr>
                <w:rFonts w:ascii="Arial" w:cs="Arial" w:eastAsia="Arial" w:hAnsi="Arial"/>
                <w:sz w:val="19"/>
                <w:szCs w:val="19"/>
              </w:rPr>
              <w:t xml:space="preserve">1. Professor que exerceu atividade administrativa: Se o professor deixou a sala de aula para assumir cargo exclusivamente administrativo (ex.: secretário de educação), o período administrativo NÃO conta como magistério para fins de redução de TC e pontos. A atividade deve ser em estabelecimento de educação básica.</w:t>
            </w:r>
          </w:p>
          <w:p>
            <w:pPr>
              <w:spacing w:after="40" w:before="40"/>
            </w:pPr>
            <w:r>
              <w:rPr>
                <w:rFonts w:ascii="Arial" w:cs="Arial" w:eastAsia="Arial" w:hAnsi="Arial"/>
                <w:sz w:val="19"/>
                <w:szCs w:val="19"/>
              </w:rPr>
              <w:t xml:space="preserve">2. Tempo especial e professor cumulados: O professor que exerceu atividade especial (exposição a agentes nocivos na escola — raro, mas possível em laboratórios) pode converter o tempo especial E utilizar o redutor de professor. São benefícios distintos que não se excluem.</w:t>
            </w:r>
          </w:p>
          <w:p>
            <w:pPr>
              <w:spacing w:after="40" w:before="40"/>
            </w:pPr>
            <w:r>
              <w:rPr>
                <w:rFonts w:ascii="Arial" w:cs="Arial" w:eastAsia="Arial" w:hAnsi="Arial"/>
                <w:sz w:val="19"/>
                <w:szCs w:val="19"/>
              </w:rPr>
              <w:t xml:space="preserve">3. Aluno-aprendiz sem remuneração: O simples fato de ter estudado em escola técnica NÃO gera direito ao cômputo de TC. É indispensável a comprovação de atividade laboral remunerada (ainda que mediante bolsa, alimentação ou fardamento à conta do orçamento público).</w:t>
            </w:r>
          </w:p>
          <w:p>
            <w:pPr>
              <w:spacing w:after="40" w:before="40"/>
            </w:pPr>
            <w:r>
              <w:rPr>
                <w:rFonts w:ascii="Arial" w:cs="Arial" w:eastAsia="Arial" w:hAnsi="Arial"/>
                <w:sz w:val="19"/>
                <w:szCs w:val="19"/>
              </w:rPr>
              <w:t xml:space="preserve">4. Serviço militar e carência: O tempo de serviço militar conta como TC, mas NÃO gera carência. O segurado deve verificar se possui 180 meses de carência (contribuições efetivas) independentemente do tempo militar averbado.</w:t>
            </w:r>
          </w:p>
          <w:p>
            <w:pPr>
              <w:spacing w:after="40" w:before="40"/>
            </w:pPr>
            <w:r>
              <w:rPr>
                <w:rFonts w:ascii="Arial" w:cs="Arial" w:eastAsia="Arial" w:hAnsi="Arial"/>
                <w:sz w:val="19"/>
                <w:szCs w:val="19"/>
              </w:rPr>
              <w:t xml:space="preserve">5. Trabalho no exterior sem acordo: O tempo de trabalho em país sem acordo previdenciário com o Brasil NÃO pode ser totalizado. O segurado que emigrou para país sem acordo e retornou ao Brasil conta apenas o tempo de contribuição efetivamente exercido em território brasileiro ou em país conveniado.</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11.18 Síntese e Tabelas de Consulta Rápida</w:t>
      </w:r>
    </w:p>
    <w:p>
      <w:pPr>
        <w:spacing w:after="140" w:before="280"/>
      </w:pPr>
      <w:r>
        <w:rPr>
          <w:rFonts w:ascii="Arial" w:cs="Arial" w:eastAsia="Arial" w:hAnsi="Arial"/>
          <w:b/>
          <w:bCs/>
          <w:color w:val="2E86C1"/>
          <w:sz w:val="23"/>
          <w:szCs w:val="23"/>
        </w:rPr>
        <w:t xml:space="preserve">11.18.1 Tabela-resumo das regras de transição por TC</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c>
          <w:tcPr>
            <w:tcW w:type="dxa" w:w="1289"/>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Regra</w:t>
            </w:r>
          </w:p>
        </w:tc>
        <w:tc>
          <w:tcPr>
            <w:tcW w:type="dxa" w:w="1289"/>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TC mínimo</w:t>
            </w:r>
          </w:p>
        </w:tc>
        <w:tc>
          <w:tcPr>
            <w:tcW w:type="dxa" w:w="1289"/>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Idade</w:t>
            </w:r>
          </w:p>
        </w:tc>
        <w:tc>
          <w:tcPr>
            <w:tcW w:type="dxa" w:w="1289"/>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Cálculo da média</w:t>
            </w:r>
          </w:p>
        </w:tc>
        <w:tc>
          <w:tcPr>
            <w:tcW w:type="dxa" w:w="1289"/>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Coeficiente</w:t>
            </w:r>
          </w:p>
        </w:tc>
        <w:tc>
          <w:tcPr>
            <w:tcW w:type="dxa" w:w="1289"/>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Fator</w:t>
            </w:r>
          </w:p>
        </w:tc>
        <w:tc>
          <w:tcPr>
            <w:tcW w:type="dxa" w:w="1289"/>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Observação</w:t>
            </w:r>
          </w:p>
        </w:tc>
      </w:tr>
      <w:tr>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15 (pontos)</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35H/30M</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 (pontos)</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SC</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60%+2%/ano</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Pontuação progressiva (103H/93M em 2026)</w:t>
            </w:r>
          </w:p>
        </w:tc>
      </w:tr>
      <w:tr>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16 (idade)</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35H/30M</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Progressiva</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 SC</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60%+2%/ano</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64,5H/59,5M em 2026</w:t>
            </w:r>
          </w:p>
        </w:tc>
      </w:tr>
      <w:tr>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17 (pedágio 50%)</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35H/30M</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80% maiores SC</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SB</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Obrigatório</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Só quem faltava &lt; 2 anos em 2019</w:t>
            </w:r>
          </w:p>
        </w:tc>
      </w:tr>
      <w:tr>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20 (pedágio 100%)</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35H/30M</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60H/57M (fixa)</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 SC</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 pedágio 100% do faltante</w:t>
            </w:r>
          </w:p>
        </w:tc>
      </w:tr>
      <w:tr>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Dir. adquirido TC</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35H/30M (pré-2019)</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80% maiores SC</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SB</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Obrigatório</w:t>
            </w:r>
          </w:p>
        </w:tc>
        <w:tc>
          <w:tcPr>
            <w:tcW w:type="dxa" w:w="1289"/>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Implementou requisitos até 12/11/2019</w:t>
            </w:r>
          </w:p>
        </w:tc>
      </w:tr>
      <w:tr>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Dir. adquirido 85/95</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35H/30M + pontos (pré-2019)</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80% maiores SC</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 SB</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Afastado</w:t>
            </w:r>
          </w:p>
        </w:tc>
        <w:tc>
          <w:tcPr>
            <w:tcW w:type="dxa" w:w="1289"/>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 mais vantajosa (se direito adquirido)</w:t>
            </w:r>
          </w:p>
        </w:tc>
      </w:tr>
    </w:tbl>
    <w:p>
      <w:pPr>
        <w:spacing w:after="160"/>
      </w:pPr>
    </w:p>
    <w:p>
      <w:pPr>
        <w:spacing w:after="140" w:before="280"/>
      </w:pPr>
      <w:r>
        <w:rPr>
          <w:rFonts w:ascii="Arial" w:cs="Arial" w:eastAsia="Arial" w:hAnsi="Arial"/>
          <w:b/>
          <w:bCs/>
          <w:color w:val="2E86C1"/>
          <w:sz w:val="23"/>
          <w:szCs w:val="23"/>
        </w:rPr>
        <w:t xml:space="preserve">11.18.2 Tabela evolutiva ano a ano — Pontos (art. 15) e Idade (art. 16)</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02"/>
      </w:tblGrid>
      <w:tr>
        <w:tc>
          <w:tcPr>
            <w:tcW w:type="dxa" w:w="1002"/>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Ano</w:t>
            </w:r>
          </w:p>
        </w:tc>
        <w:tc>
          <w:tcPr>
            <w:tcW w:type="dxa" w:w="1002"/>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Pontos H</w:t>
            </w:r>
          </w:p>
        </w:tc>
        <w:tc>
          <w:tcPr>
            <w:tcW w:type="dxa" w:w="1002"/>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Pontos M</w:t>
            </w:r>
          </w:p>
        </w:tc>
        <w:tc>
          <w:tcPr>
            <w:tcW w:type="dxa" w:w="1002"/>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Idade H</w:t>
            </w:r>
          </w:p>
        </w:tc>
        <w:tc>
          <w:tcPr>
            <w:tcW w:type="dxa" w:w="1002"/>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Idade M</w:t>
            </w:r>
          </w:p>
        </w:tc>
        <w:tc>
          <w:tcPr>
            <w:tcW w:type="dxa" w:w="1002"/>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Pontos Prof. H</w:t>
            </w:r>
          </w:p>
        </w:tc>
        <w:tc>
          <w:tcPr>
            <w:tcW w:type="dxa" w:w="1002"/>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Pontos Prof. M</w:t>
            </w:r>
          </w:p>
        </w:tc>
        <w:tc>
          <w:tcPr>
            <w:tcW w:type="dxa" w:w="1002"/>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Idade Prof. H</w:t>
            </w:r>
          </w:p>
        </w:tc>
        <w:tc>
          <w:tcPr>
            <w:tcW w:type="dxa" w:w="1002"/>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Idade Prof. M</w:t>
            </w:r>
          </w:p>
        </w:tc>
      </w:tr>
      <w:tr>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2019</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96</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86</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61</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56</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91</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81</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56</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51</w:t>
            </w:r>
          </w:p>
        </w:tc>
      </w:tr>
      <w:tr>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2020</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97</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87</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61,5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56,5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92</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82</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56,5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51,5</w:t>
            </w:r>
          </w:p>
        </w:tc>
      </w:tr>
      <w:tr>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2021</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98</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88</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57</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93</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83</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57</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52</w:t>
            </w:r>
          </w:p>
        </w:tc>
      </w:tr>
      <w:tr>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2022</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99</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89</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62,5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57,5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94</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84</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57,5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52,5</w:t>
            </w:r>
          </w:p>
        </w:tc>
      </w:tr>
      <w:tr>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2023</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90</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63</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58</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95</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85</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58</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53</w:t>
            </w:r>
          </w:p>
        </w:tc>
      </w:tr>
      <w:tr>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2024</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101</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91</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63,5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58,5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96</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86</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58,5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53,5</w:t>
            </w:r>
          </w:p>
        </w:tc>
      </w:tr>
      <w:tr>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2025</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102</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92</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64</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59</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97</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87</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59</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54</w:t>
            </w:r>
          </w:p>
        </w:tc>
      </w:tr>
      <w:tr>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2026</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103</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93</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64,5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59,5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98</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88</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59,5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54,5</w:t>
            </w:r>
          </w:p>
        </w:tc>
      </w:tr>
      <w:tr>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2027</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104</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94</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99</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89</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55</w:t>
            </w:r>
          </w:p>
        </w:tc>
      </w:tr>
      <w:tr>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2028</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90</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55,5</w:t>
            </w:r>
          </w:p>
        </w:tc>
      </w:tr>
      <w:tr>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2029</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105</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96</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61</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91</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56</w:t>
            </w:r>
          </w:p>
        </w:tc>
      </w:tr>
      <w:tr>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2030</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97</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61,5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92</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56,5</w:t>
            </w:r>
          </w:p>
        </w:tc>
      </w:tr>
      <w:tr>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2031</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105</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98</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93</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57*</w:t>
            </w:r>
          </w:p>
        </w:tc>
      </w:tr>
      <w:tr>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2032</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99</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94</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c>
          <w:tcPr>
            <w:tcW w:type="dxa" w:w="1002"/>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57</w:t>
            </w:r>
          </w:p>
        </w:tc>
      </w:tr>
      <w:tr>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2033</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105</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62</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95*</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c>
          <w:tcPr>
            <w:tcW w:type="dxa" w:w="1002"/>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57</w:t>
            </w:r>
          </w:p>
        </w:tc>
      </w:tr>
    </w:tbl>
    <w:p>
      <w:pPr>
        <w:spacing w:after="160"/>
      </w:pPr>
    </w:p>
    <w:p>
      <w:pPr>
        <w:spacing w:after="100" w:before="100"/>
        <w:jc w:val="both"/>
      </w:pPr>
      <w:r>
        <w:rPr>
          <w:rFonts w:ascii="Arial" w:cs="Arial" w:eastAsia="Arial" w:hAnsi="Arial"/>
          <w:sz w:val="21"/>
          <w:szCs w:val="21"/>
        </w:rPr>
        <w:t xml:space="preserve">*Asterisco indica o ano de estabilização (quando a progressão atinge o valor final e deixa de crescer).</w:t>
      </w:r>
    </w:p>
    <w:p>
      <w:pPr>
        <w:spacing w:after="140" w:before="280"/>
      </w:pPr>
      <w:r>
        <w:rPr>
          <w:rFonts w:ascii="Arial" w:cs="Arial" w:eastAsia="Arial" w:hAnsi="Arial"/>
          <w:b/>
          <w:bCs/>
          <w:color w:val="2E86C1"/>
          <w:sz w:val="23"/>
          <w:szCs w:val="23"/>
        </w:rPr>
        <w:t xml:space="preserve">11.18.3 Fluxograma decisório do advogado</w:t>
      </w:r>
    </w:p>
    <w:p>
      <w:pPr>
        <w:spacing w:after="100" w:before="100"/>
        <w:jc w:val="both"/>
      </w:pPr>
      <w:r>
        <w:rPr>
          <w:rFonts w:ascii="Arial" w:cs="Arial" w:eastAsia="Arial" w:hAnsi="Arial"/>
          <w:sz w:val="21"/>
          <w:szCs w:val="21"/>
        </w:rPr>
        <w:t xml:space="preserve">O advogado que atende segurado buscando aposentadoria por TC deve seguir este roteiro lógico:</w:t>
      </w:r>
    </w:p>
    <w:p>
      <w:pPr>
        <w:spacing w:after="60" w:before="60"/>
        <w:ind w:left="360"/>
      </w:pPr>
      <w:r>
        <w:rPr>
          <w:rFonts w:ascii="Arial" w:cs="Arial" w:eastAsia="Arial" w:hAnsi="Arial"/>
          <w:sz w:val="21"/>
          <w:szCs w:val="21"/>
        </w:rPr>
        <w:t xml:space="preserve">Passo 1 — Apurar o TC total: Somar todos os períodos de TC (CNIS + CTPS + CTC + rurais + militar + conversão especial).</w:t>
      </w:r>
    </w:p>
    <w:p>
      <w:pPr>
        <w:spacing w:after="60" w:before="60"/>
        <w:ind w:left="360"/>
      </w:pPr>
      <w:r>
        <w:rPr>
          <w:rFonts w:ascii="Arial" w:cs="Arial" w:eastAsia="Arial" w:hAnsi="Arial"/>
          <w:sz w:val="21"/>
          <w:szCs w:val="21"/>
        </w:rPr>
        <w:t xml:space="preserve">Passo 2 — Verificar direito adquirido: O segurado completou 35H/30M anos de TC antes de 13/11/2019? Se sim, verificar se atingiu 96/86 pontos (regra 85/95). Se não, calcular o fator previdenciário para a regra antiga.</w:t>
      </w:r>
    </w:p>
    <w:p>
      <w:pPr>
        <w:spacing w:after="60" w:before="60"/>
        <w:ind w:left="360"/>
      </w:pPr>
      <w:r>
        <w:rPr>
          <w:rFonts w:ascii="Arial" w:cs="Arial" w:eastAsia="Arial" w:hAnsi="Arial"/>
          <w:sz w:val="21"/>
          <w:szCs w:val="21"/>
        </w:rPr>
        <w:t xml:space="preserve">Passo 3 — Verificar elegibilidade em cada regra de transição (2026):</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Art. 15: TC ≥ 35H/30M + pontuação ≥ 103H/93M?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Art. 16: TC ≥ 35H/30M + idade ≥ 64,5H/59,5M?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Art. 17: Faltava &lt; 2 anos em 13/11/2019?</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Art. 20: Idade ≥ 60H/57M + TC ≥ 35H/30M + pedágio cumprido?</w:t>
      </w:r>
    </w:p>
    <w:p>
      <w:pPr>
        <w:spacing w:after="60" w:before="60"/>
        <w:ind w:left="360"/>
      </w:pPr>
      <w:r>
        <w:rPr>
          <w:rFonts w:ascii="Arial" w:cs="Arial" w:eastAsia="Arial" w:hAnsi="Arial"/>
          <w:sz w:val="21"/>
          <w:szCs w:val="21"/>
        </w:rPr>
        <w:t xml:space="preserve">Passo 4 — Para cada regra elegível, calcular a RMI.</w:t>
      </w:r>
    </w:p>
    <w:p>
      <w:pPr>
        <w:spacing w:after="60" w:before="60"/>
        <w:ind w:left="360"/>
      </w:pPr>
      <w:r>
        <w:rPr>
          <w:rFonts w:ascii="Arial" w:cs="Arial" w:eastAsia="Arial" w:hAnsi="Arial"/>
          <w:sz w:val="21"/>
          <w:szCs w:val="21"/>
        </w:rPr>
        <w:t xml:space="preserve">Passo 5 — Comparar RMIs e identificar a regra mais vantajosa.</w:t>
      </w:r>
    </w:p>
    <w:p>
      <w:pPr>
        <w:spacing w:after="60" w:before="60"/>
        <w:ind w:left="360"/>
      </w:pPr>
      <w:r>
        <w:rPr>
          <w:rFonts w:ascii="Arial" w:cs="Arial" w:eastAsia="Arial" w:hAnsi="Arial"/>
          <w:sz w:val="21"/>
          <w:szCs w:val="21"/>
        </w:rPr>
        <w:t xml:space="preserve">Passo 6 — Projetar cenários futuros: Se nenhuma regra é atingida em 2026, projetar quando cada regra será atingida e calcular o custo de oportunidade da espera.</w:t>
      </w:r>
    </w:p>
    <w:p>
      <w:pPr>
        <w:spacing w:after="60" w:before="60"/>
        <w:ind w:left="360"/>
      </w:pPr>
      <w:r>
        <w:rPr>
          <w:rFonts w:ascii="Arial" w:cs="Arial" w:eastAsia="Arial" w:hAnsi="Arial"/>
          <w:sz w:val="21"/>
          <w:szCs w:val="21"/>
        </w:rPr>
        <w:t xml:space="preserve">Passo 7 — Apresentar o comparativo ao cliente com recomendação fundamentada, incluindo: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Tabela comparativa de RMIs por cada regra elegível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Projeção temporal (quando cada regra será atingida)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Análise de break-even para cenários de espera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Riscos identificados (saúde, desemprego, mudança legislativa)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Recomendação técnica fundamentada com a regra mais vantajosa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Esclarecimento sobre a irreversibilidade da escolha (vedação da desaposentação)</w:t>
      </w:r>
    </w:p>
    <w:p>
      <w:pPr>
        <w:spacing w:after="140" w:before="280"/>
      </w:pPr>
      <w:r>
        <w:rPr>
          <w:rFonts w:ascii="Arial" w:cs="Arial" w:eastAsia="Arial" w:hAnsi="Arial"/>
          <w:b/>
          <w:bCs/>
          <w:color w:val="2E86C1"/>
          <w:sz w:val="23"/>
          <w:szCs w:val="23"/>
        </w:rPr>
        <w:t xml:space="preserve">11.18.4 Checklist completo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Checklist final — Aposentadoria por TC e regras de transição</w:t>
            </w:r>
          </w:p>
          <w:p>
            <w:pPr>
              <w:spacing w:after="40" w:before="40"/>
            </w:pPr>
            <w:r>
              <w:rPr>
                <w:rFonts w:ascii="Arial" w:cs="Arial" w:eastAsia="Arial" w:hAnsi="Arial"/>
                <w:sz w:val="19"/>
                <w:szCs w:val="19"/>
              </w:rPr>
              <w:t xml:space="preserve">Requisitos documentais:</w:t>
            </w:r>
          </w:p>
          <w:p>
            <w:pPr>
              <w:spacing w:after="30" w:before="30"/>
              <w:ind w:left="200"/>
            </w:pPr>
            <w:r>
              <w:rPr>
                <w:rFonts w:ascii="Arial" w:cs="Arial" w:eastAsia="Arial" w:hAnsi="Arial"/>
                <w:sz w:val="19"/>
                <w:szCs w:val="19"/>
              </w:rPr>
              <w:t xml:space="preserve">[ ] CNIS atualizado e conferido</w:t>
            </w:r>
          </w:p>
          <w:p>
            <w:pPr>
              <w:spacing w:after="30" w:before="30"/>
              <w:ind w:left="200"/>
            </w:pPr>
            <w:r>
              <w:rPr>
                <w:rFonts w:ascii="Arial" w:cs="Arial" w:eastAsia="Arial" w:hAnsi="Arial"/>
                <w:sz w:val="19"/>
                <w:szCs w:val="19"/>
              </w:rPr>
              <w:t xml:space="preserve">[ ] Todos os vínculos anotados na CTPS identificados</w:t>
            </w:r>
          </w:p>
          <w:p>
            <w:pPr>
              <w:spacing w:after="30" w:before="30"/>
              <w:ind w:left="200"/>
            </w:pPr>
            <w:r>
              <w:rPr>
                <w:rFonts w:ascii="Arial" w:cs="Arial" w:eastAsia="Arial" w:hAnsi="Arial"/>
                <w:sz w:val="19"/>
                <w:szCs w:val="19"/>
              </w:rPr>
              <w:t xml:space="preserve">[ ] Períodos sem contribuição identificados e justificados</w:t>
            </w:r>
          </w:p>
          <w:p>
            <w:pPr>
              <w:spacing w:after="30" w:before="30"/>
              <w:ind w:left="200"/>
            </w:pPr>
            <w:r>
              <w:rPr>
                <w:rFonts w:ascii="Arial" w:cs="Arial" w:eastAsia="Arial" w:hAnsi="Arial"/>
                <w:sz w:val="19"/>
                <w:szCs w:val="19"/>
              </w:rPr>
              <w:t xml:space="preserve">[ ] Tempo rural comprovado por início de prova material (se aplicável)</w:t>
            </w:r>
          </w:p>
          <w:p>
            <w:pPr>
              <w:spacing w:after="30" w:before="30"/>
              <w:ind w:left="200"/>
            </w:pPr>
            <w:r>
              <w:rPr>
                <w:rFonts w:ascii="Arial" w:cs="Arial" w:eastAsia="Arial" w:hAnsi="Arial"/>
                <w:sz w:val="19"/>
                <w:szCs w:val="19"/>
              </w:rPr>
              <w:t xml:space="preserve">[ ] Tempo militar comprovado por Certificado de Reservista (se aplicável)</w:t>
            </w:r>
          </w:p>
          <w:p>
            <w:pPr>
              <w:spacing w:after="30" w:before="30"/>
              <w:ind w:left="200"/>
            </w:pPr>
            <w:r>
              <w:rPr>
                <w:rFonts w:ascii="Arial" w:cs="Arial" w:eastAsia="Arial" w:hAnsi="Arial"/>
                <w:sz w:val="19"/>
                <w:szCs w:val="19"/>
              </w:rPr>
              <w:t xml:space="preserve">[ ] PPP de todos os empregadores com atividade especial (se conversão)</w:t>
            </w:r>
          </w:p>
          <w:p>
            <w:pPr>
              <w:spacing w:after="30" w:before="30"/>
              <w:ind w:left="200"/>
            </w:pPr>
            <w:r>
              <w:rPr>
                <w:rFonts w:ascii="Arial" w:cs="Arial" w:eastAsia="Arial" w:hAnsi="Arial"/>
                <w:sz w:val="19"/>
                <w:szCs w:val="19"/>
              </w:rPr>
              <w:t xml:space="preserve">[ ] CTC do RPPS (se contagem recíproca)</w:t>
            </w:r>
          </w:p>
          <w:p>
            <w:pPr>
              <w:spacing w:after="30" w:before="30"/>
              <w:ind w:left="200"/>
            </w:pPr>
            <w:r>
              <w:rPr>
                <w:rFonts w:ascii="Arial" w:cs="Arial" w:eastAsia="Arial" w:hAnsi="Arial"/>
                <w:sz w:val="19"/>
                <w:szCs w:val="19"/>
              </w:rPr>
              <w:t xml:space="preserve">[ ] Recolhimentos como CI/facultativo comprovados (guias GPS)</w:t>
            </w:r>
          </w:p>
          <w:p>
            <w:pPr>
              <w:spacing w:after="40" w:before="40"/>
            </w:pPr>
            <w:r>
              <w:rPr>
                <w:rFonts w:ascii="Arial" w:cs="Arial" w:eastAsia="Arial" w:hAnsi="Arial"/>
                <w:sz w:val="19"/>
                <w:szCs w:val="19"/>
              </w:rPr>
              <w:t xml:space="preserve">Análise de elegibilidade:</w:t>
            </w:r>
          </w:p>
          <w:p>
            <w:pPr>
              <w:spacing w:after="30" w:before="30"/>
              <w:ind w:left="200"/>
            </w:pPr>
            <w:r>
              <w:rPr>
                <w:rFonts w:ascii="Arial" w:cs="Arial" w:eastAsia="Arial" w:hAnsi="Arial"/>
                <w:sz w:val="19"/>
                <w:szCs w:val="19"/>
              </w:rPr>
              <w:t xml:space="preserve">[ ] Direito adquirido verificado (TC e pontos em 12/11/2019)</w:t>
            </w:r>
          </w:p>
          <w:p>
            <w:pPr>
              <w:spacing w:after="30" w:before="30"/>
              <w:ind w:left="200"/>
            </w:pPr>
            <w:r>
              <w:rPr>
                <w:rFonts w:ascii="Arial" w:cs="Arial" w:eastAsia="Arial" w:hAnsi="Arial"/>
                <w:sz w:val="19"/>
                <w:szCs w:val="19"/>
              </w:rPr>
              <w:t xml:space="preserve">[ ] Art. 15 verificado (TC + pontuação 2026)</w:t>
            </w:r>
          </w:p>
          <w:p>
            <w:pPr>
              <w:spacing w:after="30" w:before="30"/>
              <w:ind w:left="200"/>
            </w:pPr>
            <w:r>
              <w:rPr>
                <w:rFonts w:ascii="Arial" w:cs="Arial" w:eastAsia="Arial" w:hAnsi="Arial"/>
                <w:sz w:val="19"/>
                <w:szCs w:val="19"/>
              </w:rPr>
              <w:t xml:space="preserve">[ ] Art. 16 verificado (TC + idade 2026)</w:t>
            </w:r>
          </w:p>
          <w:p>
            <w:pPr>
              <w:spacing w:after="30" w:before="30"/>
              <w:ind w:left="200"/>
            </w:pPr>
            <w:r>
              <w:rPr>
                <w:rFonts w:ascii="Arial" w:cs="Arial" w:eastAsia="Arial" w:hAnsi="Arial"/>
                <w:sz w:val="19"/>
                <w:szCs w:val="19"/>
              </w:rPr>
              <w:t xml:space="preserve">[ ] Art. 17 verificado (menos de 2 anos faltantes em 2019)</w:t>
            </w:r>
          </w:p>
          <w:p>
            <w:pPr>
              <w:spacing w:after="30" w:before="30"/>
              <w:ind w:left="200"/>
            </w:pPr>
            <w:r>
              <w:rPr>
                <w:rFonts w:ascii="Arial" w:cs="Arial" w:eastAsia="Arial" w:hAnsi="Arial"/>
                <w:sz w:val="19"/>
                <w:szCs w:val="19"/>
              </w:rPr>
              <w:t xml:space="preserve">[ ] Art. 20 verificado (idade + TC + pedágio)</w:t>
            </w:r>
          </w:p>
          <w:p>
            <w:pPr>
              <w:spacing w:after="30" w:before="30"/>
              <w:ind w:left="200"/>
            </w:pPr>
            <w:r>
              <w:rPr>
                <w:rFonts w:ascii="Arial" w:cs="Arial" w:eastAsia="Arial" w:hAnsi="Arial"/>
                <w:sz w:val="19"/>
                <w:szCs w:val="19"/>
              </w:rPr>
              <w:t xml:space="preserve">[ ] Conversão de tempo especial calculada (fator aplicado)</w:t>
            </w:r>
          </w:p>
          <w:p>
            <w:pPr>
              <w:spacing w:after="30" w:before="30"/>
              <w:ind w:left="200"/>
            </w:pPr>
            <w:r>
              <w:rPr>
                <w:rFonts w:ascii="Arial" w:cs="Arial" w:eastAsia="Arial" w:hAnsi="Arial"/>
                <w:sz w:val="19"/>
                <w:szCs w:val="19"/>
              </w:rPr>
              <w:t xml:space="preserve">[ ] Carência de 180 meses verificada</w:t>
            </w:r>
          </w:p>
          <w:p>
            <w:pPr>
              <w:spacing w:after="40" w:before="40"/>
            </w:pPr>
            <w:r>
              <w:rPr>
                <w:rFonts w:ascii="Arial" w:cs="Arial" w:eastAsia="Arial" w:hAnsi="Arial"/>
                <w:sz w:val="19"/>
                <w:szCs w:val="19"/>
              </w:rPr>
              <w:t xml:space="preserve">Cálculo do benefício:</w:t>
            </w:r>
          </w:p>
          <w:p>
            <w:pPr>
              <w:spacing w:after="30" w:before="30"/>
              <w:ind w:left="200"/>
            </w:pPr>
            <w:r>
              <w:rPr>
                <w:rFonts w:ascii="Arial" w:cs="Arial" w:eastAsia="Arial" w:hAnsi="Arial"/>
                <w:sz w:val="19"/>
                <w:szCs w:val="19"/>
              </w:rPr>
              <w:t xml:space="preserve">[ ] Média 80% maiores SC apurada (para regras com fator)</w:t>
            </w:r>
          </w:p>
          <w:p>
            <w:pPr>
              <w:spacing w:after="30" w:before="30"/>
              <w:ind w:left="200"/>
            </w:pPr>
            <w:r>
              <w:rPr>
                <w:rFonts w:ascii="Arial" w:cs="Arial" w:eastAsia="Arial" w:hAnsi="Arial"/>
                <w:sz w:val="19"/>
                <w:szCs w:val="19"/>
              </w:rPr>
              <w:t xml:space="preserve">[ ] Média 100% SC apurada (para regras EC 103)</w:t>
            </w:r>
          </w:p>
          <w:p>
            <w:pPr>
              <w:spacing w:after="30" w:before="30"/>
              <w:ind w:left="200"/>
            </w:pPr>
            <w:r>
              <w:rPr>
                <w:rFonts w:ascii="Arial" w:cs="Arial" w:eastAsia="Arial" w:hAnsi="Arial"/>
                <w:sz w:val="19"/>
                <w:szCs w:val="19"/>
              </w:rPr>
              <w:t xml:space="preserve">[ ] Exclusão de SC que reduzam a média (art. 26, § 6º) simulada</w:t>
            </w:r>
          </w:p>
          <w:p>
            <w:pPr>
              <w:spacing w:after="30" w:before="30"/>
              <w:ind w:left="200"/>
            </w:pPr>
            <w:r>
              <w:rPr>
                <w:rFonts w:ascii="Arial" w:cs="Arial" w:eastAsia="Arial" w:hAnsi="Arial"/>
                <w:sz w:val="19"/>
                <w:szCs w:val="19"/>
              </w:rPr>
              <w:t xml:space="preserve">[ ] Fator previdenciário calculado (para pedágio 50% e direito adquirido)</w:t>
            </w:r>
          </w:p>
          <w:p>
            <w:pPr>
              <w:spacing w:after="30" w:before="30"/>
              <w:ind w:left="200"/>
            </w:pPr>
            <w:r>
              <w:rPr>
                <w:rFonts w:ascii="Arial" w:cs="Arial" w:eastAsia="Arial" w:hAnsi="Arial"/>
                <w:sz w:val="19"/>
                <w:szCs w:val="19"/>
              </w:rPr>
              <w:t xml:space="preserve">[ ] Coeficiente 60%+2% calculado (para arts. 15 e 16)</w:t>
            </w:r>
          </w:p>
          <w:p>
            <w:pPr>
              <w:spacing w:after="30" w:before="30"/>
              <w:ind w:left="200"/>
            </w:pPr>
            <w:r>
              <w:rPr>
                <w:rFonts w:ascii="Arial" w:cs="Arial" w:eastAsia="Arial" w:hAnsi="Arial"/>
                <w:sz w:val="19"/>
                <w:szCs w:val="19"/>
              </w:rPr>
              <w:t xml:space="preserve">[ ] RMI por cada regra elegível apurada</w:t>
            </w:r>
          </w:p>
          <w:p>
            <w:pPr>
              <w:spacing w:after="30" w:before="30"/>
              <w:ind w:left="200"/>
            </w:pPr>
            <w:r>
              <w:rPr>
                <w:rFonts w:ascii="Arial" w:cs="Arial" w:eastAsia="Arial" w:hAnsi="Arial"/>
                <w:sz w:val="19"/>
                <w:szCs w:val="19"/>
              </w:rPr>
              <w:t xml:space="preserve">[ ] Regra mais vantajosa identificada</w:t>
            </w:r>
          </w:p>
          <w:p>
            <w:pPr>
              <w:spacing w:after="30" w:before="30"/>
              <w:ind w:left="200"/>
            </w:pPr>
            <w:r>
              <w:rPr>
                <w:rFonts w:ascii="Arial" w:cs="Arial" w:eastAsia="Arial" w:hAnsi="Arial"/>
                <w:sz w:val="19"/>
                <w:szCs w:val="19"/>
              </w:rPr>
              <w:t xml:space="preserve">[ ] Ponto de equilíbrio calculado (se há regra futura melhor)</w:t>
            </w:r>
          </w:p>
          <w:p>
            <w:pPr>
              <w:spacing w:after="40" w:before="40"/>
            </w:pPr>
            <w:r>
              <w:rPr>
                <w:rFonts w:ascii="Arial" w:cs="Arial" w:eastAsia="Arial" w:hAnsi="Arial"/>
                <w:sz w:val="19"/>
                <w:szCs w:val="19"/>
              </w:rPr>
              <w:t xml:space="preserve">Ação judicial (se indeferimento):</w:t>
            </w:r>
          </w:p>
          <w:p>
            <w:pPr>
              <w:spacing w:after="30" w:before="30"/>
              <w:ind w:left="200"/>
            </w:pPr>
            <w:r>
              <w:rPr>
                <w:rFonts w:ascii="Arial" w:cs="Arial" w:eastAsia="Arial" w:hAnsi="Arial"/>
                <w:sz w:val="19"/>
                <w:szCs w:val="19"/>
              </w:rPr>
              <w:t xml:space="preserve">[ ] Prévio requerimento administrativo comprovado</w:t>
            </w:r>
          </w:p>
          <w:p>
            <w:pPr>
              <w:spacing w:after="30" w:before="30"/>
              <w:ind w:left="200"/>
            </w:pPr>
            <w:r>
              <w:rPr>
                <w:rFonts w:ascii="Arial" w:cs="Arial" w:eastAsia="Arial" w:hAnsi="Arial"/>
                <w:sz w:val="19"/>
                <w:szCs w:val="19"/>
              </w:rPr>
              <w:t xml:space="preserve">[ ] Valor da causa calculado (verificar se dentro do teto JEF)</w:t>
            </w:r>
          </w:p>
          <w:p>
            <w:pPr>
              <w:spacing w:after="30" w:before="30"/>
              <w:ind w:left="200"/>
            </w:pPr>
            <w:r>
              <w:rPr>
                <w:rFonts w:ascii="Arial" w:cs="Arial" w:eastAsia="Arial" w:hAnsi="Arial"/>
                <w:sz w:val="19"/>
                <w:szCs w:val="19"/>
              </w:rPr>
              <w:t xml:space="preserve">[ ] Pedido alternativo formulado (todas as regras aplicáveis)</w:t>
            </w:r>
          </w:p>
          <w:p>
            <w:pPr>
              <w:spacing w:after="30" w:before="30"/>
              <w:ind w:left="200"/>
            </w:pPr>
            <w:r>
              <w:rPr>
                <w:rFonts w:ascii="Arial" w:cs="Arial" w:eastAsia="Arial" w:hAnsi="Arial"/>
                <w:sz w:val="19"/>
                <w:szCs w:val="19"/>
              </w:rPr>
              <w:t xml:space="preserve">[ ] Documentação completa anexada</w:t>
            </w:r>
          </w:p>
          <w:p>
            <w:pPr>
              <w:spacing w:after="30" w:before="30"/>
              <w:ind w:left="200"/>
            </w:pPr>
            <w:r>
              <w:rPr>
                <w:rFonts w:ascii="Arial" w:cs="Arial" w:eastAsia="Arial" w:hAnsi="Arial"/>
                <w:sz w:val="19"/>
                <w:szCs w:val="19"/>
              </w:rPr>
              <w:t xml:space="preserve">[ ] Cálculos de liquidação atualizados</w:t>
            </w:r>
          </w:p>
          <w:p>
            <w:pPr>
              <w:spacing w:after="30" w:before="30"/>
              <w:ind w:left="200"/>
            </w:pPr>
            <w:r>
              <w:rPr>
                <w:rFonts w:ascii="Arial" w:cs="Arial" w:eastAsia="Arial" w:hAnsi="Arial"/>
                <w:sz w:val="19"/>
                <w:szCs w:val="19"/>
              </w:rPr>
              <w:t xml:space="preserve">[ ] Tutela provisória de urgência ou evidência requerida (se cabível)</w:t>
            </w:r>
          </w:p>
        </w:tc>
      </w:tr>
    </w:tbl>
    <w:p>
      <w:pPr>
        <w:spacing w:after="200"/>
      </w:pPr>
    </w:p>
    <w:p>
      <w:pPr>
        <w:spacing w:after="140" w:before="280"/>
      </w:pPr>
      <w:r>
        <w:rPr>
          <w:rFonts w:ascii="Arial" w:cs="Arial" w:eastAsia="Arial" w:hAnsi="Arial"/>
          <w:b/>
          <w:bCs/>
          <w:color w:val="2E86C1"/>
          <w:sz w:val="23"/>
          <w:szCs w:val="23"/>
        </w:rPr>
        <w:t xml:space="preserve">11.18.5 Valores de referência 2026</w:t>
      </w:r>
    </w:p>
    <w:p>
      <w:pPr>
        <w:spacing w:after="100" w:before="100"/>
        <w:jc w:val="both"/>
      </w:pPr>
      <w:r>
        <w:rPr>
          <w:rFonts w:ascii="Arial" w:cs="Arial" w:eastAsia="Arial" w:hAnsi="Arial"/>
          <w:sz w:val="21"/>
          <w:szCs w:val="21"/>
        </w:rPr>
        <w:t xml:space="preserve">Para facilitar a consulta, apresentam-se os valores de referência atualizados para 2026:</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Parâmetro</w:t>
            </w:r>
          </w:p>
        </w:tc>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Valor 2026</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Salário mínimo</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R$ 1.621,00</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Teto RGPS</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R$ 8.475,55</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Teto JEF (60 SM)</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R$ 97.260,00</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Alíquota fator previdenciário (a)</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0,31</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Expectativa de vida ao nascer (IBGE 2024)</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76,6 anos</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Sobrevida aos 55 anos (IBGE 2024)</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~25,3 anos</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Sobrevida aos 60 anos (IBGE 2024)</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~22,6 anos</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Sobrevida aos 65 anos (IBGE 2024)</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~19,0 anos</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Pontos art. 15 — Homem</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103</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Pontos art. 15 — Mulher</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93</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Pontos art. 15 — Professor</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98</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Pontos art. 15 — Professora</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88</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art. 16 — Homem</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64 anos e 6 meses</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art. 16 — Mulher</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59 anos e 6 meses</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art. 16 — Professor</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59 anos e 6 meses</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art. 16 — Professora</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54 anos e 6 meses</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art. 20 — Homem (fixa)</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 anos</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art. 20 — Mulher (fixa)</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57 anos</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art. 20 — Professor (fixa)</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55 anos</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art. 20 — Professora (fixa)</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52 anos</w:t>
            </w:r>
          </w:p>
        </w:tc>
      </w:tr>
    </w:tbl>
    <w:p>
      <w:pPr>
        <w:spacing w:after="160"/>
      </w:pPr>
    </w:p>
    <w:p>
      <w:pPr>
        <w:spacing w:after="140" w:before="280"/>
      </w:pPr>
      <w:r>
        <w:rPr>
          <w:rFonts w:ascii="Arial" w:cs="Arial" w:eastAsia="Arial" w:hAnsi="Arial"/>
          <w:b/>
          <w:bCs/>
          <w:color w:val="2E86C1"/>
          <w:sz w:val="23"/>
          <w:szCs w:val="23"/>
        </w:rPr>
        <w:t xml:space="preserve">11.18.6 Perspectivas e prazo de vigência</w:t>
      </w:r>
    </w:p>
    <w:p>
      <w:pPr>
        <w:spacing w:after="100" w:before="100"/>
        <w:jc w:val="both"/>
      </w:pPr>
      <w:r>
        <w:rPr>
          <w:rFonts w:ascii="Arial" w:cs="Arial" w:eastAsia="Arial" w:hAnsi="Arial"/>
          <w:sz w:val="21"/>
          <w:szCs w:val="21"/>
        </w:rPr>
        <w:t xml:space="preserve">As regras de transição da EC 103/2019 não possuem prazo de vigência expresso — permanecerão aplicáveis enquanto existirem segurados filiados ao RGPS antes de 13/11/2019. Na prática, considerando que um segurado com 18 anos em 2019 pode se aposentar por volta de 2054 (com 53 anos e 35 de TC), as regras de transição permanecerão relevantes por mais três décadas.</w:t>
      </w:r>
    </w:p>
    <w:p>
      <w:pPr>
        <w:spacing w:after="100" w:before="100"/>
        <w:jc w:val="both"/>
      </w:pPr>
      <w:r>
        <w:rPr>
          <w:rFonts w:ascii="Arial" w:cs="Arial" w:eastAsia="Arial" w:hAnsi="Arial"/>
          <w:sz w:val="21"/>
          <w:szCs w:val="21"/>
        </w:rPr>
        <w:t xml:space="preserve">A regra de pontos (art. 15) estabilizará em 105/100 pontos (homem/mulher) a partir de 2028/2033, respectivamente. A regra de idade (art. 16) estabilizará em 65/62 anos (homem/mulher) a partir de 2027/2031. A partir da estabilização, essas regras de transição se tornarão equivalentes à regra permanente (art. 201, § 7º, CF) — a diferença residirá apenas no cálculo do benefício (60%+2% vs. regra permanente, que é idêntica).</w:t>
      </w:r>
    </w:p>
    <w:p>
      <w:pPr>
        <w:spacing w:after="100" w:before="100"/>
        <w:jc w:val="both"/>
      </w:pPr>
      <w:r>
        <w:rPr>
          <w:rFonts w:ascii="Arial" w:cs="Arial" w:eastAsia="Arial" w:hAnsi="Arial"/>
          <w:sz w:val="21"/>
          <w:szCs w:val="21"/>
        </w:rPr>
        <w:t xml:space="preserve">O pedágio 50% (art. 17) é a regra de transição de aplicação mais restrita e efêmera: como exige que o segurado faltasse menos de 2 anos de TC em 2019, os beneficiários potenciais são segurados que, em 2019, já tinham pelo menos 33 anos TC (homem) ou 28 anos TC (mulher). Esses segurados, mesmo que não tenham requerido o benefício imediatamente, o farão nos próximos anos, esgotando progressivamente o universo de beneficiários.</w:t>
      </w:r>
    </w:p>
    <w:p>
      <w:pPr>
        <w:spacing w:after="100" w:before="100"/>
        <w:jc w:val="both"/>
      </w:pPr>
      <w:r>
        <w:rPr>
          <w:rFonts w:ascii="Arial" w:cs="Arial" w:eastAsia="Arial" w:hAnsi="Arial"/>
          <w:sz w:val="21"/>
          <w:szCs w:val="21"/>
        </w:rPr>
        <w:t xml:space="preserve">O pedágio 100% (art. 20), por sua vez, permanecerá atrativo por anos em razão do coeficiente integral de 100%, que pode ser significativamente superior ao coeficiente de 60%+2% calculado pelos arts. 15 e 16 para segurados com TC próximo ao mínimo.</w:t>
      </w:r>
    </w:p>
    <w:p>
      <w:pPr>
        <w:spacing w:after="100" w:before="100"/>
        <w:jc w:val="both"/>
      </w:pPr>
      <w:r>
        <w:rPr>
          <w:rFonts w:ascii="Arial" w:cs="Arial" w:eastAsia="Arial" w:hAnsi="Arial"/>
          <w:sz w:val="21"/>
          <w:szCs w:val="21"/>
        </w:rPr>
        <w:t xml:space="preserve">As regras de transição encerram-se automaticamente quando todos os segurados filiados antes de 13/11/2019 se aposentarem, falecerem ou perderem a qualidade de segurado. A partir desse momento — estimado para meados da década de 2050 —, restará apenas a regra permanente da aposentadoria programada (Capítulo 10).</w:t>
      </w:r>
    </w:p>
    <w:p>
      <w:pPr>
        <w:spacing w:after="100" w:before="100"/>
        <w:jc w:val="both"/>
      </w:pPr>
      <w:r>
        <w:rPr>
          <w:rFonts w:ascii="Arial" w:cs="Arial" w:eastAsia="Arial" w:hAnsi="Arial"/>
          <w:sz w:val="21"/>
          <w:szCs w:val="21"/>
        </w:rPr>
        <w:t xml:space="preserve">A aposentadoria por tempo de contribuição, como espécie autônoma, completará então seu ciclo histórico: nascida como "aposentadoria por tempo de serviço" na LOPS de 1960, transformada em "aposentadoria por tempo de contribuição" pela EC 20/1998, e gradualmente substituída pela aposentadoria programada da EC 103/2019.</w:t>
      </w:r>
    </w:p>
    <w:p>
      <w:pPr>
        <w:spacing w:after="100" w:before="100"/>
        <w:jc w:val="both"/>
      </w:pPr>
      <w:r>
        <w:rPr>
          <w:rFonts w:ascii="Arial" w:cs="Arial" w:eastAsia="Arial" w:hAnsi="Arial"/>
          <w:sz w:val="21"/>
          <w:szCs w:val="21"/>
        </w:rPr>
        <w:t xml:space="preserve">A complexidade do regime de transição — com múltiplas regras simultâneas, cálculos distintos e requisitos progressivos — tornou a advocacia previdenciária significativamente mais técnica e especializada. O advogado que atua nessa área não pode mais se limitar a verificar se o segurado possui o tempo mínimo de contribuição; deve dominar as nuances de cada regra, realizar simulações numéricas precisas e orientar o cliente sobre o momento ótimo de requerimento.</w:t>
      </w:r>
    </w:p>
    <w:p>
      <w:pPr>
        <w:spacing w:after="100" w:before="100"/>
        <w:jc w:val="both"/>
      </w:pPr>
      <w:r>
        <w:rPr>
          <w:rFonts w:ascii="Arial" w:cs="Arial" w:eastAsia="Arial" w:hAnsi="Arial"/>
          <w:sz w:val="21"/>
          <w:szCs w:val="21"/>
        </w:rPr>
        <w:t xml:space="preserve">O estudo cuidadoso das regras de transição — apoiado nas tabelas, simulações e checklists apresentados neste capítulo — é ferramenta indispensável tanto para o advogado na orientação ao cliente quanto para o magistrado na concessão do benefício mais vantajoso. A jurisprudência consolidada sobre o tema exige que o julgador considere de ofício todas as regras aplicáveis, concedendo a mais favorável ao segurado, independentemente da regra expressamente invocada na petição inicial.</w:t>
      </w:r>
    </w:p>
    <w:p>
      <w:pPr>
        <w:spacing w:after="100" w:before="100"/>
        <w:jc w:val="both"/>
      </w:pPr>
      <w:r>
        <w:rPr>
          <w:rFonts w:ascii="Arial" w:cs="Arial" w:eastAsia="Arial" w:hAnsi="Arial"/>
          <w:sz w:val="21"/>
          <w:szCs w:val="21"/>
        </w:rPr>
        <w:t xml:space="preserve">A responsabilidade do advogado nessa seara é acentuada pela irreversibilidade da escolha (vedação da desaposentação, STF, Tema 503) e pela magnitude financeira das diferenças entre as regras — diferenças que, projetadas ao longo de décadas de fruição do benefício, podem representar centenas de milhares de reais. O planejamento previdenciário, nesse contexto, não é opção — é imperativo ético e profissional.</w:t>
      </w:r>
    </w:p>
    <w:p>
      <w:pPr>
        <w:spacing w:after="100" w:before="100"/>
        <w:jc w:val="both"/>
      </w:pPr>
      <w:r>
        <w:rPr>
          <w:rFonts w:ascii="Arial" w:cs="Arial" w:eastAsia="Arial" w:hAnsi="Arial"/>
          <w:sz w:val="21"/>
          <w:szCs w:val="21"/>
        </w:rPr>
        <w:t xml:space="preserve">O próximo capítulo (Capítulo 12) examinará a aposentadoria da pessoa com deficiência, última modalidade de aposentadoria por tempo de contribuição que preserva regras próprias tanto no RGPS como no regime de transição, incluindo reduções significativas nos requisitos de TC conforme o grau de deficiência.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66573"/>
        <w:sz w:val="16"/>
        <w:szCs w:val="16"/>
      </w:rPr>
      <w:t xml:space="preserve">Cap. 11 — Aposentadoria por Tempo de Contribuição e Regras de Transição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2026-05-10T21:52:51.990Z</dcterms:created>
  <dcterms:modified xsi:type="dcterms:W3CDTF">2026-05-10T21:52:51.991Z</dcterms:modified>
</cp:coreProperties>
</file>

<file path=docProps/custom.xml><?xml version="1.0" encoding="utf-8"?>
<Properties xmlns="http://schemas.openxmlformats.org/officeDocument/2006/custom-properties" xmlns:vt="http://schemas.openxmlformats.org/officeDocument/2006/docPropsVTypes"/>
</file>