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Noto Sans" w:hAnsi="Noto Sans" w:cs="Noto Sans"/>
          <w:b/>
          <w:i w:val="0"/>
          <w:caps/>
          <w:color w:val="8A6A2A"/>
          <w:sz w:val="17"/>
          <w:lang w:val="pt-BR" w:bidi="ar-SA"/>
          <w:kern w:val="16"/>
          <w14:ligatures w14:val="standardContextual"/>
        </w:rPr>
        <w:t>Proposta Editorial · Junho de 2026</w:t>
      </w:r>
    </w:p>
    <w:p>
      <w:pPr>
        <w:spacing w:before="40" w:after="40" w:line="252" w:lineRule="auto"/>
      </w:pPr>
      <w:r>
        <w:rPr>
          <w:rFonts w:ascii="EB Garamond" w:hAnsi="EB Garamond" w:cs="EB Garamond"/>
          <w:b/>
          <w:i w:val="0"/>
          <w:color w:val="2F2923"/>
          <w:sz w:val="52"/>
          <w:lang w:val="pt-BR" w:bidi="ar-SA"/>
          <w:kern w:val="16"/>
          <w14:ligatures w14:val="standardContextual"/>
        </w:rPr>
        <w:t>Divisão da Obra em Volumes</w:t>
      </w:r>
    </w:p>
    <w:p>
      <w:pPr>
        <w:spacing w:before="0" w:after="40" w:line="276" w:lineRule="auto"/>
      </w:pPr>
      <w:r>
        <w:rPr>
          <w:rFonts w:ascii="EB Garamond" w:hAnsi="EB Garamond" w:cs="EB Garamond"/>
          <w:b w:val="0"/>
          <w:i/>
          <w:color w:val="6B6256"/>
          <w:sz w:val="25"/>
          <w:lang w:val="pt-BR" w:bidi="ar-SA"/>
          <w:kern w:val="16"/>
          <w14:ligatures w14:val="standardContextual"/>
        </w:rPr>
        <w:t>Direito Previdenciário: Teoria e Prática nos Juizados Especiais Federais</w:t>
      </w:r>
    </w:p>
    <w:p>
      <w:pPr>
        <w:spacing w:before="80" w:after="200" w:line="240" w:lineRule="auto"/>
      </w:pPr>
      <w:r>
        <w:rPr>
          <w:rFonts w:ascii="EB Garamond" w:hAnsi="EB Garamond" w:cs="EB Garamond"/>
          <w:b w:val="0"/>
          <w:i w:val="0"/>
          <w:color w:val="B78B37"/>
          <w:sz w:val="20"/>
          <w:lang w:val="pt-BR" w:bidi="ar-SA"/>
          <w:kern w:val="16"/>
          <w14:ligatures w14:val="standardContextual"/>
        </w:rPr>
        <w:t>━━━━  ◆  ━━━━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Três cenários para fracionar a obra — hoje com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1.342 páginas de conteúdo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(1.359 no PDF, já com pré-textuais e índice) — em volumes de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até 250 páginas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, preservando a coerência didática e a identidade visual da coleção.</w:t>
      </w: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1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Premissas do fracionamento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Qualquer divisão observa três condicionantes objetivas: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Orçamento real de ~235 páginas de conteúdo por volume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cada volume carrega capa, ficha catalográfica, sumário e, idealmente, índice próprios (8–12 páginas de pré-textual e pós-textual).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As seis Partes da obra não servem de corte direto: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as Partes I (285 pp), III (309 pp) e IV (343 pp) já excedem, sozinhas, o teto de 250.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Piso de 7 volumes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como os capítulos (31 a 89 pp) permanecem inteiros e em sequência de leitura, o empacotamento real não comporta menos do que isso.</w:t>
      </w:r>
    </w:p>
    <w:p>
      <w:pPr>
        <w:spacing w:before="0" w:after="40" w:line="283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986"/>
        <w:gridCol w:w="2986"/>
        <w:gridCol w:w="2986"/>
      </w:tblGrid>
      <w:tr>
        <w:trPr>
          <w:tblHeader/>
        </w:trPr>
        <w:tc>
          <w:tcPr>
            <w:tcW w:type="dxa" w:w="2986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Parte</w:t>
            </w:r>
          </w:p>
        </w:tc>
        <w:tc>
          <w:tcPr>
            <w:tcW w:type="dxa" w:w="2986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Capítulos</w:t>
            </w:r>
          </w:p>
        </w:tc>
        <w:tc>
          <w:tcPr>
            <w:tcW w:type="dxa" w:w="2986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Páginas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 — Fundamentos do RGPS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 a 5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285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 — Benefícios por Incapacidade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6 a 7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87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III — Aposentadorias Programadas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8 a 12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309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IV — Pensões, Auxílios e BPC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13 a 18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343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 — Temas Transversais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19 a 21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177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VI — Processo nos JEFs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22 a 23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141</w:t>
            </w:r>
          </w:p>
        </w:tc>
      </w:tr>
      <w:tr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Total da obra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 a 23</w:t>
            </w:r>
          </w:p>
        </w:tc>
        <w:tc>
          <w:tcPr>
            <w:tcW w:type="dxa" w:w="2986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1.342</w:t>
            </w:r>
          </w:p>
        </w:tc>
      </w:tr>
    </w:tbl>
    <w:p>
      <w:pPr>
        <w:spacing w:before="0" w:after="80" w:line="240" w:lineRule="auto"/>
      </w:pP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2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Cenário 1 — Sete volumes equilibrados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Prioriza 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menor número de livros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com tamanhos semelhantes (141 a 220 páginas). É a divisão mais econômica em capas, ISBN e índices.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Vol.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Caps.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Págs.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Título sugerido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1–4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214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Fundamentos, Princípios e Custeio do RGPS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5–8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210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Tempo de Contribuição, Incapacidade e Aposentadoria Especial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9–11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185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Aposentadorias Rural, Programada e por Tempo de Contribuição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IV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12–14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195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PcD, Salário-Maternidade e Auxílio-Reclusão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15–18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220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Auxílio-Acidente, Cálculo, Revisão e BPC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19–21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Pensão por Morte, Acumulação e Decadência/Prescrição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VII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22–23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141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Processo Administrativo e Procedimento nos JEFs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6E8563"/>
          <w:sz w:val="19"/>
          <w:lang w:val="pt-BR" w:bidi="ar-SA"/>
          <w:kern w:val="16"/>
          <w14:ligatures w14:val="standardContextual"/>
        </w:rPr>
        <w:t xml:space="preserve">Prós.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menos livros e custo fixo menor; volumes de tamanho parecido.</w:t>
      </w: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B78B37"/>
          <w:sz w:val="19"/>
          <w:lang w:val="pt-BR" w:bidi="ar-SA"/>
          <w:kern w:val="16"/>
          <w14:ligatures w14:val="standardContextual"/>
        </w:rPr>
        <w:t xml:space="preserve">Contras.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algumas costuras temáticas — o Vol. II reúne tempo de contribuição, incapacidade e aposentadoria especial; o Vol. V agrupa quatro temas distintos.</w:t>
      </w: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3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Cenário 2 — Nove volumes modulares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Cada volume corresponde a uma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família de benefícios fechada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, o que favorece 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venda avulsa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e o uso como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módulos de curso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Vol.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Caps.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Págs.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Título sugerido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1–3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125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Fundamentos: História, Princípios, Segurados e Carência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4–5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160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Custeio e Tempo de Contribuição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6–7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87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Benefícios por Incapacidade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8–9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107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Aposentadoria Especial e Rural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10–12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202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Aposentadorias Programada, por TC e da PcD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6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13–15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Salário-Maternidade, Auxílio-Reclusão e Auxílio-Acidente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16–18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Cálculo do Benefício, Revisão e BPC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19–21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Temas Transversais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9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22–23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141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Processo Previdenciário nos JEFs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6E8563"/>
          <w:sz w:val="19"/>
          <w:lang w:val="pt-BR" w:bidi="ar-SA"/>
          <w:kern w:val="16"/>
          <w14:ligatures w14:val="standardContextual"/>
        </w:rPr>
        <w:t xml:space="preserve">Prós.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identidade temática nítida por volume; ótimo para coleção vendida por assunto e para cursos.</w:t>
      </w: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B78B37"/>
          <w:sz w:val="19"/>
          <w:lang w:val="pt-BR" w:bidi="ar-SA"/>
          <w:kern w:val="16"/>
          <w14:ligatures w14:val="standardContextual"/>
        </w:rPr>
        <w:t xml:space="preserve">Contras.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mais livros, alguns finos (87 a 125 pp); maior custo fixo (capa, ISBN e índice por volume).</w:t>
      </w: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4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Cenário 3 — Coleção em duas obras, por finalidade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Separa 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teoria e os benefícios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da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prática processual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, criando um manual de foro autônomo. São duas obras-mãe com identidades próprias.</w:t>
      </w:r>
    </w:p>
    <w:p>
      <w:pPr>
        <w:spacing w:before="40" w:after="40" w:line="240" w:lineRule="auto"/>
      </w:pPr>
      <w:r>
        <w:rPr>
          <w:rFonts w:ascii="Noto Sans" w:hAnsi="Noto Sans" w:cs="Noto Sans"/>
          <w:b/>
          <w:i w:val="0"/>
          <w:caps/>
          <w:color w:val="8A6A2A"/>
          <w:sz w:val="17"/>
          <w:lang w:val="pt-BR" w:bidi="ar-SA"/>
          <w:kern w:val="16"/>
          <w14:ligatures w14:val="standardContextual"/>
        </w:rPr>
        <w:t>Obra A — Direito Previdenciário: Fundamentos e Benefícios (caps. 1–21) · 6 tomos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Tomo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Caps.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Págs.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Conteúdo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1–4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214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Fundamentos, Princípios e Custeio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5–8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210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Tempo de Contribuição, Incapacidade e Especial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III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9–11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185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Aposentadorias Rural, Programada e por TC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IV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12–15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245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PcD, Maternidade, Reclusão e Auxílio-Acidente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16–18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170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Cálculo, Revisão e BPC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VI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19–21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177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Temas Transversais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40" w:line="240" w:lineRule="auto"/>
      </w:pPr>
      <w:r>
        <w:rPr>
          <w:rFonts w:ascii="Noto Sans" w:hAnsi="Noto Sans" w:cs="Noto Sans"/>
          <w:b/>
          <w:i w:val="0"/>
          <w:caps/>
          <w:color w:val="8A6A2A"/>
          <w:sz w:val="17"/>
          <w:lang w:val="pt-BR" w:bidi="ar-SA"/>
          <w:kern w:val="16"/>
          <w14:ligatures w14:val="standardContextual"/>
        </w:rPr>
        <w:t>Obra B — Prática Processual Previdenciária nos JEFs (caps. 22–23) · volume único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Volume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Caps.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Págs.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Conteúdo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Único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22–23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141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Processo Administrativo e Procedimento nos JEFs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6E8563"/>
          <w:sz w:val="19"/>
          <w:lang w:val="pt-BR" w:bidi="ar-SA"/>
          <w:kern w:val="16"/>
          <w14:ligatures w14:val="standardContextual"/>
        </w:rPr>
        <w:t xml:space="preserve">Prós.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a Obra B é um manual de prática vendável isoladamente ao advogado litigante; a Obra A é o tratado doutrinário em tomos, com marca própria.</w:t>
      </w:r>
    </w:p>
    <w:p>
      <w:pPr>
        <w:spacing w:before="40" w:after="60" w:line="276" w:lineRule="auto"/>
        <w:jc w:val="both"/>
      </w:pPr>
      <w:r>
        <w:rPr>
          <w:rFonts w:ascii="Noto Sans" w:hAnsi="Noto Sans" w:cs="Noto Sans"/>
          <w:b/>
          <w:i w:val="0"/>
          <w:color w:val="B78B37"/>
          <w:sz w:val="19"/>
          <w:lang w:val="pt-BR" w:bidi="ar-SA"/>
          <w:kern w:val="16"/>
          <w14:ligatures w14:val="standardContextual"/>
        </w:rPr>
        <w:t xml:space="preserve">Contras.  </w:t>
      </w:r>
      <w:r>
        <w:rPr>
          <w:rFonts w:ascii="EB Garamond" w:hAnsi="EB Garamond" w:cs="EB Garamond"/>
          <w:b w:val="0"/>
          <w:i/>
          <w:color w:val="6B6256"/>
          <w:sz w:val="21"/>
          <w:lang w:val="pt-BR" w:bidi="ar-SA"/>
          <w:kern w:val="16"/>
          <w14:ligatures w14:val="standardContextual"/>
        </w:rPr>
        <w:t>o tratado ainda exige 6 tomos; o Tomo IV fica no limite (245 pp), com pouca folga.</w:t>
      </w: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5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Considerações válidas para qualquer cenário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fixed"/>
      </w:tblPr>
      <w:tblGrid>
        <w:gridCol w:w="8958"/>
      </w:tblGrid>
      <w:tr>
        <w:trPr>
          <w:cantSplit/>
        </w:trPr>
        <w:tc>
          <w:tcPr>
            <w:tcW w:type="dxa" w:w="8958"/>
            <w:vAlign w:val="top"/>
            <w:tcMar>
              <w:top w:w="150" w:type="dxa"/>
              <w:bottom w:w="150" w:type="dxa"/>
              <w:left w:w="220" w:type="dxa"/>
              <w:right w:w="180" w:type="dxa"/>
            </w:tcMar>
            <w:shd w:fill="F7F1E6" w:val="clear"/>
            <w:tcBorders>
              <w:top w:val="single" w:sz="7" w:space="0" w:color="D2C9B8"/>
              <w:bottom w:val="single" w:sz="7" w:space="0" w:color="D2C9B8"/>
              <w:right w:val="single" w:sz="7" w:space="0" w:color="D2C9B8"/>
              <w:left w:val="single" w:sz="24" w:space="0" w:color="B78B37"/>
            </w:tcBorders>
          </w:tcPr>
          <w:p>
            <w:pPr>
              <w:spacing w:before="0" w:after="60" w:line="240" w:lineRule="auto"/>
              <w:jc w:val="left"/>
            </w:pPr>
            <w:r>
              <w:rPr>
                <w:rFonts w:ascii="Noto Sans" w:hAnsi="Noto Sans" w:cs="Noto Sans"/>
                <w:b/>
                <w:i w:val="0"/>
                <w:caps/>
                <w:color w:val="B78B37"/>
                <w:sz w:val="16"/>
                <w:lang w:val="pt-BR" w:bidi="ar-SA"/>
                <w:kern w:val="16"/>
                <w14:ligatures w14:val="standardContextual"/>
              </w:rPr>
              <w:t>ATENÇÃO</w:t>
            </w:r>
          </w:p>
          <w:p>
            <w:pPr>
              <w:spacing w:before="0" w:after="60" w:line="247" w:lineRule="auto"/>
              <w:jc w:val="both"/>
            </w:pP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>O fracionamento exige trabalho editorial além do simples recorte:</w:t>
            </w:r>
          </w:p>
          <w:p>
            <w:pPr>
              <w:spacing w:before="0" w:after="30" w:line="240" w:lineRule="auto"/>
              <w:ind w:left="227" w:hanging="142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•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>363 remissões cruzadas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 ("v. Cap. X") no texto. Ao dividir, muitas passam a apontar para outro volume ("v. Vol. III, Cap. 9"): é preciso um passe de reescrita das remissões e a definição da nomenclatura (Volume ou Tomo).</w:t>
            </w:r>
          </w:p>
          <w:p>
            <w:pPr>
              <w:spacing w:before="0" w:after="30" w:line="240" w:lineRule="auto"/>
              <w:ind w:left="227" w:hanging="142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•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>Pré-textuais e ISBN por volume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 — cada livro recebe capa, ficha catalográfica e ISBN próprios; a coleção pode ter, ainda, um ISBN de coleção.</w:t>
            </w:r>
          </w:p>
          <w:p>
            <w:pPr>
              <w:spacing w:before="0" w:after="30" w:line="240" w:lineRule="auto"/>
              <w:ind w:left="227" w:hanging="142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•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>Índice remissivo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 — um por volume (mais útil ao leitor) ou um consolidado no volume final.</w:t>
            </w:r>
          </w:p>
          <w:p>
            <w:pPr>
              <w:spacing w:before="0" w:after="30" w:line="240" w:lineRule="auto"/>
              <w:ind w:left="227" w:hanging="142"/>
              <w:jc w:val="both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• </w:t>
            </w:r>
            <w:r>
              <w:rPr>
                <w:rFonts w:ascii="EB Garamond" w:hAnsi="EB Garamond" w:cs="EB Garamond"/>
                <w:b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>Recapitulações</w:t>
            </w:r>
            <w:r>
              <w:rPr>
                <w:rFonts w:ascii="EB Garamond" w:hAnsi="EB Garamond" w:cs="EB Garamond"/>
                <w:b w:val="0"/>
                <w:i w:val="0"/>
                <w:color w:val="201B16"/>
                <w:sz w:val="19"/>
                <w:lang w:val="pt-BR" w:bidi="ar-SA"/>
                <w:kern w:val="16"/>
                <w14:ligatures w14:val="standardContextual"/>
              </w:rPr>
              <w:t xml:space="preserve"> — conceitos-base (tempus regit actum, arquitetura da EC 103/2019) pedem breve retomada nos volumes que os empregam sem o volume de fundamentos à mão.</w:t>
            </w:r>
          </w:p>
        </w:tc>
      </w:tr>
    </w:tbl>
    <w:p>
      <w:pPr>
        <w:spacing w:before="0" w:after="80" w:line="240" w:lineRule="auto"/>
      </w:pP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6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Esforço estimado da divisão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A divisão é, em boa parte,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automatizável pelo próprio pipeline da obra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recorte dos capítulos, geração dos pré-textuais, do índice remissivo e dos arquivos PDF/DOCX por volume. O esforço irredutível concentra-se na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reescrita das remissões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e em breves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recapitulações autorais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.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Das remissões cruzadas, cerca de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160 apontam para um único capítulo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e formam o núcleo do trabalho. A medição por cenário mostra quantas passam a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cruzar fronteiras de volume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quanto menos, menor o retrabalho: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239"/>
        <w:gridCol w:w="2239"/>
        <w:gridCol w:w="2239"/>
        <w:gridCol w:w="2239"/>
      </w:tblGrid>
      <w:tr>
        <w:trPr>
          <w:tblHeader/>
        </w:trPr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Cenário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Volumes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Remissões entre volumes</w:t>
            </w:r>
          </w:p>
        </w:tc>
        <w:tc>
          <w:tcPr>
            <w:tcW w:type="dxa" w:w="2239"/>
            <w:shd w:fill="F0EDE6" w:val="clear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EB Garamond" w:hAnsi="EB Garamond" w:cs="EB Garamond"/>
                <w:b/>
                <w:i w:val="0"/>
                <w:color w:val="2F2923"/>
                <w:sz w:val="18"/>
                <w:lang w:val="pt-BR" w:bidi="ar-SA"/>
                <w:kern w:val="16"/>
                <w14:ligatures w14:val="standardContextual"/>
              </w:rPr>
              <w:t>Esforço relativo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 — equilibrado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102  (63%)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Médio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2 — modular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9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93  (58%)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Médio — menos remissões, mais pré-textuais</w:t>
            </w:r>
          </w:p>
        </w:tc>
      </w:tr>
      <w:tr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3 — duas obras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7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102  (63%)</w:t>
            </w:r>
          </w:p>
        </w:tc>
        <w:tc>
          <w:tcPr>
            <w:tcW w:type="dxa" w:w="2239"/>
            <w:tcBorders>
              <w:top w:val="single" w:sz="4" w:space="0" w:color="D2C9B8"/>
              <w:bottom w:val="single" w:sz="4" w:space="0" w:color="D2C9B8"/>
              <w:left w:val="single" w:sz="4" w:space="0" w:color="D2C9B8"/>
              <w:right w:val="single" w:sz="4" w:space="0" w:color="D2C9B8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EB Garamond" w:hAnsi="EB Garamond" w:cs="EB Garamond"/>
                <w:b w:val="0"/>
                <w:i w:val="0"/>
                <w:color w:val="201B16"/>
                <w:sz w:val="18"/>
                <w:lang w:val="pt-BR" w:bidi="ar-SA"/>
                <w:kern w:val="16"/>
                <w14:ligatures w14:val="standardContextual"/>
              </w:rPr>
              <w:t>Médio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Cenário 2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, embora tenha mais volumes, é o que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menos fragmenta as remissões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, porque mantém juntos os capítulos que mais se citam (incapacidade, caps. 6–7; cálculo, revisão e BPC, caps. 16–18). Já os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pré-textuais e índices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escalam com o número de volumes — ponto em que o Cenário 2 é o mais intensivo.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Recorte e geração por volume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automatável pelo pipeline existente.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Pré-textuais e índice por volume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automatáveis; o custo cresce com o nº de volumes.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Reescrita das remissões entre volumes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semiautomatável (detecção por script + revisão humana dos casos de faixa e dos ambíguos).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Recapitulações de conceitos-base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— trabalho autoral, poucas por volume.</w:t>
      </w:r>
    </w:p>
    <w:p>
      <w:pPr>
        <w:spacing w:before="0" w:after="60" w:line="276" w:lineRule="auto"/>
        <w:ind w:left="340" w:hanging="255"/>
        <w:jc w:val="both"/>
      </w:pPr>
      <w:r>
        <w:rPr>
          <w:rFonts w:ascii="EB Garamond" w:hAnsi="EB Garamond" w:cs="EB Garamond"/>
          <w:b w:val="0"/>
          <w:i w:val="0"/>
          <w:color w:val="B78B37"/>
          <w:sz w:val="16"/>
          <w:lang w:val="pt-BR" w:bidi="ar-SA"/>
          <w:kern w:val="16"/>
          <w14:ligatures w14:val="standardContextual"/>
        </w:rPr>
        <w:t xml:space="preserve">◆ 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ISBN por volume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(e eventual ISBN de coleção) — providência junto à editora.</w:t>
      </w:r>
    </w:p>
    <w:p>
      <w:pPr>
        <w:spacing w:before="0" w:after="8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_Em síntese: recorte, pré-textuais, índices e a maior parte das remissões podem ser entregues em poucas sessões de trabalho automatizado; o tempo de calendário é dominado pela revisão humana das remissões e pelas recapitulações._</w:t>
      </w:r>
    </w:p>
    <w:p>
      <w:pPr>
        <w:spacing w:before="400" w:after="120" w:line="240" w:lineRule="auto"/>
        <w:pBdr>
          <w:bottom w:val="single" w:sz="8" w:space="4" w:color="B78B37"/>
        </w:pBdr>
      </w:pPr>
      <w:r>
        <w:rPr>
          <w:rFonts w:ascii="Noto Sans" w:hAnsi="Noto Sans" w:cs="Noto Sans"/>
          <w:b/>
          <w:i w:val="0"/>
          <w:color w:val="B78B37"/>
          <w:sz w:val="26"/>
          <w:lang w:val="pt-BR" w:bidi="ar-SA"/>
          <w:kern w:val="16"/>
          <w14:ligatures w14:val="standardContextual"/>
        </w:rPr>
        <w:t xml:space="preserve">7  </w:t>
      </w:r>
      <w:r>
        <w:rPr>
          <w:rFonts w:ascii="EB Garamond" w:hAnsi="EB Garamond" w:cs="EB Garamond"/>
          <w:b/>
          <w:i w:val="0"/>
          <w:color w:val="3A3128"/>
          <w:sz w:val="31"/>
          <w:lang w:val="pt-BR" w:bidi="ar-SA"/>
          <w:kern w:val="16"/>
          <w14:ligatures w14:val="standardContextual"/>
        </w:rPr>
        <w:t>Recomendação</w:t>
      </w:r>
    </w:p>
    <w:p>
      <w:pPr>
        <w:spacing w:before="0" w:after="120" w:line="283" w:lineRule="auto"/>
        <w:jc w:val="both"/>
      </w:pP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Para uma coleção com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apelo comercial e autonomia de cada título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, recomendam-se 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Cenário 2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(modular, vendável por assunto) ou 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Cenário 3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(manual de prática destacado do tratado). O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Cenário 1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 xml:space="preserve"> é preferível se a prioridade for </w:t>
      </w:r>
      <w:r>
        <w:rPr>
          <w:rFonts w:ascii="EB Garamond" w:hAnsi="EB Garamond" w:cs="EB Garamond"/>
          <w:b/>
          <w:i w:val="0"/>
          <w:color w:val="201B16"/>
          <w:sz w:val="22"/>
          <w:lang w:val="pt-BR" w:bidi="ar-SA"/>
          <w:kern w:val="16"/>
          <w14:ligatures w14:val="standardContextual"/>
        </w:rPr>
        <w:t>reduzir custos e o número de volumes</w:t>
      </w:r>
      <w:r>
        <w:rPr>
          <w:rFonts w:ascii="EB Garamond" w:hAnsi="EB Garamond" w:cs="EB Garamond"/>
          <w:b w:val="0"/>
          <w:i w:val="0"/>
          <w:color w:val="201B16"/>
          <w:sz w:val="22"/>
          <w:lang w:val="pt-BR" w:bidi="ar-SA"/>
          <w:kern w:val="16"/>
          <w14:ligatures w14:val="standardContextual"/>
        </w:rPr>
        <w:t>. Em todos eles, o passe de remissões cruzadas é a etapa crítica e deve preceder a diagramação final.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EB Garamond" w:hAnsi="EB Garamond"/>
        <w:color w:val="6B6256"/>
        <w:sz w:val="18"/>
      </w:rPr>
      <w:fldChar w:fldCharType="begin"/>
    </w:r>
    <w:r>
      <w:rPr>
        <w:rFonts w:ascii="EB Garamond" w:hAnsi="EB Garamond"/>
        <w:color w:val="6B6256"/>
        <w:sz w:val="18"/>
      </w:rPr>
      <w:instrText xml:space="preserve"> PAGE </w:instrText>
    </w:r>
    <w:r>
      <w:rPr>
        <w:rFonts w:ascii="EB Garamond" w:hAnsi="EB Garamond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59" w:lineRule="auto"/>
      <w:jc w:val="both"/>
    </w:pPr>
    <w:rPr>
      <w:rFonts w:ascii="EB Garamond" w:hAnsi="EB Garamond"/>
      <w:color w:val="201B16"/>
      <w:sz w:val="21"/>
      <w:lang w:val="pt-BR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