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160" w:line="240" w:lineRule="auto"/>
        <w:jc w:val="center"/>
      </w:pPr>
      <w:r>
        <w:rPr>
          <w:rFonts w:ascii="EB Garamond" w:hAnsi="EB Garamond" w:cs="EB Garamond"/>
          <w:b w:val="0"/>
          <w:i w:val="0"/>
          <w:color w:val="B78B37"/>
          <w:sz w:val="22"/>
          <w:lang w:val="pt-BR" w:bidi="ar-SA"/>
          <w:kern w:val="16"/>
          <w14:ligatures w14:val="standardContextual"/>
        </w:rPr>
        <w:t>◆  ◆  ◆</w:t>
      </w:r>
    </w:p>
    <w:p>
      <w:pPr>
        <w:spacing w:before="40" w:after="40" w:line="252" w:lineRule="auto"/>
        <w:jc w:val="center"/>
      </w:pPr>
      <w:r>
        <w:rPr>
          <w:rFonts w:ascii="EB Garamond" w:hAnsi="EB Garamond" w:cs="EB Garamond"/>
          <w:b/>
          <w:i w:val="0"/>
          <w:color w:val="2F2923"/>
          <w:sz w:val="44"/>
          <w:lang w:val="pt-BR" w:bidi="ar-SA"/>
          <w:kern w:val="16"/>
          <w14:ligatures w14:val="standardContextual"/>
        </w:rPr>
        <w:t>Direito Previdenciário:</w:t>
      </w:r>
    </w:p>
    <w:p>
      <w:pPr>
        <w:spacing w:before="40" w:after="40" w:line="252" w:lineRule="auto"/>
        <w:jc w:val="center"/>
      </w:pPr>
      <w:r>
        <w:rPr>
          <w:rFonts w:ascii="EB Garamond" w:hAnsi="EB Garamond" w:cs="EB Garamond"/>
          <w:b/>
          <w:i w:val="0"/>
          <w:color w:val="2F2923"/>
          <w:sz w:val="44"/>
          <w:lang w:val="pt-BR" w:bidi="ar-SA"/>
          <w:kern w:val="16"/>
          <w14:ligatures w14:val="standardContextual"/>
        </w:rPr>
        <w:t>Teoria e Prática nos Juizados</w:t>
      </w:r>
    </w:p>
    <w:p>
      <w:pPr>
        <w:spacing w:before="40" w:after="40" w:line="252" w:lineRule="auto"/>
        <w:jc w:val="center"/>
      </w:pPr>
      <w:r>
        <w:rPr>
          <w:rFonts w:ascii="EB Garamond" w:hAnsi="EB Garamond" w:cs="EB Garamond"/>
          <w:b/>
          <w:i w:val="0"/>
          <w:color w:val="2F2923"/>
          <w:sz w:val="44"/>
          <w:lang w:val="pt-BR" w:bidi="ar-SA"/>
          <w:kern w:val="16"/>
          <w14:ligatures w14:val="standardContextual"/>
        </w:rPr>
        <w:t>Especiais Federais</w:t>
      </w:r>
    </w:p>
    <w:p>
      <w:pPr>
        <w:spacing w:before="240" w:after="120" w:line="240" w:lineRule="auto"/>
        <w:jc w:val="center"/>
      </w:pPr>
      <w:r>
        <w:rPr>
          <w:rFonts w:ascii="EB Garamond" w:hAnsi="EB Garamond" w:cs="EB Garamond"/>
          <w:b w:val="0"/>
          <w:i w:val="0"/>
          <w:color w:val="B78B37"/>
          <w:sz w:val="18"/>
          <w:lang w:val="pt-BR" w:bidi="ar-SA"/>
          <w:kern w:val="16"/>
          <w14:ligatures w14:val="standardContextual"/>
        </w:rPr>
        <w:t>◆</w:t>
      </w:r>
    </w:p>
    <w:p>
      <w:pPr>
        <w:spacing w:before="80" w:after="40" w:line="240" w:lineRule="auto"/>
        <w:jc w:val="center"/>
      </w:pPr>
      <w:r>
        <w:rPr>
          <w:rFonts w:ascii="EB Garamond" w:hAnsi="EB Garamond" w:cs="EB Garamond"/>
          <w:b w:val="0"/>
          <w:i w:val="0"/>
          <w:smallCaps/>
          <w:color w:val="3A3128"/>
          <w:sz w:val="28"/>
          <w:lang w:val="pt-BR" w:bidi="ar-SA"/>
          <w:kern w:val="16"/>
          <w14:ligatures w14:val="standardContextual"/>
        </w:rPr>
        <w:t>Claudio Kitner</w:t>
      </w:r>
    </w:p>
    <w:p>
      <w:pPr>
        <w:spacing w:before="80" w:after="40" w:line="240" w:lineRule="auto"/>
        <w:jc w:val="center"/>
      </w:pPr>
      <w:r>
        <w:rPr>
          <w:rFonts w:ascii="EB Garamond" w:hAnsi="EB Garamond" w:cs="EB Garamond"/>
          <w:b w:val="0"/>
          <w:i w:val="0"/>
          <w:smallCaps/>
          <w:color w:val="3A3128"/>
          <w:sz w:val="28"/>
          <w:lang w:val="pt-BR" w:bidi="ar-SA"/>
          <w:kern w:val="16"/>
          <w14:ligatures w14:val="standardContextual"/>
        </w:rPr>
        <w:t>Luiz Bispo da Silva Neto</w:t>
      </w: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jc w:val="center"/>
      </w:pPr>
      <w:r>
        <w:rPr>
          <w:rFonts w:ascii="EB Garamond" w:hAnsi="EB Garamond" w:cs="EB Garamond"/>
          <w:b w:val="0"/>
          <w:i w:val="0"/>
          <w:color w:val="6B6256"/>
          <w:sz w:val="24"/>
          <w:lang w:val="pt-BR" w:bidi="ar-SA"/>
          <w:kern w:val="16"/>
          <w14:ligatures w14:val="standardContextual"/>
        </w:rPr>
        <w:t>2026</w:t>
      </w:r>
    </w:p>
    <w:p>
      <w:pPr>
        <w:sectPr>
          <w:headerReference w:type="default" r:id="rId9"/>
          <w:headerReference w:type="first" r:id="rId10"/>
          <w:headerReference w:type="even" r:id="rId11"/>
          <w:footerReference w:type="default" r:id="rId12"/>
          <w:footerReference w:type="first" r:id="rId13"/>
          <w:footerReference w:type="even" r:id="rId14"/>
          <w:pgSz w:w="8391" w:h="11906"/>
          <w:pgMar w:top="935" w:right="879" w:bottom="964" w:left="1162" w:header="454" w:footer="425" w:gutter="0" w:mirrorMargins="1"/>
          <w:cols w:space="720"/>
          <w:titlePg/>
          <w:docGrid w:linePitch="360"/>
          <w:pgNumType w:fmt="lowerRoman" w:start="1"/>
        </w:sectPr>
      </w:pPr>
    </w:p>
    <w:p>
      <w:pPr>
        <w:spacing w:before="0" w:after="0" w:line="240" w:lineRule="auto"/>
      </w:pPr>
    </w:p>
    <w:p>
      <w:pPr>
        <w:spacing w:before="0" w:after="0" w:line="240" w:lineRule="auto"/>
      </w:pPr>
    </w:p>
    <w:p>
      <w:pPr>
        <w:spacing w:before="0" w:after="0" w:line="240" w:lineRule="auto"/>
      </w:pPr>
    </w:p>
    <w:p>
      <w:pPr>
        <w:spacing w:before="40" w:after="40" w:line="240" w:lineRule="auto"/>
        <w:jc w:val="center"/>
      </w:pPr>
      <w:r>
        <w:rPr>
          <w:rFonts w:ascii="EB Garamond" w:hAnsi="EB Garamond" w:cs="EB Garamond"/>
          <w:b w:val="0"/>
          <w:i w:val="0"/>
          <w:smallCaps/>
          <w:color w:val="3A3128"/>
          <w:sz w:val="26"/>
          <w:lang w:val="pt-BR" w:bidi="ar-SA"/>
          <w:kern w:val="16"/>
          <w14:ligatures w14:val="standardContextual"/>
        </w:rPr>
        <w:t>Claudio Kitner</w:t>
      </w:r>
    </w:p>
    <w:p>
      <w:pPr>
        <w:spacing w:before="40" w:after="40" w:line="240" w:lineRule="auto"/>
        <w:jc w:val="center"/>
      </w:pPr>
      <w:r>
        <w:rPr>
          <w:rFonts w:ascii="EB Garamond" w:hAnsi="EB Garamond" w:cs="EB Garamond"/>
          <w:b w:val="0"/>
          <w:i w:val="0"/>
          <w:smallCaps/>
          <w:color w:val="3A3128"/>
          <w:sz w:val="26"/>
          <w:lang w:val="pt-BR" w:bidi="ar-SA"/>
          <w:kern w:val="16"/>
          <w14:ligatures w14:val="standardContextual"/>
        </w:rPr>
        <w:t>Luiz Bispo da Silva Neto</w:t>
      </w:r>
    </w:p>
    <w:p>
      <w:pPr>
        <w:spacing w:before="0" w:after="160" w:line="240" w:lineRule="auto"/>
      </w:pPr>
    </w:p>
    <w:p>
      <w:pPr>
        <w:spacing w:before="0" w:after="160" w:line="240" w:lineRule="auto"/>
        <w:jc w:val="center"/>
      </w:pPr>
      <w:r>
        <w:rPr>
          <w:rFonts w:ascii="EB Garamond" w:hAnsi="EB Garamond" w:cs="EB Garamond"/>
          <w:b w:val="0"/>
          <w:i w:val="0"/>
          <w:color w:val="B78B37"/>
          <w:sz w:val="18"/>
          <w:lang w:val="pt-BR" w:bidi="ar-SA"/>
          <w:kern w:val="16"/>
          <w14:ligatures w14:val="standardContextual"/>
        </w:rPr>
        <w:t>━━━━  ◆  ━━━━</w:t>
      </w:r>
    </w:p>
    <w:p>
      <w:pPr>
        <w:spacing w:before="40" w:after="40" w:line="252" w:lineRule="auto"/>
        <w:jc w:val="center"/>
      </w:pPr>
      <w:r>
        <w:rPr>
          <w:rFonts w:ascii="EB Garamond" w:hAnsi="EB Garamond" w:cs="EB Garamond"/>
          <w:b/>
          <w:i w:val="0"/>
          <w:color w:val="2F2923"/>
          <w:sz w:val="40"/>
          <w:lang w:val="pt-BR" w:bidi="ar-SA"/>
          <w:kern w:val="16"/>
          <w14:ligatures w14:val="standardContextual"/>
        </w:rPr>
        <w:t>Direito Previdenciário:</w:t>
      </w:r>
    </w:p>
    <w:p>
      <w:pPr>
        <w:spacing w:before="40" w:after="40" w:line="252" w:lineRule="auto"/>
        <w:jc w:val="center"/>
      </w:pPr>
      <w:r>
        <w:rPr>
          <w:rFonts w:ascii="EB Garamond" w:hAnsi="EB Garamond" w:cs="EB Garamond"/>
          <w:b/>
          <w:i w:val="0"/>
          <w:color w:val="2F2923"/>
          <w:sz w:val="40"/>
          <w:lang w:val="pt-BR" w:bidi="ar-SA"/>
          <w:kern w:val="16"/>
          <w14:ligatures w14:val="standardContextual"/>
        </w:rPr>
        <w:t>Teoria e Prática nos Juizados</w:t>
      </w:r>
    </w:p>
    <w:p>
      <w:pPr>
        <w:spacing w:before="40" w:after="40" w:line="252" w:lineRule="auto"/>
        <w:jc w:val="center"/>
      </w:pPr>
      <w:r>
        <w:rPr>
          <w:rFonts w:ascii="EB Garamond" w:hAnsi="EB Garamond" w:cs="EB Garamond"/>
          <w:b/>
          <w:i w:val="0"/>
          <w:color w:val="2F2923"/>
          <w:sz w:val="40"/>
          <w:lang w:val="pt-BR" w:bidi="ar-SA"/>
          <w:kern w:val="16"/>
          <w14:ligatures w14:val="standardContextual"/>
        </w:rPr>
        <w:t>Especiais Federais</w:t>
      </w:r>
    </w:p>
    <w:p>
      <w:pPr>
        <w:spacing w:before="160" w:after="240" w:line="240" w:lineRule="auto"/>
        <w:jc w:val="center"/>
      </w:pPr>
      <w:r>
        <w:rPr>
          <w:rFonts w:ascii="EB Garamond" w:hAnsi="EB Garamond" w:cs="EB Garamond"/>
          <w:b w:val="0"/>
          <w:i w:val="0"/>
          <w:color w:val="B78B37"/>
          <w:sz w:val="18"/>
          <w:lang w:val="pt-BR" w:bidi="ar-SA"/>
          <w:kern w:val="16"/>
          <w14:ligatures w14:val="standardContextual"/>
        </w:rPr>
        <w:t>━━━━  ◆  ━━━━</w:t>
      </w:r>
    </w:p>
    <w:p>
      <w:pPr>
        <w:spacing w:before="80" w:after="40" w:line="252" w:lineRule="auto"/>
        <w:jc w:val="center"/>
      </w:pPr>
      <w:r>
        <w:rPr>
          <w:rFonts w:ascii="EB Garamond" w:hAnsi="EB Garamond" w:cs="EB Garamond"/>
          <w:b w:val="0"/>
          <w:i/>
          <w:color w:val="6B6256"/>
          <w:sz w:val="22"/>
          <w:lang w:val="pt-BR" w:bidi="ar-SA"/>
          <w:kern w:val="16"/>
          <w14:ligatures w14:val="standardContextual"/>
        </w:rPr>
        <w:t>Doutrina, Jurisprudência e Prática Forense</w:t>
      </w:r>
    </w:p>
    <w:p>
      <w:pPr>
        <w:spacing w:before="160" w:after="40" w:line="240" w:lineRule="auto"/>
        <w:jc w:val="center"/>
      </w:pPr>
      <w:r>
        <w:rPr>
          <w:rFonts w:ascii="EB Garamond" w:hAnsi="EB Garamond" w:cs="EB Garamond"/>
          <w:b w:val="0"/>
          <w:i w:val="0"/>
          <w:color w:val="6B6256"/>
          <w:sz w:val="20"/>
          <w:lang w:val="pt-BR" w:bidi="ar-SA"/>
          <w:kern w:val="16"/>
          <w14:ligatures w14:val="standardContextual"/>
        </w:rPr>
        <w:t>1a Edição</w:t>
      </w:r>
    </w:p>
    <w:p>
      <w:pPr>
        <w:spacing w:before="0" w:after="0" w:line="240" w:lineRule="auto"/>
      </w:pPr>
    </w:p>
    <w:p>
      <w:pPr>
        <w:spacing w:before="0" w:after="0" w:line="240" w:lineRule="auto"/>
      </w:pPr>
    </w:p>
    <w:p>
      <w:pPr>
        <w:spacing w:before="0" w:after="0" w:line="240" w:lineRule="auto"/>
      </w:pPr>
    </w:p>
    <w:p>
      <w:pPr>
        <w:spacing w:before="0" w:after="0" w:line="240" w:lineRule="auto"/>
        <w:jc w:val="center"/>
      </w:pPr>
      <w:r>
        <w:rPr>
          <w:rFonts w:ascii="EB Garamond" w:hAnsi="EB Garamond" w:cs="EB Garamond"/>
          <w:b w:val="0"/>
          <w:i w:val="0"/>
          <w:color w:val="6B6256"/>
          <w:sz w:val="24"/>
          <w:lang w:val="pt-BR" w:bidi="ar-SA"/>
          <w:kern w:val="16"/>
          <w14:ligatures w14:val="standardContextual"/>
        </w:rPr>
        <w:t>2026</w:t>
      </w:r>
    </w:p>
    <w:p>
      <w:pPr>
        <w:sectPr>
          <w:headerReference w:type="default" r:id="rId15"/>
          <w:headerReference w:type="first" r:id="rId16"/>
          <w:headerReference w:type="even" r:id="rId17"/>
          <w:footerReference w:type="default" r:id="rId18"/>
          <w:footerReference w:type="first" r:id="rId19"/>
          <w:footerReference w:type="even" r:id="rId20"/>
          <w:pgSz w:w="8391" w:h="11906"/>
          <w:pgMar w:top="935" w:right="879" w:bottom="964" w:left="1162" w:header="454" w:footer="425" w:gutter="0" w:mirrorMargins="1"/>
          <w:cols w:space="720"/>
          <w:titlePg/>
          <w:docGrid w:linePitch="360"/>
          <w:pgNumType w:fmt="lowerRoman"/>
        </w:sectPr>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30" w:line="240" w:lineRule="auto"/>
        <w:jc w:val="left"/>
      </w:pPr>
      <w:r>
        <w:rPr>
          <w:rFonts w:ascii="EB Garamond" w:hAnsi="EB Garamond" w:cs="EB Garamond"/>
          <w:b/>
          <w:i w:val="0"/>
          <w:color w:val="3A3128"/>
          <w:sz w:val="17"/>
          <w:lang w:val="pt-BR" w:bidi="ar-SA"/>
          <w:kern w:val="16"/>
          <w14:ligatures w14:val="standardContextual"/>
        </w:rPr>
        <w:t>KITNER, Claudio; SILVA NETO, Luiz Bispo da.</w:t>
      </w:r>
    </w:p>
    <w:p>
      <w:pPr>
        <w:spacing w:before="0" w:after="30" w:line="240" w:lineRule="auto"/>
        <w:jc w:val="left"/>
      </w:pPr>
      <w:r>
        <w:rPr>
          <w:rFonts w:ascii="EB Garamond" w:hAnsi="EB Garamond" w:cs="EB Garamond"/>
          <w:b w:val="0"/>
          <w:i w:val="0"/>
          <w:color w:val="3A3128"/>
          <w:sz w:val="17"/>
          <w:lang w:val="pt-BR" w:bidi="ar-SA"/>
          <w:kern w:val="16"/>
          <w14:ligatures w14:val="standardContextual"/>
        </w:rPr>
        <w:t>Direito Previdenciário: Teoria e Prática nos Juizados Especiais Federais /</w:t>
      </w:r>
    </w:p>
    <w:p>
      <w:pPr>
        <w:spacing w:before="0" w:after="30" w:line="240" w:lineRule="auto"/>
        <w:jc w:val="left"/>
      </w:pPr>
      <w:r>
        <w:rPr>
          <w:rFonts w:ascii="EB Garamond" w:hAnsi="EB Garamond" w:cs="EB Garamond"/>
          <w:b w:val="0"/>
          <w:i w:val="0"/>
          <w:color w:val="3A3128"/>
          <w:sz w:val="17"/>
          <w:lang w:val="pt-BR" w:bidi="ar-SA"/>
          <w:kern w:val="16"/>
          <w14:ligatures w14:val="standardContextual"/>
        </w:rPr>
        <w:t>Claudio Kitner, Luiz Bispo da Silva Neto. — 1. ed. — 2026.</w:t>
      </w:r>
    </w:p>
    <w:p>
      <w:pPr>
        <w:spacing w:before="0" w:after="80" w:line="240" w:lineRule="auto"/>
      </w:pPr>
    </w:p>
    <w:p>
      <w:pPr>
        <w:spacing w:before="0" w:after="30" w:line="240" w:lineRule="auto"/>
        <w:jc w:val="left"/>
      </w:pPr>
      <w:r>
        <w:rPr>
          <w:rFonts w:ascii="EB Garamond" w:hAnsi="EB Garamond" w:cs="EB Garamond"/>
          <w:b w:val="0"/>
          <w:i w:val="0"/>
          <w:color w:val="3A3128"/>
          <w:sz w:val="17"/>
          <w:lang w:val="pt-BR" w:bidi="ar-SA"/>
          <w:kern w:val="16"/>
          <w14:ligatures w14:val="standardContextual"/>
        </w:rPr>
        <w:t>ISBN [a definir]</w:t>
      </w:r>
    </w:p>
    <w:p>
      <w:pPr>
        <w:spacing w:before="0" w:after="80" w:line="240" w:lineRule="auto"/>
      </w:pPr>
    </w:p>
    <w:p>
      <w:pPr>
        <w:spacing w:before="0" w:after="30" w:line="240" w:lineRule="auto"/>
        <w:jc w:val="left"/>
      </w:pPr>
      <w:r>
        <w:rPr>
          <w:rFonts w:ascii="EB Garamond" w:hAnsi="EB Garamond" w:cs="EB Garamond"/>
          <w:b w:val="0"/>
          <w:i w:val="0"/>
          <w:color w:val="3A3128"/>
          <w:sz w:val="17"/>
          <w:lang w:val="pt-BR" w:bidi="ar-SA"/>
          <w:kern w:val="16"/>
          <w14:ligatures w14:val="standardContextual"/>
        </w:rPr>
        <w:t>1. Direito previdenciário — Brasil. 2. Juizados Especiais Federais.</w:t>
      </w:r>
    </w:p>
    <w:p>
      <w:pPr>
        <w:spacing w:before="0" w:after="30" w:line="240" w:lineRule="auto"/>
        <w:jc w:val="left"/>
      </w:pPr>
      <w:r>
        <w:rPr>
          <w:rFonts w:ascii="EB Garamond" w:hAnsi="EB Garamond" w:cs="EB Garamond"/>
          <w:b w:val="0"/>
          <w:i w:val="0"/>
          <w:color w:val="3A3128"/>
          <w:sz w:val="17"/>
          <w:lang w:val="pt-BR" w:bidi="ar-SA"/>
          <w:kern w:val="16"/>
          <w14:ligatures w14:val="standardContextual"/>
        </w:rPr>
        <w:t>3. Seguridade social. 4. Benefícios previdenciários. I. Título.</w:t>
      </w:r>
    </w:p>
    <w:p>
      <w:pPr>
        <w:spacing w:before="0" w:after="80" w:line="240" w:lineRule="auto"/>
      </w:pPr>
    </w:p>
    <w:p>
      <w:pPr>
        <w:spacing w:before="0" w:after="30" w:line="240" w:lineRule="auto"/>
        <w:jc w:val="left"/>
      </w:pPr>
      <w:r>
        <w:rPr>
          <w:rFonts w:ascii="EB Garamond" w:hAnsi="EB Garamond" w:cs="EB Garamond"/>
          <w:b w:val="0"/>
          <w:i w:val="0"/>
          <w:color w:val="3A3128"/>
          <w:sz w:val="17"/>
          <w:lang w:val="pt-BR" w:bidi="ar-SA"/>
          <w:kern w:val="16"/>
          <w14:ligatures w14:val="standardContextual"/>
        </w:rPr>
        <w:t>CDU 349.3(81)</w:t>
      </w:r>
    </w:p>
    <w:p>
      <w:pPr>
        <w:spacing w:before="0" w:after="30" w:line="240" w:lineRule="auto"/>
        <w:jc w:val="left"/>
      </w:pPr>
      <w:r>
        <w:rPr>
          <w:rFonts w:ascii="EB Garamond" w:hAnsi="EB Garamond" w:cs="EB Garamond"/>
          <w:b w:val="0"/>
          <w:i w:val="0"/>
          <w:color w:val="3A3128"/>
          <w:sz w:val="17"/>
          <w:lang w:val="pt-BR" w:bidi="ar-SA"/>
          <w:kern w:val="16"/>
          <w14:ligatures w14:val="standardContextual"/>
        </w:rPr>
        <w:t>CDD 344.8102</w:t>
      </w:r>
    </w:p>
    <w:p>
      <w:pPr>
        <w:spacing w:before="0" w:after="160" w:line="240" w:lineRule="auto"/>
      </w:pPr>
    </w:p>
    <w:p>
      <w:pPr>
        <w:spacing w:before="0" w:after="30" w:line="240" w:lineRule="auto"/>
        <w:jc w:val="left"/>
      </w:pPr>
      <w:r>
        <w:rPr>
          <w:rFonts w:ascii="EB Garamond" w:hAnsi="EB Garamond" w:cs="EB Garamond"/>
          <w:b w:val="0"/>
          <w:i/>
          <w:color w:val="3A3128"/>
          <w:sz w:val="15"/>
          <w:lang w:val="pt-BR" w:bidi="ar-SA"/>
          <w:kern w:val="16"/>
          <w14:ligatures w14:val="standardContextual"/>
        </w:rPr>
        <w:t>Todos os direitos reservados. Nenhuma parte desta obra pode ser reproduzida,</w:t>
      </w:r>
    </w:p>
    <w:p>
      <w:pPr>
        <w:spacing w:before="0" w:after="30" w:line="240" w:lineRule="auto"/>
        <w:jc w:val="left"/>
      </w:pPr>
      <w:r>
        <w:rPr>
          <w:rFonts w:ascii="EB Garamond" w:hAnsi="EB Garamond" w:cs="EB Garamond"/>
          <w:b w:val="0"/>
          <w:i/>
          <w:color w:val="3A3128"/>
          <w:sz w:val="15"/>
          <w:lang w:val="pt-BR" w:bidi="ar-SA"/>
          <w:kern w:val="16"/>
          <w14:ligatures w14:val="standardContextual"/>
        </w:rPr>
        <w:t>armazenada ou transmitida por qualquer meio sem autorização prévia dos autores.</w:t>
      </w:r>
    </w:p>
    <w:p>
      <w:pPr>
        <w:spacing w:before="0" w:after="80" w:line="240" w:lineRule="auto"/>
      </w:pPr>
    </w:p>
    <w:p>
      <w:pPr>
        <w:spacing w:before="0" w:after="30" w:line="240" w:lineRule="auto"/>
        <w:jc w:val="left"/>
      </w:pPr>
      <w:r>
        <w:rPr>
          <w:rFonts w:ascii="EB Garamond" w:hAnsi="EB Garamond" w:cs="EB Garamond"/>
          <w:b w:val="0"/>
          <w:i/>
          <w:color w:val="3A3128"/>
          <w:sz w:val="15"/>
          <w:lang w:val="pt-BR" w:bidi="ar-SA"/>
          <w:kern w:val="16"/>
          <w14:ligatures w14:val="standardContextual"/>
        </w:rPr>
        <w:t>Esta edição reflete a legislação e a jurisprudência até junho de 2026.</w:t>
      </w:r>
    </w:p>
    <w:p>
      <w:pPr>
        <w:sectPr>
          <w:headerReference w:type="default" r:id="rId21"/>
          <w:headerReference w:type="first" r:id="rId22"/>
          <w:headerReference w:type="even" r:id="rId23"/>
          <w:footerReference w:type="default" r:id="rId24"/>
          <w:footerReference w:type="first" r:id="rId25"/>
          <w:footerReference w:type="even" r:id="rId26"/>
          <w:pgSz w:w="8391" w:h="11906"/>
          <w:pgMar w:top="935" w:right="879" w:bottom="964" w:left="1162" w:header="454" w:footer="425" w:gutter="0" w:mirrorMargins="1"/>
          <w:cols w:space="720"/>
          <w:titlePg/>
          <w:docGrid w:linePitch="360"/>
          <w:pgNumType w:fmt="lowerRoman"/>
        </w:sectPr>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80" w:line="276" w:lineRule="auto"/>
        <w:jc w:val="right"/>
      </w:pPr>
      <w:r>
        <w:rPr>
          <w:rFonts w:ascii="EB Garamond" w:hAnsi="EB Garamond" w:cs="EB Garamond"/>
          <w:b w:val="0"/>
          <w:i/>
          <w:color w:val="3A3128"/>
          <w:sz w:val="21"/>
          <w:lang w:val="pt-BR" w:bidi="ar-SA"/>
          <w:kern w:val="16"/>
          <w14:ligatures w14:val="standardContextual"/>
        </w:rPr>
        <w:t>Aos jurisdicionados dos Juizados Especiais Federais,</w:t>
      </w:r>
    </w:p>
    <w:p>
      <w:pPr>
        <w:spacing w:before="0" w:after="320" w:line="276" w:lineRule="auto"/>
        <w:jc w:val="right"/>
      </w:pPr>
      <w:r>
        <w:rPr>
          <w:rFonts w:ascii="EB Garamond" w:hAnsi="EB Garamond" w:cs="EB Garamond"/>
          <w:b w:val="0"/>
          <w:i/>
          <w:color w:val="3A3128"/>
          <w:sz w:val="21"/>
          <w:lang w:val="pt-BR" w:bidi="ar-SA"/>
          <w:kern w:val="16"/>
          <w14:ligatures w14:val="standardContextual"/>
        </w:rPr>
        <w:t>que buscam na Justiça a proteção social que lhes é devida.</w:t>
      </w: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80" w:line="276" w:lineRule="auto"/>
        <w:ind w:right="283"/>
        <w:jc w:val="right"/>
      </w:pPr>
      <w:r>
        <w:rPr>
          <w:rFonts w:ascii="EB Garamond" w:hAnsi="EB Garamond" w:cs="EB Garamond"/>
          <w:b w:val="0"/>
          <w:i/>
          <w:color w:val="6B6256"/>
          <w:sz w:val="19"/>
          <w:lang w:val="pt-BR" w:bidi="ar-SA"/>
          <w:kern w:val="16"/>
          <w14:ligatures w14:val="standardContextual"/>
        </w:rPr>
        <w:t>A previdência social é a mais importante conquista</w:t>
      </w:r>
    </w:p>
    <w:p>
      <w:pPr>
        <w:spacing w:before="0" w:after="80" w:line="276" w:lineRule="auto"/>
        <w:ind w:right="283"/>
        <w:jc w:val="right"/>
      </w:pPr>
      <w:r>
        <w:rPr>
          <w:rFonts w:ascii="EB Garamond" w:hAnsi="EB Garamond" w:cs="EB Garamond"/>
          <w:b w:val="0"/>
          <w:i/>
          <w:color w:val="6B6256"/>
          <w:sz w:val="19"/>
          <w:lang w:val="pt-BR" w:bidi="ar-SA"/>
          <w:kern w:val="16"/>
          <w14:ligatures w14:val="standardContextual"/>
        </w:rPr>
        <w:t>do trabalhador no século XX.</w:t>
      </w:r>
    </w:p>
    <w:p>
      <w:pPr>
        <w:spacing w:before="0" w:after="0" w:line="240" w:lineRule="auto"/>
        <w:ind w:right="283"/>
        <w:jc w:val="right"/>
      </w:pPr>
      <w:r>
        <w:rPr>
          <w:rFonts w:ascii="EB Garamond" w:hAnsi="EB Garamond" w:cs="EB Garamond"/>
          <w:b w:val="0"/>
          <w:i w:val="0"/>
          <w:smallCaps/>
          <w:color w:val="6B6256"/>
          <w:sz w:val="17"/>
          <w:lang w:val="pt-BR" w:bidi="ar-SA"/>
          <w:kern w:val="16"/>
          <w14:ligatures w14:val="standardContextual"/>
        </w:rPr>
        <w:t>— Wladimir Novaes Martinez</w:t>
      </w:r>
    </w:p>
    <w:p>
      <w:pPr>
        <w:sectPr>
          <w:headerReference w:type="default" r:id="rId27"/>
          <w:headerReference w:type="first" r:id="rId28"/>
          <w:headerReference w:type="even" r:id="rId29"/>
          <w:footerReference w:type="default" r:id="rId30"/>
          <w:footerReference w:type="first" r:id="rId31"/>
          <w:footerReference w:type="even" r:id="rId32"/>
          <w:pgSz w:w="8391" w:h="11906"/>
          <w:pgMar w:top="935" w:right="879" w:bottom="964" w:left="1162" w:header="454" w:footer="425" w:gutter="0" w:mirrorMargins="1"/>
          <w:cols w:space="720"/>
          <w:titlePg/>
          <w:docGrid w:linePitch="360"/>
          <w:pgNumType w:fmt="lowerRoman"/>
        </w:sectPr>
      </w:pPr>
    </w:p>
    <w:p>
      <w:pPr>
        <w:spacing w:before="320" w:after="160" w:line="240" w:lineRule="auto"/>
        <w:jc w:val="center"/>
      </w:pPr>
      <w:r>
        <w:rPr>
          <w:rFonts w:ascii="EB Garamond" w:hAnsi="EB Garamond" w:cs="EB Garamond"/>
          <w:b/>
          <w:i w:val="0"/>
          <w:color w:val="2F2923"/>
          <w:sz w:val="32"/>
          <w:lang w:val="pt-BR" w:bidi="ar-SA"/>
          <w:kern w:val="16"/>
          <w14:ligatures w14:val="standardContextual"/>
        </w:rPr>
        <w:t>APRESENTAÇÃO</w:t>
      </w:r>
    </w:p>
    <w:p>
      <w:pPr>
        <w:spacing w:before="0" w:after="280" w:line="240" w:lineRule="auto"/>
        <w:jc w:val="center"/>
      </w:pPr>
      <w:r>
        <w:rPr>
          <w:rFonts w:ascii="EB Garamond" w:hAnsi="EB Garamond" w:cs="EB Garamond"/>
          <w:b w:val="0"/>
          <w:i w:val="0"/>
          <w:color w:val="B78B37"/>
          <w:sz w:val="18"/>
          <w:lang w:val="pt-BR" w:bidi="ar-SA"/>
          <w:kern w:val="16"/>
          <w14:ligatures w14:val="standardContextual"/>
        </w:rPr>
        <w:t>━━━━  ◆  ━━━━</w:t>
      </w:r>
    </w:p>
    <w:p>
      <w:pPr>
        <w:spacing w:before="0" w:after="120" w:line="276" w:lineRule="auto"/>
        <w:jc w:val="both"/>
      </w:pPr>
      <w:r>
        <w:rPr>
          <w:rFonts w:ascii="EB Garamond" w:hAnsi="EB Garamond" w:cs="EB Garamond"/>
          <w:b w:val="0"/>
          <w:i w:val="0"/>
          <w:color w:val="201B16"/>
          <w:sz w:val="21"/>
          <w:lang w:val="pt-BR" w:bidi="ar-SA"/>
          <w:kern w:val="16"/>
          <w14:ligatures w14:val="standardContextual"/>
        </w:rPr>
        <w:t>O contencioso previdenciário brasileiro tem, hoje, um endereço predominante: os Juizados Especiais Federais. É neles que se decide, todos os dias e em escala de massa, o destino concreto de aposentadorias, auxílios, pensões e benefícios assistenciais — muitas vezes a única fonte de subsistência de quem litiga. Essa centralidade impõe ao advogado e ao magistrado um desafio particular: dominar, ao mesmo tempo, a densa teoria do Direito Previdenciário e a dinâmica processual, probatória e prática que caracteriza o rito dos Juizados.</w:t>
      </w:r>
    </w:p>
    <w:p>
      <w:pPr>
        <w:spacing w:before="0" w:after="120" w:line="276" w:lineRule="auto"/>
        <w:jc w:val="both"/>
      </w:pPr>
      <w:r>
        <w:rPr>
          <w:rFonts w:ascii="EB Garamond" w:hAnsi="EB Garamond" w:cs="EB Garamond"/>
          <w:b w:val="0"/>
          <w:i w:val="0"/>
          <w:color w:val="201B16"/>
          <w:sz w:val="21"/>
          <w:lang w:val="pt-BR" w:bidi="ar-SA"/>
          <w:kern w:val="16"/>
          <w14:ligatures w14:val="standardContextual"/>
        </w:rPr>
        <w:t>Esta obra nasce da percepção de que teoria e prática, nesse campo, não podem caminhar separadas. De um lado, a Emenda Constitucional 103/2019 reescreveu a arquitetura do Regime Geral de Previdência Social, e as reformas que a sucederam, somadas a um fluxo constante de teses firmadas pelo STF, pelo STJ e pela TNU, tornaram o terreno normativo instável e exigente. De outro, o cotidiano dos Juizados Especiais Federais é feito de perícias, cálculos, provas de tempo de contribuição e requisitos que só se compreendem quando a norma é lida à luz de sua aplicação real.</w:t>
      </w:r>
    </w:p>
    <w:p>
      <w:pPr>
        <w:spacing w:before="0" w:after="120" w:line="276" w:lineRule="auto"/>
        <w:jc w:val="both"/>
      </w:pPr>
      <w:r>
        <w:rPr>
          <w:rFonts w:ascii="EB Garamond" w:hAnsi="EB Garamond" w:cs="EB Garamond"/>
          <w:b w:val="0"/>
          <w:i w:val="0"/>
          <w:color w:val="201B16"/>
          <w:sz w:val="21"/>
          <w:lang w:val="pt-BR" w:bidi="ar-SA"/>
          <w:kern w:val="16"/>
          <w14:ligatures w14:val="standardContextual"/>
        </w:rPr>
        <w:t>Para responder a esse duplo desafio, a exposição de cada tema conjuga o tratamento doutrinário com orientações operacionais. Ao lado da fundamentação teórica, o leitor encontrará boxes de jurisprudência, quadros sinóticos, alertas práticos e roteiros de atuação voltados à realidade das varas federais. A preocupação constante foi a de oferecer não apenas o que a lei diz, mas como o direito efetivamente se resolve no requerimento administrativo, na petição inicial, na instrução e na sentença.</w:t>
      </w:r>
    </w:p>
    <w:p>
      <w:pPr>
        <w:spacing w:before="0" w:after="120" w:line="276" w:lineRule="auto"/>
        <w:jc w:val="both"/>
      </w:pPr>
      <w:r>
        <w:rPr>
          <w:rFonts w:ascii="EB Garamond" w:hAnsi="EB Garamond" w:cs="EB Garamond"/>
          <w:b w:val="0"/>
          <w:i w:val="0"/>
          <w:color w:val="201B16"/>
          <w:sz w:val="21"/>
          <w:lang w:val="pt-BR" w:bidi="ar-SA"/>
          <w:kern w:val="16"/>
          <w14:ligatures w14:val="standardContextual"/>
        </w:rPr>
        <w:t>A obra está organizada em seis partes e vinte e três capítulos. A Parte I trata dos fundamentos do Regime Geral de Previdência Social — evolução histórica, princípios constitucionais, segurados e dependentes, carência e qualidade de segurado, custeio e reconhecimento de tempo de contribuição. A Parte II examina os benefícios por incapacidade; a Parte III, as aposentadorias programadas, especiais, rurais e da pessoa com deficiência; a Parte IV, as pensões, os auxílios, o cálculo e a revisão dos benefícios e o benefício assistencial; a Parte V, os temas transversais de acumulação de benefícios, decadência, prescrição e coisa julgada; e a Parte VI, o processo previdenciário nos Juizados Especiais Federais — processo administrativo, competência e procedimento. Do fundamento constitucional à sentença, o percurso acompanha a lógica com que os litígios efetivamente se apresentam e se resolvem.</w:t>
      </w:r>
    </w:p>
    <w:p>
      <w:pPr>
        <w:spacing w:before="0" w:after="120" w:line="276" w:lineRule="auto"/>
        <w:jc w:val="both"/>
      </w:pPr>
      <w:r>
        <w:rPr>
          <w:rFonts w:ascii="EB Garamond" w:hAnsi="EB Garamond" w:cs="EB Garamond"/>
          <w:b w:val="0"/>
          <w:i w:val="0"/>
          <w:color w:val="201B16"/>
          <w:sz w:val="21"/>
          <w:lang w:val="pt-BR" w:bidi="ar-SA"/>
          <w:kern w:val="16"/>
          <w14:ligatures w14:val="standardContextual"/>
        </w:rPr>
        <w:t>Toda a legislação e a jurisprudência citadas foram conferidas contra as fontes oficiais e refletem o estado do Direito Previdenciário até junho de 2026, com registro das principais controvérsias ainda pendentes de pacificação. O propósito não é encerrar o debate, mas municiar o operador do direito com um instrumento confiável, atualizado e diretamente aplicável.</w:t>
      </w:r>
    </w:p>
    <w:p>
      <w:pPr>
        <w:spacing w:before="0" w:after="120" w:line="276" w:lineRule="auto"/>
        <w:jc w:val="both"/>
      </w:pPr>
      <w:r>
        <w:rPr>
          <w:rFonts w:ascii="EB Garamond" w:hAnsi="EB Garamond" w:cs="EB Garamond"/>
          <w:b w:val="0"/>
          <w:i w:val="0"/>
          <w:color w:val="201B16"/>
          <w:sz w:val="21"/>
          <w:lang w:val="pt-BR" w:bidi="ar-SA"/>
          <w:kern w:val="16"/>
          <w14:ligatures w14:val="standardContextual"/>
        </w:rPr>
        <w:t>Que esta obra seja útil a quem, na advocacia e na magistratura, dedica seu trabalho a dar efetividade à proteção social — razão de ser de todo o sistema previdenciário.</w:t>
      </w:r>
    </w:p>
    <w:p>
      <w:pPr>
        <w:spacing w:before="160" w:after="80" w:line="240" w:lineRule="auto"/>
        <w:jc w:val="right"/>
      </w:pPr>
      <w:r>
        <w:rPr>
          <w:rFonts w:ascii="EB Garamond" w:hAnsi="EB Garamond" w:cs="EB Garamond"/>
          <w:b w:val="0"/>
          <w:i/>
          <w:color w:val="3A3128"/>
          <w:sz w:val="21"/>
          <w:lang w:val="pt-BR" w:bidi="ar-SA"/>
          <w:kern w:val="16"/>
          <w14:ligatures w14:val="standardContextual"/>
        </w:rPr>
        <w:t>Os autores</w:t>
      </w:r>
    </w:p>
    <w:p>
      <w:pPr>
        <w:sectPr>
          <w:headerReference w:type="default" r:id="rId33"/>
          <w:headerReference w:type="first" r:id="rId34"/>
          <w:headerReference w:type="even" r:id="rId35"/>
          <w:footerReference w:type="default" r:id="rId36"/>
          <w:footerReference w:type="first" r:id="rId37"/>
          <w:footerReference w:type="even" r:id="rId38"/>
          <w:pgSz w:w="8391" w:h="11906"/>
          <w:pgMar w:top="935" w:right="879" w:bottom="964" w:left="1162" w:header="454" w:footer="425" w:gutter="0" w:mirrorMargins="1"/>
          <w:cols w:space="720"/>
          <w:titlePg/>
          <w:docGrid w:linePitch="360"/>
          <w:pgNumType w:fmt="lowerRoman"/>
        </w:sectPr>
      </w:pPr>
    </w:p>
    <w:p>
      <w:pPr>
        <w:spacing w:before="320" w:after="160" w:line="240" w:lineRule="auto"/>
        <w:jc w:val="center"/>
      </w:pPr>
      <w:r>
        <w:rPr>
          <w:rFonts w:ascii="EB Garamond" w:hAnsi="EB Garamond" w:cs="EB Garamond"/>
          <w:b/>
          <w:i w:val="0"/>
          <w:color w:val="2F2923"/>
          <w:sz w:val="32"/>
          <w:lang w:val="pt-BR" w:bidi="ar-SA"/>
          <w:kern w:val="16"/>
          <w14:ligatures w14:val="standardContextual"/>
        </w:rPr>
        <w:t>LISTA DE ABREVIATURAS E SIGLAS</w:t>
      </w:r>
    </w:p>
    <w:p>
      <w:pPr>
        <w:spacing w:before="0" w:after="240" w:line="240" w:lineRule="auto"/>
        <w:jc w:val="center"/>
      </w:pPr>
      <w:r>
        <w:rPr>
          <w:rFonts w:ascii="EB Garamond" w:hAnsi="EB Garamond" w:cs="EB Garamond"/>
          <w:b w:val="0"/>
          <w:i w:val="0"/>
          <w:color w:val="B78B37"/>
          <w:sz w:val="18"/>
          <w:lang w:val="pt-BR" w:bidi="ar-SA"/>
          <w:kern w:val="16"/>
          <w14:ligatures w14:val="standardContextual"/>
        </w:rPr>
        <w:t>━━━━  ◆  ━━━━</w:t>
      </w:r>
    </w:p>
    <w:p>
      <w:pPr>
        <w:spacing w:before="0" w:after="30" w:line="252" w:lineRule="auto"/>
        <w:jc w:val="left"/>
      </w:pPr>
      <w:r>
        <w:rPr>
          <w:rFonts w:ascii="EB Garamond" w:hAnsi="EB Garamond" w:cs="EB Garamond"/>
          <w:b/>
          <w:i w:val="0"/>
          <w:color w:val="2F2923"/>
          <w:sz w:val="20"/>
          <w:lang w:val="pt-BR" w:bidi="ar-SA"/>
          <w:kern w:val="16"/>
          <w14:ligatures w14:val="standardContextual"/>
        </w:rPr>
        <w:t>ADI</w:t>
      </w:r>
      <w:r>
        <w:rPr>
          <w:rFonts w:ascii="EB Garamond" w:hAnsi="EB Garamond" w:cs="EB Garamond"/>
          <w:b w:val="0"/>
          <w:i w:val="0"/>
          <w:color w:val="3A3128"/>
          <w:sz w:val="20"/>
          <w:lang w:val="pt-BR" w:bidi="ar-SA"/>
          <w:kern w:val="16"/>
          <w14:ligatures w14:val="standardContextual"/>
        </w:rPr>
        <w:t xml:space="preserve">  —  Ação Direta de Inconstitucionalidade</w:t>
      </w:r>
    </w:p>
    <w:p>
      <w:pPr>
        <w:spacing w:before="0" w:after="30" w:line="252" w:lineRule="auto"/>
        <w:jc w:val="left"/>
      </w:pPr>
      <w:r>
        <w:rPr>
          <w:rFonts w:ascii="EB Garamond" w:hAnsi="EB Garamond" w:cs="EB Garamond"/>
          <w:b/>
          <w:i w:val="0"/>
          <w:color w:val="2F2923"/>
          <w:sz w:val="20"/>
          <w:lang w:val="pt-BR" w:bidi="ar-SA"/>
          <w:kern w:val="16"/>
          <w14:ligatures w14:val="standardContextual"/>
        </w:rPr>
        <w:t>APS</w:t>
      </w:r>
      <w:r>
        <w:rPr>
          <w:rFonts w:ascii="EB Garamond" w:hAnsi="EB Garamond" w:cs="EB Garamond"/>
          <w:b w:val="0"/>
          <w:i w:val="0"/>
          <w:color w:val="3A3128"/>
          <w:sz w:val="20"/>
          <w:lang w:val="pt-BR" w:bidi="ar-SA"/>
          <w:kern w:val="16"/>
          <w14:ligatures w14:val="standardContextual"/>
        </w:rPr>
        <w:t xml:space="preserve">  —  Agência da Previdência Social</w:t>
      </w:r>
    </w:p>
    <w:p>
      <w:pPr>
        <w:spacing w:before="0" w:after="30" w:line="252" w:lineRule="auto"/>
        <w:jc w:val="left"/>
      </w:pPr>
      <w:r>
        <w:rPr>
          <w:rFonts w:ascii="EB Garamond" w:hAnsi="EB Garamond" w:cs="EB Garamond"/>
          <w:b/>
          <w:i w:val="0"/>
          <w:color w:val="2F2923"/>
          <w:sz w:val="20"/>
          <w:lang w:val="pt-BR" w:bidi="ar-SA"/>
          <w:kern w:val="16"/>
          <w14:ligatures w14:val="standardContextual"/>
        </w:rPr>
        <w:t>BPC</w:t>
      </w:r>
      <w:r>
        <w:rPr>
          <w:rFonts w:ascii="EB Garamond" w:hAnsi="EB Garamond" w:cs="EB Garamond"/>
          <w:b w:val="0"/>
          <w:i w:val="0"/>
          <w:color w:val="3A3128"/>
          <w:sz w:val="20"/>
          <w:lang w:val="pt-BR" w:bidi="ar-SA"/>
          <w:kern w:val="16"/>
          <w14:ligatures w14:val="standardContextual"/>
        </w:rPr>
        <w:t xml:space="preserve">  —  Benefício de Prestação Continuada</w:t>
      </w:r>
    </w:p>
    <w:p>
      <w:pPr>
        <w:spacing w:before="0" w:after="30" w:line="252" w:lineRule="auto"/>
        <w:jc w:val="left"/>
      </w:pPr>
      <w:r>
        <w:rPr>
          <w:rFonts w:ascii="EB Garamond" w:hAnsi="EB Garamond" w:cs="EB Garamond"/>
          <w:b/>
          <w:i w:val="0"/>
          <w:color w:val="2F2923"/>
          <w:sz w:val="20"/>
          <w:lang w:val="pt-BR" w:bidi="ar-SA"/>
          <w:kern w:val="16"/>
          <w14:ligatures w14:val="standardContextual"/>
        </w:rPr>
        <w:t>CAP</w:t>
      </w:r>
      <w:r>
        <w:rPr>
          <w:rFonts w:ascii="EB Garamond" w:hAnsi="EB Garamond" w:cs="EB Garamond"/>
          <w:b w:val="0"/>
          <w:i w:val="0"/>
          <w:color w:val="3A3128"/>
          <w:sz w:val="20"/>
          <w:lang w:val="pt-BR" w:bidi="ar-SA"/>
          <w:kern w:val="16"/>
          <w14:ligatures w14:val="standardContextual"/>
        </w:rPr>
        <w:t xml:space="preserve">  —  Caixa de Aposentadorias e Pensões</w:t>
      </w:r>
    </w:p>
    <w:p>
      <w:pPr>
        <w:spacing w:before="0" w:after="30" w:line="252" w:lineRule="auto"/>
        <w:jc w:val="left"/>
      </w:pPr>
      <w:r>
        <w:rPr>
          <w:rFonts w:ascii="EB Garamond" w:hAnsi="EB Garamond" w:cs="EB Garamond"/>
          <w:b/>
          <w:i w:val="0"/>
          <w:color w:val="2F2923"/>
          <w:sz w:val="20"/>
          <w:lang w:val="pt-BR" w:bidi="ar-SA"/>
          <w:kern w:val="16"/>
          <w14:ligatures w14:val="standardContextual"/>
        </w:rPr>
        <w:t>CDA</w:t>
      </w:r>
      <w:r>
        <w:rPr>
          <w:rFonts w:ascii="EB Garamond" w:hAnsi="EB Garamond" w:cs="EB Garamond"/>
          <w:b w:val="0"/>
          <w:i w:val="0"/>
          <w:color w:val="3A3128"/>
          <w:sz w:val="20"/>
          <w:lang w:val="pt-BR" w:bidi="ar-SA"/>
          <w:kern w:val="16"/>
          <w14:ligatures w14:val="standardContextual"/>
        </w:rPr>
        <w:t xml:space="preserve">  —  Certidão de Dívida Ativa</w:t>
      </w:r>
    </w:p>
    <w:p>
      <w:pPr>
        <w:spacing w:before="0" w:after="30" w:line="252" w:lineRule="auto"/>
        <w:jc w:val="left"/>
      </w:pPr>
      <w:r>
        <w:rPr>
          <w:rFonts w:ascii="EB Garamond" w:hAnsi="EB Garamond" w:cs="EB Garamond"/>
          <w:b/>
          <w:i w:val="0"/>
          <w:color w:val="2F2923"/>
          <w:sz w:val="20"/>
          <w:lang w:val="pt-BR" w:bidi="ar-SA"/>
          <w:kern w:val="16"/>
          <w14:ligatures w14:val="standardContextual"/>
        </w:rPr>
        <w:t>CF/88</w:t>
      </w:r>
      <w:r>
        <w:rPr>
          <w:rFonts w:ascii="EB Garamond" w:hAnsi="EB Garamond" w:cs="EB Garamond"/>
          <w:b w:val="0"/>
          <w:i w:val="0"/>
          <w:color w:val="3A3128"/>
          <w:sz w:val="20"/>
          <w:lang w:val="pt-BR" w:bidi="ar-SA"/>
          <w:kern w:val="16"/>
          <w14:ligatures w14:val="standardContextual"/>
        </w:rPr>
        <w:t xml:space="preserve">  —  Constituição Federal de 1988</w:t>
      </w:r>
    </w:p>
    <w:p>
      <w:pPr>
        <w:spacing w:before="0" w:after="30" w:line="252" w:lineRule="auto"/>
        <w:jc w:val="left"/>
      </w:pPr>
      <w:r>
        <w:rPr>
          <w:rFonts w:ascii="EB Garamond" w:hAnsi="EB Garamond" w:cs="EB Garamond"/>
          <w:b/>
          <w:i w:val="0"/>
          <w:color w:val="2F2923"/>
          <w:sz w:val="20"/>
          <w:lang w:val="pt-BR" w:bidi="ar-SA"/>
          <w:kern w:val="16"/>
          <w14:ligatures w14:val="standardContextual"/>
        </w:rPr>
        <w:t>CLT</w:t>
      </w:r>
      <w:r>
        <w:rPr>
          <w:rFonts w:ascii="EB Garamond" w:hAnsi="EB Garamond" w:cs="EB Garamond"/>
          <w:b w:val="0"/>
          <w:i w:val="0"/>
          <w:color w:val="3A3128"/>
          <w:sz w:val="20"/>
          <w:lang w:val="pt-BR" w:bidi="ar-SA"/>
          <w:kern w:val="16"/>
          <w14:ligatures w14:val="standardContextual"/>
        </w:rPr>
        <w:t xml:space="preserve">  —  Consolidação das Leis do Trabalho</w:t>
      </w:r>
    </w:p>
    <w:p>
      <w:pPr>
        <w:spacing w:before="0" w:after="30" w:line="252" w:lineRule="auto"/>
        <w:jc w:val="left"/>
      </w:pPr>
      <w:r>
        <w:rPr>
          <w:rFonts w:ascii="EB Garamond" w:hAnsi="EB Garamond" w:cs="EB Garamond"/>
          <w:b/>
          <w:i w:val="0"/>
          <w:color w:val="2F2923"/>
          <w:sz w:val="20"/>
          <w:lang w:val="pt-BR" w:bidi="ar-SA"/>
          <w:kern w:val="16"/>
          <w14:ligatures w14:val="standardContextual"/>
        </w:rPr>
        <w:t>CNIS</w:t>
      </w:r>
      <w:r>
        <w:rPr>
          <w:rFonts w:ascii="EB Garamond" w:hAnsi="EB Garamond" w:cs="EB Garamond"/>
          <w:b w:val="0"/>
          <w:i w:val="0"/>
          <w:color w:val="3A3128"/>
          <w:sz w:val="20"/>
          <w:lang w:val="pt-BR" w:bidi="ar-SA"/>
          <w:kern w:val="16"/>
          <w14:ligatures w14:val="standardContextual"/>
        </w:rPr>
        <w:t xml:space="preserve">  —  Cadastro Nacional de Informações Sociais</w:t>
      </w:r>
    </w:p>
    <w:p>
      <w:pPr>
        <w:spacing w:before="0" w:after="30" w:line="252" w:lineRule="auto"/>
        <w:jc w:val="left"/>
      </w:pPr>
      <w:r>
        <w:rPr>
          <w:rFonts w:ascii="EB Garamond" w:hAnsi="EB Garamond" w:cs="EB Garamond"/>
          <w:b/>
          <w:i w:val="0"/>
          <w:color w:val="2F2923"/>
          <w:sz w:val="20"/>
          <w:lang w:val="pt-BR" w:bidi="ar-SA"/>
          <w:kern w:val="16"/>
          <w14:ligatures w14:val="standardContextual"/>
        </w:rPr>
        <w:t>COPES</w:t>
      </w:r>
      <w:r>
        <w:rPr>
          <w:rFonts w:ascii="EB Garamond" w:hAnsi="EB Garamond" w:cs="EB Garamond"/>
          <w:b w:val="0"/>
          <w:i w:val="0"/>
          <w:color w:val="3A3128"/>
          <w:sz w:val="20"/>
          <w:lang w:val="pt-BR" w:bidi="ar-SA"/>
          <w:kern w:val="16"/>
          <w14:ligatures w14:val="standardContextual"/>
        </w:rPr>
        <w:t xml:space="preserve">  —  Cobertura Previdenciária Estimada</w:t>
      </w:r>
    </w:p>
    <w:p>
      <w:pPr>
        <w:spacing w:before="0" w:after="30" w:line="252" w:lineRule="auto"/>
        <w:jc w:val="left"/>
      </w:pPr>
      <w:r>
        <w:rPr>
          <w:rFonts w:ascii="EB Garamond" w:hAnsi="EB Garamond" w:cs="EB Garamond"/>
          <w:b/>
          <w:i w:val="0"/>
          <w:color w:val="2F2923"/>
          <w:sz w:val="20"/>
          <w:lang w:val="pt-BR" w:bidi="ar-SA"/>
          <w:kern w:val="16"/>
          <w14:ligatures w14:val="standardContextual"/>
        </w:rPr>
        <w:t>CRPS</w:t>
      </w:r>
      <w:r>
        <w:rPr>
          <w:rFonts w:ascii="EB Garamond" w:hAnsi="EB Garamond" w:cs="EB Garamond"/>
          <w:b w:val="0"/>
          <w:i w:val="0"/>
          <w:color w:val="3A3128"/>
          <w:sz w:val="20"/>
          <w:lang w:val="pt-BR" w:bidi="ar-SA"/>
          <w:kern w:val="16"/>
          <w14:ligatures w14:val="standardContextual"/>
        </w:rPr>
        <w:t xml:space="preserve">  —  Conselho de Recursos da Previdência Social</w:t>
      </w:r>
    </w:p>
    <w:p>
      <w:pPr>
        <w:spacing w:before="0" w:after="30" w:line="252" w:lineRule="auto"/>
        <w:jc w:val="left"/>
      </w:pPr>
      <w:r>
        <w:rPr>
          <w:rFonts w:ascii="EB Garamond" w:hAnsi="EB Garamond" w:cs="EB Garamond"/>
          <w:b/>
          <w:i w:val="0"/>
          <w:color w:val="2F2923"/>
          <w:sz w:val="20"/>
          <w:lang w:val="pt-BR" w:bidi="ar-SA"/>
          <w:kern w:val="16"/>
          <w14:ligatures w14:val="standardContextual"/>
        </w:rPr>
        <w:t>CTC</w:t>
      </w:r>
      <w:r>
        <w:rPr>
          <w:rFonts w:ascii="EB Garamond" w:hAnsi="EB Garamond" w:cs="EB Garamond"/>
          <w:b w:val="0"/>
          <w:i w:val="0"/>
          <w:color w:val="3A3128"/>
          <w:sz w:val="20"/>
          <w:lang w:val="pt-BR" w:bidi="ar-SA"/>
          <w:kern w:val="16"/>
          <w14:ligatures w14:val="standardContextual"/>
        </w:rPr>
        <w:t xml:space="preserve">  —  Certidão de Tempo de Contribuição</w:t>
      </w:r>
    </w:p>
    <w:p>
      <w:pPr>
        <w:spacing w:before="0" w:after="30" w:line="252" w:lineRule="auto"/>
        <w:jc w:val="left"/>
      </w:pPr>
      <w:r>
        <w:rPr>
          <w:rFonts w:ascii="EB Garamond" w:hAnsi="EB Garamond" w:cs="EB Garamond"/>
          <w:b/>
          <w:i w:val="0"/>
          <w:color w:val="2F2923"/>
          <w:sz w:val="20"/>
          <w:lang w:val="pt-BR" w:bidi="ar-SA"/>
          <w:kern w:val="16"/>
          <w14:ligatures w14:val="standardContextual"/>
        </w:rPr>
        <w:t>DER</w:t>
      </w:r>
      <w:r>
        <w:rPr>
          <w:rFonts w:ascii="EB Garamond" w:hAnsi="EB Garamond" w:cs="EB Garamond"/>
          <w:b w:val="0"/>
          <w:i w:val="0"/>
          <w:color w:val="3A3128"/>
          <w:sz w:val="20"/>
          <w:lang w:val="pt-BR" w:bidi="ar-SA"/>
          <w:kern w:val="16"/>
          <w14:ligatures w14:val="standardContextual"/>
        </w:rPr>
        <w:t xml:space="preserve">  —  Data de Entrada do Requerimento</w:t>
      </w:r>
    </w:p>
    <w:p>
      <w:pPr>
        <w:spacing w:before="0" w:after="30" w:line="252" w:lineRule="auto"/>
        <w:jc w:val="left"/>
      </w:pPr>
      <w:r>
        <w:rPr>
          <w:rFonts w:ascii="EB Garamond" w:hAnsi="EB Garamond" w:cs="EB Garamond"/>
          <w:b/>
          <w:i w:val="0"/>
          <w:color w:val="2F2923"/>
          <w:sz w:val="20"/>
          <w:lang w:val="pt-BR" w:bidi="ar-SA"/>
          <w:kern w:val="16"/>
          <w14:ligatures w14:val="standardContextual"/>
        </w:rPr>
        <w:t>DIB</w:t>
      </w:r>
      <w:r>
        <w:rPr>
          <w:rFonts w:ascii="EB Garamond" w:hAnsi="EB Garamond" w:cs="EB Garamond"/>
          <w:b w:val="0"/>
          <w:i w:val="0"/>
          <w:color w:val="3A3128"/>
          <w:sz w:val="20"/>
          <w:lang w:val="pt-BR" w:bidi="ar-SA"/>
          <w:kern w:val="16"/>
          <w14:ligatures w14:val="standardContextual"/>
        </w:rPr>
        <w:t xml:space="preserve">  —  Data de Início do Benefício</w:t>
      </w:r>
    </w:p>
    <w:p>
      <w:pPr>
        <w:spacing w:before="0" w:after="30" w:line="252" w:lineRule="auto"/>
        <w:jc w:val="left"/>
      </w:pPr>
      <w:r>
        <w:rPr>
          <w:rFonts w:ascii="EB Garamond" w:hAnsi="EB Garamond" w:cs="EB Garamond"/>
          <w:b/>
          <w:i w:val="0"/>
          <w:color w:val="2F2923"/>
          <w:sz w:val="20"/>
          <w:lang w:val="pt-BR" w:bidi="ar-SA"/>
          <w:kern w:val="16"/>
          <w14:ligatures w14:val="standardContextual"/>
        </w:rPr>
        <w:t>DID</w:t>
      </w:r>
      <w:r>
        <w:rPr>
          <w:rFonts w:ascii="EB Garamond" w:hAnsi="EB Garamond" w:cs="EB Garamond"/>
          <w:b w:val="0"/>
          <w:i w:val="0"/>
          <w:color w:val="3A3128"/>
          <w:sz w:val="20"/>
          <w:lang w:val="pt-BR" w:bidi="ar-SA"/>
          <w:kern w:val="16"/>
          <w14:ligatures w14:val="standardContextual"/>
        </w:rPr>
        <w:t xml:space="preserve">  —  Data de Início da Doença</w:t>
      </w:r>
    </w:p>
    <w:p>
      <w:pPr>
        <w:spacing w:before="0" w:after="30" w:line="252" w:lineRule="auto"/>
        <w:jc w:val="left"/>
      </w:pPr>
      <w:r>
        <w:rPr>
          <w:rFonts w:ascii="EB Garamond" w:hAnsi="EB Garamond" w:cs="EB Garamond"/>
          <w:b/>
          <w:i w:val="0"/>
          <w:color w:val="2F2923"/>
          <w:sz w:val="20"/>
          <w:lang w:val="pt-BR" w:bidi="ar-SA"/>
          <w:kern w:val="16"/>
          <w14:ligatures w14:val="standardContextual"/>
        </w:rPr>
        <w:t>DII</w:t>
      </w:r>
      <w:r>
        <w:rPr>
          <w:rFonts w:ascii="EB Garamond" w:hAnsi="EB Garamond" w:cs="EB Garamond"/>
          <w:b w:val="0"/>
          <w:i w:val="0"/>
          <w:color w:val="3A3128"/>
          <w:sz w:val="20"/>
          <w:lang w:val="pt-BR" w:bidi="ar-SA"/>
          <w:kern w:val="16"/>
          <w14:ligatures w14:val="standardContextual"/>
        </w:rPr>
        <w:t xml:space="preserve">  —  Data de Início da Incapacidade</w:t>
      </w:r>
    </w:p>
    <w:p>
      <w:pPr>
        <w:spacing w:before="0" w:after="30" w:line="252" w:lineRule="auto"/>
        <w:jc w:val="left"/>
      </w:pPr>
      <w:r>
        <w:rPr>
          <w:rFonts w:ascii="EB Garamond" w:hAnsi="EB Garamond" w:cs="EB Garamond"/>
          <w:b/>
          <w:i w:val="0"/>
          <w:color w:val="2F2923"/>
          <w:sz w:val="20"/>
          <w:lang w:val="pt-BR" w:bidi="ar-SA"/>
          <w:kern w:val="16"/>
          <w14:ligatures w14:val="standardContextual"/>
        </w:rPr>
        <w:t>EC</w:t>
      </w:r>
      <w:r>
        <w:rPr>
          <w:rFonts w:ascii="EB Garamond" w:hAnsi="EB Garamond" w:cs="EB Garamond"/>
          <w:b w:val="0"/>
          <w:i w:val="0"/>
          <w:color w:val="3A3128"/>
          <w:sz w:val="20"/>
          <w:lang w:val="pt-BR" w:bidi="ar-SA"/>
          <w:kern w:val="16"/>
          <w14:ligatures w14:val="standardContextual"/>
        </w:rPr>
        <w:t xml:space="preserve">  —  Emenda Constitucional</w:t>
      </w:r>
    </w:p>
    <w:p>
      <w:pPr>
        <w:spacing w:before="0" w:after="30" w:line="252" w:lineRule="auto"/>
        <w:jc w:val="left"/>
      </w:pPr>
      <w:r>
        <w:rPr>
          <w:rFonts w:ascii="EB Garamond" w:hAnsi="EB Garamond" w:cs="EB Garamond"/>
          <w:b/>
          <w:i w:val="0"/>
          <w:color w:val="2F2923"/>
          <w:sz w:val="20"/>
          <w:lang w:val="pt-BR" w:bidi="ar-SA"/>
          <w:kern w:val="16"/>
          <w14:ligatures w14:val="standardContextual"/>
        </w:rPr>
        <w:t>EPI</w:t>
      </w:r>
      <w:r>
        <w:rPr>
          <w:rFonts w:ascii="EB Garamond" w:hAnsi="EB Garamond" w:cs="EB Garamond"/>
          <w:b w:val="0"/>
          <w:i w:val="0"/>
          <w:color w:val="3A3128"/>
          <w:sz w:val="20"/>
          <w:lang w:val="pt-BR" w:bidi="ar-SA"/>
          <w:kern w:val="16"/>
          <w14:ligatures w14:val="standardContextual"/>
        </w:rPr>
        <w:t xml:space="preserve">  —  Equipamento de Proteção Individual</w:t>
      </w:r>
    </w:p>
    <w:p>
      <w:pPr>
        <w:spacing w:before="0" w:after="30" w:line="252" w:lineRule="auto"/>
        <w:jc w:val="left"/>
      </w:pPr>
      <w:r>
        <w:rPr>
          <w:rFonts w:ascii="EB Garamond" w:hAnsi="EB Garamond" w:cs="EB Garamond"/>
          <w:b/>
          <w:i w:val="0"/>
          <w:color w:val="2F2923"/>
          <w:sz w:val="20"/>
          <w:lang w:val="pt-BR" w:bidi="ar-SA"/>
          <w:kern w:val="16"/>
          <w14:ligatures w14:val="standardContextual"/>
        </w:rPr>
        <w:t>FUNRURAL</w:t>
      </w:r>
      <w:r>
        <w:rPr>
          <w:rFonts w:ascii="EB Garamond" w:hAnsi="EB Garamond" w:cs="EB Garamond"/>
          <w:b w:val="0"/>
          <w:i w:val="0"/>
          <w:color w:val="3A3128"/>
          <w:sz w:val="20"/>
          <w:lang w:val="pt-BR" w:bidi="ar-SA"/>
          <w:kern w:val="16"/>
          <w14:ligatures w14:val="standardContextual"/>
        </w:rPr>
        <w:t xml:space="preserve">  —  Fundo de Assistência ao Trabalhador Rural</w:t>
      </w:r>
    </w:p>
    <w:p>
      <w:pPr>
        <w:spacing w:before="0" w:after="30" w:line="252" w:lineRule="auto"/>
        <w:jc w:val="left"/>
      </w:pPr>
      <w:r>
        <w:rPr>
          <w:rFonts w:ascii="EB Garamond" w:hAnsi="EB Garamond" w:cs="EB Garamond"/>
          <w:b/>
          <w:i w:val="0"/>
          <w:color w:val="2F2923"/>
          <w:sz w:val="20"/>
          <w:lang w:val="pt-BR" w:bidi="ar-SA"/>
          <w:kern w:val="16"/>
          <w14:ligatures w14:val="standardContextual"/>
        </w:rPr>
        <w:t>IAP</w:t>
      </w:r>
      <w:r>
        <w:rPr>
          <w:rFonts w:ascii="EB Garamond" w:hAnsi="EB Garamond" w:cs="EB Garamond"/>
          <w:b w:val="0"/>
          <w:i w:val="0"/>
          <w:color w:val="3A3128"/>
          <w:sz w:val="20"/>
          <w:lang w:val="pt-BR" w:bidi="ar-SA"/>
          <w:kern w:val="16"/>
          <w14:ligatures w14:val="standardContextual"/>
        </w:rPr>
        <w:t xml:space="preserve">  —  Instituto de Aposentadorias e Pensões</w:t>
      </w:r>
    </w:p>
    <w:p>
      <w:pPr>
        <w:spacing w:before="0" w:after="30" w:line="252" w:lineRule="auto"/>
        <w:jc w:val="left"/>
      </w:pPr>
      <w:r>
        <w:rPr>
          <w:rFonts w:ascii="EB Garamond" w:hAnsi="EB Garamond" w:cs="EB Garamond"/>
          <w:b/>
          <w:i w:val="0"/>
          <w:color w:val="2F2923"/>
          <w:sz w:val="20"/>
          <w:lang w:val="pt-BR" w:bidi="ar-SA"/>
          <w:kern w:val="16"/>
          <w14:ligatures w14:val="standardContextual"/>
        </w:rPr>
        <w:t>IF-BrA</w:t>
      </w:r>
      <w:r>
        <w:rPr>
          <w:rFonts w:ascii="EB Garamond" w:hAnsi="EB Garamond" w:cs="EB Garamond"/>
          <w:b w:val="0"/>
          <w:i w:val="0"/>
          <w:color w:val="3A3128"/>
          <w:sz w:val="20"/>
          <w:lang w:val="pt-BR" w:bidi="ar-SA"/>
          <w:kern w:val="16"/>
          <w14:ligatures w14:val="standardContextual"/>
        </w:rPr>
        <w:t xml:space="preserve">  —  Índice de Funcionalidade Brasileiro Aplicado</w:t>
      </w:r>
    </w:p>
    <w:p>
      <w:pPr>
        <w:spacing w:before="0" w:after="30" w:line="252" w:lineRule="auto"/>
        <w:jc w:val="left"/>
      </w:pPr>
      <w:r>
        <w:rPr>
          <w:rFonts w:ascii="EB Garamond" w:hAnsi="EB Garamond" w:cs="EB Garamond"/>
          <w:b/>
          <w:i w:val="0"/>
          <w:color w:val="2F2923"/>
          <w:sz w:val="20"/>
          <w:lang w:val="pt-BR" w:bidi="ar-SA"/>
          <w:kern w:val="16"/>
          <w14:ligatures w14:val="standardContextual"/>
        </w:rPr>
        <w:t>INPC</w:t>
      </w:r>
      <w:r>
        <w:rPr>
          <w:rFonts w:ascii="EB Garamond" w:hAnsi="EB Garamond" w:cs="EB Garamond"/>
          <w:b w:val="0"/>
          <w:i w:val="0"/>
          <w:color w:val="3A3128"/>
          <w:sz w:val="20"/>
          <w:lang w:val="pt-BR" w:bidi="ar-SA"/>
          <w:kern w:val="16"/>
          <w14:ligatures w14:val="standardContextual"/>
        </w:rPr>
        <w:t xml:space="preserve">  —  Índice Nacional de Preços ao Consumidor</w:t>
      </w:r>
    </w:p>
    <w:p>
      <w:pPr>
        <w:spacing w:before="0" w:after="30" w:line="252" w:lineRule="auto"/>
        <w:jc w:val="left"/>
      </w:pPr>
      <w:r>
        <w:rPr>
          <w:rFonts w:ascii="EB Garamond" w:hAnsi="EB Garamond" w:cs="EB Garamond"/>
          <w:b/>
          <w:i w:val="0"/>
          <w:color w:val="2F2923"/>
          <w:sz w:val="20"/>
          <w:lang w:val="pt-BR" w:bidi="ar-SA"/>
          <w:kern w:val="16"/>
          <w14:ligatures w14:val="standardContextual"/>
        </w:rPr>
        <w:t>INPS</w:t>
      </w:r>
      <w:r>
        <w:rPr>
          <w:rFonts w:ascii="EB Garamond" w:hAnsi="EB Garamond" w:cs="EB Garamond"/>
          <w:b w:val="0"/>
          <w:i w:val="0"/>
          <w:color w:val="3A3128"/>
          <w:sz w:val="20"/>
          <w:lang w:val="pt-BR" w:bidi="ar-SA"/>
          <w:kern w:val="16"/>
          <w14:ligatures w14:val="standardContextual"/>
        </w:rPr>
        <w:t xml:space="preserve">  —  Instituto Nacional de Previdência Social</w:t>
      </w:r>
    </w:p>
    <w:p>
      <w:pPr>
        <w:spacing w:before="0" w:after="30" w:line="252" w:lineRule="auto"/>
        <w:jc w:val="left"/>
      </w:pPr>
      <w:r>
        <w:rPr>
          <w:rFonts w:ascii="EB Garamond" w:hAnsi="EB Garamond" w:cs="EB Garamond"/>
          <w:b/>
          <w:i w:val="0"/>
          <w:color w:val="2F2923"/>
          <w:sz w:val="20"/>
          <w:lang w:val="pt-BR" w:bidi="ar-SA"/>
          <w:kern w:val="16"/>
          <w14:ligatures w14:val="standardContextual"/>
        </w:rPr>
        <w:t>INSS</w:t>
      </w:r>
      <w:r>
        <w:rPr>
          <w:rFonts w:ascii="EB Garamond" w:hAnsi="EB Garamond" w:cs="EB Garamond"/>
          <w:b w:val="0"/>
          <w:i w:val="0"/>
          <w:color w:val="3A3128"/>
          <w:sz w:val="20"/>
          <w:lang w:val="pt-BR" w:bidi="ar-SA"/>
          <w:kern w:val="16"/>
          <w14:ligatures w14:val="standardContextual"/>
        </w:rPr>
        <w:t xml:space="preserve">  —  Instituto Nacional do Seguro Social</w:t>
      </w:r>
    </w:p>
    <w:p>
      <w:pPr>
        <w:spacing w:before="0" w:after="30" w:line="252" w:lineRule="auto"/>
        <w:jc w:val="left"/>
      </w:pPr>
      <w:r>
        <w:rPr>
          <w:rFonts w:ascii="EB Garamond" w:hAnsi="EB Garamond" w:cs="EB Garamond"/>
          <w:b/>
          <w:i w:val="0"/>
          <w:color w:val="2F2923"/>
          <w:sz w:val="20"/>
          <w:lang w:val="pt-BR" w:bidi="ar-SA"/>
          <w:kern w:val="16"/>
          <w14:ligatures w14:val="standardContextual"/>
        </w:rPr>
        <w:t>JEF</w:t>
      </w:r>
      <w:r>
        <w:rPr>
          <w:rFonts w:ascii="EB Garamond" w:hAnsi="EB Garamond" w:cs="EB Garamond"/>
          <w:b w:val="0"/>
          <w:i w:val="0"/>
          <w:color w:val="3A3128"/>
          <w:sz w:val="20"/>
          <w:lang w:val="pt-BR" w:bidi="ar-SA"/>
          <w:kern w:val="16"/>
          <w14:ligatures w14:val="standardContextual"/>
        </w:rPr>
        <w:t xml:space="preserve">  —  Juizado Especial Federal</w:t>
      </w:r>
    </w:p>
    <w:p>
      <w:pPr>
        <w:spacing w:before="0" w:after="30" w:line="252" w:lineRule="auto"/>
        <w:jc w:val="left"/>
      </w:pPr>
      <w:r>
        <w:rPr>
          <w:rFonts w:ascii="EB Garamond" w:hAnsi="EB Garamond" w:cs="EB Garamond"/>
          <w:b/>
          <w:i w:val="0"/>
          <w:color w:val="2F2923"/>
          <w:sz w:val="20"/>
          <w:lang w:val="pt-BR" w:bidi="ar-SA"/>
          <w:kern w:val="16"/>
          <w14:ligatures w14:val="standardContextual"/>
        </w:rPr>
        <w:t>LC</w:t>
      </w:r>
      <w:r>
        <w:rPr>
          <w:rFonts w:ascii="EB Garamond" w:hAnsi="EB Garamond" w:cs="EB Garamond"/>
          <w:b w:val="0"/>
          <w:i w:val="0"/>
          <w:color w:val="3A3128"/>
          <w:sz w:val="20"/>
          <w:lang w:val="pt-BR" w:bidi="ar-SA"/>
          <w:kern w:val="16"/>
          <w14:ligatures w14:val="standardContextual"/>
        </w:rPr>
        <w:t xml:space="preserve">  —  Lei Complementar</w:t>
      </w:r>
    </w:p>
    <w:p>
      <w:pPr>
        <w:spacing w:before="0" w:after="30" w:line="252" w:lineRule="auto"/>
        <w:jc w:val="left"/>
      </w:pPr>
      <w:r>
        <w:rPr>
          <w:rFonts w:ascii="EB Garamond" w:hAnsi="EB Garamond" w:cs="EB Garamond"/>
          <w:b/>
          <w:i w:val="0"/>
          <w:color w:val="2F2923"/>
          <w:sz w:val="20"/>
          <w:lang w:val="pt-BR" w:bidi="ar-SA"/>
          <w:kern w:val="16"/>
          <w14:ligatures w14:val="standardContextual"/>
        </w:rPr>
        <w:t>LOAS</w:t>
      </w:r>
      <w:r>
        <w:rPr>
          <w:rFonts w:ascii="EB Garamond" w:hAnsi="EB Garamond" w:cs="EB Garamond"/>
          <w:b w:val="0"/>
          <w:i w:val="0"/>
          <w:color w:val="3A3128"/>
          <w:sz w:val="20"/>
          <w:lang w:val="pt-BR" w:bidi="ar-SA"/>
          <w:kern w:val="16"/>
          <w14:ligatures w14:val="standardContextual"/>
        </w:rPr>
        <w:t xml:space="preserve">  —  Lei Orgânica da Assistência Social</w:t>
      </w:r>
    </w:p>
    <w:p>
      <w:pPr>
        <w:spacing w:before="0" w:after="30" w:line="252" w:lineRule="auto"/>
        <w:jc w:val="left"/>
      </w:pPr>
      <w:r>
        <w:rPr>
          <w:rFonts w:ascii="EB Garamond" w:hAnsi="EB Garamond" w:cs="EB Garamond"/>
          <w:b/>
          <w:i w:val="0"/>
          <w:color w:val="2F2923"/>
          <w:sz w:val="20"/>
          <w:lang w:val="pt-BR" w:bidi="ar-SA"/>
          <w:kern w:val="16"/>
          <w14:ligatures w14:val="standardContextual"/>
        </w:rPr>
        <w:t>LOPS</w:t>
      </w:r>
      <w:r>
        <w:rPr>
          <w:rFonts w:ascii="EB Garamond" w:hAnsi="EB Garamond" w:cs="EB Garamond"/>
          <w:b w:val="0"/>
          <w:i w:val="0"/>
          <w:color w:val="3A3128"/>
          <w:sz w:val="20"/>
          <w:lang w:val="pt-BR" w:bidi="ar-SA"/>
          <w:kern w:val="16"/>
          <w14:ligatures w14:val="standardContextual"/>
        </w:rPr>
        <w:t xml:space="preserve">  —  Lei Orgânica da Previdência Social</w:t>
      </w:r>
    </w:p>
    <w:p>
      <w:pPr>
        <w:spacing w:before="0" w:after="30" w:line="252" w:lineRule="auto"/>
        <w:jc w:val="left"/>
      </w:pPr>
      <w:r>
        <w:rPr>
          <w:rFonts w:ascii="EB Garamond" w:hAnsi="EB Garamond" w:cs="EB Garamond"/>
          <w:b/>
          <w:i w:val="0"/>
          <w:color w:val="2F2923"/>
          <w:sz w:val="20"/>
          <w:lang w:val="pt-BR" w:bidi="ar-SA"/>
          <w:kern w:val="16"/>
          <w14:ligatures w14:val="standardContextual"/>
        </w:rPr>
        <w:t>MEI</w:t>
      </w:r>
      <w:r>
        <w:rPr>
          <w:rFonts w:ascii="EB Garamond" w:hAnsi="EB Garamond" w:cs="EB Garamond"/>
          <w:b w:val="0"/>
          <w:i w:val="0"/>
          <w:color w:val="3A3128"/>
          <w:sz w:val="20"/>
          <w:lang w:val="pt-BR" w:bidi="ar-SA"/>
          <w:kern w:val="16"/>
          <w14:ligatures w14:val="standardContextual"/>
        </w:rPr>
        <w:t xml:space="preserve">  —  Microempreendedor Individual</w:t>
      </w:r>
    </w:p>
    <w:p>
      <w:pPr>
        <w:spacing w:before="0" w:after="30" w:line="252" w:lineRule="auto"/>
        <w:jc w:val="left"/>
      </w:pPr>
      <w:r>
        <w:rPr>
          <w:rFonts w:ascii="EB Garamond" w:hAnsi="EB Garamond" w:cs="EB Garamond"/>
          <w:b/>
          <w:i w:val="0"/>
          <w:color w:val="2F2923"/>
          <w:sz w:val="20"/>
          <w:lang w:val="pt-BR" w:bidi="ar-SA"/>
          <w:kern w:val="16"/>
          <w14:ligatures w14:val="standardContextual"/>
        </w:rPr>
        <w:t>NTEP</w:t>
      </w:r>
      <w:r>
        <w:rPr>
          <w:rFonts w:ascii="EB Garamond" w:hAnsi="EB Garamond" w:cs="EB Garamond"/>
          <w:b w:val="0"/>
          <w:i w:val="0"/>
          <w:color w:val="3A3128"/>
          <w:sz w:val="20"/>
          <w:lang w:val="pt-BR" w:bidi="ar-SA"/>
          <w:kern w:val="16"/>
          <w14:ligatures w14:val="standardContextual"/>
        </w:rPr>
        <w:t xml:space="preserve">  —  Nexo Técnico Epidemiológico Previdenciário</w:t>
      </w:r>
    </w:p>
    <w:p>
      <w:pPr>
        <w:spacing w:before="0" w:after="30" w:line="252" w:lineRule="auto"/>
        <w:jc w:val="left"/>
      </w:pPr>
      <w:r>
        <w:rPr>
          <w:rFonts w:ascii="EB Garamond" w:hAnsi="EB Garamond" w:cs="EB Garamond"/>
          <w:b/>
          <w:i w:val="0"/>
          <w:color w:val="2F2923"/>
          <w:sz w:val="20"/>
          <w:lang w:val="pt-BR" w:bidi="ar-SA"/>
          <w:kern w:val="16"/>
          <w14:ligatures w14:val="standardContextual"/>
        </w:rPr>
        <w:t>PBC</w:t>
      </w:r>
      <w:r>
        <w:rPr>
          <w:rFonts w:ascii="EB Garamond" w:hAnsi="EB Garamond" w:cs="EB Garamond"/>
          <w:b w:val="0"/>
          <w:i w:val="0"/>
          <w:color w:val="3A3128"/>
          <w:sz w:val="20"/>
          <w:lang w:val="pt-BR" w:bidi="ar-SA"/>
          <w:kern w:val="16"/>
          <w14:ligatures w14:val="standardContextual"/>
        </w:rPr>
        <w:t xml:space="preserve">  —  Período Básico de Cálculo</w:t>
      </w:r>
    </w:p>
    <w:p>
      <w:pPr>
        <w:spacing w:before="0" w:after="30" w:line="252" w:lineRule="auto"/>
        <w:jc w:val="left"/>
      </w:pPr>
      <w:r>
        <w:rPr>
          <w:rFonts w:ascii="EB Garamond" w:hAnsi="EB Garamond" w:cs="EB Garamond"/>
          <w:b/>
          <w:i w:val="0"/>
          <w:color w:val="2F2923"/>
          <w:sz w:val="20"/>
          <w:lang w:val="pt-BR" w:bidi="ar-SA"/>
          <w:kern w:val="16"/>
          <w14:ligatures w14:val="standardContextual"/>
        </w:rPr>
        <w:t>PPP</w:t>
      </w:r>
      <w:r>
        <w:rPr>
          <w:rFonts w:ascii="EB Garamond" w:hAnsi="EB Garamond" w:cs="EB Garamond"/>
          <w:b w:val="0"/>
          <w:i w:val="0"/>
          <w:color w:val="3A3128"/>
          <w:sz w:val="20"/>
          <w:lang w:val="pt-BR" w:bidi="ar-SA"/>
          <w:kern w:val="16"/>
          <w14:ligatures w14:val="standardContextual"/>
        </w:rPr>
        <w:t xml:space="preserve">  —  Perfil Profissiográfico Previdenciário</w:t>
      </w:r>
    </w:p>
    <w:p>
      <w:pPr>
        <w:spacing w:before="0" w:after="30" w:line="252" w:lineRule="auto"/>
        <w:jc w:val="left"/>
      </w:pPr>
      <w:r>
        <w:rPr>
          <w:rFonts w:ascii="EB Garamond" w:hAnsi="EB Garamond" w:cs="EB Garamond"/>
          <w:b/>
          <w:i w:val="0"/>
          <w:color w:val="2F2923"/>
          <w:sz w:val="20"/>
          <w:lang w:val="pt-BR" w:bidi="ar-SA"/>
          <w:kern w:val="16"/>
          <w14:ligatures w14:val="standardContextual"/>
        </w:rPr>
        <w:t>RE</w:t>
      </w:r>
      <w:r>
        <w:rPr>
          <w:rFonts w:ascii="EB Garamond" w:hAnsi="EB Garamond" w:cs="EB Garamond"/>
          <w:b w:val="0"/>
          <w:i w:val="0"/>
          <w:color w:val="3A3128"/>
          <w:sz w:val="20"/>
          <w:lang w:val="pt-BR" w:bidi="ar-SA"/>
          <w:kern w:val="16"/>
          <w14:ligatures w14:val="standardContextual"/>
        </w:rPr>
        <w:t xml:space="preserve">  —  Recurso Extraordinário</w:t>
      </w:r>
    </w:p>
    <w:p>
      <w:pPr>
        <w:spacing w:before="0" w:after="30" w:line="252" w:lineRule="auto"/>
        <w:jc w:val="left"/>
      </w:pPr>
      <w:r>
        <w:rPr>
          <w:rFonts w:ascii="EB Garamond" w:hAnsi="EB Garamond" w:cs="EB Garamond"/>
          <w:b/>
          <w:i w:val="0"/>
          <w:color w:val="2F2923"/>
          <w:sz w:val="20"/>
          <w:lang w:val="pt-BR" w:bidi="ar-SA"/>
          <w:kern w:val="16"/>
          <w14:ligatures w14:val="standardContextual"/>
        </w:rPr>
        <w:t>REsp</w:t>
      </w:r>
      <w:r>
        <w:rPr>
          <w:rFonts w:ascii="EB Garamond" w:hAnsi="EB Garamond" w:cs="EB Garamond"/>
          <w:b w:val="0"/>
          <w:i w:val="0"/>
          <w:color w:val="3A3128"/>
          <w:sz w:val="20"/>
          <w:lang w:val="pt-BR" w:bidi="ar-SA"/>
          <w:kern w:val="16"/>
          <w14:ligatures w14:val="standardContextual"/>
        </w:rPr>
        <w:t xml:space="preserve">  —  Recurso Especial</w:t>
      </w:r>
    </w:p>
    <w:p>
      <w:pPr>
        <w:spacing w:before="0" w:after="30" w:line="252" w:lineRule="auto"/>
        <w:jc w:val="left"/>
      </w:pPr>
      <w:r>
        <w:rPr>
          <w:rFonts w:ascii="EB Garamond" w:hAnsi="EB Garamond" w:cs="EB Garamond"/>
          <w:b/>
          <w:i w:val="0"/>
          <w:color w:val="2F2923"/>
          <w:sz w:val="20"/>
          <w:lang w:val="pt-BR" w:bidi="ar-SA"/>
          <w:kern w:val="16"/>
          <w14:ligatures w14:val="standardContextual"/>
        </w:rPr>
        <w:t>RGPS</w:t>
      </w:r>
      <w:r>
        <w:rPr>
          <w:rFonts w:ascii="EB Garamond" w:hAnsi="EB Garamond" w:cs="EB Garamond"/>
          <w:b w:val="0"/>
          <w:i w:val="0"/>
          <w:color w:val="3A3128"/>
          <w:sz w:val="20"/>
          <w:lang w:val="pt-BR" w:bidi="ar-SA"/>
          <w:kern w:val="16"/>
          <w14:ligatures w14:val="standardContextual"/>
        </w:rPr>
        <w:t xml:space="preserve">  —  Regime Geral de Previdência Social</w:t>
      </w:r>
    </w:p>
    <w:p>
      <w:pPr>
        <w:spacing w:before="0" w:after="30" w:line="252" w:lineRule="auto"/>
        <w:jc w:val="left"/>
      </w:pPr>
      <w:r>
        <w:rPr>
          <w:rFonts w:ascii="EB Garamond" w:hAnsi="EB Garamond" w:cs="EB Garamond"/>
          <w:b/>
          <w:i w:val="0"/>
          <w:color w:val="2F2923"/>
          <w:sz w:val="20"/>
          <w:lang w:val="pt-BR" w:bidi="ar-SA"/>
          <w:kern w:val="16"/>
          <w14:ligatures w14:val="standardContextual"/>
        </w:rPr>
        <w:t>RMI</w:t>
      </w:r>
      <w:r>
        <w:rPr>
          <w:rFonts w:ascii="EB Garamond" w:hAnsi="EB Garamond" w:cs="EB Garamond"/>
          <w:b w:val="0"/>
          <w:i w:val="0"/>
          <w:color w:val="3A3128"/>
          <w:sz w:val="20"/>
          <w:lang w:val="pt-BR" w:bidi="ar-SA"/>
          <w:kern w:val="16"/>
          <w14:ligatures w14:val="standardContextual"/>
        </w:rPr>
        <w:t xml:space="preserve">  —  Renda Mensal Inicial</w:t>
      </w:r>
    </w:p>
    <w:p>
      <w:pPr>
        <w:spacing w:before="0" w:after="30" w:line="252" w:lineRule="auto"/>
        <w:jc w:val="left"/>
      </w:pPr>
      <w:r>
        <w:rPr>
          <w:rFonts w:ascii="EB Garamond" w:hAnsi="EB Garamond" w:cs="EB Garamond"/>
          <w:b/>
          <w:i w:val="0"/>
          <w:color w:val="2F2923"/>
          <w:sz w:val="20"/>
          <w:lang w:val="pt-BR" w:bidi="ar-SA"/>
          <w:kern w:val="16"/>
          <w14:ligatures w14:val="standardContextual"/>
        </w:rPr>
        <w:t>RPPS</w:t>
      </w:r>
      <w:r>
        <w:rPr>
          <w:rFonts w:ascii="EB Garamond" w:hAnsi="EB Garamond" w:cs="EB Garamond"/>
          <w:b w:val="0"/>
          <w:i w:val="0"/>
          <w:color w:val="3A3128"/>
          <w:sz w:val="20"/>
          <w:lang w:val="pt-BR" w:bidi="ar-SA"/>
          <w:kern w:val="16"/>
          <w14:ligatures w14:val="standardContextual"/>
        </w:rPr>
        <w:t xml:space="preserve">  —  Regime Próprio de Previdência Social</w:t>
      </w:r>
    </w:p>
    <w:p>
      <w:pPr>
        <w:spacing w:before="0" w:after="30" w:line="252" w:lineRule="auto"/>
        <w:jc w:val="left"/>
      </w:pPr>
      <w:r>
        <w:rPr>
          <w:rFonts w:ascii="EB Garamond" w:hAnsi="EB Garamond" w:cs="EB Garamond"/>
          <w:b/>
          <w:i w:val="0"/>
          <w:color w:val="2F2923"/>
          <w:sz w:val="20"/>
          <w:lang w:val="pt-BR" w:bidi="ar-SA"/>
          <w:kern w:val="16"/>
          <w14:ligatures w14:val="standardContextual"/>
        </w:rPr>
        <w:t>RPV</w:t>
      </w:r>
      <w:r>
        <w:rPr>
          <w:rFonts w:ascii="EB Garamond" w:hAnsi="EB Garamond" w:cs="EB Garamond"/>
          <w:b w:val="0"/>
          <w:i w:val="0"/>
          <w:color w:val="3A3128"/>
          <w:sz w:val="20"/>
          <w:lang w:val="pt-BR" w:bidi="ar-SA"/>
          <w:kern w:val="16"/>
          <w14:ligatures w14:val="standardContextual"/>
        </w:rPr>
        <w:t xml:space="preserve">  —  Requisição de Pequeno Valor</w:t>
      </w:r>
    </w:p>
    <w:p>
      <w:pPr>
        <w:spacing w:before="0" w:after="30" w:line="252" w:lineRule="auto"/>
        <w:jc w:val="left"/>
      </w:pPr>
      <w:r>
        <w:rPr>
          <w:rFonts w:ascii="EB Garamond" w:hAnsi="EB Garamond" w:cs="EB Garamond"/>
          <w:b/>
          <w:i w:val="0"/>
          <w:color w:val="2F2923"/>
          <w:sz w:val="20"/>
          <w:lang w:val="pt-BR" w:bidi="ar-SA"/>
          <w:kern w:val="16"/>
          <w14:ligatures w14:val="standardContextual"/>
        </w:rPr>
        <w:t>SELIC</w:t>
      </w:r>
      <w:r>
        <w:rPr>
          <w:rFonts w:ascii="EB Garamond" w:hAnsi="EB Garamond" w:cs="EB Garamond"/>
          <w:b w:val="0"/>
          <w:i w:val="0"/>
          <w:color w:val="3A3128"/>
          <w:sz w:val="20"/>
          <w:lang w:val="pt-BR" w:bidi="ar-SA"/>
          <w:kern w:val="16"/>
          <w14:ligatures w14:val="standardContextual"/>
        </w:rPr>
        <w:t xml:space="preserve">  —  Sistema Especial de Liquidação e de Custódia</w:t>
      </w:r>
    </w:p>
    <w:p>
      <w:pPr>
        <w:spacing w:before="0" w:after="30" w:line="252" w:lineRule="auto"/>
        <w:jc w:val="left"/>
      </w:pPr>
      <w:r>
        <w:rPr>
          <w:rFonts w:ascii="EB Garamond" w:hAnsi="EB Garamond" w:cs="EB Garamond"/>
          <w:b/>
          <w:i w:val="0"/>
          <w:color w:val="2F2923"/>
          <w:sz w:val="20"/>
          <w:lang w:val="pt-BR" w:bidi="ar-SA"/>
          <w:kern w:val="16"/>
          <w14:ligatures w14:val="standardContextual"/>
        </w:rPr>
        <w:t>SM</w:t>
      </w:r>
      <w:r>
        <w:rPr>
          <w:rFonts w:ascii="EB Garamond" w:hAnsi="EB Garamond" w:cs="EB Garamond"/>
          <w:b w:val="0"/>
          <w:i w:val="0"/>
          <w:color w:val="3A3128"/>
          <w:sz w:val="20"/>
          <w:lang w:val="pt-BR" w:bidi="ar-SA"/>
          <w:kern w:val="16"/>
          <w14:ligatures w14:val="standardContextual"/>
        </w:rPr>
        <w:t xml:space="preserve">  —  Salário Mínimo</w:t>
      </w:r>
    </w:p>
    <w:p>
      <w:pPr>
        <w:spacing w:before="0" w:after="30" w:line="252" w:lineRule="auto"/>
        <w:jc w:val="left"/>
      </w:pPr>
      <w:r>
        <w:rPr>
          <w:rFonts w:ascii="EB Garamond" w:hAnsi="EB Garamond" w:cs="EB Garamond"/>
          <w:b/>
          <w:i w:val="0"/>
          <w:color w:val="2F2923"/>
          <w:sz w:val="20"/>
          <w:lang w:val="pt-BR" w:bidi="ar-SA"/>
          <w:kern w:val="16"/>
          <w14:ligatures w14:val="standardContextual"/>
        </w:rPr>
        <w:t>STF</w:t>
      </w:r>
      <w:r>
        <w:rPr>
          <w:rFonts w:ascii="EB Garamond" w:hAnsi="EB Garamond" w:cs="EB Garamond"/>
          <w:b w:val="0"/>
          <w:i w:val="0"/>
          <w:color w:val="3A3128"/>
          <w:sz w:val="20"/>
          <w:lang w:val="pt-BR" w:bidi="ar-SA"/>
          <w:kern w:val="16"/>
          <w14:ligatures w14:val="standardContextual"/>
        </w:rPr>
        <w:t xml:space="preserve">  —  Supremo Tribunal Federal</w:t>
      </w:r>
    </w:p>
    <w:p>
      <w:pPr>
        <w:spacing w:before="0" w:after="30" w:line="252" w:lineRule="auto"/>
        <w:jc w:val="left"/>
      </w:pPr>
      <w:r>
        <w:rPr>
          <w:rFonts w:ascii="EB Garamond" w:hAnsi="EB Garamond" w:cs="EB Garamond"/>
          <w:b/>
          <w:i w:val="0"/>
          <w:color w:val="2F2923"/>
          <w:sz w:val="20"/>
          <w:lang w:val="pt-BR" w:bidi="ar-SA"/>
          <w:kern w:val="16"/>
          <w14:ligatures w14:val="standardContextual"/>
        </w:rPr>
        <w:t>STJ</w:t>
      </w:r>
      <w:r>
        <w:rPr>
          <w:rFonts w:ascii="EB Garamond" w:hAnsi="EB Garamond" w:cs="EB Garamond"/>
          <w:b w:val="0"/>
          <w:i w:val="0"/>
          <w:color w:val="3A3128"/>
          <w:sz w:val="20"/>
          <w:lang w:val="pt-BR" w:bidi="ar-SA"/>
          <w:kern w:val="16"/>
          <w14:ligatures w14:val="standardContextual"/>
        </w:rPr>
        <w:t xml:space="preserve">  —  Superior Tribunal de Justiça</w:t>
      </w:r>
    </w:p>
    <w:p>
      <w:pPr>
        <w:spacing w:before="0" w:after="30" w:line="252" w:lineRule="auto"/>
        <w:jc w:val="left"/>
      </w:pPr>
      <w:r>
        <w:rPr>
          <w:rFonts w:ascii="EB Garamond" w:hAnsi="EB Garamond" w:cs="EB Garamond"/>
          <w:b/>
          <w:i w:val="0"/>
          <w:color w:val="2F2923"/>
          <w:sz w:val="20"/>
          <w:lang w:val="pt-BR" w:bidi="ar-SA"/>
          <w:kern w:val="16"/>
          <w14:ligatures w14:val="standardContextual"/>
        </w:rPr>
        <w:t>TNU</w:t>
      </w:r>
      <w:r>
        <w:rPr>
          <w:rFonts w:ascii="EB Garamond" w:hAnsi="EB Garamond" w:cs="EB Garamond"/>
          <w:b w:val="0"/>
          <w:i w:val="0"/>
          <w:color w:val="3A3128"/>
          <w:sz w:val="20"/>
          <w:lang w:val="pt-BR" w:bidi="ar-SA"/>
          <w:kern w:val="16"/>
          <w14:ligatures w14:val="standardContextual"/>
        </w:rPr>
        <w:t xml:space="preserve">  —  Turma Nacional de Uniformização</w:t>
      </w:r>
    </w:p>
    <w:p>
      <w:pPr>
        <w:spacing w:before="0" w:after="30" w:line="252" w:lineRule="auto"/>
        <w:jc w:val="left"/>
      </w:pPr>
      <w:r>
        <w:rPr>
          <w:rFonts w:ascii="EB Garamond" w:hAnsi="EB Garamond" w:cs="EB Garamond"/>
          <w:b/>
          <w:i w:val="0"/>
          <w:color w:val="2F2923"/>
          <w:sz w:val="20"/>
          <w:lang w:val="pt-BR" w:bidi="ar-SA"/>
          <w:kern w:val="16"/>
          <w14:ligatures w14:val="standardContextual"/>
        </w:rPr>
        <w:t>TRF</w:t>
      </w:r>
      <w:r>
        <w:rPr>
          <w:rFonts w:ascii="EB Garamond" w:hAnsi="EB Garamond" w:cs="EB Garamond"/>
          <w:b w:val="0"/>
          <w:i w:val="0"/>
          <w:color w:val="3A3128"/>
          <w:sz w:val="20"/>
          <w:lang w:val="pt-BR" w:bidi="ar-SA"/>
          <w:kern w:val="16"/>
          <w14:ligatures w14:val="standardContextual"/>
        </w:rPr>
        <w:t xml:space="preserve">  —  Tribunal Regional Federal</w:t>
      </w:r>
    </w:p>
    <w:p>
      <w:pPr>
        <w:sectPr>
          <w:headerReference w:type="default" r:id="rId39"/>
          <w:headerReference w:type="even" r:id="rId40"/>
          <w:footerReference w:type="default" r:id="rId41"/>
          <w:footerReference w:type="even" r:id="rId42"/>
          <w:headerReference w:type="first" r:id="rId43"/>
          <w:footerReference w:type="first" r:id="rId44"/>
          <w:pgSz w:w="8391" w:h="11906"/>
          <w:pgMar w:top="935" w:right="879" w:bottom="964" w:left="1162" w:header="454" w:footer="425" w:gutter="0" w:mirrorMargins="1"/>
          <w:cols w:space="720"/>
          <w:titlePg/>
          <w:docGrid w:linePitch="360"/>
          <w:pgNumType w:fmt="lowerRoman"/>
        </w:sectPr>
      </w:pPr>
    </w:p>
    <w:p>
      <w:pPr>
        <w:spacing w:before="320" w:after="320" w:line="240" w:lineRule="auto"/>
        <w:jc w:val="center"/>
      </w:pPr>
      <w:r>
        <w:rPr>
          <w:rFonts w:ascii="EB Garamond" w:hAnsi="EB Garamond" w:cs="EB Garamond"/>
          <w:b/>
          <w:i w:val="0"/>
          <w:color w:val="2F2923"/>
          <w:sz w:val="36"/>
          <w:lang w:val="pt-BR" w:bidi="ar-SA"/>
          <w:kern w:val="16"/>
          <w14:ligatures w14:val="standardContextual"/>
        </w:rPr>
        <w:t>SUMÁRIO</w:t>
      </w:r>
    </w:p>
    <w:p>
      <w:pPr>
        <w:spacing w:before="0" w:after="240" w:line="240" w:lineRule="auto"/>
        <w:jc w:val="center"/>
      </w:pPr>
      <w:r>
        <w:rPr>
          <w:rFonts w:ascii="EB Garamond" w:hAnsi="EB Garamond" w:cs="EB Garamond"/>
          <w:b w:val="0"/>
          <w:i w:val="0"/>
          <w:color w:val="B78B37"/>
          <w:sz w:val="18"/>
          <w:lang w:val="pt-BR" w:bidi="ar-SA"/>
          <w:kern w:val="16"/>
          <w14:ligatures w14:val="standardContextual"/>
        </w:rPr>
        <w:t>◆</w:t>
      </w:r>
    </w:p>
    <w:p>
      <w:pPr>
        <w:spacing w:before="0" w:after="0" w:line="240" w:lineRule="auto"/>
        <w:jc w:val="left"/>
      </w:pPr>
      <w:r>
        <w:fldChar w:fldCharType="begin"/>
      </w:r>
      <w:r>
        <w:instrText xml:space="preserve"> TOC \o "1-2" \h \z \u </w:instrText>
      </w:r>
      <w:r>
        <w:fldChar w:fldCharType="separate"/>
      </w:r>
      <w:r>
        <w:rPr>
          <w:rFonts w:ascii="EB Garamond" w:hAnsi="EB Garamond"/>
          <w:sz w:val="20"/>
          <w:color w:val="6B6256"/>
        </w:rPr>
        <w:t>Atualize o sumário para ver as entradas.</w:t>
      </w:r>
      <w:r>
        <w:fldChar w:fldCharType="end"/>
      </w:r>
    </w:p>
    <w:p>
      <w:pPr>
        <w:sectPr>
          <w:headerReference w:type="default" r:id="rId45"/>
          <w:headerReference w:type="even" r:id="rId46"/>
          <w:footerReference w:type="default" r:id="rId47"/>
          <w:footerReference w:type="even" r:id="rId48"/>
          <w:headerReference w:type="first" r:id="rId49"/>
          <w:footerReference w:type="first" r:id="rId50"/>
          <w:pgSz w:w="8391" w:h="11906"/>
          <w:pgMar w:top="935" w:right="879" w:bottom="964" w:left="1162" w:header="454" w:footer="425" w:gutter="0" w:mirrorMargins="1"/>
          <w:cols w:space="720"/>
          <w:titlePg/>
          <w:docGrid w:linePitch="360"/>
          <w:pgNumType w:fmt="lowerRoman"/>
        </w:sectPr>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120" w:line="240" w:lineRule="auto"/>
        <w:jc w:val="center"/>
      </w:pPr>
      <w:r>
        <w:rPr>
          <w:rFonts w:ascii="Noto Sans" w:hAnsi="Noto Sans" w:cs="Noto Sans"/>
          <w:b/>
          <w:i w:val="0"/>
          <w:caps/>
          <w:color w:val="8A6A2A"/>
          <w:sz w:val="20"/>
          <w:lang w:val="pt-BR" w:bidi="ar-SA"/>
          <w:kern w:val="16"/>
          <w14:ligatures w14:val="standardContextual"/>
        </w:rPr>
        <w:t>PARTE I</w:t>
      </w:r>
    </w:p>
    <w:p>
      <w:pPr>
        <w:pStyle w:val="Heading1"/>
        <w:spacing w:before="0" w:after="160" w:line="252" w:lineRule="auto"/>
        <w:jc w:val="center"/>
      </w:pPr>
      <w:r>
        <w:rPr>
          <w:rFonts w:ascii="EB Garamond" w:hAnsi="EB Garamond" w:cs="EB Garamond"/>
          <w:b/>
          <w:i w:val="0"/>
          <w:caps/>
          <w:color w:val="2F2923"/>
          <w:sz w:val="36"/>
          <w:lang w:val="pt-BR" w:bidi="ar-SA"/>
          <w:kern w:val="16"/>
          <w14:ligatures w14:val="standardContextual"/>
        </w:rPr>
        <w:t>Fundamentos do Regime Geral de Previdência Social</w:t>
      </w:r>
    </w:p>
    <w:p>
      <w:pPr>
        <w:spacing w:before="160" w:after="0" w:line="240" w:lineRule="auto"/>
        <w:jc w:val="center"/>
      </w:pPr>
      <w:r>
        <w:rPr>
          <w:rFonts w:ascii="EB Garamond" w:hAnsi="EB Garamond" w:cs="EB Garamond"/>
          <w:b w:val="0"/>
          <w:i w:val="0"/>
          <w:color w:val="B78B37"/>
          <w:sz w:val="18"/>
          <w:lang w:val="pt-BR" w:bidi="ar-SA"/>
          <w:kern w:val="16"/>
          <w14:ligatures w14:val="standardContextual"/>
        </w:rPr>
        <w:t>━━━━━  ◆  ◆  ◆  ━━━━━</w:t>
      </w:r>
    </w:p>
    <w:p>
      <w:pPr>
        <w:sectPr>
          <w:headerReference w:type="default" r:id="rId51"/>
          <w:headerReference w:type="even" r:id="rId52"/>
          <w:footerReference w:type="default" r:id="rId53"/>
          <w:footerReference w:type="even" r:id="rId54"/>
          <w:headerReference w:type="first" r:id="rId55"/>
          <w:footerReference w:type="first" r:id="rId56"/>
          <w:type w:val="oddPage"/>
          <w:pgSz w:w="8391" w:h="11906"/>
          <w:pgMar w:top="935" w:right="879" w:bottom="964" w:left="1162" w:header="454" w:footer="425" w:gutter="0" w:mirrorMargins="1"/>
          <w:cols w:space="720"/>
          <w:titlePg/>
          <w:docGrid w:linePitch="360"/>
          <w:pgNumType w:fmt="decimal" w:start="1"/>
        </w:sectPr>
      </w:pPr>
    </w:p>
    <w:p>
      <w:pPr>
        <w:spacing w:before="240" w:after="80" w:line="240" w:lineRule="auto"/>
        <w:jc w:val="center"/>
        <w:keepNext/>
      </w:pPr>
      <w:r>
        <w:rPr>
          <w:rFonts w:ascii="Noto Sans" w:hAnsi="Noto Sans" w:cs="Noto Sans"/>
          <w:b/>
          <w:i w:val="0"/>
          <w:caps/>
          <w:color w:val="8A6A2A"/>
          <w:sz w:val="19"/>
          <w:lang w:val="pt-BR" w:bidi="ar-SA"/>
          <w:kern w:val="16"/>
          <w14:ligatures w14:val="standardContextual"/>
        </w:rPr>
        <w:t>CAPÍTULO 1</w:t>
      </w:r>
    </w:p>
    <w:p>
      <w:pPr>
        <w:pStyle w:val="Heading2"/>
        <w:spacing w:before="0" w:after="160" w:line="240" w:lineRule="auto"/>
        <w:jc w:val="center"/>
        <w:keepNext/>
      </w:pPr>
      <w:r>
        <w:rPr>
          <w:rFonts w:ascii="EB Garamond" w:hAnsi="EB Garamond" w:cs="EB Garamond"/>
          <w:b/>
          <w:i w:val="0"/>
          <w:caps/>
          <w:color w:val="2F2923"/>
          <w:sz w:val="40"/>
          <w:lang w:val="pt-BR" w:bidi="ar-SA"/>
          <w:kern w:val="16"/>
          <w14:ligatures w14:val="standardContextual"/>
        </w:rPr>
        <w:t>Evolução Histórica e Princípios Constitucionais</w:t>
      </w:r>
    </w:p>
    <w:p>
      <w:pPr>
        <w:spacing w:before="0" w:after="240" w:line="240" w:lineRule="auto"/>
        <w:jc w:val="center"/>
      </w:pPr>
      <w:r>
        <w:rPr>
          <w:rFonts w:ascii="EB Garamond" w:hAnsi="EB Garamond" w:cs="EB Garamond"/>
          <w:b w:val="0"/>
          <w:i w:val="0"/>
          <w:color w:val="B78B37"/>
          <w:sz w:val="18"/>
          <w:lang w:val="pt-BR" w:bidi="ar-SA"/>
          <w:kern w:val="16"/>
          <w14:ligatures w14:val="standardContextual"/>
        </w:rPr>
        <w:t>━━━━  ◆  ━━━━</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Introdução: o direito previdenciário como construção histórica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direito previdenciário brasileiro não nasceu pronto. Ele é resultado de mais de um século de disputas políticas, pressões sociais, crises econômicas e escolhas institucionais que moldaram progressivamente o sistema de proteção social que conhecemos. Cada norma vigente carrega em si a marca das circunstâncias históricas que a produziram, e compreender essas circunstâncias é, antes de qualquer erudição acadêmica, ferramenta indispensável para quem opera o sistema na prática cotidiana dos Juizados Especiais Federais. Os problemas que chegam diariamente às varas federais — reconhecimento de tempo rural anterior a 1991, cômputo de períodos em regimes extintos, aplicação de regras de transição entre reformas constitucionais — só se resolvem adequadamente quando o julgador conhece a lógica que presidiu cada etapa da construção do sistema.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Adotamos nesta obra a premissa de que três grandes eixos evolutivos explicam a trajetória da proteção social no Brasil. O primeiro diz respeito à passagem da caridade privada para a proteção social estatal: durante séculos, o amparo aos necessitados foi atribuição exclusiva de instituições religiosas e da solidariedade familiar, sem qualquer participação do poder público. O segundo eixo refere-se à transição da fragmentação corporativa para a universalização: o sistema previdenciário nasceu setorizado, oferecendo proteção apenas a categorias profissionais específicas, e caminhou gradativamente rumo à cobertura de todos os trabalhadores. O terceiro eixo trata da superação do assistencialismo pelo modelo contributivo-solidário: a proteção deixou de ser favor estatal para tornar-se direito subjetivo condicionado à participação no financiamento do sistema.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Esses três eixos convergem na Constituição Federal de 1988, que representou o ponto de inflexão mais significativo da história previdenciária brasileira. A Carta de 1988 criou o conceito de seguridade social como sistema integrado que articula saúde, previdência e assistência social, combinando influências do modelo bismarckiano (contributividade, seguro social, proporcionalidade) e do modelo beveridgiano (universalidade, responsabilidade estatal, financiamento solidário). O Brasil adotou, assim, um modelo híbrido: bismarckiano na previdência social e beveridgiano na saúde e na assistência. Essa opção constitucional gera uma tensão constitutiva que permeia todo o regime jurídico previdenciário e que o operador do direito precisa compreender para interpretar corretamente as normas aplicáveis.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evolução histórica também explica por que o sistema atual sofreu reformas tão profundas nas últimas três décadas. A EC 20/1998 substituiu o tempo de serviço pelo tempo de contribuição e constitucionalizou o equilíbrio financeiro e atuarial. A EC 41/2003 reformou os regimes próprios com reflexos no RGPS. A EC 103/2019 redesenhou inteiramente a arquitetura do regime geral, instituindo idade mínima obrigatória, nova fórmula de cálculo e regras de transição de elevada complexidade. A EC 132/2023 reestruturou a base de financiamento da seguridade com a reforma tributária. A EC 136/2025 alterou o regime de correção monetária dos precatórios. Cada uma dessas reformas só pode ser compreendida à luz do processo histórico que a antecedeu e das pressões políticas e econômicas que a motivaram.</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Este capítulo organiza-se em quatro partes. Na primeira, examinamos a evolução histórica da proteção social no Brasil, desde as primeiras formas de assistência no período colonial até a criação do sistema de seguridade social pela CF/88. Na segunda, analisamos os princípios constitucionais da seguridade social previstos no art. 194, parágrafo único, da Constituição, com ênfase na sua aplicação prática nos JEFs. Na terceira, tratamos dos princípios específicos da previdência social (art. 201, CF/88), com destaque para o caráter contributivo, o equilíbrio financeiro e atuarial e a solidariedade intergeracional. Na quarta, examinamos as reformas constitucionais e seus impactos concretos no RGPS. A função do capítulo é dupla: oferecer ao leitor uma narrativa histórica coerente que permita compreender por que o sistema tem a configuração que tem, e fornecer um repertório principiológico operacional que sirva como ferramenta de argumentação e decisão na atuação forense dos Juizados Especiais Federais.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1.2 Origens da proteção social: Bismarck, Beveridge e os primeiros marcos internacionais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 dois grandes modelos históricos de proteção social, o bismarckiano e o beveridgiano, constituem as matrizes que influenciaram e continuam influenciando o desenho institucional do sistema brasileiro. A identificação de qual modelo inspira cada componente do nosso sistema permite ao intérprete compreender a lógica interna das normas e resolver adequadamente as tensões que surgem entre a contributividade previdenciária e a universalidade da seguridade.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proteção social não é invenção do Estado moderno. Na Europa medieval, as guildas de artesãos e as corporações de ofício já organizavam fundos de socorro mútuo para amparar seus membros em caso de doença, invalidez ou morte. Essas formas privadas e associativas de proteção coletiva constituíam a única rede de amparo disponível numa época em que o poder público não assumia qualquer responsabilidade pelo bem-estar dos trabalhadores. O socorro mútuo, todavia, era limitado pela capacidade financeira de cada corporação, restrito aos seus membros e desprovido de qualquer garantia estatal.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modelo bismarckiano nasceu na Alemanha entre 1883 e 1889, quando o chanceler Otto von Bismarck instituiu o primeiro sistema de seguro social obrigatório da história. As três leis fundamentais, seguro-doença (1883), seguro contra acidentes de trabalho (1884) e seguro de invalidez e velhice (1889), criaram um modelo de proteção social com características bem definidas: contributividade (o financiamento provinha de contribuições de empregados e empregadores), proporcionalidade entre contribuição e benefício, filiação obrigatória dos trabalhadores formais, e gestão tripartite envolvendo Estado, empregadores e trabalhadores. O contexto político em que esse modelo surgiu não pode ser ignorado: Bismarck implementou o seguro social como estratégia para conter a ascensão do movimento operário socialista, oferecendo aos trabalhadores benefícios concretos que os vinculassem ao Estado e os afastassem das propostas revolucionárias. A influência do modelo bismarckiano no RGPS brasileiro é direta e reconhecível: o regime geral é contributivo, de filiação obrigatória, com benefícios proporcionais às contribuições vertidas pelo segurado ao longo de sua vida laboral.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modelo beveridgiano, por sua vez, surgiu no Reino Unido em 1942, com a publicação do Relatório Beveridge ("Social Insurance and Allied Services"). William Beveridge propunha um sistema de proteção social universal, financiado por impostos gerais e não por contribuições individuais, com benefícios uniformes destinados a garantir um mínimo vital a todos os cidadãos, independentemente de vínculo empregatício ou capacidade contributiva. Enquanto o modelo bismarckiano protegia o trabalhador na medida de sua contribuição, o beveridgiano protegia o cidadão pelo simples fato de pertencer à comunidade política. A influência do modelo beveridgiano no Brasil manifesta-se na saúde pública (o Sistema Único de Saúde é universal e não contributivo, nos termos do art. 196 da CF/88) e na assistência social (o Benefício de Prestação Continuada é concedido independentemente de contribuição, conforme o art. 203 da Constituição).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Declaração Universal dos Direitos Humanos (1948), em seus artigos 22 e 25, consagrou o direito à seguridade social e a um padrão de vida adequado como direitos humanos fundamentais. A Convenção 102 da Organização Internacional do Trabalho (1952) estabeleceu normas mínimas de seguridade social, definindo nove contingências que todo sistema nacional deveria cobrir: assistência médica, auxílio por incapacidade temporária, prestações de desemprego, prestações de velhice, prestações em caso de acidente de trabalho, prestações familiares, prestações de maternidade, prestações de invalidez e prestações de sobreviventes. Esses instrumentos internacionais influenciaram diretamente a constitucionalização da seguridade social no Brasil em 1988. O sistema brasileiro configura-se, portanto, como modelo híbrido: a previdência social opera sob lógica bismarckiana (contributiva, obrigatória, proporcional), inserida num sistema de seguridade de inspiração beveridgiana (universal na saúde, seletiva na assistência, solidário no financiamento).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5F3EF" w:val="clear"/>
            <w:tcBorders>
              <w:top w:val="single" w:sz="7" w:space="0" w:color="A09882"/>
              <w:bottom w:val="single" w:sz="7" w:space="0" w:color="A09882"/>
              <w:right w:val="single" w:sz="7" w:space="0" w:color="A09882"/>
              <w:left w:val="single" w:sz="24" w:space="0" w:color="6B6256"/>
            </w:tcBorders>
          </w:tcPr>
          <w:p>
            <w:pPr>
              <w:spacing w:before="0" w:after="60" w:line="240" w:lineRule="auto"/>
              <w:jc w:val="left"/>
            </w:pPr>
            <w:r>
              <w:rPr>
                <w:rFonts w:ascii="Noto Sans" w:hAnsi="Noto Sans" w:cs="Noto Sans"/>
                <w:b/>
                <w:i w:val="0"/>
                <w:caps/>
                <w:color w:val="6B6256"/>
                <w:sz w:val="16"/>
                <w:lang w:val="pt-BR" w:bidi="ar-SA"/>
                <w:kern w:val="16"/>
                <w14:ligatures w14:val="standardContextual"/>
              </w:rPr>
              <w:t>QUADRO</w:t>
            </w:r>
          </w:p>
          <w:p>
            <w:pPr>
              <w:spacing w:before="0" w:after="60" w:line="247" w:lineRule="auto"/>
              <w:jc w:val="both"/>
            </w:pPr>
            <w:r>
              <w:rPr>
                <w:rFonts w:ascii="EB Garamond" w:hAnsi="EB Garamond" w:cs="EB Garamond"/>
                <w:b/>
                <w:i w:val="0"/>
                <w:color w:val="201B16"/>
                <w:sz w:val="19"/>
                <w:lang w:val="pt-BR" w:bidi="ar-SA"/>
                <w:kern w:val="16"/>
                <w14:ligatures w14:val="standardContextual"/>
              </w:rPr>
              <w:t>Quadro 1.1 — Comparação entre os modelos de proteção social</w:t>
            </w:r>
          </w:p>
          <w:tbl>
            <w:tblPr>
              <w:tblW w:type="auto" w:w="0"/>
              <w:jc w:val="center"/>
              <w:tblLook w:firstColumn="1" w:firstRow="1" w:lastColumn="0" w:lastRow="0" w:noHBand="0" w:noVBand="1" w:val="04A0"/>
              <w:tblW w:w="5000" w:type="pct"/>
            </w:tblPr>
            <w:tblGrid>
              <w:gridCol w:w="1587"/>
              <w:gridCol w:w="1587"/>
              <w:gridCol w:w="1587"/>
              <w:gridCol w:w="1587"/>
            </w:tblGrid>
            <w:tr>
              <w:trPr>
                <w:tblHeader/>
              </w:trPr>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Aspecto</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Modelo Bismarckiano (1883)</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Modelo Beveridgiano (1942)</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Sistema Brasileiro (CF/88)</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Financiamento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Contribuições de empregados e empregadores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Impostos gerais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Híbrido: contribuições (previdência) + impostos (saúde/assistência)</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Cobertura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Trabalhadores formais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Universal (todos os cidadãos)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Previdência: segurados; Saúde/Assistência: universal</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Benefícios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Proporcionais à contribuição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Uniformes (mínimo vital)</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Previdência: proporcionais; BPC: uniforme (1 SM)</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Gestão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Tripartite</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Estatal centralizada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Quadripartite (art. 194, VII, CF)</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Princípio motor</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Contributividade</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Solidariedade universal</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Solidariedade + contributividade</w:t>
                  </w:r>
                </w:p>
              </w:tc>
            </w:tr>
          </w:tbl>
          <w:p/>
          <w:p>
            <w:pPr>
              <w:spacing w:before="0" w:after="0" w:line="240" w:lineRule="auto"/>
            </w:pP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1.3 Primórdios no Brasil: das confrarias de Misericórdia à lei Eloy Chaves (1543–1923)</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história da proteção social no Brasil começa bem antes da existência de qualquer norma previdenciária, com formas privadas e religiosas de assistência que nada tinham de seguro social em sentido técnico, mas que constituem os antecedentes remotos do sistema atual. A compreensão desses primórdios permite situar o nascimento da previdência social brasileira no contexto adequado: o de um país que chegou tardio à proteção social estatal e que, quando a adotou, o fez de forma fragmentária e corporativa, com consequências que persistem até hoje na jurisprudência dos JEFs.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No período colonial, as Santas Casas de Misericórdia foram as primeiras instituições de assistência social a operar no território brasileiro. A Santa Casa de Santos, fundada em 1543, é considerada a mais antiga do país. Essas instituições, de natureza religiosa e caritativa, prestavam socorro a doentes, órfãos e desamparados sem qualquer caráter contributivo ou estatal. O amparo dependia exclusivamente da generosidade de benfeitores e da caridade cristã, e não havia qualquer obrigação jurídica de prestação por parte do poder público. No Império, surgiram os montepios e as sociedades de socorro mútuo, organizados por funcionários públicos e por trabalhadores de determinados ofícios. Esses fundos, de caráter privado e voluntário, destinavam-se a amparar viúvas e órfãos dos participantes, mediante contribuições periódicas dos associados. Tratava-se de mutualismo, não de previdência social: a participação era facultativa, a gestão era privada e o Estado não garantia qualquer prestação.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primeiro ato normativo a estabelecer aposentadoria no Brasil foi o Decreto n. 9.912-A, de 26 de março de 1888, que concedeu aposentadoria aos empregados dos Correios, com requisito de 60 anos de idade e 30 anos de serviço efetivo. A Constituição de 1891, em seu art. 75, trouxe a primeira menção constitucional à aposentadoria, limitada, contudo, aos funcionários públicos em caso de invalidez a serviço da Nação. Essas disposições iniciais não configuravam ainda um sistema de seguro social: eram benefícios graciosos, concedidos pelo Estado a seus próprios servidores, sem contrapartida contributiva e sem extensão aos trabalhadores do setor privado.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Nas primeiras décadas do século XX, o Brasil experimentou um processo acelerado de industrialização, concentrado inicialmente nos setores ferroviário, portuário e têxtil. A expansão das ferrovias para escoamento do café, a movimentação portuária em Santos e no Rio de Janeiro e as primeiras fábricas de tecidos em São Paulo e Minas Gerais geraram uma classe operária urbana numericamente significativa, que passou a organizar-se em sindicatos e associações e a reivindicar proteção contra os riscos inerentes ao trabalho. O Decreto Legislativo n. 3.724, de 15 de janeiro de 1919, representou o primeiro reconhecimento legislativo do risco social laboral ao regulamentar a responsabilidade do empregador por acidentes de trabalho. O modelo adotado, porém, era de responsabilidade civil do empregador (obrigação de indenizar), e não de seguro social propriamente dito. O trabalhador acidentado dependia da solvência do empregador e da comprovação da culpa patronal — mecanismo insuficiente para oferecer proteção efetiva.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marco fundador da previdência social brasileira é o Decreto Legislativo n. 4.682, de 24 de janeiro de 1923, a célebre Lei Eloy Chaves, que recebeu o nome do deputado paulista que a propôs. Essa lei criou as Caixas de Aposentadorias e Pensões (CAPs) para os empregados das empresas ferroviárias, estabelecendo pela primeira vez no país um sistema de seguro social obrigatório. Os benefícios previstos incluíam aposentadoria por invalidez (atual aposentadoria por incapacidade permanente), aposentadoria ordinária (por tempo de serviço), pensão por morte e assistência médica. O financiamento era tripartite: contribuições dos empregados (3% do salário), dos empregadores (1% da receita bruta) e dos usuários dos serviços ferroviários (pequeno acréscimo sobre tarifas de passageiros e fretes). A gestão de cada Caixa era exercida por colegiado composto de representantes dos empregados e dos empregadores da respectiva empresa, sem participação direta do Estado na administração cotidiana.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limitação fundamental da Lei Eloy Chaves residia no seu alcance: a proteção era restrita aos ferroviários, configurando modelo de proteção corporativa vinculada a uma única categoria profissional. Ainda assim, seu significado histórico é inegável: pela primeira vez, o Estado brasileiro impunha a obrigatoriedade da proteção previdenciária, ainda que circunscrita a um segmento específico da força de trabalho. A escolha dos ferroviários como primeira categoria protegida não foi acidental: os trabalhadores das estradas de ferro constituíam, à época, o segmento mais organizado e politicamente relevante da classe operária brasileira, com forte capacidade de pressão sobre o governo federal, dado o papel estratégico das ferrovias no escoamento da produção cafeeira.</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1.4 Caixas de aposentadorias e pensões e institutos de aposentadorias e pensões (1923–1960)</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pós a edição da Lei Eloy Chaves, o modelo das Caixas de Aposentadorias e Pensões foi rapidamente estendido a outras categorias profissionais. Em 1926, a proteção alcançou os portuários e marítimos; em 1928, os trabalhadores nos serviços telegráficos e radiotelegráficos; em 1932, os mineradores. A característica fundamental das CAPs era a organização por empresa, não por categoria profissional: cada empresa ferroviária, portuária ou mineradora possuía sua própria Caixa, com regras de benefícios, alíquotas de contribuição e patrimônio distintos. Essa fragmentação gerou centenas de entidades previdenciárias espalhadas pelo território nacional, cada qual com autonomia administrativa e financeira, sob a supervisão do Conselho Nacional do Trabalho. A consequência era previsível: desigualdade entre os trabalhadores protegidos, ausência de padronização e impossibilidade de transferência de direitos entre Caixas distintas.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Era Vargas (1930–1945) promoveu transformação profunda na estrutura da proteção social brasileira. A lógica organizacional mudou das Caixas por empresa para os Institutos por categoria profissional. O primeiro Instituto de Aposentadorias e Pensões foi o IAPM (Marítimos), criado pelo Decreto n. 22.872, de 29 de junho de 1933. Seguiram-se o IAPC, o IAPB, o IAPI, o IAPETC e o IPASE. Os IAPs adotavam gestão tripartite, governo, empregadores e trabalhadores, de clara inspiração bismarckiana, e representavam avanço significativo em relação às CAPs: a organização por categoria profissional ampliava o universo de segurados e permitia maior uniformização de regras dentro de cada Instituto.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Os IAPs exerceram função política que transcendia a proteção previdenciária. Na análise clássica de Wanderley Guilherme dos Santos (1987), Vargas utilizou os Institutos como instrumento de cooptação das classes trabalhadoras, vinculando o acesso à proteção social ao reconhecimento da profissão pelo Estado. O conceito de "cidadania regulada" descreve com precisão esse mecanismo: só era cidadão pleno quem tinha profissão reconhecida e regulamentada pelo Ministério do Trabalho, e só quem era cidadão pleno acessava os benefícios previdenciários administrados pelo respectivo IAP. Os trabalhadores informais, rurais e domésticos ficavam excluídos do sistema. A desigualdade entre os próprios IAPs era também significativa: bancários e comerciários dispunham de benefícios superiores aos dos industriários, porque cada Instituto tinha regras e alíquotas próprias, refletindo o poder de negociação política de cada categoria.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No período democrático que se seguiu ao Estado Novo (1945–1960), a heterogeneidade dos IAPs tornou-se questão política central. Trabalhadores de categorias distintas percebiam que contribuições semelhantes geravam benefícios diferentes conforme o Instituto a que estavam vinculados. O IAPB (Bancários), por exemplo, oferecia aposentadoria ordinária com proventos integrais após 30 anos de serviço, ao passo que o IAPI (Industriários) exigia 35 anos para o mesmo tipo de prestação e concedia valores inferiores. As alíquotas de contribuição também variavam: enquanto alguns IAPs exigiam 5% do salário, outros chegavam a 8%. Essa desigualdade alimentava tensões entre categorias e pressionava o Congresso Nacional pela unificação. O debate legislativo estendeu-se por mais de uma década, até que a Lei n. 3.807, de 26 de agosto de 1960, a Lei Orgânica da Previdência Social (LOPS), estabeleceu regras uniformes de benefícios e contribuições para todos os IAPs, sem, contudo, unificá-los administrativamente. A LOPS foi o primeiro passo efetivo rumo à universalização da proteção previdenciária no Brasil, embora limitada aos trabalhadores urbanos formais. A unificação administrativa só viria em 1966, com a criação do INPS.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O legado das CAPs e dos IAPs na jurisprudência dos JEFs.</w:t>
            </w:r>
            <w:r>
              <w:rPr>
                <w:rFonts w:ascii="EB Garamond" w:hAnsi="EB Garamond" w:cs="EB Garamond"/>
                <w:b w:val="0"/>
                <w:i w:val="0"/>
                <w:color w:val="201B16"/>
                <w:sz w:val="19"/>
                <w:lang w:val="pt-BR" w:bidi="ar-SA"/>
                <w:kern w:val="16"/>
                <w14:ligatures w14:val="standardContextual"/>
              </w:rPr>
              <w:t xml:space="preserve"> Processos que envolvem cômputo de tempo de serviço anterior a 1960 frequentemente exigem do julgador a compreensão da estrutura das CAPs e dos IAPs: qual era o regime jurídico aplicável à categoria do segurado, quais benefícios existiam naquele período, como era feita a contagem de tempo. A extinção dessas entidades não eliminou os direitos adquiridos sob seus regimes. A jurisprudência admite certidões expedidas pelas antigas CAPs e IAPs como início de prova material para fins de averbação de tempo de serviço, desde que corroboradas por outros elementos (Súmula 149/STJ, por analogia). Na instrução de processos que envolvam períodos anteriores a 1960, sustentamos que o julgador deve investigar a qual CAP ou IAP o segurado esteve vinculado, pois as regras de contagem e os benefícios variavam conforme a entidade gestora.</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1.5 Unificação institucional: LOPS, Funrural e SINPAS (1960–1988)</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Lei Orgânica da Previdência Social (Lei n. 3.807, de 26 de agosto de 1960) representou a primeira tentativa séria de superar a fragmentação herdada da era das CAPs e dos IAPs. A LOPS promoveu a unificação legislativa: todos os Institutos passaram a seguir as mesmas regras de benefícios e contribuições, com padronização de prestações que incluíam aposentadoria por invalidez (atual aposentadoria por incapacidade permanente), aposentadoria por velhice, aposentadoria por tempo de serviço, auxílio-doença (atual auxílio por incapacidade temporária), pensão por morte, auxílio-natalidade e auxílio-funeral, entre outros. A lei criou também o salário-família, posteriormente regulamentado pela Lei n. 4.266/1963. A LOPS, porém, manteve a pluralidade administrativa: cada IAP continuou existindo como entidade autônoma, com quadro funcional e patrimônio próprios. A unificação era de regras, não de instituições. Ainda assim, o significado histórico da LOPS é claro: pela primeira vez, buscou-se tratar de forma igualitária todos os trabalhadores urbanos formais, independentemente da categoria profissional a que pertenciam.</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extensão da proteção previdenciária ao campo ocorreu de forma lenta e marcada por insuficiências estruturais. O Estatuto do Trabalhador Rural (Lei n. 4.214, de 2 de junho de 1963) criou o Fundo de Assistência ao Trabalhador Rural (Funrural), mas sua implementação ficou aquém das promessas legislativas: a estrutura administrativa para atendimento da população rural era praticamente inexistente, e o financiamento previsto mostrou-se insuficiente. Foi somente com o PRORURAL (Lei Complementar n. 11, de 25 de maio de 1971) que o trabalhador rural passou a contar com programa efetivo de assistência, ainda que com benefícios de valor fixo (meio salário-mínimo) e sem proporcionalidade em relação às contribuições. O financiamento do PRORURAL provinha de contribuição incidente sobre a comercialização da produção rural (2,1% sobre o valor da produção, depois elevado a 2,5%), sem exigência de contribuição individual do trabalhador. As prestações cobertas limitavam-se à aposentadoria por velhice aos 65 anos, à pensão por morte (correspondente a 70% da aposentadoria do falecido) e ao auxílio-funeral, todas em valor fixo de meio salário-mínimo. A proteção ao rurícola, portanto, permanecia substancialmente inferior à do trabalhador urbano, tanto em termos de valor quanto de abrangência de contingências cobertas. Essa desigualdade estrutural só seria superada pela Constituição de 1988, que consagrou o princípio da uniformidade e equivalência dos benefícios entre as populações urbana e rural (art. 194, parágrafo único, II) e elevou o piso dos benefícios rurais para um salário-mínimo.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unificação administrativa que a LOPS não realizara veio com o Decreto-Lei n. 72, de 21 de novembro de 1966, que determinou a fusão de todos os IAPs no Instituto Nacional de Previdência Social (INPS). Pela primeira vez na história brasileira, um único órgão administrava a previdência de todos os trabalhadores urbanos. A criação do INPS representou a eliminação definitiva da fragmentação corporativa que caracterizara o período anterior: não haveria mais Institutos separados para bancários, comerciários, industriários e transportadores, mas uma única autarquia federal responsável pela concessão e manutenção de todos os benefícios previdenciários dos trabalhadores do setor privado.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criação do INPS também possibilitou a extensão da proteção previdenciária a categorias até então excluídas. Os trabalhadores domésticos foram incluídos como segurados obrigatórios pela Lei n. 5.859, de 11 de dezembro de 1972, e os trabalhadores autônomos (atuais contribuintes individuais) tiveram sua filiação obrigatória consolidada no mesmo período. A base de segurados do RGPS expandiu-se significativamente, embora o trabalhador rural permanecesse em regime apartado e inferior até a CF/88.</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década de 1970 trouxe nova reorganização com a criação do SINPAS — Sistema Nacional de Previdência e Assistência Social, instituído pela Lei n. 6.439, de 1º de setembro de 1977. O SINPAS reunia órgãos especializados numa estrutura integrada: o INPS (concessão e manutenção de benefícios), o IAPAS (arrecadação e fiscalização de contribuições), o INAMPS (assistência médica dos segurados), a LBA (assistência social), a FUNABEM (assistência ao menor), a DATAPREV (processamento de dados) e a CEME (produção de medicamentos). A separação entre INPS e INAMPS já prenunciava a distinção que a CF/88 consagraria entre previdência e saúde como subsistemas autônomos da seguridade social. A crise financeira dos anos 1980 atingiu o SINPAS com particular severidade: os recursos previdenciários eram sistematicamente desviados para financiar a saúde pública e programas assistenciais, gerando déficit estrutural. Essa crise foi determinante para a configuração que a seguridade social receberia na Constituição de 1988, com a separação formal entre previdência, saúde e assistência e a previsão de orçamento próprio da seguridade.</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Linha do tempo: marcos da previdência social brasileira (1923–1988)</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 </w:t>
            </w:r>
            <w:r>
              <w:rPr>
                <w:rFonts w:ascii="EB Garamond" w:hAnsi="EB Garamond" w:cs="EB Garamond"/>
                <w:b/>
                <w:i w:val="0"/>
                <w:color w:val="201B16"/>
                <w:sz w:val="19"/>
                <w:lang w:val="pt-BR" w:bidi="ar-SA"/>
                <w:kern w:val="16"/>
                <w14:ligatures w14:val="standardContextual"/>
              </w:rPr>
              <w:t>1923</w:t>
            </w:r>
            <w:r>
              <w:rPr>
                <w:rFonts w:ascii="EB Garamond" w:hAnsi="EB Garamond" w:cs="EB Garamond"/>
                <w:b w:val="0"/>
                <w:i w:val="0"/>
                <w:color w:val="201B16"/>
                <w:sz w:val="19"/>
                <w:lang w:val="pt-BR" w:bidi="ar-SA"/>
                <w:kern w:val="16"/>
                <w14:ligatures w14:val="standardContextual"/>
              </w:rPr>
              <w:t xml:space="preserve"> — Lei Eloy Chaves (Decreto Legislativo n. 4.682): criação das Caixas de Aposentadorias e Pensões (CAPs) para ferroviários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 </w:t>
            </w:r>
            <w:r>
              <w:rPr>
                <w:rFonts w:ascii="EB Garamond" w:hAnsi="EB Garamond" w:cs="EB Garamond"/>
                <w:b/>
                <w:i w:val="0"/>
                <w:color w:val="201B16"/>
                <w:sz w:val="19"/>
                <w:lang w:val="pt-BR" w:bidi="ar-SA"/>
                <w:kern w:val="16"/>
                <w14:ligatures w14:val="standardContextual"/>
              </w:rPr>
              <w:t>1933</w:t>
            </w:r>
            <w:r>
              <w:rPr>
                <w:rFonts w:ascii="EB Garamond" w:hAnsi="EB Garamond" w:cs="EB Garamond"/>
                <w:b w:val="0"/>
                <w:i w:val="0"/>
                <w:color w:val="201B16"/>
                <w:sz w:val="19"/>
                <w:lang w:val="pt-BR" w:bidi="ar-SA"/>
                <w:kern w:val="16"/>
                <w14:ligatures w14:val="standardContextual"/>
              </w:rPr>
              <w:t xml:space="preserve"> — Decreto n. 22.872: criação do IAPM (Marítimos), primeiro Instituto de Aposentadorias e Pensões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 </w:t>
            </w:r>
            <w:r>
              <w:rPr>
                <w:rFonts w:ascii="EB Garamond" w:hAnsi="EB Garamond" w:cs="EB Garamond"/>
                <w:b/>
                <w:i w:val="0"/>
                <w:color w:val="201B16"/>
                <w:sz w:val="19"/>
                <w:lang w:val="pt-BR" w:bidi="ar-SA"/>
                <w:kern w:val="16"/>
                <w14:ligatures w14:val="standardContextual"/>
              </w:rPr>
              <w:t>1934–1938</w:t>
            </w:r>
            <w:r>
              <w:rPr>
                <w:rFonts w:ascii="EB Garamond" w:hAnsi="EB Garamond" w:cs="EB Garamond"/>
                <w:b w:val="0"/>
                <w:i w:val="0"/>
                <w:color w:val="201B16"/>
                <w:sz w:val="19"/>
                <w:lang w:val="pt-BR" w:bidi="ar-SA"/>
                <w:kern w:val="16"/>
                <w14:ligatures w14:val="standardContextual"/>
              </w:rPr>
              <w:t xml:space="preserve"> — Criação dos demais IAPs: Comerciários, Bancários, Industriários, Transportadores, Servidores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 </w:t>
            </w:r>
            <w:r>
              <w:rPr>
                <w:rFonts w:ascii="EB Garamond" w:hAnsi="EB Garamond" w:cs="EB Garamond"/>
                <w:b/>
                <w:i w:val="0"/>
                <w:color w:val="201B16"/>
                <w:sz w:val="19"/>
                <w:lang w:val="pt-BR" w:bidi="ar-SA"/>
                <w:kern w:val="16"/>
                <w14:ligatures w14:val="standardContextual"/>
              </w:rPr>
              <w:t>1960</w:t>
            </w:r>
            <w:r>
              <w:rPr>
                <w:rFonts w:ascii="EB Garamond" w:hAnsi="EB Garamond" w:cs="EB Garamond"/>
                <w:b w:val="0"/>
                <w:i w:val="0"/>
                <w:color w:val="201B16"/>
                <w:sz w:val="19"/>
                <w:lang w:val="pt-BR" w:bidi="ar-SA"/>
                <w:kern w:val="16"/>
                <w14:ligatures w14:val="standardContextual"/>
              </w:rPr>
              <w:t xml:space="preserve"> — LOPS (Lei n. 3.807): unificação legislativa dos benefícios e contribuições de todos os IAPs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 </w:t>
            </w:r>
            <w:r>
              <w:rPr>
                <w:rFonts w:ascii="EB Garamond" w:hAnsi="EB Garamond" w:cs="EB Garamond"/>
                <w:b/>
                <w:i w:val="0"/>
                <w:color w:val="201B16"/>
                <w:sz w:val="19"/>
                <w:lang w:val="pt-BR" w:bidi="ar-SA"/>
                <w:kern w:val="16"/>
                <w14:ligatures w14:val="standardContextual"/>
              </w:rPr>
              <w:t>1966</w:t>
            </w:r>
            <w:r>
              <w:rPr>
                <w:rFonts w:ascii="EB Garamond" w:hAnsi="EB Garamond" w:cs="EB Garamond"/>
                <w:b w:val="0"/>
                <w:i w:val="0"/>
                <w:color w:val="201B16"/>
                <w:sz w:val="19"/>
                <w:lang w:val="pt-BR" w:bidi="ar-SA"/>
                <w:kern w:val="16"/>
                <w14:ligatures w14:val="standardContextual"/>
              </w:rPr>
              <w:t xml:space="preserve"> — Decreto-Lei n. 72: fusão dos IAPs no INPS (unificação administrativa)</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 </w:t>
            </w:r>
            <w:r>
              <w:rPr>
                <w:rFonts w:ascii="EB Garamond" w:hAnsi="EB Garamond" w:cs="EB Garamond"/>
                <w:b/>
                <w:i w:val="0"/>
                <w:color w:val="201B16"/>
                <w:sz w:val="19"/>
                <w:lang w:val="pt-BR" w:bidi="ar-SA"/>
                <w:kern w:val="16"/>
                <w14:ligatures w14:val="standardContextual"/>
              </w:rPr>
              <w:t>1971</w:t>
            </w:r>
            <w:r>
              <w:rPr>
                <w:rFonts w:ascii="EB Garamond" w:hAnsi="EB Garamond" w:cs="EB Garamond"/>
                <w:b w:val="0"/>
                <w:i w:val="0"/>
                <w:color w:val="201B16"/>
                <w:sz w:val="19"/>
                <w:lang w:val="pt-BR" w:bidi="ar-SA"/>
                <w:kern w:val="16"/>
                <w14:ligatures w14:val="standardContextual"/>
              </w:rPr>
              <w:t xml:space="preserve"> — PRORURAL (LC n. 11): extensão da proteção previdenciária ao trabalhador rural (benefício de meio SM)</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 </w:t>
            </w:r>
            <w:r>
              <w:rPr>
                <w:rFonts w:ascii="EB Garamond" w:hAnsi="EB Garamond" w:cs="EB Garamond"/>
                <w:b/>
                <w:i w:val="0"/>
                <w:color w:val="201B16"/>
                <w:sz w:val="19"/>
                <w:lang w:val="pt-BR" w:bidi="ar-SA"/>
                <w:kern w:val="16"/>
                <w14:ligatures w14:val="standardContextual"/>
              </w:rPr>
              <w:t>1977</w:t>
            </w:r>
            <w:r>
              <w:rPr>
                <w:rFonts w:ascii="EB Garamond" w:hAnsi="EB Garamond" w:cs="EB Garamond"/>
                <w:b w:val="0"/>
                <w:i w:val="0"/>
                <w:color w:val="201B16"/>
                <w:sz w:val="19"/>
                <w:lang w:val="pt-BR" w:bidi="ar-SA"/>
                <w:kern w:val="16"/>
                <w14:ligatures w14:val="standardContextual"/>
              </w:rPr>
              <w:t xml:space="preserve"> — Lei n. 6.439: criação do SINPAS (INPS + IAPAS + INAMPS + LBA + FUNABEM + DATAPREV + CEME)</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 </w:t>
            </w:r>
            <w:r>
              <w:rPr>
                <w:rFonts w:ascii="EB Garamond" w:hAnsi="EB Garamond" w:cs="EB Garamond"/>
                <w:b/>
                <w:i w:val="0"/>
                <w:color w:val="201B16"/>
                <w:sz w:val="19"/>
                <w:lang w:val="pt-BR" w:bidi="ar-SA"/>
                <w:kern w:val="16"/>
                <w14:ligatures w14:val="standardContextual"/>
              </w:rPr>
              <w:t>1988</w:t>
            </w:r>
            <w:r>
              <w:rPr>
                <w:rFonts w:ascii="EB Garamond" w:hAnsi="EB Garamond" w:cs="EB Garamond"/>
                <w:b w:val="0"/>
                <w:i w:val="0"/>
                <w:color w:val="201B16"/>
                <w:sz w:val="19"/>
                <w:lang w:val="pt-BR" w:bidi="ar-SA"/>
                <w:kern w:val="16"/>
                <w14:ligatures w14:val="standardContextual"/>
              </w:rPr>
              <w:t xml:space="preserve"> — Constituição Federal: criação da seguridade social (saúde + previdência + assistência) e equiparação rural-urbana</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1.6 A Constituição de 1988 e a criação do sistema de seguridade social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Assembleia Nacional Constituinte de 1987–1988 trabalhou sob a marca da redemocratização e do compromisso com a construção de um Estado social. No campo da proteção social, a Constituição de 1988 promoveu ruptura com o modelo anterior ao criar o conceito de seguridade social como inovação constitucional brasileira. O art. 194, caput, define a seguridade social como "conjunto integrado de ações de iniciativa dos Poderes Públicos e da sociedade, destinadas a assegurar os direitos relativos à saúde, à previdência e à assistência social". A tripartição — saúde (arts. 196–200), previdência (arts. 201–202) e assistência social (arts. 203–204) — constitui os três pilares de um sistema que, na concepção original, deveria funcionar de modo articulado e complementar, com financiamento solidário e cobertura universal.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influência beveridgiana é reconhecível na concepção geral do sistema: cobertura universal, responsabilidade estatal, financiamento pela sociedade como um todo. A influência bismarckiana, por sua vez, permaneceu na previdência social especificamente: regime contributivo, filiação obrigatória, benefícios proporcionais à contribuição. Essa combinação constitui o que denominamos de hibridismo estrutural do modelo brasileiro: a saúde é direito de todos, independentemente de contribuição; a assistência social é devida a quem dela necessita, sem exigência de contrapartida; mas a previdência social é seguro contributivo, condicionado à filiação e ao pagamento de contribuições. Entender esse hibridismo é essencial para a atuação nos JEFs, pois o juiz federal decide tanto ações previdenciárias (RGPS) quanto assistenciais (BPC/LOAS), e a lógica jurídica que rege cada uma dessas prestações é fundamentalmente distinta.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universalização foi a conquista mais significativa da CF/88 no campo previdenciário. O art. 194, parágrafo único, inciso II, consagrou a uniformidade e equivalência dos benefícios e serviços às populações urbana e rural. Pela primeira vez na história brasileira, o trabalhador rural passou a ter direito a benefício no valor mínimo de um salário-mínimo, superando-se a discriminação que prevalecera durante todo o período anterior, quando o PRORURAL concedia ao rurícola benefício equivalente a meio salário-mínimo. Na saúde, o art. 196 estabeleceu que a saúde é direito de todos e dever do Estado, superando o modelo do INAMPS, que restringia a assistência médica aos segurados da previdência social. Na assistência social, o art. 203 instituiu o BPC como direito de quem necessita, independentemente de contribuição, prestação regulamentada pela Lei n. 8.742/1993 (LOAS) e que constitui, ainda hoje, parcela expressiva da demanda dos JEFs.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financiamento da seguridade social foi desenhado com base no princípio da diversidade da base de financiamento (art. 195, CF). O orçamento da seguridade é composto por contribuições de múltiplas fontes: empregadores (incidentes sobre folha de salários, faturamento e lucro), trabalhadores, receita de concursos de prognósticos e, a partir da EC 42/2003, importadores de bens e serviços do exterior. A Constituição concebeu a seguridade como sistema integrado de financiamento: na teoria, os três subsistemas compartilham essa base comum de custeio, o que significa que as receitas de COFINS, CSLL, PIS/PASEP e contribuição sobre a folha compõem um fundo único destinado a custear saúde, previdência e assistência. Na prática, a Desvinculação de Receitas da União (DRU), criada pela EC 27/2000 e mantida por sucessivas prorrogações até a EC 93/2016, permitiu ao governo federal desvincular até 30% das receitas de contribuições sociais para uso livre, alimentando o debate sobre a existência ou inexistência de "déficit" previdenciário. A tese do déficit depende fundamentalmente da metodologia contábil adotada: se computadas apenas as receitas da contribuição sobre a folha de pagamento em confronto com as despesas do RGPS, o resultado é deficitário; se computadas todas as fontes de custeio previstas no art. 195, o resultado pode ser distinto.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implementação infraconstitucional do sistema desenhado pela CF/88 deu-se em duas frentes. No plano institucional, a Lei n. 8.029, de 12 de abril de 1990, regulamentada pelo Decreto n. 99.350/1990, promoveu a fusão do INPS (benefícios) com o IAPAS (arrecadação) numa única autarquia: o Instituto Nacional do Seguro Social. O INSS reuniu em uma só entidade as funções de arrecadação de contribuições, concessão de benefícios e atendimento ao segurado, eliminando a dualidade que caracterizara o período do SINPAS. O INAMPS foi extinto em 1993 (Lei n. 8.689/1993), com suas atribuições transferidas ao SUS, consolidando a separação entre previdência e saúde que a Constituição havia determinado. O INSS tornou-se, assim, a autarquia responsável pela concessão e manutenção de benefícios previdenciários e assistenciais (BPC), posição que ocupa até hoje como réu na esmagadora maioria das ações que tramitam nos JEFs.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No plano normativo, a Lei n. 8.212, de 24 de julho de 1991 (Plano de Custeio da Seguridade Social), e a Lei n. 8.213, de 24 de julho de 1991 (Plano de Benefícios da Previdência Social), regulamentaram o regime previdenciário constitucional. As duas leis foram publicadas na mesma data, formando o binômio normativo que estrutura todo o RGPS: a primeira disciplina as fontes de custeio, as contribuições devidas e a forma de arrecadação; a segunda define os beneficiários, os benefícios, os requisitos de concessão e as regras de cálculo. A Lei 8.213/91 permanece, até hoje, como a lei orgânica do RGPS, embora extensivamente reformada por dezenas de leis ordinárias e complementares, além das emendas constitucionais que alteraram diretamente o texto do art. 201 da Constituição. O Decreto n. 3.048, de 6 de maio de 1999 (Regulamento da Previdência Social — RPS), consolidou a regulamentação infralegal numa única norma, e a Instrução Normativa INSS/PRES n. 128/2022 detalha os procedimentos operacionais de concessão e manutenção de benefícios, constituindo o principal instrumento normativo interno que orienta a atuação dos servidores do INSS.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A equiparação rural-urbana na CF/88 e seus reflexos nos JEFs</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universalização promovida pela CF/88 gerou um dos maiores volumes de demandas nos Juizados Especiais Federais: o reconhecimento de tempo de atividade rural anterior a novembro de 1991. O art. 55, § 2º, da Lei 8.213/91 permite o cômputo desse tempo independentemente de contribuição, desde que comprovado por início de prova material corroborado por testemunhos. A Súmula 149/STJ consolidou que a prova exclusivamente testemunhal não basta para a comprovação de atividade rural. O Tema 533/STJ definiu os critérios de extensão da prova material a membros do grupo familiar em regime de economia familiar, firmando que essa extensão não é possível quando o integrante em nome de quem está o documento passa a exercer trabalho incompatível com o labor rurícola, como o de natureza urbana. Essa demanda massiva nos JEFs é herança direta da transição entre o modelo corporativo-fragmentado, que excluía o trabalhador rural da proteção plena, e o modelo universalista da CF/88, que lhe reconheceu direitos equivalentes aos do trabalhador urbano.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1.7 Art. 194 da CF/88: conceito e organização da seguridade social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seguridade social é o gênero de que a previdência, a saúde e a assistência social são espécies. Essa distinção, que parece elementar em sede doutrinária, tem relevância operacional direta nos JEFs. O juiz federal julga ações previdenciárias (benefícios do RGPS) e assistenciais (BPC/LOAS), mas não julga ações de saúde quando o réu é exclusivamente o Estado ou o Município (competência estadual, em regra). A correta identificação da natureza da prestação pleiteada determina o regime jurídico aplicável, os requisitos de concessão, a legitimidade passiva e, em última análise, o resultado do julgamento. Confundir previdência com assistência ou tratar a seguridade como bloco monolítico conduz a erros de enquadramento que comprometem a tutela do direito.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parágrafo único do art. 194 da Constituição elenca sete objetivos que orientam a organização da seguridade social. A doutrina trata esses objetivos como autênticos princípios constitucionais, e essa qualificação não é meramente terminológica. Os sete princípios — universalidade da cobertura e do atendimento (I), uniformidade e equivalência dos benefícios e serviços às populações urbana e rural (II), seletividade e distributividade na prestação dos benefícios e serviços (III), irredutibilidade do valor dos benefícios (IV), equidade na forma de participação no custeio (V), diversidade da base de financiamento (VI) e caráter democrático e descentralizado da administração, mediante gestão quadripartite (VII) — vinculam o legislador ordinário, orientam a interpretação judicial e limitam a atuação administrativa do INSS. São, portanto, normas jurídicas dotadas de força vinculante, aptas a produzir efeitos concretos na resolução de litígios previdenciários, e não meras diretrizes programáticas ou declarações de intenção constitucional.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Sustentamos que cada um desses princípios gera consequências práticas identificáveis na atuação dos Juizados Especiais Federais. Longe de figurarem como referências decorativas, invocáveis apenas em obiter dictum ou em preâmbulos de sentenças, funcionam como ferramentas de decisão que fundamentam a interpretação de normas, a superação de lacunas e o controle de atos administrativos do INSS. Quando o INSS indefere benefício com fundamento em interpretação restritiva de norma infralegal, o advogado pode invocar a universalidade como argumento de ampliação da cobertura. Quando o juiz enfrenta lacuna legislativa sobre situação não expressamente prevista, pode recorrer à distributividade para estender a proteção ao segurado em condição de vulnerabilidade. Quando a constitucionalidade de norma reformadora é questionada, a irredutibilidade e a vedação do retrocesso social oferecem parâmetros objetivos de controle.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As seções seguintes analisam cada princípio individualmente, com ênfase nessa dimensão operacional. A estrutura é deliberada: para cada princípio, apresentamos seu conteúdo normativo, suas manifestações concretas no RGPS e sua aplicação prática nos JEFs, com exemplos jurisprudenciais sempre que pertinentes. A remissão aos capítulos subsequentes da obra será feita quando o detalhamento do tema extrapolar o escopo deste capítulo inaugural.</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1.8 Universalidade da cobertura e do atendimento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princípio da universalidade da cobertura e do atendimento (art. 194, parágrafo único, I, CF/88) possui dupla dimensão que precisa ser adequadamente compreendida. A universalidade da cobertura, em sua dimensão objetiva, determina que todos os riscos sociais relevantes devem ser cobertos pelo sistema de seguridade: doença, invalidez, morte, velhice, maternidade, desemprego involuntário, reclusão. A universalidade do atendimento, em sua dimensão subjetiva, exige que todas as pessoas tenham acesso à proteção social, sem discriminação por raça, gênero, nacionalidade, condição econômica ou vínculo empregatício. A conjugação dessas duas dimensões aponta para um sistema que aspira a proteger todos os indivíduos contra todas as contingências sociais relevantes.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Essa aspiração, contudo, encontra limites que o próprio texto constitucional reconhece e que variam conforme o subsistema de seguridade considerado. Na saúde, a universalidade é efetiva: o art. 196 garante acesso universal e igualitário, independentemente de qualquer contribuição ou condição prévia. Na assistência social, a universalidade é seletiva: o art. 203 destina a proteção a quem dela necessita, exigindo demonstração de vulnerabilidade socioeconômica. Na previdência social, a universalidade é potencial: a filiação obrigatória abrange todos os que exercem atividade remunerada, e qualquer pessoa pode filiar-se voluntariamente como segurada facultativa (art. 13 da Lei 8.213/91), mas a proteção previdenciária depende de contribuição — quem não contribui (nem por obrigação, nem por opção) não tem direito a benefício previdenciário. A universalidade previdenciária, portanto, não é universalidade incondicional: é universalidade condicionada à participação no custeio, salvo no caso do segurado especial, cuja contribuição incide sobre a produção rural (art. 25 da Lei 8.212/91), não sobre remuneração individual.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aplicação desse princípio nos JEFs é direta e recorrente. Entendemos que a universalidade funciona como vetor hermenêutico: na dúvida entre duas interpretações possíveis de uma norma de filiação, deve prevalecer aquela que amplia a cobertura, não a que a restringe. Esse vetor orienta, por exemplo, a interpretação extensiva das hipóteses de segurado especial (art. 11, VII, da Lei 8.213/91): a proteção do trabalhador rural em regime de economia familiar é expressão direta da universalidade, alcançando quem historicamente foi excluído do sistema. O Tema 350/STF (RE 631.240), ao dispensar o prévio requerimento administrativo nas hipóteses em que o INSS adota posição notoriamente contrária ao direito do segurado, reflete a universalidade no acesso à Justiça previdenciária: o formalismo processual não pode converter-se em barreira que impeça o segurado de obter a prestação a que faz jus.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filiação automática do segurado empregado decorre do exercício da atividade remunerada, independentemente de inscrição formal ou de recolhimento pelo empregador, e materializa a universalidade como regra de inclusão, não de exclusão. Se o empregador não registra o trabalhador e não recolhe as contribuições, a consequência jurídica recai sobre o empregador (devedor tributário), não sobre o empregado, que mantém a qualidade de segurado. Esse entendimento ancora-se nos arts. 30, I, e 33, § 5º, da Lei 8.212/91 — que atribuem ao empregador o ônus de arrecadar e recolher as contribuições e presumem feito o desconto, vedando que a omissão patronal recaia sobre o trabalhador — e está consolidado na jurisprudência: o segurado empregado não pode ser prejudicado pela inadimplência do empregador.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universalidade também se expressa na criação do segurado facultativo (art. 13 da Lei 8.213/91), que permite a filiação voluntária de quem não exerce atividade remunerada obrigatória — estudantes, donas de casa, desempregados —, e na instituição do sistema especial de inclusão previdenciária (art. 201, § 12, CF, incluído pela EC 47/2005), que possibilita alíquotas reduzidas para trabalhadores de baixa renda e pessoas sem renda própria dedicadas ao trabalho doméstico (remissão ao Cap. 2 para o detalhamento das categorias de segurados).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1.9 Uniformidade e equivalência dos benefícios entre populações urbana e rural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princípio da uniformidade e equivalência dos benefícios e serviços às populações urbana e rural (art. 194, parágrafo único, II, CF/88) só pode ser plenamente compreendido à luz do contexto histórico que o produziu. Conforme examinamos na seção 1.5, até a promulgação da CF/88, o trabalhador rural recebia benefícios substancialmente inferiores ao do urbano: o PRORURAL concedia prestações de valor fixo equivalentes a meio salário-mínimo, sem proporcionalidade em relação à contribuição e com cobertura limitada a contingências básicas. A CF/88 corrigiu essa distorção histórica ao estabelecer que nenhum benefício da seguridade social pode ser inferior a um salário-mínimo (art. 201, § 2º) e que os tipos de prestações e seus valores devem ser equivalentes para trabalhadores urbanos e rurais.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princípio desdobra-se em duas dimensões complementares. A uniformidade exige que os mesmos tipos de benefícios sejam oferecidos a urbanos e rurais: aposentadoria por idade, aposentadoria por incapacidade permanente, auxílio por incapacidade temporária, pensão por morte, salário-maternidade e demais prestações previstas em lei. Não se admite a existência de benefícios exclusivos para trabalhadores urbanos, com exclusão dos rurais, nem vice-versa. Antes da CF/88, o PRORURAL não previa, por exemplo, auxílio por incapacidade temporária para o trabalhador rural — esse tipo de lacuna não é mais admissível sob o regime constitucional vigente. A equivalência, por sua vez, exige que os benefícios tenham o mesmo valor quando a situação fática for idêntica: um trabalhador rural incapacitado tem direito ao mesmo benefício que um trabalhador urbano incapacitado nas mesmas condições. A uniformidade e equivalência vedam que o INSS negue ao rurícola benefício que concederia ao trabalhador urbano em idêntica situação.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Entendemos, contudo, que equivalência não é identidade absoluta. O próprio texto constitucional autoriza diferenciações entre trabalhadores urbanos e rurais quando essas diferenciações se justificam como mecanismo de compensação. O exemplo mais expressivo é a redução de cinco anos na idade mínima para aposentadoria do trabalhador rural (art. 201, § 7º, II, CF/88): o segurado especial pode aposentar-se por idade aos 60 anos (homem) e 55 anos (mulher), enquanto os urbanos necessitam de 65 e 62 anos, respectivamente. Cumpre observar que, após a EC 103/2019, a idade reduzida do art. 201, § 7º, II, aplica-se especificamente ao segurado especial, não a todo trabalhador rural indistintamente; o trabalhador rural empregado ou contribuinte individual pode estar sujeito a regras de transição distintas. Essa diferenciação não viola a equivalência; ao contrário, materializa-a ao compensar as condições mais severas do trabalho rural — exposição a intempéries, esforço físico intenso, menor acesso a serviços de saúde, início precoce da vida laboral. A LC 142/2013, ao disciplinar a aposentadoria da pessoa com deficiência com requisitos diferenciados, adota lógica semelhante: a diferenciação não viola a uniformidade, mas a promove ao reconhecer desigualdades materiais que exigem tratamento jurídico diferenciado.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É nas ações de aposentadoria rural por idade — historicamente a espécie de maior volume nos Juizados — que o princípio revela toda a sua força operacional. A prova da atividade rural se faz por início de prova material corroborado por testemunhos (art. 55, § 3º, da Lei 8.213/91; Súmula 149/STJ). O cômputo do tempo de atividade rural anterior a novembro de 1991 independe de contribuição (art. 55, § 2º, Lei 8.213/91), regra que materializa a universalização promovida pela CF/88. O Tema 533/STJ, por sua vez, definiu questão probatória específica: a extensão de documentos em nome de um membro do grupo familiar como início de prova material para os demais integrantes, em regime de economia familiar, esclarecendo que tal extensão encontra limite quando o integrante em nome de quem está o documento passa a exercer trabalho incompatível com o labor rurícola, como o de natureza urbana. São questões distintas — a primeira diz respeito à dispensa de contribuição; a segunda, à flexibilização da prova. Ambas refletem a preocupação do sistema com a efetividade do princípio da uniformidade: exigir do trabalhador rural a mesma qualidade de prova documental disponível para o urbano equivaleria a negar-lhe, na prática, a proteção que a Constituição lhe assegurou. O segurado especial, cuja proteção é garantida pelo art. 39 da Lei 8.213/91, recebe benefício de um salário-mínimo independentemente de contribuição individual, financiado pela contribuição sobre a produção rural (art. 25 da Lei 8.212/91), mecanismo que entendemos como conciliação engenhosa entre o princípio da contributividade e a universalidade da cobertura (remissão ao Cap. 2 para exame detalhado do segurado especial).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Uniformidade não é identidade: diferenciações legítimas.</w:t>
            </w:r>
            <w:r>
              <w:rPr>
                <w:rFonts w:ascii="EB Garamond" w:hAnsi="EB Garamond" w:cs="EB Garamond"/>
                <w:b w:val="0"/>
                <w:i w:val="0"/>
                <w:color w:val="201B16"/>
                <w:sz w:val="19"/>
                <w:lang w:val="pt-BR" w:bidi="ar-SA"/>
                <w:kern w:val="16"/>
                <w14:ligatures w14:val="standardContextual"/>
              </w:rPr>
              <w:t xml:space="preserve"> A equivalência entre benefícios rurais e urbanos não impede que o legislador estabeleça diferenciações justificadas. A idade reduzida em cinco anos para aposentadoria rural (art. 201, § 7º, II, CF) e os requisitos diferenciados da LC 142/2013 para aposentadoria da pessoa com deficiência são expressões legítimas do princípio, porque visam a compensar desigualdades materiais. Nos JEFs, sustentamos que o intérprete deve distinguir entre diferenciação compensatória (constitucional) e discriminação injustificada (inconstitucional): a primeira realiza a equivalência material; a segunda viola a uniformidade.</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1.10 Seletividade e distributividade na prestação de benefícios e serviços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princípio da seletividade e distributividade (art. 194, parágrafo único, III, CF/88) reconhece uma realidade que nenhum sistema de proteção social pode ignorar: os recursos são finitos, e a cobertura de todos os riscos sociais com a mesma intensidade é objetivo permanente, não condição já realizada. A seletividade e a distributividade operam como critérios orientadores tanto para o legislador, na conformação das prestações, quanto para o intérprete, na aplicação das normas ao caso concreto.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seletividade confere ao legislador a prerrogativa de selecionar os riscos sociais que serão cobertos e as contingências que gerarão direito a prestações. Essa escolha legislativa é ato de conformação, orientado pela relevância social de cada contingência e pela capacidade financeira do sistema. O legislador pode, por exemplo, criar benefícios, extinguir os existentes ou redefinir seus requisitos, desde que respeite o núcleo essencial dos direitos sociais previdenciários. A extinção do auxílio-natalidade e do auxílio-funeral pela Lei n. 8.742/1993, com transferência dessas prestações para a esfera assistencial, é exemplo de seletividade legislativa que não gerou maior controvérsia. A EC 103/2019, por outro lado, ao reduzir a base de cálculo dos benefícios por incapacidade (de 100% para 60% da média, salvo incapacidade acidentária), exerceu seletividade que suscitou debate intenso sobre seus limites constitucionais, pois atingiu o núcleo de proteção contra contingência particularmente grave.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distributividade complementa a seletividade ao exigir que as prestações sejam distribuídas de forma a atender prioritariamente os mais necessitados. O sistema previdenciário não é neutro do ponto de vista redistributivo: o piso de um salário-mínimo (art. 201, § 2º, CF) garante renda mínima independentemente do valor das contribuições vertidas ao longo da vida laboral, beneficiando proporcionalmente mais os segurados de menor renda. Um segurado que contribuiu durante 20 anos sobre o salário-mínimo recebe aposentadoria de R$ 1.621,00, idêntica à de quem nunca pôde contribuir sobre base superior. Já um segurado que contribuiu sobre o teto (R$ 8.475,55) durante o mesmo período recebe aposentadoria calculada em 60% de sua média salarial, ou seja, proporcionalmente menor do que verteu ao sistema. Essa redistribuição implícita é inerente ao modelo solidário e decorre diretamente do princípio da distributividade.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As alíquotas progressivas introduzidas pela EC 103/2019 (7,5% a 14%, aplicadas por faixa salarial) materializam a distributividade no custeio: quem recebe remuneração maior contribui com alíquota efetiva superior. A fórmula de cálculo do benefício pós-EC 103 (60% da média + 2% por ano que exceder 15/20 anos de contribuição) também expressa lógica seletiva, embora sua compatibilidade com a proteção constitucional mínima seja objeto de debate, especialmente para segurados com poucos anos de contribuição que se aposentam com coeficiente significativamente inferior a 100% da média. Os limites dessa margem seletiva já foram, aliás, ultrapassados em um ponto específico: na ADI 6.309 (j. 03/06/2026), o STF declarou inconstitucional a idade mínima da aposentadoria especial introduzida pela EC 103, conservadas a vedação à conversão de tempo especial em comum e a nova forma de cálculo (remissão ao capítulo da aposentadoria especial).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No cotidiano dos JEFs, o julgador precisa reconhecer tanto a margem de conformação do legislador quanto seus limites. A seletividade não autoriza o esvaziamento do conteúdo essencial de um direito social previdenciário. A jurisprudência do STF reconhece que a vedação do retrocesso social e a proteção ao mínimo existencial funcionam como limites à discricionariedade legislativa. O juiz pode, legitimamente, invocar a distributividade para interpretar normas de forma a favorecer segurados em situação de maior vulnerabilidade. A dispensa de carência para concessão de benefício por incapacidade em caso de doenças graves (art. 26, II, da Lei 8.213/91) é exemplo de seletividade legislativa orientada pela distributividade: o legislador identificou contingências especialmente graves e dispensou requisito que, em tais circunstâncias, poderia inviabilizar a proteção de quem mais precisa (remissão ao Cap. 3 para exame detalhado da carência e suas dispensas).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Como invocar os princípios do art. 194 em petições e sentenças</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Os princípios da seguridade social não são meros enunciados teóricos: na prática dos JEFs, cumprem cinco funções argumentativas que se encadeiam. Operam, antes de tudo, como vetor hermenêutico, de modo que, na dúvida entre duas interpretações possíveis de uma norma previdenciária, prevalece a que melhor realiza a universalidade, a uniformidade e a distributividade. Quando a interpretação conforme não basta, prestam-se a fundamentar a inconstitucionalidade: norma infraconstitucional que viole o núcleo essencial de um princípio pode ser afastada em controle difuso pelo próprio juiz do JEF. Diante de lacuna, convertem-se em argumento de integração, autorizando a concessão de prestação por analogia ou interpretação extensiva na ausência de norma expressa. Servem, ainda, de limite à discricionariedade regulamentar — assim, se a IN 128/2022 impõe requisito não previsto na Lei 8.213/91, o juiz pode afastar a exigência administrativa invocando a universalidade da cobertura. Por fim, funcionam como parâmetro de proporcionalidade no controle de reformas legislativas: a restrição de direito só é legítima quando atende a finalidade constitucional, como o equilíbrio do sistema, por meio adequado e proporcional.</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1.11 Irredutibilidade do valor dos benefícios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princípio da irredutibilidade do valor dos benefícios (art. 194, parágrafo único, IV, CF/88), conjugado com a garantia de preservação do valor real (art. 201, § 4º), constitui uma das proteções mais invocadas na jurisprudência previdenciária dos JEFs. A compreensão adequada desse princípio exige que se distingam suas duas dimensões: a irredutibilidade nominal e a preservação do valor real, pois cada uma delas opera com lógica jurídica distinta e produz consequências práticas diferentes.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irredutibilidade nominal significa que o valor em reais do benefício não pode ser diminuído por ato administrativo ou legislativo. Trata-se de garantia absoluta, que não admite exceção: se o segurado recebe R$ 3.000,00 de aposentadoria, esse valor nominal não pode ser reduzido para R$ 2.800,00 por nenhum ato do INSS, do legislador ou do Poder Executivo. A preservação do valor real, por sua vez, exige que o benefício mantenha o poder de compra ao longo do tempo, acompanhando a evolução dos preços. Essa segunda dimensão é garantia relativa, porque depende de índice de reajuste definido em lei. O STF, no julgamento do RE 376.846, decidiu que a Constituição garante a preservação do valor real, mas delega ao legislador a definição do índice de correção. Posteriormente, no Tema 824/STF, a Corte reconheceu que a questão relativa ao índice de reajuste aplicável aos benefícios previdenciários, para fins de preservação de seu valor real, tem natureza infraconstitucional, sem repercussão geral. O direito constitucional é à preservação do poder aquisitivo, não à adoção de um índice específico. O legislador pode escolher entre INPC, IPCA ou outro índice, desde que o resultado preserve razoavelmente o poder de compra do benefício.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reajuste anual dos benefícios do RGPS é regulado pelo art. 41-A da Lei 8.213/91 (incluído pela Lei n. 11.430/2006), que determina o reajuste na mesma data do reajuste do salário-mínimo, pelo índice do INPC acumulado. Os benefícios de valor superior ao salário-mínimo são reajustados pelo INPC, podendo ter reajuste percentual inferior ao do salário-mínimo em anos de política de valorização real do piso. Os benefícios de valor igual ao piso (um salário-mínimo, atualmente R$ 1.621,00) acompanham automaticamente o reajuste do salário-mínimo, que historicamente tem superado a inflação medida pelo INPC. Essa diferença de critério de reajuste gera o fenômeno da compressão da pirâmide de benefícios: o piso sobe mais que os benefícios intermediários, reduzindo progressivamente a distância entre eles.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irredutibilidade foi argumento central em dois grupos de ações que geraram volume expressivo de demandas nos JEFs. No primeiro, as ações de "desaposentação" buscavam a renúncia à aposentadoria vigente para obtenção de nova aposentadoria com valor maior, incorporando contribuições vertidas após a aposentadoria original. O STF, no Tema 503 (RE 661.256), julgou improcedente a pretensão, entendendo que a CF/88 não prevê o direito à desaposentação. No segundo grupo, as ações de revisão de teto decorrentes das ECs 20/1998 e 41/2003 invocavam a irredutibilidade para readequar ao novo teto benefícios que, quando concedidos, haviam sido limitados pelo teto anterior. O STF reconheceu esse direito no RE 564.354 (Tema 76/STF), fixando que a elevação do teto permite a readequação dos benefícios até o novo limite, como desdobramento direto do princípio da irredutibilidade e da preservação do valor real.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dos JEFs, as ações de revisão por aplicação de índice incorreto de reajuste são recorrentes. Discussões sobre o IRSM 39,67%, a conversão para URV, e a readequação pelo teto das emendas constitucionais ilustram a operacionalidade cotidiana desse princípio. A jurisprudência distingue com precisão entre a irredutibilidade (garantia contra a redução nominal) e o direito adquirido a critério de cálculo. O Tema 1.102/STF (RE 1.276.977) abordou essa distinção ao examinar a chamada revisão da vida toda: ao julgar o mérito do tema, em dezembro de 2022, o STF chegou a reconhecer o direito do segurado a optar pela regra definitiva de cálculo quando mais favorável; essa posição, contudo, foi superada em 2024, quando o STF declarou constitucional o art. 3º da Lei 9.876/1999 no julgamento das ADIs 2.110/DF e 2.111/DF (cuja ata de julgamento do mérito foi publicada em 5 de abril de 2024), assentando que o segurado não pode optar pela regra do art. 29, I e II, da Lei 8.213/1991, ainda que lhe seja mais favorável. Prevalece, portanto, a regra de transição do art. 3º da Lei 9.876/1999 (apuração a partir de julho de 1994), tendo o STF modulado os efeitos da decisão para resguardar valores já recebidos de boa-fé e afastar a cobrança de honorários, custas e perícias dos autores das ações pendentes até a referida data. O Tema 999/STJ, por sua vez, trata de matéria diversa — a regra de cálculo do art. 29 em confronto com o art. 3º da Lei 9.876/1999 —, e não deve ser confundido com a revisão da vida toda. Registre-se que o Tema 999/STJ permaneceu sobrestado na origem, atrelado ao desfecho do Tema 1.102/STF. Em síntese, a irredutibilidade impõe ao sistema previdenciário um compromisso de mão dupla: o valor nominal do benefício jamais pode ser reduzido (garantia absoluta), e o poder de compra deve ser preservado ao longo do tempo mediante reajuste periódico por índice que reflita a evolução dos preços (garantia relativa, mas efetiva). O descumprimento de qualquer dessas duas dimensões autoriza o segurado a buscar a tutela judicial nos JEFs, com base direta no art. 194, IV, e no art. 201, § 4º, da Constituição.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1.12 Equidade na forma de participação no custeio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princípio da equidade na forma de participação no custeio (art. 194, parágrafo único, V, CF/88) rege o financiamento da seguridade social segundo uma lógica redistributiva: quem pode mais, contribui mais; quem pode menos, contribui menos. A equidade aqui referida não se confunde com igualdade formal — não se trata de exigir a mesma contribuição de todos, mas de dosar a participação de cada um conforme sua capacidade contributiva. O princípio da equidade atua como ponte entre a solidariedade (fundamento axiológico do sistema) e a capacidade contributiva (limite objetivo do financiamento), impedindo que a carga de custeio recaia desproporcionalmente sobre determinados segmentos da população.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princípio da equidade no custeio manifesta-se concretamente nas alíquotas progressivas do segurado empregado (faixas de 7,5%, 9%, 12% e 14%, EC 103/2019), na contribuição patronal de 20% sobre a folha e nas alíquotas diferenciadas previstas para o MEI (5% sobre o salário-mínimo, art. 18-A, § 3º, VI, LC 123/2006), o segurado facultativo de baixa renda (5%, art. 21, § 2º, II, Lei 8.212/91) e o plano simplificado (11%). Os requisitos e limites de cada modalidade são examinados no Cap. 2 (segurado facultativo) e no Cap. 4 (contribuições e custeio). Todas essas diferenciações de alíquota materializam a equidade: a contribuição é graduada conforme a capacidade econômica do segurado.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princípio da equidade funciona também como critério de constitucionalidade de normas de custeio. A majoração de alíquota que torne a contribuição confiscatória viola o princípio da equidade e, por extensão, o art. 150, IV, da CF/88 (vedação do confisco tributário). O limite entre carga contributiva legítima e confisco não está definido em percentual fixo, mas depende da análise do impacto concreto sobre a capacidade econômica do contribuinte, considerada a totalidade da carga tributária a que está submetido. A CF/88 veda a incidência de contribuição previdenciária sobre aposentadorias e pensões no RGPS (art. 195, II) — vedação que entendemos como expressão da equidade, pois o aposentado já cumpriu seu dever contributivo durante toda a vida ativa e não deve ser compelido a financiar novamente o sistema do qual já é beneficiário. No regime próprio (RPPS), a EC 41/2003 instituiu contribuição de inativos (11% sobre o que exceder o teto do RGPS), e o STF julgou constitucional a medida na ADI 3.105, invocando a solidariedade como fundamento. A diferença de tratamento entre o RGPS (sem contribuição de inativos) e o RPPS (com contribuição) não constitui violação da equidade, mas reconhecimento de que os dois regimes operam sob lógicas distintas e com bases de financiamento diferentes. O detalhamento das alíquotas, bases de cálculo e regras específicas de custeio será examinado no Cap. 4.</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1.13 Diversidade da base de financiamento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N</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enhum sistema de proteção social sobrevive amarrado a uma só fonte de custeio, e foi exatamente essa lição que o constituinte de 1988 incorporou ao exigir a diversidade da base de financiamento (art. 194, parágrafo único, VI, CF/88). O art. 195 da Constituição é o dispositivo que dá concretude a essa exigência, ao prever que o orçamento da seguridade social será composto por contribuições de múltiplas origens: do empregador, incidentes sobre a folha de salários, o faturamento e o lucro (inciso I); do trabalhador e dos demais segurados da previdência social (inciso II); da receita de concursos de prognósticos, como as loterias (inciso III); e do importador de bens ou serviços do exterior (inciso IV, incluído pela EC 42/2003). A diversificação das fontes protege o sistema contra flutuações econômicas e crises setoriais: se a arrecadação sobre a folha de pagamento cai em razão do aumento do desemprego, as contribuições sobre faturamento e lucro podem compensar parcialmente a queda.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distinção entre contribuições sociais e impostos é relevante para a compreensão do financiamento da seguridade e para o debate sobre o chamado "déficit" previdenciário. As contribuições sociais do art. 195 possuem vinculação constitucional à seguridade social: os recursos arrecadados devem ser destinados ao financiamento de saúde, previdência e assistência. Os impostos, por outro lado, são receitas gerais, não vinculadas a finalidades específicas (salvo as exceções previstas na própria Constituição). Essa distinção tem implicação prática direta no debate sobre sustentabilidade: quando se contabilizam todas as contribuições do art. 195 (COFINS, CSLL, PIS/PASEP, contribuição sobre a folha), a seguridade social pode apresentar-se superavitária; o "déficit" surge quando se considera isoladamente a contribuição sobre a folha de pagamento e se a confronta com as despesas previdenciárias, desconsiderando as demais fontes de custeio.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Desvinculação de Receitas da União (DRU) intensificou esse debate. Criada pela EC 27/2000 e renovada por emendas sucessivas até a EC 93/2016, a DRU permitia ao governo federal desvincular até 30% das receitas de contribuições sociais para utilização livre, reduzindo artificialmente a receita alocada à seguridade e alimentando o discurso de déficit. A EC 132/2023 (Reforma Tributária) trouxe nova dimensão ao princípio da diversidade da base de financiamento ao promover a substituição progressiva do PIS/COFINS pela CBS (Contribuição sobre Bens e Serviços) e pelo IBS (Imposto sobre Bens e Serviços). A CBS é formalmente contribuição social vinculada ao financiamento da seguridade (art. 195, V, CF, na nova redação), mas a transição entre os dois sistemas (2026–2033) gera incertezas sobre a adequação dos recursos que serão efetivamente destinados à previdência, à saúde e à assistência social.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aplicação do princípio da diversidade da base nos JEFs é mais limitada que a dos demais princípios do art. 194, pois as controvérsias sobre a base de cálculo das contribuições patronais são, em regra, de competência da Justiça Federal comum, não dos Juizados. O princípio, contudo, é relevante como argumento em ações de revisão que invoquem a capacidade financeira do sistema ou em discussões sobre a constitucionalidade de reformas que alterem as fontes de custeio. O juiz do JEF pode, legitimamente, considerar que o sistema de seguridade dispõe de base de financiamento diversificada ao afastar argumentos de defesa do INSS fundados exclusivamente na alegação de déficit. Entendemos que a análise isolada da relação entre arrecadação sobre a folha e despesas com benefícios, sem considerar as demais fontes de custeio previstas no art. 195, constitui visão parcial e metodologicamente inadequada do financiamento da seguridade. Em síntese, a diversidade da base não é apenas princípio de organização financeira: é garantia de que o sistema resista a conjunturas adversas sem comprometer a proteção dos segurados, e sua violação — seja pela desvinculação de receitas, seja pela concentração excessiva do custeio em uma única base — fragiliza estruturalmente o sistema e a sustentabilidade dos benefícios (remissão ao Cap. 4 para exame detalhado das contribuições e do orçamento da seguridade).</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1.14 Caráter democrático e descentralizado da administração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princípio do caráter democrático e descentralizado da administração, mediante gestão quadripartite (art. 194, parágrafo único, VII, CF/88), encerra o elenco de princípios da seguridade social com uma exigência organizacional que transcende a mera estruturação administrativa: a gestão do sistema deve incorporar a participação direta dos quatro segmentos interessados: trabalhadores, empregadores, aposentados e governo. Esse princípio reflete a opção constitucional por um modelo de controle social sobre a administração da seguridade, impedindo que as decisões sobre proteção social fiquem concentradas exclusivamente nas mãos da burocracia estatal.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materialização institucional desse princípio se dá por meio de conselhos deliberativos e consultivos em cada vertente da seguridade. O Conselho Nacional de Previdência Social (CNPS), previsto no art. 3º da Lei 8.213/91, é o órgão colegiado de gestão quadripartite da previdência social, composto por seis representantes do governo e nove representantes da sociedade (três trabalhadores, três empregadores, três aposentados e pensionistas). O CNPS tem competência para acompanhar e avaliar a gestão do RGPS, apreciar e aprovar as propostas orçamentárias e propor políticas de previdência social. A saúde conta com o Conselho Nacional de Saúde (CNS), de gestão participativa, e a assistência social com o Conselho Nacional de Assistência Social (CNAS), igualmente de composição quadripartite. A existência desses conselhos expressa a compreensão constitucional de que a proteção social não é assunto exclusivo do governo: todos os atores envolvidos, os que financiam, os que se beneficiam e os que administram, devem participar das decisões sobre o sistema.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descentralização constitui a segunda dimensão do princípio. O INSS opera com estrutura capilarizada, compreendendo mais de 1.500 Agências da Previdência Social (APS) distribuídas pelo território nacional. A descentralização é princípio organizacional, não federativo: o RGPS é regime federal, gerido pela União, mas o atendimento ao segurado deve ser descentralizado para alcançá-lo onde ele está. Essa exigência enfrenta, na atualidade, tensão significativa com o movimento de digitalização dos serviços previdenciários. A plataforma Meu INSS e o sistema Atestmed concentram a análise de requerimentos em servidores lotados nas Centrais de Análise de Benefícios, fisicamente distantes do segurado. A eficiência operacional obtida pela centralização digital, redução de filas, padronização de decisões, celeridade na concessão, convive com a preocupação de que o segurado perca o contato direto com o servidor que decide seu requerimento. A jurisprudência dos JEFs reflete essa tensão: ações que questionam indeferimentos administrativos baseados em análise documental remota, sem contato com o segurado, multiplicam-se nas pautas dos Juizados.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gestão democrática fundamenta o dever de transparência do INSS perante o segurado. Entendemos que desse princípio decorre o direito de acesso ao processo administrativo, aos critérios de decisão empregados pela autarquia e aos dados registrados no Cadastro Nacional de Informações Sociais (CNIS). Quando o INSS indefere benefício com base em informação do CNIS divergente da realidade contributiva do segurado, a transparência impõe que a autarquia forneça ao segurado os elementos que fundamentaram a decisão, permitindo-lhe exercer o contraditório administrativo. Essa exigência ganha contornos concretos no contexto da automação crescente dos processos de concessão: quando algoritmos e sistemas informatizados processam requerimentos de benefícios, o segurado tem o direito de conhecer os critérios que levaram ao indeferimento, sob pena de a digitalização converter-se em obstáculo ao exercício de direitos (remissão ao Cap. 22, seção 22.4, para o tratamento do processo administrativo previdenciário).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ausência de controle social efetivo sobre o INSS, aliada ao funcionamento intermitente do CNPS e à sua reduzida visibilidade pública, é tema recorrente na doutrina previdenciária. Sustentamos que o déficit de participação social na gestão do RGPS não se resolve apenas pela existência formal de conselhos: é necessário que esses órgãos funcionem de modo regular, com pauta deliberativa efetiva, acesso a dados atuariais e capacidade real de influenciar as políticas de concessão e manutenção de benefícios. Na esfera judicial, o princípio democrático fundamenta a participação de entidades de classe como amicus curiae em processos previdenciários de repercussão geral, ampliando o debate sobre questões que afetam coletivamente os segurados e contribuindo para decisões mais informadas e legítimas. O princípio democrático também reforça a legitimidade dos JEFs como instância de controle da atuação administrativa do INSS: ao julgar ações individuais, o juiz federal exerce, em certa medida, função de controle democrático sobre a administração previdenciária, assegurando que os direitos dos segurados sejam efetivamente respeitados pela autarquia gestora do sistema.</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1.15 Art. 201 da CF/88: a previdência social como regime geral contributivo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previdência social ocupa posição singular dentro da seguridade social desenhada pela Constituição de 1988. Enquanto a saúde (arts. 196-200) opera sob lógica universal e não contributiva, e a assistência social (arts. 203-204) destina-se a quem dela necessitar independentemente de qualquer contribuição prévia, a previdência organiza-se como seguro social de caráter contributivo e filiação obrigatória. O art. 201, caput, da CF/88, com a redação conferida pela EC 20/1998, estabelece que a previdência social será organizada sob a forma de regime geral, de caráter contributivo e de filiação obrigatória, observados critérios que preservem o equilíbrio financeiro e atuarial. Essa formulação condensa, em um único dispositivo, os três pilares que sustentam o RGPS: contributividade, obrigatoriedade e sustentabilidade.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RGPS opera por repartição simples. A instituição de um regime de capitalização, prevista na redação original da PEC 6/2019, foi retirada durante a tramitação e não integrou o texto promulgado da EC 103/2019. O RGPS permanece, em 2026, exclusivamente como regime de repartição simples, e a solidariedade intergeracional que o sustenta é ao mesmo tempo sua maior força institucional e sua principal vulnerabilidade demográfica.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relação jurídica previdenciária nasce com a filiação, que se opera automaticamente pelo exercício de atividade remunerada abrangida pelo RGPS (art. 11, Lei 8.213/91). A inscrição formal junto ao INSS é ato declaratório, não constitutivo: o vínculo previdenciário preexiste ao cadastro administrativo. Essa distinção tem consequências diretas na prática dos Juizados Especiais Federais, especialmente quando o segurado comprova atividade laborativa sem que o empregador tenha procedido à inscrição ou ao recolhimento das contribuições. A contribuição, por sua vez, é prestação pecuniária que condiciona o acesso aos benefícios, e o benefício é a contraprestação devida pelo RGPS quando se materializa o risco social coberto. O detalhamento das categorias de segurados está no Cap. 2; o regime das contribuições, no Cap. 4.</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art. 201 elenca os riscos sociais cobertos pelo RGPS: incapacidade temporária ou permanente para o trabalho (inciso I), idade avançada (inciso II), morte e reclusão do segurado (inciso III), proteção à maternidade (inciso IV) e desemprego involuntário (inciso V, administrado fora do INSS). Cada um desses riscos corresponde a um ou mais benefícios em espécie, tratados nos capítulos específicos desta obra (Caps. 6-16). O regime geral é complementado pela previdência complementar do art. 202 da Constituição. Essa previdência, de natureza facultativa, opera em regime de capitalização por entidades fechadas e abertas e não integra o objeto deste livro.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compreensão da arquitetura do art. 201 é indispensável para a atuação nos JEFs e pressupõe situar o RGPS no conjunto dos regimes previdenciários brasileiros. Convivem no país, além do Regime Geral (RGPS), os Regimes Próprios de Previdência Social (RPPS) dos servidores efetivos (art. 40, CF), o Regime de Previdência Complementar (RPC), de caráter facultativo e capitalização (art. 202, CF), e o sistema protetivo dos militares (art. 142, § 3º, X, CF). A distinção entre o RGPS — contributivo, obrigatório, de repartição simples, administrado pelo INSS — e esses demais regimes define competências, legitima partes e delimita o objeto das ações nos JEFs. Adotamos, ao longo de toda a obra, a premissa de que o RGPS é o regime geral e residual: todo trabalhador que exerce atividade remunerada e não está vinculado a regime próprio de previdência (RPPS) é, por definição, segurado do RGPS. O Quadro 1.2 sintetiza os regimes em vigor.</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5F3EF" w:val="clear"/>
            <w:tcBorders>
              <w:top w:val="single" w:sz="7" w:space="0" w:color="A09882"/>
              <w:bottom w:val="single" w:sz="7" w:space="0" w:color="A09882"/>
              <w:right w:val="single" w:sz="7" w:space="0" w:color="A09882"/>
              <w:left w:val="single" w:sz="24" w:space="0" w:color="6B6256"/>
            </w:tcBorders>
          </w:tcPr>
          <w:p>
            <w:pPr>
              <w:spacing w:before="0" w:after="60" w:line="240" w:lineRule="auto"/>
              <w:jc w:val="left"/>
            </w:pPr>
            <w:r>
              <w:rPr>
                <w:rFonts w:ascii="Noto Sans" w:hAnsi="Noto Sans" w:cs="Noto Sans"/>
                <w:b/>
                <w:i w:val="0"/>
                <w:caps/>
                <w:color w:val="6B6256"/>
                <w:sz w:val="16"/>
                <w:lang w:val="pt-BR" w:bidi="ar-SA"/>
                <w:kern w:val="16"/>
                <w14:ligatures w14:val="standardContextual"/>
              </w:rPr>
              <w:t>QUADRO</w:t>
            </w:r>
          </w:p>
          <w:p>
            <w:pPr>
              <w:spacing w:before="0" w:after="60" w:line="247" w:lineRule="auto"/>
              <w:jc w:val="both"/>
            </w:pPr>
            <w:r>
              <w:rPr>
                <w:rFonts w:ascii="EB Garamond" w:hAnsi="EB Garamond" w:cs="EB Garamond"/>
                <w:b/>
                <w:i w:val="0"/>
                <w:color w:val="201B16"/>
                <w:sz w:val="19"/>
                <w:lang w:val="pt-BR" w:bidi="ar-SA"/>
                <w:kern w:val="16"/>
                <w14:ligatures w14:val="standardContextual"/>
              </w:rPr>
              <w:t>Quadro 1.2 — Regimes previdenciários no Brasil</w:t>
            </w:r>
          </w:p>
          <w:tbl>
            <w:tblPr>
              <w:tblW w:type="auto" w:w="0"/>
              <w:jc w:val="center"/>
              <w:tblLook w:firstColumn="1" w:firstRow="1" w:lastColumn="0" w:lastRow="0" w:noHBand="0" w:noVBand="1" w:val="04A0"/>
              <w:tblW w:w="5000" w:type="pct"/>
            </w:tblPr>
            <w:tblGrid>
              <w:gridCol w:w="1270"/>
              <w:gridCol w:w="1270"/>
              <w:gridCol w:w="1270"/>
              <w:gridCol w:w="1270"/>
              <w:gridCol w:w="1270"/>
            </w:tblGrid>
            <w:tr>
              <w:trPr>
                <w:tblHeader/>
              </w:trPr>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Regime</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Base legal</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Beneficiários</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Caráter</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Gestão</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RGPS</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201, CF; Lei 8.213/91</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Trabalhadores da iniciativa privada, empregados públicos celetistas</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Contributivo, obrigatório, repartição simples</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INSS (União)</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RPPS</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40, CF; leis de cada ente</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Servidores públicos efetivos</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Contributivo, obrigatório, repartição simples</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Cada ente federativo</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RPC</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202, CF; LC 108 e 109/2001</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Qualquer pessoa (complementar)</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Contributivo, facultativo, capitalização</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Entidades abertas e fechadas</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RPPM</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142, § 3º, X, CF; leis específicas</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Militares das Forças Armadas e estados</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Sistema próprio (não é previdência stricto sensu)</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Cada ente federativo</w:t>
                  </w:r>
                </w:p>
              </w:tc>
            </w:tr>
          </w:tbl>
          <w:p/>
          <w:p>
            <w:pPr>
              <w:spacing w:before="0" w:after="0" w:line="240" w:lineRule="auto"/>
            </w:pP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1.16 Filiação obrigatória e caráter contributivo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obrigatoriedade da filiação ao RGPS decorre da própria natureza do regime de repartição simples e da solidariedade que o fundamenta, e não de uma escolha legislativa arbitrária. Se a adesão fosse voluntária, a tendência racional de cada indivíduo seria postergar a contribuição ou dela se esquivar, especialmente entre os trabalhadores jovens e saudáveis para quem os riscos de incapacidade e velhice parecem distantes. Esse fenômeno, que a economia denomina seleção adversa, inviabilizaria o financiamento coletivo do sistema. A obrigatoriedade resolve essa falha estrutural: todo aquele que exerce atividade remunerada abrangida pelo RGPS é compulsoriamente filiado, independentemente de sua vontade ou da formalização do vínculo empregatício.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filiação do segurado empregado é automática. Nasce com o primeiro dia de exercício da atividade remunerada (art. 11, Lei 8.213/91), e não com a assinatura da carteira de trabalho, a inscrição no CNIS ou o primeiro recolhimento de contribuição. Essa automaticidade tem consequência prática de primeira importância nos JEFs: o segurado empregado cujo empregador não recolheu as contribuições devidas não perde, por essa razão, a qualidade de segurado. O ônus do recolhimento recai sobre o empregador (art. 30, I, Lei 8.212/91), e o inadimplemento patronal não pode prejudicar o trabalhador. Esse entendimento, consolidado na jurisprudência a partir da própria sistemática do art. 30, I, e do art. 33, § 5º, da Lei 8.212/91, traduz com precisão a lógica protetiva do sistema: entre o risco de o INSS não receber a contribuição e o risco de o trabalhador perder a proteção previdenciária, o sistema absorve o primeiro e repudia o segundo.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segurado facultativo (art. 13, Lei 8.213/91) representa aparente exceção ao princípio da obrigatoriedade, mas a contradição é apenas superficial. A obrigatoriedade incide sobre quem exerce atividade remunerada; o facultativo é precisamente aquele que, não exercendo atividade abrangida pelo RGPS, opta voluntariamente pela filiação. A categoria existe para ampliar a cobertura previdenciária a pessoas que, de outro modo, ficariam desprotegidas: estudantes, donas de casa, desempregados. O plano simplificado de contribuição (11% sobre o salário-mínimo) e a alíquota reduzida para o segurado facultativo de baixa renda (5% sobre o salário-mínimo, art. 21, § 2º, II, Lei 8.212/91) são instrumentos de inclusão previdenciária criados pelas ECs 41/2003 e 47/2005, que conciliam contributividade e universalidade.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caráter contributivo gera consequências jurídicas estruturantes. A primeira e mais evidente: não há benefício previdenciário sem contribuição prévia. A exceção mais relevante é o segurado especial (art. 11, VII, Lei 8.213/91), que contribui indiretamente, sobre a receita da comercialização da produção rural (art. 25, Lei 8.212/91). Mesmo nesse caso, a contributividade está presente, ainda que em forma distinta da contribuição individualizada dos demais segurados. A segunda consequência: a contributividade fundamenta a exigência de carência, que é o número mínimo de contribuições mensais necessárias para o acesso a determinados benefícios. O detalhamento da carência está no Cap. 3; a distinção entre benefícios previdenciários (contributivos) e o BPC/LOAS (assistencial, não contributivo), no Cap. 18.</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tensão entre contributividade e universalidade atravessa todo o direito previdenciário brasileiro. A contributividade exclui de proteção previdenciária quem não contribui; a universalidade aspira a que todos estejam cobertos. A CF/88 resolveu essa tensão por três vias: (a) a filiação obrigatória de todos os que exercem atividade remunerada; (b) a categoria do segurado facultativo para inclusão voluntária; e (c) a assistência social (BPC) como rede de proteção para quem não tem condições de contribuir. Essa arquitetura constitucional não elimina a tensão, mas a administra. Na prática dos JEFs, o operador do direito deve identificar, em cada caso concreto, se a situação do requerente se insere na lógica contributiva do RGPS ou na lógica assistencial do BPC, pois os pressupostos, os requisitos e a fundamentação jurídica são substancialmente distintos.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1.17 Equilíbrio financeiro e atuarial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201, caput, da CF/88, na redação dada pela EC 20/1998, exige que a previdência social observe critérios que preservem o equilíbrio financeiro e atuarial. A constitucionalização desse princípio foi resposta direta à crise financeira que o sistema previdenciário enfrentou ao longo dos anos 1990, quando as despesas com benefícios cresceram em ritmo superior à arrecadação, impulsionadas pelo envelhecimento populacional, pela informalidade do mercado de trabalho e pela generosidade das regras de concessão vigentes sob a redação original da CF/88. Com a EC 20/1998, o equilíbrio deixou de ser mera aspiração administrativa e passou a integrar o núcleo normativo do sistema.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equilíbrio financeiro e o equilíbrio atuarial, embora frequentemente referidos em conjunto, operam em dimensões temporais distintas. O equilíbrio financeiro diz respeito ao curto prazo: as receitas correntes devem ser suficientes para cobrir as despesas correntes, evitando que o sistema gaste mais do que arrecada em cada exercício. O equilíbrio atuarial projeta-se no longo prazo: a relação entre contribuições recolhidas e benefícios concedidos deve ser sustentável ao longo de décadas, considerando variáveis demográficas (expectativa de vida, taxa de natalidade, razão entre ativos e inativos) e econômicas (crescimento da massa salarial, produtividade, formalização do mercado de trabalho). Um sistema pode estar financeiramente equilibrado em determinado exercício e ser atuarialmente insustentável, se as projeções indicarem que a pirâmide demográfica se inverterá nas décadas seguintes.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fator previdenciário, instituído pela Lei 9.876/1999, foi o primeiro instrumento legal concebido especificamente para promover o equilíbrio atuarial no RGPS. A fórmula ponderava tempo de contribuição, idade na data do requerimento e expectativa de sobrevida do segurado, ajustando o valor do benefício de modo a desincentivar aposentadorias precoces. O fator foi criticado por penalizar desproporcionalmente trabalhadores de baixa renda, que ingressam cedo no mercado de trabalho e acumulam longo tempo de contribuição, mas se aposentam com idades relativamente jovens. A Lei 13.183/2015 criou a regra dos pontos (85/95) como alternativa ao fator, e a EC 103/2019 tornou-o residual, aplicável apenas na regra de transição do pedágio de 50% (art. 17, EC 103/2019).</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EC 103/2019 foi integralmente justificada pelo imperativo de equilíbrio do RGPS. Os mecanismos nela previstos refletem essa orientação: idade mínima obrigatória para aposentadoria programada (65 anos para homens, 62 para mulheres), nova fórmula de cálculo que toma a média de todas as contribuições desde julho de 1994 (sem exclusão dos 20% menores), coeficiente de 60% da média acrescido de 2% por ano de contribuição que exceder o piso mínimo, e alíquotas progressivas por faixa de remuneração. A efetividade dessas medidas para o equilíbrio de longo prazo é objeto de debate entre economistas e atuários, e os resultados concretos dependem de variáveis que transcendem o desenho normativo, como o comportamento do mercado de trabalho e a evolução demográfica.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Sustentamos, com a doutrina previdenciária amplamente majoritária, que o princípio do equilíbrio financeiro e atuarial rege a atividade legislativa de conformação do sistema, e não a atividade jurisdicional de concessão de benefícios individuais. O juiz do JEF não pode indeferir benefício requerido por segurado que preenche os requisitos legais com fundamento em genérico argumento de sustentabilidade do sistema ou déficit previdenciário. A concessão de benefício a segurado que satisfaz os pressupostos da lei é ato vinculado, e a autarquia previdenciária não dispõe de margem de discricionariedade para recusá-lo por razões fiscais. A confusão entre política previdenciária (competência do Poder Legislativo) e adjudicação de direitos (competência do Poder Judiciário) é erro de categorias que compromete a racionalidade do sistema.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O equilíbrio financeiro e atuarial não é argumento de defesa do INSS para indeferir benefício individual.</w:t>
            </w:r>
            <w:r>
              <w:rPr>
                <w:rFonts w:ascii="EB Garamond" w:hAnsi="EB Garamond" w:cs="EB Garamond"/>
                <w:b w:val="0"/>
                <w:i w:val="0"/>
                <w:color w:val="201B16"/>
                <w:sz w:val="19"/>
                <w:lang w:val="pt-BR" w:bidi="ar-SA"/>
                <w:kern w:val="16"/>
                <w14:ligatures w14:val="standardContextual"/>
              </w:rPr>
              <w:t xml:space="preserve"> O princípio do equilíbrio rege a política legislativa (desenho de regras, alíquotas, idades mínimas), não a aplicação judicial ao caso concreto. Se o segurado preenche os requisitos legais para o benefício, a concessão é ato vinculado. O INSS não pode invocar "déficit" ou "sustentabilidade" como fundamento para indeferimento. Esse argumento é dirigido ao Congresso Nacional, não à agência da previdência social ou ao juízo do JEF.</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1.18 Solidariedade, pacto intergeracional e vedação do retrocesso social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solidariedade é o fundamento axiológico que confere coerência ao regime de repartição simples adotado pelo RGPS. O art. 3º, I, da CF/88 erige a construção de uma sociedade solidária como objetivo fundamental da República, e essa diretriz projeta-se com intensidade particular sobre a previdência social. O mecanismo de repartição simples pressupõe um pacto tácito entre gerações: a geração economicamente ativa aceita financiar, mediante contribuições compulsórias, os benefícios devidos à geração que já se retirou do mercado de trabalho, sob a confiança institucional de que a geração seguinte assumirá o mesmo compromisso. Essa solidariedade não é caridade nem benevolência: é arranjo institucional de distribuição de riscos sociais ao longo do tempo, juridicamente vinculante e constitucionalmente protegido.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solidariedade previdenciária opera em duas direções simultâneas. Na direção vertical (intergeracional), cada geração sustenta a anterior e será sustentada pela posterior. Na direção horizontal (intrageracional), há redistribuição implícita dentro da mesma geração: segurados de maior renda contribuem proporcionalmente mais (alíquotas progressivas de 7,5% a 14% pós-EC 103/2019) e podem aposentar-se com valores proporcionalmente menores em relação às suas contribuições, subsidiando indiretamente os benefícios de piso (um salário-mínimo). O STF invocou expressamente a solidariedade como fundamento para julgar constitucional a contribuição de inativos no RPPS (ADI 3.105): quem já recebe benefício pode ser chamado a contribuir para a sustentabilidade do sistema, porque a previdência não é poupança individual, mas mecanismo coletivo de proteção social.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vedação do retrocesso social é princípio constitucional implícito que a doutrina extrai de uma leitura conjugada de dispositivos da CF/88: o art. 5º, § 2º (cláusula de abertura dos direitos fundamentais), o art. 7º, caput (direitos dos trabalhadores que visem à melhoria de sua condição social) e o caráter progressivo inerente aos direitos sociais consagrados nos arts. 6º e 194-204. O princípio não está formulado em texto expresso, mas integra o repertório argumentativo tanto da doutrina quanto da jurisprudência do STF, ainda que este último nunca tenha, até 2026, declarado inconstitucional uma reforma previdenciária exclusivamente com esse fundamento. Na prática jurisprudencial, a vedação do retrocesso funciona como ônus argumentativo agravado imposto ao legislador reformador: a redução de proteção social previdenciária é constitucionalmente possível, mas exige justificativa reforçada, ancorada em valores constitucionais de igual hierarquia, como o equilíbrio atuarial, a sustentabilidade fiscal ou a proteção das futuras gerações.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Reconhecemos que a vedação do retrocesso não transforma o ordenamento previdenciário em bloco normativo petrificado. O legislador constituinte derivado pode alterar regras de acesso, cálculo e valor dos benefícios, desde que não suprima arbitrariamente a proteção conquistada e desde que preserve o núcleo essencial dos direitos sociais previdenciários. A EC 103/2019 testou os limites desse princípio ao reduzir o valor dos benefícios por incapacidade permanente de 100% para 60% da média dos salários de contribuição (acrescidos de 2% por ano excedente). Há argumentos sérios de que essa redução atinge o núcleo essencial da proteção à incapacidade laborativa, especialmente para segurados de baixa renda que, aposentando-se com 60% de uma média já reduzida, receberiam valor próximo ao salário-mínimo. Ao julgar o Tema 1.300 (RE 1.469.150, j. 18/12/2025), o STF declarou constitucional a regra geral de cálculo (v. Cap. 6, seção 6.7.3); ainda assim, sustentamos que, na aplicação da norma aos casos concretos, a análise judicial deve considerar o impacto da redução sobre a capacidade do benefício de assegurar condições dignas de subsistência ao segurado incapacitado.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princípio pro misero, também referido como in dubio pro segurado, guarda relação com a vedação do retrocesso, embora não se confunda com ela. Esse princípio hermenêutico sustenta que, havendo dúvida razoável na interpretação de norma previdenciária, deve-se adotar a exegese mais favorável ao segurado, em coerência com a função protetiva do sistema. A jurisprudência não o acolhe de forma unânime, e tribunais frequentemente advertem que o princípio não autoriza interpretação contra legem. Entendemos que o princípio pro misero tem aplicação legítima como critério de desempate hermenêutico: quando duas interpretações da mesma norma são igualmente defensáveis sob os cânones tradicionais, a que melhor realiza a proteção social deve prevalecer. Tal escolha constitui aplicação coerente dos princípios constitucionais que informam o sistema, e não a manifestação de ativismo judicial que por vezes se lhe atribui.</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Vedação do retrocesso social e a redução de benefícios pela EC 103/2019</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redução do coeficiente de cálculo dos benefícios por incapacidade permanente — de 100% da média para 60% acrescidos de 2% por ano de contribuição que exceda 20 anos (homem) ou 15 anos (mulher) — ilustra a tensão entre a margem de conformação do legislador reformador e a vedação do retrocesso social: o segurado que se torna permanentemente incapaz após poucos anos de contribuição passa a receber benefício substancialmente inferior ao que lhe asseguraria o regime anterior. Suscitada à luz dos arts. 6º e 201 da CF/88, a controvérsia foi enfrentada pelo STF no Tema 1.300 (RE 1.469.150, rel. Min. Luís Roberto Barroso, j. 18/12/2025), que declarou constitucional a regra geral do art. 26, § 2º, da EC 103/2019. A tese e suas consequências práticas nos JEFs — onde os benefícios por incapacidade representam parcela expressiva das ações — são examinadas no Cap. 6 (seção 6.7.3); no plano principiológico, o episódio mostra a vedação do retrocesso operando como parâmetro de controle das reformas, ainda que, neste caso, a norma tenha sido validada.</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1.19 EC 20/1998: o paradigma do tempo de contribuição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Emenda Constitucional 20, de 15 de dezembro de 1998, inaugurou o ciclo de reformas que, ao longo de duas décadas e meia, redesenhou o RGPS brasileiro. Aprovada no governo Fernando Henrique Cardoso após intenso debate parlamentar, a EC 20 partiu de um diagnóstico que se tornaria recorrente nas reformas subsequentes: o modelo previdenciário desenhado pela CF/88 era financeiramente insustentável no médio prazo. A aposentadoria por tempo de serviço, sem exigência de idade mínima, permitia que trabalhadores que ingressavam no mercado aos 14 ou 16 anos se aposentassem antes dos 50, com benefícios calculados sobre os últimos salários. A ausência de condicionamento atuarial explícito na redação original do art. 201 deixava o sistema exposto a desequilíbrios crescentes à medida que a expectativa de vida aumentava e a base contributiva se erodia pela informalidade.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alteração central promovida pela EC 20/1998 foi a substituição do "tempo de serviço" pelo "tempo de contribuição" como critério para a aposentadoria (art. 201, § 7º). A mudança não foi apenas terminológica. Sob o regime anterior, bastava ao segurado comprovar o exercício de atividade laboral pelo tempo exigido, ainda que sem contribuição efetiva. Com a EC 20, o vínculo passou a exigir prova de contribuição, reforçando a lógica contributiva do sistema. Na prática, períodos de trabalho informal sem recolhimento deixaram de ser computáveis automaticamente, exigindo-se a indenização prevista no art. 45-A da Lei 8.212/91. A exceção mais relevante permaneceu intocada: o tempo de atividade rural anterior a novembro de 1991 continua dispensado de contribuição para fins de contagem recíproca (art. 55, § 2º, Lei 8.213/91), reconhecimento que reflete a universalização promovida pela CF/88.</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EC 20 constitucionalizou o princípio do equilíbrio financeiro e atuarial, inserindo-o no caput do art. 201. Antes da reforma, a Constituição tratava a previdência como direito social puro, sem referência a condicionamentos fiscais ou atuariais. A partir de 1998, o equilíbrio passou a operar como princípio de contenção, autorizando o legislador a desenhar regras que assegurassem a sustentabilidade do sistema. A mesma emenda fixou o teto do RGPS (art. 201, § 5º), inicialmente em R$ 1.200,00, atualizado para R$ 8.475,55 em 2026, delimitando o valor máximo do benefício e remetendo à previdência complementar quem desejasse renda superior. Outra inovação relevante foi a vedação de critérios diferenciados para concessão de benefícios, salvo para atividades exercidas em condições prejudiciais à saúde ou à integridade física (art. 201, § 1º), que constitui a base constitucional da aposentadoria especial. Registre-se, sobre essa base constitucional, que a idade mínima da aposentadoria especial — introduzida pela EC 103/2019 — foi declarada inconstitucional pelo STF na ADI 6.309 (j. 03/06/2026), preservadas a vedação à conversão de tempo especial em comum e a nova forma de cálculo; o tema é desenvolvido no capítulo próprio da aposentadoria especial.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As regras de transição da EC 20/1998 introduziram o mecanismo do pedágio, que seria retomado pela EC 103/2019. Para a aposentadoria proporcional (extinta pela reforma, mas acessível aos que já estavam no sistema), exigia-se o cumprimento de pedágio de 40% sobre o tempo restante, além de idade mínima de 48 anos (mulher) e 53 anos (homem). Para a aposentadoria integral, o pedágio era de 20%, sem idade mínima. Convém distinguir os planos: na regra permanente do RGPS, a EC 20 não instituiu idade mínima, exigência que ficou restrita ao servidor público e só alcançaria o regime geral vinte e um anos depois, com a EC 103/2019. Nas regras de transição do RGPS, porém, a própria EC 20 já impusera idade mínima para a aposentadoria proporcional (48/53 anos), como se acaba de expor — de modo que a inexistência de idade mínima dizia respeito apenas à regra permanente, não a todo o regime geral.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fator previdenciário, instituído pela Lei 9.876/1999 como consequência direta da reforma de 1998, merece registro nesta seção por sua relevância histórica. A fórmula ajustava o valor do benefício conforme a idade e a expectativa de sobrevida do segurado na data do requerimento, operando como incentivo econômico para que o trabalhador adiasse a aposentadoria. Criticado por penalizar especialmente mulheres e trabalhadores de baixa renda que ingressam cedo no mercado, o fator foi parcialmente neutralizado pela regra 85/95 (Lei 13.183/2015) e tornou-se residual após a EC 103/2019, aplicável apenas à regra de transição do pedágio de 50% (art. 17). O impacto da EC 20 nos JEFs foi massivo: milhões de ações discutiram, ao longo das duas décadas seguintes, a aplicação das regras de transição, o cômputo de tempo de serviço versus tempo de contribuição, e a incidência do fator previdenciário.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1.20 EC 41/2003 e EC 47/2005: reformas dos regimes próprios com reflexos no RGPS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Emenda Constitucional 41, de 19 de dezembro de 2003, aprovada no governo Lula, direcionou-se primariamente ao Regime Próprio de Previdência Social (RPPS) dos servidores públicos, mas produziu reflexos significativos no RGPS. A EC 47, de 5 de julho de 2005, conhecida como PEC Paralela, foi editada para atenuar os efeitos mais gravosos da EC 41 sobre servidores que haviam ingressado no serviço público antes da reforma. Juntas, essas emendas compõem a segunda onda de reformas previdenciárias pós-CF/88, completando o processo iniciado pela EC 20/1998 e preparando o terreno institucional para a reestruturação promovida pela EC 103/2019.</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As principais alterações da EC 41/2003 no RPPS foram o fim da integralidade (o benefício deixou de corresponder à última remuneração do cargo efetivo) e da paridade (os reajustes dos inativos passaram a seguir critérios próprios, desvinculados dos reajustes dos servidores ativos). A emenda instituiu a contribuição de inativos no RPPS, fixada em 11% sobre o valor do benefício que excedesse o teto do RGPS. A constitucionalidade dessa contribuição foi confirmada pelo STF no julgamento da ADI 3.105, com fundamento no princípio da solidariedade: o aposentado que recebe benefício do regime próprio pode ser chamado a contribuir para a sustentabilidade do sistema que o ampara. Esse precedente é relevante para o RGPS porque consolidou a solidariedade como fundamento autônomo para imposição de contribuições previdenciárias, mesmo sobre quem já se retirou da atividade laboral. Registramos que, no RGPS, a CF/88 veda a contribuição sobre aposentadorias e pensões (art. 195, II), de modo que a contribuição de inativos é exclusividade do RPPS.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o RGPS especificamente, a EC 41/2003 promoveu a elevação do teto de contribuição e benefício para R$ 2.400,00 (art. 5º da emenda), valor que foi sendo reajustado anualmente e alcança R$ 8.475,55 em 2026. A emenda também reafirmou o caráter contributivo e o equilíbrio financeiro e atuarial como pilares do sistema, e previu a criação de previdência complementar para os servidores públicos, implementada em 2012 com a criação da Funpresp.</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EC 47/2005 trouxe contribuição mais direta ao RGPS. O art. 10 da emenda acrescentou o § 12 ao art. 201 da CF/88, prevendo um sistema especial de inclusão previdenciária para trabalhadores de baixa renda e para aqueles que, sem renda própria, se dedicam exclusivamente ao trabalho doméstico no âmbito de sua residência. Esse dispositivo constitucional foi a base para a criação da alíquota reduzida do MEI (5% sobre o salário-mínimo, regulamentada pela LC 123/2006) e do segurado facultativo de baixa renda (5% sobre o salário-mínimo, regulamentado pela Lei 12.470/2011). A EC 47 também incluiu o inciso I no § 4º do art. 201, prevendo aposentadoria com critérios diferenciados para segurados com deficiência, fundamento constitucional que viabilizou a edição da LC 142/2013.</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compreensão dessas emendas é relevante para a atuação nos JEFs por duas razões principais. A primeira diz respeito ao direito intertemporal: segurados que completaram os requisitos para aposentadoria antes da EC 41 ou entre a EC 41 e a EC 103 podem ter direito adquirido a regras mais favoráveis, e a identificação da regra aplicável exige domínio da cronologia das reformas. A segunda razão é substantiva: os mecanismos de inclusão previdenciária criados pela EC 47 (alíquotas reduzidas, plano simplificado) ampliaram o universo de segurados do RGPS, gerando novas categorias de litígios nos JEFs, como discussões sobre o alcance da cobertura do plano simplificado e a possibilidade de complementação de contribuições para acesso à aposentadoria por tempo de contribuição.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Direito intertemporal previdenciário: as reformas não retroagem.</w:t>
            </w:r>
            <w:r>
              <w:rPr>
                <w:rFonts w:ascii="EB Garamond" w:hAnsi="EB Garamond" w:cs="EB Garamond"/>
                <w:b w:val="0"/>
                <w:i w:val="0"/>
                <w:color w:val="201B16"/>
                <w:sz w:val="19"/>
                <w:lang w:val="pt-BR" w:bidi="ar-SA"/>
                <w:kern w:val="16"/>
                <w14:ligatures w14:val="standardContextual"/>
              </w:rPr>
              <w:t xml:space="preserve"> O segurado que completou todos os requisitos para a aposentadoria antes da entrada em vigor de uma reforma constitucional tem direito adquirido ao benefício pelas regras anteriores, ainda que só o requeira anos depois. A jurisprudência do STF confirma o direito adquirido ao melhor benefício, e o art. 3º da EC 103/2019 preservou expressamente os direitos adquiridos antes de 13/11/2019. Registre-se que o Tema 1.102/STF (RE 1.276.977), que no julgamento de mérito de dezembro de 2022 havia reconhecido o direito à chamada revisão da vida toda, foi superado em 2024: ao declarar constitucional o art. 3º da Lei 9.876/1999 nas ADIs 2.110/DF e 2.111/DF (ata do mérito publicada em 5 de abril de 2024, com modulação de efeitos), o STF afastou a tese de que o segurado poderia optar pela regra de cálculo considerando todo o período contributivo, inclusive anterior a julho de 1994. Nos JEFs, a questão prática é identificar a regra vigente na data em que o segurado preencheu os requisitos. Essa tarefa exige domínio do direito intertemporal previdenciário e capacidade de simular o cálculo do benefício sob múltiplas regras, para assegurar ao segurado o resultado mais vantajoso.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1.21 EC 103/2019: a reforma estrutural — nova arquitetura do RGPS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Emenda Constitucional 103, de 12 de novembro de 2019, redesenhou a arquitetura do RGPS com profundidade sem precedente desde a promulgação da CF/88. Aprovada no governo Bolsonaro após tramitação de aproximadamente dez meses no Congresso Nacional, a EC 103 foi denominada "Nova Previdência" e alterou simultaneamente as regras de acesso, a fórmula de cálculo, os critérios de acumulação de benefícios, as alíquotas de contribuição e o regime de transição para segurados já filiados. Nenhuma das reformas anteriores havia promovido alteração tão abrangente do RGPS em uma única emenda constitucional.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mudança estrutural de maior impacto foi a introdução da idade mínima obrigatória para toda aposentadoria programada. O art. 201, § 7º, I e II, na redação da EC 103, fixou os requisitos cumulativos de 65 anos de idade e 20 anos de contribuição para homens, e 62 anos de idade e 15 anos de contribuição para mulheres. A aposentadoria por tempo de contribuição, que permitia ao segurado aposentar-se independentemente da idade desde que completasse 30 anos (mulher) ou 35 anos (homem), foi extinta como modalidade autônoma. A idade mínima tornou-se requisito inafastável para o acesso à aposentadoria programada, ressalvadas as regras de transição aplicáveis a quem já era filiado em 13/11/2019. A aposentadoria do segurado especial (trabalhador rural em regime de economia familiar) manteve a idade de 55 anos (mulher) e 60 anos (homem), com 15 anos de contribuição (art. 201, § 7º, II). Nota de atualização: em 03/06/2026, ao julgar a ADI 6.309, o STF declarou inconstitucional a idade mínima da aposentadoria especial introduzida pela EC 103, mantidas a vedação à conversão de tempo especial em comum e a nova fórmula de cálculo; o exame aprofundado é diferido ao capítulo da aposentadoria especial.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nova fórmula de cálculo alterou tanto a base quanto o coeficiente do benefício. A base passou a ser a média aritmética simples de todos os salários de contribuição desde julho de 1994 (ou desde o início das contribuições, se posterior), eliminando-se a regra anterior que permitia o descarte dos 20% menores salários. O coeficiente foi fixado em 60% dessa média, acrescido de 2% por ano de contribuição que exceder 20 anos (homem) ou 15 anos (mulher). Consequência aritmética direta: para obter 100% da média, o homem precisa acumular 40 anos de contribuição e a mulher 35 anos. A maioria dos segurados aposenta-se com coeficiente inferior a 100%, o que resultou em redução significativa do valor médio dos benefícios concedidos após a reforma.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Os benefícios por incapacidade foram os mais atingidos pela reforma. A aposentadoria por incapacidade permanente (anterior aposentadoria por invalidez, na nomenclatura pré-EC 103) passou a ser calculada pelo mesmo coeficiente de 60% + 2% por ano excedente, quando antes correspondia a 100% da média dos salários de contribuição. A exceção ficou reservada à incapacidade decorrente de acidente de trabalho, para a qual o coeficiente permaneceu em 100% (art. 26, § 3º, II, EC 103). Convém esclarecer que os arts. 15 a 26 da EC 103/2019 são disposições transitórias da própria emenda, e não artigos inseridos no corpo permanente da Constituição. O auxílio por incapacidade temporária (anterior auxílio-doença) manteve o coeficiente de 91% da média. A pensão por morte também foi substancialmente reformulada: a nova fórmula prevê 50% do valor da aposentadoria do falecido acrescidos de 10% por dependente, até o máximo de 100%. Uma família com dependente único recebe 60% do valor da aposentadoria, não mais 100%. O benefício, contudo, não pode ser inferior a um salário-mínimo quando o dependente não possua outra fonte de renda.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EC 103/2019 introduziu regras de vedação de acumulação integral de benefícios (art. 24, § 2º, EC 103). Quando o segurado fizer jus a mais de um benefício do RGPS ou de regimes distintos (por exemplo, aposentadoria própria e pensão por morte do cônjuge), receberá integralmente o de maior valor e uma parcela escalonada de cada um dos demais: 60% do valor que exceder um salário-mínimo, até o limite de dois salários-mínimos; 40% do que exceder dois, até três salários-mínimos; 20% do que exceder três, até quatro salários-mínimos; e 10% do que exceder quatro salários-mínimos. Os percentuais aqui indicados seguem o texto literal do art. 24, § 2º, da EC 103; o detalhamento das hipóteses de acumulação, exceções e cálculos práticos é desenvolvido no Cap. 20. As alíquotas de contribuição do segurado empregado foram substituídas por faixas progressivas (7,5%, 9%, 12% e 14%), aplicadas por faixa de remuneração, sistema análogo ao do imposto de renda. O detalhamento dessas alíquotas e seu impacto no custeio está no Cap. 4.</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Os princípios constitucionais analisados ao longo deste capítulo estiveram em permanente tensão na tramitação e na aplicação da EC 103. A reforma reforçou o equilíbrio financeiro e atuarial como diretriz central do sistema, justificando as restrições ao acesso e ao valor dos benefícios pela necessidade de sustentabilidade. A solidariedade fundamentou as alíquotas progressivas. A seletividade justificou a diferenciação entre incapacidade acidentária e não acidentária. A vedação do retrocesso, por outro lado, foi o principal argumento dos que questionaram a constitucionalidade das reduções no valor dos benefícios, especialmente os de incapacidade permanente. Essa tensão entre princípios não se resolve em abstrato: cada situação concreta trazida ao JEF exige do julgador a ponderação dos valores em jogo, à luz das circunstâncias do caso.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1.22 Regras de transição da EC 103/2019 no RGPS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EC 103/2019 criou cinco regras de transição para os segurados que já estavam filiados ao RGPS antes de 13 de novembro de 2019, mas que não haviam completado os requisitos para aposentadoria na data de entrada em vigor da emenda. Cada regra combina de maneira distinta os critérios de idade, tempo de contribuição, pontuação e pedágio, e o segurado que preenche os requisitos de mais de uma delas tem direito à que lhe for mais vantajosa. A complexidade desse regime de transição gera expressivo volume de ações nos JEFs, tanto para reconhecimento do direito à aposentadoria quanto para revisão de benefícios concedidos administrativamente sem observância da regra mais favorável.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As cinco regras de transição são: (i) sistema de pontos (art. 15), que exige pontuação mínima progressiva — 93 pontos para mulheres e 103 para homens em 2026, com teto de 100 (mulheres, em 2033) e 105 (homens, em 2028), além de tempo mínimo de contribuição de 30/35 anos. A progressão decorre do próprio art. 15, § 1º, da EC 103/2019, que partiu de 86 (mulher) e 96 (homem) no ano de entrada em vigor e prevê acréscimo de um ponto a cada ano: em 2026, após sete acréscimos anuais, alcançam-se 93 e 103 pontos, respectivamente; (ii) idade mínima progressiva (art. 16), com idade de 59 anos e seis meses para mulheres e 64 anos e seis meses para homens em 2026, além de 30/35 anos de contribuição; (iii) pedágio de 50% (art. 17), acessível a quem estava a dois anos ou menos de completar o tempo mínimo em 13/11/2019, com aplicação do fator previdenciário; (iv) pedágio de 100% (art. 20, § 1º), que exige idade mínima fixa de 57/60 anos e concede benefício de 100% da média, sem o coeficiente redutor de 60% + 2%; e (v) transição da aposentadoria por idade (art. 18), com idade de 62 anos para mulheres (estabilizada desde 2023) e 65 para homens, e 15 anos de contribuição. Para professores, a pontuação exigida na regra dos pontos é reduzida em cinco pontos (v. Cap. 11). A análise detalhada de cada regra, com simulações numéricas e quadros comparativos, é desenvolvida nos Caps. 10 e 11.</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5F3EF" w:val="clear"/>
            <w:tcBorders>
              <w:top w:val="single" w:sz="7" w:space="0" w:color="A09882"/>
              <w:bottom w:val="single" w:sz="7" w:space="0" w:color="A09882"/>
              <w:right w:val="single" w:sz="7" w:space="0" w:color="A09882"/>
              <w:left w:val="single" w:sz="24" w:space="0" w:color="6B6256"/>
            </w:tcBorders>
          </w:tcPr>
          <w:p>
            <w:pPr>
              <w:spacing w:before="0" w:after="60" w:line="240" w:lineRule="auto"/>
              <w:jc w:val="left"/>
            </w:pPr>
            <w:r>
              <w:rPr>
                <w:rFonts w:ascii="Noto Sans" w:hAnsi="Noto Sans" w:cs="Noto Sans"/>
                <w:b/>
                <w:i w:val="0"/>
                <w:caps/>
                <w:color w:val="6B6256"/>
                <w:sz w:val="16"/>
                <w:lang w:val="pt-BR" w:bidi="ar-SA"/>
                <w:kern w:val="16"/>
                <w14:ligatures w14:val="standardContextual"/>
              </w:rPr>
              <w:t>QUADRO</w:t>
            </w:r>
          </w:p>
          <w:p>
            <w:pPr>
              <w:spacing w:before="0" w:after="60" w:line="247" w:lineRule="auto"/>
              <w:jc w:val="both"/>
            </w:pPr>
            <w:r>
              <w:rPr>
                <w:rFonts w:ascii="EB Garamond" w:hAnsi="EB Garamond" w:cs="EB Garamond"/>
                <w:b/>
                <w:i w:val="0"/>
                <w:color w:val="201B16"/>
                <w:sz w:val="19"/>
                <w:lang w:val="pt-BR" w:bidi="ar-SA"/>
                <w:kern w:val="16"/>
                <w14:ligatures w14:val="standardContextual"/>
              </w:rPr>
              <w:t>Quadro 1.3 — Regras de transição da EC 103/2019: comparativo (posição em 2026)</w:t>
            </w:r>
          </w:p>
          <w:tbl>
            <w:tblPr>
              <w:tblW w:type="auto" w:w="0"/>
              <w:jc w:val="center"/>
              <w:tblLook w:firstColumn="1" w:firstRow="1" w:lastColumn="0" w:lastRow="0" w:noHBand="0" w:noVBand="1" w:val="04A0"/>
              <w:tblW w:w="5000" w:type="pct"/>
            </w:tblPr>
            <w:tblGrid>
              <w:gridCol w:w="1270"/>
              <w:gridCol w:w="1270"/>
              <w:gridCol w:w="1270"/>
              <w:gridCol w:w="1270"/>
              <w:gridCol w:w="1270"/>
            </w:tblGrid>
            <w:tr>
              <w:trPr>
                <w:tblHeader/>
              </w:trPr>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Regra</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Idade mínima (2026)</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Tempo de contribuição</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Pontos (2026)</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Cálculo do benefício</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Pontos (art. 15)</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Sem exigência</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30 M / 35 H</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93 M / 103 H</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60% + 2%/ano excedente</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Idade progressiva (art. 16)</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59,5 M / 64,5 H</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30 M / 35 H</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60% + 2%/ano excedente</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Pedágio 50% (art. 17)</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Sem exigência</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30 M / 35 H + pedágio</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Com fator previdenciário</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Pedágio 100% (art. 20)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57 M / 60 H</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30 M / 35 H + pedágio</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100% da média</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Idade (art. 18)</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62 M / 65 H</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15 M / 15 H</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60% + 2%/ano excedente</w:t>
                  </w:r>
                </w:p>
              </w:tc>
            </w:tr>
          </w:tbl>
          <w:p/>
          <w:p>
            <w:pPr>
              <w:spacing w:before="0" w:after="0" w:line="240" w:lineRule="auto"/>
            </w:pPr>
          </w:p>
          <w:p>
            <w:pPr>
              <w:spacing w:before="0" w:after="60" w:line="247" w:lineRule="auto"/>
              <w:jc w:val="both"/>
            </w:pPr>
            <w:r>
              <w:rPr>
                <w:rFonts w:ascii="EB Garamond" w:hAnsi="EB Garamond" w:cs="EB Garamond"/>
                <w:b w:val="0"/>
                <w:i w:val="0"/>
                <w:color w:val="201B16"/>
                <w:sz w:val="19"/>
                <w:lang w:val="pt-BR" w:bidi="ar-SA"/>
                <w:kern w:val="16"/>
                <w14:ligatures w14:val="standardContextual"/>
              </w:rPr>
              <w:t>M = mulher; H = homem. Pontuação do art. 15: base de 86 M / 96 H na vigência da EC 103/2019, com acréscimo de 1 ponto por ano (art. 15, § 1º) até o teto de 100 M (2033) e 105 H (2028); em 2026, 93 M / 103 H.</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direito ao melhor benefício nas regras de transição é ponto central para a prática nos JEFs. O segurado que preenche os requisitos de mais de uma regra tem direito àquela que resulte no benefício mais vantajoso. A IN INSS/PRES 128/2022 (art. 687) impõe ao INSS o dever de calcular o benefício por todas as regras de transição aplicáveis e conceder o que apresentar maior valor. Na prática administrativa, esse dever nem sempre é cumprido. Os capítulos dedicados às aposentadorias em espécie (Caps. 8-10) detalham a aplicação de cada regra de transição ao benefício respectivo, com simulações numéricas para os diversos perfis de segurados.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1.23 EC 132/2023 (reforma tributária) e EC 136/2025: desdobramentos recentes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Emenda Constitucional 132, de 20 de dezembro de 2023, reformou o sistema tributário nacional e produziu impacto indireto, mas potencialmente relevante, sobre o financiamento da seguridade social. A principal alteração consistiu na substituição progressiva do PIS/COFINS pela CBS (Contribuição sobre Bens e Serviços) e do ICMS e ISS pelo IBS (Imposto sobre Bens e Serviços). A CBS, por ser formalmente contribuição social, mantém vinculação constitucional ao financiamento da seguridade (art. 195, V, CF, na nova redação). A transição entre os sistemas tributários ocorrerá de 2026 a 2033, período durante o qual os tributos antigos coexistirão com os novos. Essa coexistência gera incertezas quanto ao volume de recursos destinados à seguridade social, pois a partilha federativa da receita do IBS e a regulamentação complementar da CBS ainda estão em consolidação.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o RGPS especificamente, o impacto da EC 132/2023 é indireto. A contribuição previdenciária sobre a folha de pagamento, que constitui a principal receita do RGPS, não foi alterada pela reforma tributária. As mudanças afetam primariamente as contribuições sobre faturamento e lucro (PIS/COFINS/CSLL), que integram o orçamento amplo da seguridade social, mas não financiam diretamente o RGPS. A questão que se coloca é se a reestruturação das fontes de financiamento da seguridade, no seu conjunto, afetará a capacidade do sistema de absorver as despesas com benefícios previdenciários no médio e longo prazo. A desoneração da folha de pagamento para determinados setores econômicos (Lei 14.784/2023, prorrogada até 2027), que substitui a contribuição patronal de 20% sobre a folha por alíquotas sobre a receita bruta, adiciona complexidade ao quadro, pois a compensação pelo Tesouro Nacional é objeto de controvérsia recorrente.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Emenda Constitucional 136, de 9 de setembro de 2025, introduziu alterações no regime de pagamento de precatórios e requisições de pequeno valor (RPVs) que repercutem diretamente na execução de condenações em ações previdenciárias. A mudança de maior impacto para os segurados que litigam nos JEFs foi a substituição da taxa SELIC por IPCA + 2% ao ano, limitado à SELIC, como índice de correção monetária e juros de mora nos precatórios federais. Em cenário de SELIC elevada, como o verificado em 2026 (14,50% ao ano), a diferença entre os dois critérios é substancial. Se o IPCA acumulado em doze meses for de 5%, a correção pelo novo regime resulta em aproximadamente 7% ao ano, contra 14,50% pelo regime anterior. A redução atinge diretamente o valor que o segurado recebe ao final de ações previdenciárias de longo trâmite, especialmente aquelas que tramitam por anos até o trânsito em julgado e a expedição do precatório ou da RPV.</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questão mais relevante suscitada pela EC 136/2025 diz respeito à sua aplicabilidade temporal e ao seu alcance material. Aplica-se apenas a precatórios expedidos após a promulgação da emenda, ou alcança também os já inscritos e pendentes de pagamento? Abrange apenas precatórios propriamente ditos, ou estende-se às RPVs (até 60 salários-mínimos, equivalentes a R$ 97.260,00 em 2026), que constituem a esmagadora maioria dos pagamentos em ações previdenciárias nos JEFs? Essas questões estão em discussão no STF, com ADIs já ajuizadas questionando a constitucionalidade da alteração. Os argumentos dos impugnantes fundam-se na irredutibilidade do valor dos benefícios (art. 194, parágrafo único, IV, CF), na preservação do valor real (art. 201, § 4º, CF) e na vedação do retrocesso social: se o crédito do segurado contra a Fazenda Pública já havia sido reconhecido judicialmente com base em determinado índice de correção, a alteração superveniente do critério configuraria redução do valor efetivamente devido. O tratamento detalhado da correção monetária e dos juros em ações previdenciárias está no Cap. 17, seções 17.3 a 17.5.</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EC 136/2025 e o novo regime de correção de precatórios</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EC 136/2025 substituiu a taxa SELIC por IPCA + 2% ao ano (limitado à SELIC) como critério de correção monetária e juros de mora nos precatórios federais. Em cenário de SELIC a 14,50% a.a. E IPCA a 5%, a nova regra resulta em correção de aproximadamente 7% ao ano, menos da metade do regime anterior. A mudança afeta diretamente o valor que o segurado recebe ao final de ações previdenciárias de longo trâmite. A constitucionalidade da medida está sendo questionada no STF, com argumentos fundados na irredutibilidade do valor dos benefícios (art. 194, IV), na preservação do valor real (art. 201, § 4º) e na vedação do retrocesso social. Para os JEFs, a questão prática imediata é a definição do índice aplicável aos cálculos de liquidação em execuções já em curso.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1.24 Consolidação das posições adotadas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o longo deste capítulo, examinamos a evolução histórica da proteção social no Brasil, os princípios constitucionais que informam a seguridade e a previdência social, e as reformas constitucionais que redesenharam o RGPS ao longo das últimas três décadas. Cada tema analisado reflete posições interpretativas que adotamos e que orientarão o tratamento dos institutos específicos nos capítulos subsequentes. Consolidamos aqui essas posições, com remissão às seções em que foram desenvolvidas, para que o leitor possa consultá-las de forma sistematizada.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Posição 1 – a previdência social brasileira é sistema contributivo de repartição simples, fundado na solidariedade intergeracional.</w:t>
      </w:r>
      <w:r>
        <w:rPr>
          <w:rFonts w:ascii="EB Garamond" w:hAnsi="EB Garamond" w:cs="EB Garamond"/>
          <w:b w:val="0"/>
          <w:i w:val="0"/>
          <w:color w:val="201B16"/>
          <w:sz w:val="21"/>
          <w:lang w:val="pt-BR" w:bidi="ar-SA"/>
          <w:kern w:val="16"/>
          <w14:ligatures w14:val="standardContextual"/>
        </w:rPr>
        <w:t xml:space="preserve"> O RGPS opera sob modelo bismarckiano (contributividade, filiação obrigatória, proporcionalidade entre contribuição e benefício), inserido em um sistema de seguridade beveridgiano (universalidade, responsabilidade estatal, financiamento solidário). A contributividade é pressuposto do direito ao benefício previdenciário, mas a solidariedade impõe redistribuição interna e proteção mínima a quem não pode contribuir, por meio da assistência social (Seções 1.6, 1.15 e 1.18).</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Posição 2, os princípios do art. 194 da CF/88 são normas jurídicas vinculantes, não diretrizes programáticas.</w:t>
      </w:r>
      <w:r>
        <w:rPr>
          <w:rFonts w:ascii="EB Garamond" w:hAnsi="EB Garamond" w:cs="EB Garamond"/>
          <w:b w:val="0"/>
          <w:i w:val="0"/>
          <w:color w:val="201B16"/>
          <w:sz w:val="21"/>
          <w:lang w:val="pt-BR" w:bidi="ar-SA"/>
          <w:kern w:val="16"/>
          <w14:ligatures w14:val="standardContextual"/>
        </w:rPr>
        <w:t xml:space="preserve"> Universalidade, uniformidade, seletividade, irredutibilidade, equidade no custeio, diversidade da base de financiamento e gestão democrática vinculam o legislador, orientam a interpretação judicial e limitam a atuação administrativa do INSS. O juiz do JEF pode e deve invocar esses princípios como fundamento de decisões, seja para interpretar norma infraconstitucional, seja para afastar ato administrativo incompatível com a Constituição (Seções 1.7 a 1.14).</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Posição 3, a universalidade da cobertura é vetor hermenêutico: na dúvida, reconhece-se a filiação.</w:t>
      </w:r>
      <w:r>
        <w:rPr>
          <w:rFonts w:ascii="EB Garamond" w:hAnsi="EB Garamond" w:cs="EB Garamond"/>
          <w:b w:val="0"/>
          <w:i w:val="0"/>
          <w:color w:val="201B16"/>
          <w:sz w:val="21"/>
          <w:lang w:val="pt-BR" w:bidi="ar-SA"/>
          <w:kern w:val="16"/>
          <w14:ligatures w14:val="standardContextual"/>
        </w:rPr>
        <w:t xml:space="preserve"> A universalidade previdenciária é potencial, pois depende de contribuição, mas funciona como princípio de inclusão. Normas de filiação devem ser interpretadas extensivamente, e o exercício de atividade remunerada gera filiação automática ao RGPS, independentemente de inscrição formal ou de recolhimento pelo empregador. A proteção do segurado empregado não pode ser condicionada à regularidade fiscal do empregador (art. 30, I, da Lei 8.212/91 e jurisprudência consolidada) (Seção 1.8)</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Posição 4 – a irredutibilidade garante a preservação do valor real, mas o índice de reajuste é definição legislativa.</w:t>
      </w:r>
      <w:r>
        <w:rPr>
          <w:rFonts w:ascii="EB Garamond" w:hAnsi="EB Garamond" w:cs="EB Garamond"/>
          <w:b w:val="0"/>
          <w:i w:val="0"/>
          <w:color w:val="201B16"/>
          <w:sz w:val="21"/>
          <w:lang w:val="pt-BR" w:bidi="ar-SA"/>
          <w:kern w:val="16"/>
          <w14:ligatures w14:val="standardContextual"/>
        </w:rPr>
        <w:t xml:space="preserve"> A CF/88 assegura que os benefícios não perderão poder de compra, mas delega ao legislador a escolha do índice de correção. O INPC é o índice legal atual (art. 41-A, Lei 8.213/91). A irredutibilidade nominal é garantia absoluta; a preservação do valor real é garantia de resultado, não de meio. O juiz pode afastar índice que, aplicado concretamente, não preserve o poder de compra do benefício, mas não pode substituir o índice legal por outro de sua preferência sem fundamento constitucional específico (Seção 1.11)</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Posição 5 – o equilíbrio financeiro e atuarial rege a política legislativa, não a concessão individual de benefícios.</w:t>
      </w:r>
      <w:r>
        <w:rPr>
          <w:rFonts w:ascii="EB Garamond" w:hAnsi="EB Garamond" w:cs="EB Garamond"/>
          <w:b w:val="0"/>
          <w:i w:val="0"/>
          <w:color w:val="201B16"/>
          <w:sz w:val="21"/>
          <w:lang w:val="pt-BR" w:bidi="ar-SA"/>
          <w:kern w:val="16"/>
          <w14:ligatures w14:val="standardContextual"/>
        </w:rPr>
        <w:t xml:space="preserve"> O princípio do equilíbrio orienta o legislador no desenho de regras, alíquotas e requisitos de acesso, mas não autoriza o INSS a indeferir benefício individual com fundamento em déficit ou sustentabilidade do sistema. Se o segurado preenche os requisitos legais, a concessão é ato vinculado. A confusão entre política previdenciária (competência legislativa) e adjudicação de direitos (competência jurisdicional) é erro de categorias que compromete a racionalidade do sistema (Seção 1.17)</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Posição 6 – a vedação do retrocesso social impõe ônus argumentativo agravado, mas não impede toda reforma restritiva.</w:t>
      </w:r>
      <w:r>
        <w:rPr>
          <w:rFonts w:ascii="EB Garamond" w:hAnsi="EB Garamond" w:cs="EB Garamond"/>
          <w:b w:val="0"/>
          <w:i w:val="0"/>
          <w:color w:val="201B16"/>
          <w:sz w:val="21"/>
          <w:lang w:val="pt-BR" w:bidi="ar-SA"/>
          <w:kern w:val="16"/>
          <w14:ligatures w14:val="standardContextual"/>
        </w:rPr>
        <w:t xml:space="preserve"> O legislador constituinte derivado pode alterar regras previdenciárias, desde que justifique constitucionalmente a restrição e preserve o núcleo essencial da proteção social. Reformas que suprimam proteção sem justificativa adequada ou que atinjam o mínimo existencial são constitucionalmente questionáveis. A redução do coeficiente dos benefícios por incapacidade permanente pela EC 103/2019 (de 100% para 60% + 2% por ano excedente) suscita questão séria de compatibilidade com esse princípio (Seção 1.18)</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Posição 7 – o segurado que preencheu os requisitos antes de reforma constitucional tem direito adquirido ao benefício pelas regras anteriores.</w:t>
      </w:r>
      <w:r>
        <w:rPr>
          <w:rFonts w:ascii="EB Garamond" w:hAnsi="EB Garamond" w:cs="EB Garamond"/>
          <w:b w:val="0"/>
          <w:i w:val="0"/>
          <w:color w:val="201B16"/>
          <w:sz w:val="21"/>
          <w:lang w:val="pt-BR" w:bidi="ar-SA"/>
          <w:kern w:val="16"/>
          <w14:ligatures w14:val="standardContextual"/>
        </w:rPr>
        <w:t xml:space="preserve"> O art. 3º da EC 103/2019 preserva o direito adquirido ao benefício mais vantajoso. Registre-se que o Tema 1.102/STF (RE 1.276.977), favorável à tese da revisão da vida toda no julgamento de mérito de dezembro de 2022, foi superado em 2024 pela declaração de constitucionalidade do art. 3º da Lei 9.876/1999 nas ADIs 2.110/DF e 2.111/DF (ata do mérito publicada em 5 de abril de 2024, com modulação de efeitos), afastando a possibilidade de opção pela regra de cálculo que considerasse todo o período contributivo anterior a julho de 1994. Sem prejuízo dessa reversão, permanece o princípio de que o segurado pode optar pela regra vigente na data em que primeiro preencheu todos os requisitos, ainda que requeira o benefício em momento posterior. O dever do INSS e do juiz é identificar, em cada caso concreto, qual regra vigente gerou situação mais favorável ao segurado (Seções 1.19 a 1.22).</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Posição 8, a complexidade das regras de transição da EC 103/2019 impõe ao INSS o dever de conceder o benefício pela regra mais vantajosa.</w:t>
      </w:r>
      <w:r>
        <w:rPr>
          <w:rFonts w:ascii="EB Garamond" w:hAnsi="EB Garamond" w:cs="EB Garamond"/>
          <w:b w:val="0"/>
          <w:i w:val="0"/>
          <w:color w:val="201B16"/>
          <w:sz w:val="21"/>
          <w:lang w:val="pt-BR" w:bidi="ar-SA"/>
          <w:kern w:val="16"/>
          <w14:ligatures w14:val="standardContextual"/>
        </w:rPr>
        <w:t xml:space="preserve"> O art. 687 da IN INSS/PRES 128/2022 obriga o INSS a calcular o benefício por todas as regras de transição aplicáveis e a conceder o mais vantajoso. O descumprimento desse dever gera direito à revisão judicial. A decadência decenal do art. 103 da Lei 8.213/91 incide sobre a revisão do ato de concessão do benefício, inclusive quanto a aspectos não expressamente examinados pelo INSS na concessão (Tema 975/STJ). Assim, o segurado prejudicado pela concessão sob regra menos favorável deve buscar a revisão judicial dentro do prazo decadencial de dez anos, contados do primeiro dia do mês seguinte ao do recebimento da primeira prestação (Seção 1.22)</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Checklist: qual regra de transição é mais vantajosa para o segurado?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1. Identificar a data de filiação ao RGPS e confirmar que é anterior a 13/11/2019 2. Levantar o tempo de contribuição e a idade do segurado na DER (data de entrada do requerimento) e em 13/11/2019 3. Verificar se o segurado já havia preenchido os requisitos de alguma aposentadoria antes de 13/11/2019 (direito adquirido) 4. Calcular os requisitos de cada regra de transição aplicável:  — Pontos (art. 15): somar idade + tempo de contribuição e comparar com a pontuação exigida no ano da DER  — Idade progressiva (art. 16): verificar se atinge a idade mínima progressiva no ano da DER  — Pedágio de 50% (art. 17): verificar se faltavam 2 anos ou menos de TC em 13/11/2019  — Pedágio de 100% (art. 20): verificar se atinge a idade mínima fixa (57 M / 60 H) e o TC com pedágio  — Idade (art. 18): verificar se atinge 62 anos (mulher) ou 65 anos (homem) com 15 anos de TC 5. Para cada regra cujos requisitos sejam preenchidos, calcular o valor do benefício:  — Regras 1, 2 e 5: 60% da média + 2% por ano excedente a 15 (M) ou 20 (H) anos  — Regra 3: média integral com aplicação do fator previdenciário  — Regra 4: 100% da média (sem coeficiente redutor) 6. Comparar os valores e requerer a concessão pela regra que resulte no maior benefício mensal 7. Se o INSS concedeu por regra menos vantajosa, fundamentar o pedido de revisão com cálculos comparativos</w:t>
            </w:r>
          </w:p>
        </w:tc>
      </w:tr>
    </w:tbl>
    <w:p>
      <w:pPr>
        <w:spacing w:before="0" w:after="80" w:line="240" w:lineRule="auto"/>
      </w:pPr>
    </w:p>
    <w:p>
      <w:pPr>
        <w:sectPr>
          <w:headerReference w:type="default" r:id="rId57"/>
          <w:headerReference w:type="even" r:id="rId58"/>
          <w:footerReference w:type="default" r:id="rId59"/>
          <w:footerReference w:type="even" r:id="rId60"/>
          <w:headerReference w:type="first" r:id="rId61"/>
          <w:footerReference w:type="first" r:id="rId62"/>
          <w:pgSz w:w="8391" w:h="11906"/>
          <w:pgMar w:top="935" w:right="879" w:bottom="964" w:left="1162" w:header="454" w:footer="425" w:gutter="0" w:mirrorMargins="1"/>
          <w:cols w:space="720"/>
          <w:titlePg/>
          <w:docGrid w:linePitch="360"/>
        </w:sectPr>
      </w:pPr>
    </w:p>
    <w:p>
      <w:pPr>
        <w:spacing w:before="240" w:after="80" w:line="240" w:lineRule="auto"/>
        <w:jc w:val="center"/>
        <w:keepNext/>
      </w:pPr>
      <w:r>
        <w:rPr>
          <w:rFonts w:ascii="Noto Sans" w:hAnsi="Noto Sans" w:cs="Noto Sans"/>
          <w:b/>
          <w:i w:val="0"/>
          <w:caps/>
          <w:color w:val="8A6A2A"/>
          <w:sz w:val="19"/>
          <w:lang w:val="pt-BR" w:bidi="ar-SA"/>
          <w:kern w:val="16"/>
          <w14:ligatures w14:val="standardContextual"/>
        </w:rPr>
        <w:t>CAPÍTULO 2</w:t>
      </w:r>
    </w:p>
    <w:p>
      <w:pPr>
        <w:pStyle w:val="Heading2"/>
        <w:spacing w:before="0" w:after="160" w:line="240" w:lineRule="auto"/>
        <w:jc w:val="center"/>
        <w:keepNext/>
      </w:pPr>
      <w:r>
        <w:rPr>
          <w:rFonts w:ascii="EB Garamond" w:hAnsi="EB Garamond" w:cs="EB Garamond"/>
          <w:b/>
          <w:i w:val="0"/>
          <w:caps/>
          <w:color w:val="2F2923"/>
          <w:sz w:val="40"/>
          <w:lang w:val="pt-BR" w:bidi="ar-SA"/>
          <w:kern w:val="16"/>
          <w14:ligatures w14:val="standardContextual"/>
        </w:rPr>
        <w:t>Segurados e Dependentes</w:t>
      </w:r>
    </w:p>
    <w:p>
      <w:pPr>
        <w:spacing w:before="0" w:after="240" w:line="240" w:lineRule="auto"/>
        <w:jc w:val="center"/>
      </w:pPr>
      <w:r>
        <w:rPr>
          <w:rFonts w:ascii="EB Garamond" w:hAnsi="EB Garamond" w:cs="EB Garamond"/>
          <w:b w:val="0"/>
          <w:i w:val="0"/>
          <w:color w:val="B78B37"/>
          <w:sz w:val="18"/>
          <w:lang w:val="pt-BR" w:bidi="ar-SA"/>
          <w:kern w:val="16"/>
          <w14:ligatures w14:val="standardContextual"/>
        </w:rPr>
        <w:t>━━━━  ◆  ━━━━</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proteção previdenciária no Regime Geral de Previdência Social pressupõe a existência de um vínculo jurídico entre o indivíduo e o sistema. Esse vínculo se estabelece, de um lado, pela condição de segurado — aquele que contribui, direta ou indiretamente, para o financiamento da previdência social — e, de outro, pela condição de dependente, pessoa que, sem contribuir, mantém com o segurado relação de dependência econômica reconhecida pela lei. Como observam Castro e Lazzari (2025), "dependentes são pessoas que, embora não contribuindo para a Seguridade Social, a Lei de Benefícios elenca como possíveis beneficiários do Regime Geral de Previdência Social.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art. 201 da Constituição Federal organiza a previdência social sob a forma do RGPS, com caráter contributivo e filiação obrigatória. Dessas duas características decorrem as categorias de segurados que a legislação infraconstitucional detalha, bem como as regras sobre a extensão protetiva aos dependentes.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intenção do legislador constituinte foi conferir proteção previdenciária a todos os que trabalham. Para alguns, a lei estabeleceu a obrigatoriedade da cobertura; para outros, possibilitou a opção voluntária de ingresso no sistema. Segurados obrigatórios e segurados facultativos constituem o universo de beneficiários diretos. Ao seu lado, os dependentes formam o universo dos beneficiários indiretos, cuja proteção se estabelece por intermédio do vínculo que mantêm com o segurado.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enquadramento correto do segurado determina as regras de filiação, inscrição, contribuição e acesso aos benefícios. O reconhecimento adequado dos dependentes condiciona a concessão de pensão por morte, auxílio-reclusão e serviços previdenciários. Erros de enquadramento, tanto na via administrativa quanto na judicial, comprometem a efetividade da proteção social.</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2.1 Segurados obrigatórios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Lei n. 8.213, de 24 de julho de 1991, enumera, em seu art. 11, as categorias de segurados obrigatórios da Previdência Social. Trata-se de rol taxativo, que compreende cinco espécies: empregado, empregado doméstico, contribuinte individual, trabalhador avulso e segurado especial. Para cada uma dessas categorias, a filiação é automática, decorrendo do simples exercício da atividade remunerada, independentemente de qualquer ato formal de inscrição. A inscrição, por sua vez, é ato administrativo meramente declaratório, que formaliza perante o INSS uma condição já existente.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Quatro regras gerais regem o enquadramento dos segurados obrigatórios. Pela automaticidade, o exercício de atividade remunerada sujeita o trabalhador à filiação obrigatória ao RGPS (art. 9º, § 12, do Decreto 3.048/99), e, quando concomitantes as atividades, a multiplicidade de vínculos impõe a filiação em cada uma delas, com recolhimento de contribuição sobre cada remuneração (art. 11, § 2º, da Lei 8.213/91). Acrescem a essas a regra do retorno do aposentado — aquele que, já aposentado pelo RGPS, volta a exercer atividade abrangida pelo regime torna-se segurado obrigatório em relação a ela, pagando a contribuição respectiva (art. 11, § 3º) — e a da continuidade do enquadramento, pela qual o dirigente sindical, enquanto no exercício do mandato eletivo, conserva o mesmo enquadramento no RGPS de antes da investidura, nos termos do art. 9º, § 3º, do Decreto 3.048/99.</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2.1.1 O empregado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segurado empregado é aquele que presta serviço de natureza urbana ou rural a empresa, em caráter não eventual, sob sua subordinação e mediante remuneração. A caracterização dessa categoria exige a presença simultânea de quatro elementos: pessoalidade, habitualidade, subordinação e onerosidade. O conceito é amplo e abrange situações que transcendem a relação empregatícia clássica. O Decreto 3.048/99, em seu art. 9º, § 4º, considera prestado em caráter não eventual o serviço relacionado direta ou indiretamente com as atividades normais da empresa.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rol do art. 11, inciso I, alíneas “a” a a j, da Lei 8.213/91 enumera diversas figuras equiparadas ao empregado para fins previdenciários, que podem ser organizadas em quatro grupos: o tipo básico, as situações transfronteiriças, os servidores em cargo em comissão e os exercentes de mandato eletivo.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tipo básico (alínea a) compreende o trabalhador urbano ou rural que presta serviço à empresa sob relação de emprego, inclusive como diretor empregado. Nesse conceito se incluem os trabalhadores rurais denominados "boias-frias", que a jurisprudência há muito qualifica como segurados empregados para fins previdenciários, apesar da frequente exclusão do emprego formal. Igualmente se enquadra como empregado o trabalhador temporário contratado por empresa de trabalho temporário, nos termos da Lei n. 6.019/1974, alterada pela Lei n. 13.429/2017, para atender a necessidade transitória de substituição de pessoal regular ou a demanda complementar de serviços (alínea b).</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As situações transfronteiriças abrangem cinco hipóteses previstas nas alíneas c, d, e, f e i do inciso I, entre as quais se destacam: o brasileiro ou estrangeiro domiciliado e contratado no Brasil para trabalhar como empregado em sucursal ou agência de empresa nacional no exterior (alínea c); o brasileiro civil que trabalha para a União no exterior em organismos oficiais brasileiros ou internacionais dos quais o Brasil seja membro efetivo (alínea e); e o empregado de organismo oficial internacional ou estrangeiro em funcionamento no Brasil, salvo quando coberto por regime próprio (alínea i). As alíneas d e f completam o grupo, alcançando demais arranjos de contratação no Brasil com prestação de serviço vinculada a empresa ou repartição com elemento de estraneidade — situações em que o trabalhador é recrutado no território nacional, mas a relação laboral apresenta conexão internacional. A finalidade comum dessas alíneas é assegurar que nenhum trabalhador brasileiro, ou estrangeiro com residência permanente, fique sem proteção previdenciária em razão de arranjos laborais com componente internacional.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servidor público ocupante de cargo em comissão, sem vínculo efetivo com a União, Estados, Distrito Federal ou Municípios, suas autarquias e fundações, é segurado obrigatório do RGPS na qualidade de empregado (alínea g e § 5º). Essa regra decorre da EC n. 20/1998, que excluiu do regime próprio os servidores não titulares de cargos efetivos. O STF, ao julgar a ADI 2.024/DF (rel. Min. Sepúlveda Pertence), reconheceu a constitucionalidade da submissão ao RGPS dos servidores ocupantes exclusivamente de cargo em comissão.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alínea h, incluída pela Lei n. 9.506/1997, e a alínea j, incluída pela Lei n. 10.887/2004, enquadram como empregado o exercente de mandato eletivo federal, estadual ou municipal, desde que não vinculado a regime próprio de previdência social. Registre-se que a alínea h foi declarada inconstitucional pelo STF no RE 351.717/PR (2003), que invalidou a contribuição previdenciária dos exercentes de mandato eletivo instituída pela Lei 9.506/97; a alínea j, inserida pela Lei 10.887/2004 em cumprimento à EC n. 41/2003, restabeleceu o enquadramento em bases constitucionais válidas, absorvendo materialmente o conteúdo da alínea declarada inconstitucional.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contribuição previdenciária do empregado é descontada diretamente pela empresa sobre a remuneração. No que se refere à contribuição patronal, o STF, no Tema 20 da repercussão geral (RE 565.160/SC, rel. Min. Marco Aurélio, j. 29/03/2017), fixou que a contribuição social a cargo do empregador incide sobre os ganhos habituais do empregado, independentemente de serem anteriores ou posteriores à EC 20/1998. A lógica se projeta sobre a base de cálculo de ambas as contribuições (patronal e do empregado): verbas de natureza habitual — gorjetas, comissões, horas extras habituais — integram a base, ao passo que parcelas indenizatórias ficam excluídas. O art. 201, § 11, da Constituição reforça essa diretriz ao determinar a incorporação de todos os ganhos habituais ao salário para efeitos previdenciários.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Questão recorrente nos JEFs envolve o enquadramento do menor aprendiz e do aluno-aprendiz. O menor aprendiz é segurado empregado por expressa disposição legal. Quanto ao aluno-aprendiz de escola técnica, a Súmula 18 da TNU admite o cômputo do tempo de serviço quando comprovada remuneração, ainda que indireta, à conta do Orçamento da União. Os quatro requisitos para esse reconhecimento decorrem da própria construção que deu origem à Súmula 18/TNU, amparada na jurisprudência do STJ firmada em julgados sobre aluno-aprendiz de escola técnica federal:</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(i) retribuição consubstanciada em prestação pecuniária ou em auxílios materiais; (ii) à conta do Orçamento; (iii) a título de contraprestação por labor; e (iv) na execução de bens e serviços destinados a terceiros.</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Na ótica do julgador, ao apreciar o cômputo do tempo de aluno-aprendiz, cabe aferir, no caso concreto, a efetiva presença desses quatro requisitos — em especial a retribuição custeada pelo Orçamento e a contraprestação por labor em bens ou serviços destinados a terceiros —, não bastando a simples matrícula em escola técnica. A sentença deve indicar o início de prova material que ampara cada requisito (certidão da instituição, registros de produção, comprovantes de auxílio material), evitando reconhecimento fundado em prova exclusivamente testemunhal ou em mera presunção decorrente da frequência ao curso. Registre-se, por fim, que o estagiário que presta serviço em desacordo com a Lei n. 11.788/2008 mantém, na verdade, autêntica relação de emprego e deve ser enquadrado como segurado empregado.</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2.1.2 O empregado doméstico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empregado doméstico é aquele que presta serviço de forma contínua, subordinada, onerosa e pessoal, de finalidade não lucrativa, à pessoa ou à família, no âmbito residencial destas. A Lei Complementar n. 150, de 1º de junho de 2015, trouxe definição precisa ao estabelecer que se considera empregado doméstico quem presta serviços "por mais de 2 (dois) dias por semana" à mesma família. A contrário sensu, quem trabalha até dois dias por semana para o mesmo tomador não mantém vínculo de emprego doméstico com aquele contratante, podendo qualificar-se como contribuinte individual, se exercer a atividade de forma habitual e por conta própria, ou filiar-se voluntariamente como segurado facultativo.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proteção previdenciária obrigatória do empregado doméstico tem início com a Lei n. 5.859, de 11 de dezembro de 1972, regulamentada pelo Decreto n. 71.885/1973. Antes dessa lei, o empregado doméstico somente poderia ter proteção previdenciária se se inscrevesse como segurado facultativo. Mesmo que o empregador registrasse o contrato na Carteira de Trabalho, os efeitos eram exclusivamente trabalhistas, sem repercussão previdenciária, pois não havia obrigação legal de recolhimento. A partir da competência abril de 1973, admite-se o enquadramento como empregado doméstico para fins previdenciários.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Emenda Constitucional n. 72, de 2 de abril de 2013, ampliou os direitos trabalhistas dos empregados domésticos ao alterar o parágrafo único do art. 7º da Constituição, com reflexos diretos na vida previdenciária dessa categoria. A LC 150/2015, que regulamentou a emenda, representou um marco definitivo. Antes de sua vigência, o empregado doméstico não tinha direito ao seguro contra acidentes de trabalho, ao FGTS obrigatório nem à multa rescisória. O chamado Simples Doméstico unificou a arrecadação por meio do Documento de Arrecadação do eSocial, com alíquota patronal de 8% para o INSS, acrescida de 0,8% para o seguro acidentário e 8% para o FGTS.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distinção entre empregado doméstico e diarista é essencial para o correto enquadramento previdenciário. O Decreto 3.048/99, em seu art. 9º, § 15, VI, com a redação dada pelo Decreto 10.410/2020, considera contribuinte individual aquele "que presta serviço de natureza não contínua, por conta própria, a pessoa ou família, no âmbito residencial desta, sem fins lucrativos". Trata-se do diarista doméstico: se a frequência de trabalho na mesma residência é de até dois dias por semana, não há vínculo empregatício doméstico; se configurada prestação por mais de dois dias, o enquadramento como empregado doméstico é obrigatório.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Dois outros requisitos são indispensáveis para a caracterização do trabalho doméstico: a pessoa do contratante, que deve ser pessoa física (pessoa jurídica descaracteriza o vínculo doméstico), e a ausência de finalidade lucrativa na atividade. Se o empregador utiliza o trabalho do contratado para atividade econômica, por exemplo, para produzir alimentos destinados à comercialização, resta descaracterizado o vínculo doméstico, configurando-se relação de emprego comum.</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trabalho doméstico é proibido para menores de 18 anos, conforme o Decreto n. 6.481/2008, que regulamenta a Convenção 182 da OIT sobre as piores formas de trabalho infantil, e o art. 1º, parágrafo único, da LC 150/2015.</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Ao atender cliente que trabalha como diarista em mais de uma residência, é essencial verificar a frequência semanal em cada domicílio. Se a prestação ocorre por mais de dois dias por semana na mesma residência, configura-se vínculo de emprego doméstico, e o tomador é responsável pelo recolhimento previdenciário. Se a frequência é de até dois dias, não há vínculo doméstico com aquele tomador, e a trabalhadora poderá recolher como contribuinte individual ou, caso preencha os requisitos do CadÚnico e não exerça outra atividade remunerada obrigatória, filiar-se como segurada facultativa de baixa renda, com alíquota de 5%. Quanto à carência do empregado doméstico, a regra geral é a contagem a partir da data da filiação ao RGPS (art. 28, I, do Decreto 3.048/99), presumindo-se efetuado o recolhimento das contribuições retidas e devidas pelo empregador, ainda que este as tenha pago em atraso — solução coerente com a responsabilidade tributária do tomador e com a vedação ao prejuízo do segurado pela inadimplência de terceiro.</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2.1.3 O contribuinte individual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contribuinte individual abrange um universo heterogêneo de trabalhadores que exercem atividade remunerada por conta própria ou sem relação de emprego. A categoria surgiu da reunião de três espécies previstas na legislação anterior, o empresário, o trabalhador autônomo e o equiparado a autônomo, unificadas pela Lei n. 9.876, de 26 de novembro de 1999, no atual inciso V do art. 11 da Lei 8.213/91. A nomenclatura "autônomo" ainda é utilizada na linguagem comum, mas foi extirpada da legislação de regência. Do ponto de vista lógico-sistemático, a categoria do contribuinte individual possui caráter residual: será contribuinte individual todo aquele que desenvolve atividade remunerada e que não se enquadra em nenhuma das demais espécies de segurado obrigatório.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art. 11, inciso V, da Lei 8.213/91 enumera as seguintes alíneas: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 O produtor rural pessoa física descaracterizado como segurado especial.</w:t>
      </w:r>
      <w:r>
        <w:rPr>
          <w:rFonts w:ascii="EB Garamond" w:hAnsi="EB Garamond" w:cs="EB Garamond"/>
          <w:b w:val="0"/>
          <w:i w:val="0"/>
          <w:color w:val="201B16"/>
          <w:sz w:val="21"/>
          <w:lang w:val="pt-BR" w:bidi="ar-SA"/>
          <w:kern w:val="16"/>
          <w14:ligatures w14:val="standardContextual"/>
        </w:rPr>
        <w:t xml:space="preserve"> Trata-se da pessoa física, proprietária ou não, que explora atividade agropecuária, a qualquer título, em caráter permanente ou temporário, em área superior a 4 módulos fiscais; ou, quando em área igual ou inferior a 4 módulos fiscais ou atividade pesqueira, com auxílio de empregados ou por intermédio de prepostos. A hipótese abrange essencialmente o produtor rural que não se enquadra como segurado especial, seja pelo tamanho da área explorada, pela contratação de mão de obra acima dos limites permitidos, ou por qualquer outra razão descaracterizadora. O cônjuge ou companheiro que participa da exploração da mesma atividade é igualmente enquadrado como contribuinte individual.</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b) O garimpeiro.</w:t>
      </w:r>
      <w:r>
        <w:rPr>
          <w:rFonts w:ascii="EB Garamond" w:hAnsi="EB Garamond" w:cs="EB Garamond"/>
          <w:b w:val="0"/>
          <w:i w:val="0"/>
          <w:color w:val="201B16"/>
          <w:sz w:val="21"/>
          <w:lang w:val="pt-BR" w:bidi="ar-SA"/>
          <w:kern w:val="16"/>
          <w14:ligatures w14:val="standardContextual"/>
        </w:rPr>
        <w:t xml:space="preserve"> A pessoa física que explora atividade de extração mineral em caráter permanente ou temporário, diretamente ou por intermédio de prepostos. Na redação original da Lei 8.213/91, o garimpeiro era segurado especial; a Lei n. 8.398/1992 retirou-o dessa condição e, com a unificação das categorias promovida pela Lei 9.876/99, passou a integrar a categoria de contribuinte individual. A consequência é direta: o garimpeiro contribui sobre o resultado de sua atividade. Há, contudo, ressalva relevante quanto à aposentadoria por idade: embora enquadrado como contribuinte individual, o garimpeiro que comprovar trabalho em regime de economia familiar faz jus à redução do requisito etário — sessenta anos, se homem, e cinquenta e cinco anos, se mulher —, por força do art. 56 do Decreto 3.048/99 (antigo art. 51, renumerado pelo Decreto 10.410/2020), que estende expressamente a essa hipótese o mesmo tratamento etário conferido aos trabalhadores rurais referidos no art. 201, § 7º, II, da Constituição. Fora dessa hipótese específica — ausente o regime de economia familiar —, o garimpeiro submete-se às condições gerais da aposentadoria por idade do contribuinte individual, cujo alcance é examinado no Capítulo 9.</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 O ministro de confissão religiosa e o membro de instituto de vida consagrada.</w:t>
      </w:r>
      <w:r>
        <w:rPr>
          <w:rFonts w:ascii="EB Garamond" w:hAnsi="EB Garamond" w:cs="EB Garamond"/>
          <w:b w:val="0"/>
          <w:i w:val="0"/>
          <w:color w:val="201B16"/>
          <w:sz w:val="21"/>
          <w:lang w:val="pt-BR" w:bidi="ar-SA"/>
          <w:kern w:val="16"/>
          <w14:ligatures w14:val="standardContextual"/>
        </w:rPr>
        <w:t xml:space="preserve"> Os religiosos só passaram a ter proteção previdenciária obrigatória a partir da Lei n. 6.696/1979. Para fins previdenciários, são contribuintes individuais, e seu ingresso na Previdência Social não implica reconhecimento de relação de emprego com a entidade religiosa.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d) Revogada pela Lei n. 9.876/1999.</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e) O brasileiro civil que trabalha no exterior para organismo oficial internacional do qual o Brasil é membro efetivo</w:t>
      </w:r>
      <w:r>
        <w:rPr>
          <w:rFonts w:ascii="EB Garamond" w:hAnsi="EB Garamond" w:cs="EB Garamond"/>
          <w:b w:val="0"/>
          <w:i w:val="0"/>
          <w:color w:val="201B16"/>
          <w:sz w:val="21"/>
          <w:lang w:val="pt-BR" w:bidi="ar-SA"/>
          <w:kern w:val="16"/>
          <w14:ligatures w14:val="standardContextual"/>
        </w:rPr>
        <w:t>, quando não coberto por regime próprio de previdência social. Trata-se de hipótese que o legislador optou por enquadrar como contribuinte individual, embora situações análogas sejam enquadradas como empregado (alínea e do inciso I).</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f) Gestores e administradores.</w:t>
      </w:r>
      <w:r>
        <w:rPr>
          <w:rFonts w:ascii="EB Garamond" w:hAnsi="EB Garamond" w:cs="EB Garamond"/>
          <w:b w:val="0"/>
          <w:i w:val="0"/>
          <w:color w:val="201B16"/>
          <w:sz w:val="21"/>
          <w:lang w:val="pt-BR" w:bidi="ar-SA"/>
          <w:kern w:val="16"/>
          <w14:ligatures w14:val="standardContextual"/>
        </w:rPr>
        <w:t xml:space="preserve"> O titular de firma individual urbana ou rural, o diretor não empregado e o membro de conselho de administração de sociedade anônima, o sócio solidário, o sócio de indústria, o sócio gerente e o sócio cotista que recebam remuneração decorrente de seu trabalho, e o associado eleito para cargo de direção em cooperativa, associação ou entidade de qualquer natureza ou finalidade, bem como o síndico ou administrador eleito para exercer atividade de direção condominial, desde que recebam remuneração. O enquadramento do síndico como contribuinte individual pressupõe a percepção de remuneração pelo exercício do encargo (art. 12, V, f, da Lei 8.212/91 e art. 9º do Decreto 3.048/99). A controvérsia diz respeito à dispensa da taxa de condomínio: a orientação que prevalece equipara essa isenção a remuneração indireta, de modo que o síndico isento da contribuição condominial é tido por remunerado e, portanto, por contribuinte individual obrigatório. Trata-se de equiparação que decorre da interpretação do conceito de remuneração do art. 12 da Lei 8.212/91 e dos atos infralegais que o regulamentam — e não da Lei n. 9.506/1997, cujo objeto era a contribuição dos exercentes de mandato eletivo. O síndico não remunerado nem isento da taxa condominial não é segurado obrigatório, podendo filiar-se como facultativo.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g) O trabalhador eventual.</w:t>
      </w:r>
      <w:r>
        <w:rPr>
          <w:rFonts w:ascii="EB Garamond" w:hAnsi="EB Garamond" w:cs="EB Garamond"/>
          <w:b w:val="0"/>
          <w:i w:val="0"/>
          <w:color w:val="201B16"/>
          <w:sz w:val="21"/>
          <w:lang w:val="pt-BR" w:bidi="ar-SA"/>
          <w:kern w:val="16"/>
          <w14:ligatures w14:val="standardContextual"/>
        </w:rPr>
        <w:t xml:space="preserve"> Quem presta serviço de natureza urbana ou rural, em caráter eventual, a uma ou mais empresas, sem relação de emprego. Falta-lhe o requisito da habitualidade que caracteriza o empregado.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h) O trabalhador autônomo genérico.</w:t>
      </w:r>
      <w:r>
        <w:rPr>
          <w:rFonts w:ascii="EB Garamond" w:hAnsi="EB Garamond" w:cs="EB Garamond"/>
          <w:b w:val="0"/>
          <w:i w:val="0"/>
          <w:color w:val="201B16"/>
          <w:sz w:val="21"/>
          <w:lang w:val="pt-BR" w:bidi="ar-SA"/>
          <w:kern w:val="16"/>
          <w14:ligatures w14:val="standardContextual"/>
        </w:rPr>
        <w:t xml:space="preserve"> A pessoa física que exerce, por conta própria, atividade econômica de natureza urbana, com fins lucrativos ou não. Trata-se de cláusula residual, apta a abarcar virtualmente todas as hipóteses de trabalhadores que desenvolvem atividade urbana remunerada e que não possam ser enquadrados em outras categorias. O Decreto 3.048/99, em seu art. 9º, § 15, detalha extenso rol exemplificativo, incluindo o comerciante ambulante, o notário ou tabelião, o médico-residente, o árbitro de jogos desportivos, o membro de conselho tutelar remunerado e o cooperado de cooperativa de produção.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Lei n. 10.666, de 8 de maio de 2003, transferiu à empresa tomadora de serviços a obrigação de arrecadar e recolher a contribuição previdenciária do contribuinte individual, descontando-a da remuneração paga. Antes dessa lei, cabia ao próprio contribuinte individual a responsabilidade integral pelo recolhimento, o que gerava elevada inadimplência. A alteração repercute diretamente na contagem de carência (v. Cap. 3, seção 3.4, para o detalhamento das regras de cômputo).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No que toca à alíquota, o contribuinte individual contribui, em regra, à razão de 20% sobre o salário de contribuição (art. 21 da Lei 8.212/91). A esse regime soma-se o chamado plano simplificado de contribuição, com alíquota reduzida de 11% sobre o salário-mínimo — fixado em R$ 1.621,00 para o exercício de 2026 —, que exclui o direito à aposentadoria por tempo de contribuição (art. 21, § 2º, I, da Lei 8.212/91); o segurado que, tendo optado por esse plano, pretenda computar o período para aposentadoria por tempo de contribuição ou para contagem recíproca deverá complementar o recolhimento até a alíquota integral, indenizando a diferença (art. 21, § 3º).</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Microempreendedor Individual (MEI) constitui modalidade especial de contribuinte individual, com regime tributário simplificado e alíquota reduzida de 5% sobre o salário-mínimo, nos termos da Lei n. 12.470/2011 combinada com a Lei Complementar n. 123/2006. Essa alíquota reduzida, contudo, exclui o direito à aposentadoria por tempo de contribuição — restrição que subsiste mesmo após a extinção dessa espécie de aposentadoria pela EC 103/2019, pois permanece relevante para o cômputo do tempo de contribuição nas regras de transição, como as que exigem pedágio. Se o MEI desejar computar o período contributivo para aposentadoria por tempo de contribuição ou para contagem recíproca com outro regime, deverá complementar a contribuição até a alíquota integral, indenizando a diferença (art. 21, § 3º, da Lei 8.212/91).</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2.1.4 O trabalhador avulso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trabalhador avulso é aquele que presta serviço a diversas empresas, sem vínculo empregatício, com intermediação obrigatória de sindicato da categoria ou do Órgão Gestor de Mão de Obra. A definição genérica do art. 11, inciso VI, da Lei 8.213/91 foi detalhada pelo art. 9º, VI, do Decreto 3.048/99, que distingue duas modalidades: o trabalhador avulso portuário e o trabalhador avulso não portuário.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trabalhador avulso portuário exerce suas atividades com intermediação do Órgão Gestor de Mão de Obra (OGMO), nos termos da Lei n. 12.815, de 5 de junho de 2013 (Lei dos Portos). O Decreto 3.048/99 relaciona expressamente as atividades portuárias: capatazia, estiva, conferência e conserto de carga, vigilância de embarcação e bloco, estiva de mercadorias de qualquer natureza (inclusive carvão e minério), trabalho em alvarenga, amarração de embarcação, ensaque de café, cacau e sal, trabalho na indústria de extração de sal, carregamento de bagagem em porto, prático de barra, guindasteiro e classificação, movimentação e empacotamento de mercadorias em portos. O trabalhador avulso não portuário exerce atividade de movimentação de mercadorias em geral, nos termos da Lei n. 12.023, de 27 de agosto de 2009, com intermediação obrigatória do sindicato da categoria.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Constituição Federal, no art. 7º, inciso XXXIV, assegura "igualdade de direitos entre o trabalhador com vínculo empregatício permanente e o trabalhador avulso". Essa equiparação constitucional possui alcance pleno no campo previdenciário: o trabalhador avulso tem direito a todas as prestações previstas para o segurado empregado, incluindo o salário-família e a cobertura acidentária. A legislação infraconstitucional não pode, em regra, estabelecer distinções entre as duas categorias.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Quando comparado à relação de emprego, o trabalho avulso se distingue essencialmente pela ausência do requisito da pessoalidade e pelo caráter intermediado da prestação. O trabalhador avulso não escolhe para quem trabalha — é escalado pelo OGMO ou pelo sindicato conforme as demandas das empresas tomadoras. Essa peculiaridade não reduz, contudo, a proteção previdenciária, que é integral e equiparada à do empregado.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intermediação obrigatória do OGMO, nos termos da Lei 12.815/2013, desempenha função essencial no sistema de proteção previdenciária do avulso portuário. Cabe ao OGMO administrar o fornecimento de mão de obra, manter o registro e o cadastro dos trabalhadores, promover a formação profissional e arrecadar as contribuições previdenciárias devidas pelas empresas operadoras portuárias. A responsabilidade solidária do OGMO pelo recolhimento das contribuições previdenciárias constitui garantia relevante para o trabalhador avulso, pois evita que a pulverização entre múltiplos tomadores comprometa a regularidade contributiva. Para o trabalhador avulso não portuário, a Lei 12.023/2009 atribui ao sindicato da categoria função análoga à do OGMO, intermediando a contratação por meio de acordo ou convenção coletiva de trabalho.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contribuição previdenciária incidente sobre a remuneração do trabalhador avulso segue as mesmas alíquotas aplicáveis ao empregado, variando conforme a faixa salarial (art. 198 do Decreto 3.048/99). A empresa tomadora de serviço é responsável pelo desconto e recolhimento, à semelhança do que ocorre com o empregado. Essa sistemática assegura que o trabalhador avulso não seja onerado pela complexidade de sua relação de trabalho multiempregadora. O período de carência, de igual modo, é computado a partir da filiação, independentemente do efetivo recolhimento — cabendo à empresa tomadora a responsabilidade tributária.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No foro dos Juizados, as demandas envolvendo trabalhadores avulsos frequentemente dizem respeito ao reconhecimento de períodos de atividade portuária anteriores à informatização dos registros do OGMO, à comprovação de vínculo para fins de aposentadoria especial por exposição a agentes nocivos no ambiente portuário (poeira, ruído, agentes químicos) e à cobertura acidentária. O Perfil Profissiográfico Previdenciário (PPP) do trabalhador avulso portuário deve ser emitido pelo OGMO ou, na sua falta, pelo sindicato da categoria, nos termos do art. 68, § 8º, do Decreto 3.048/99.</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2.1.5 O segurado especial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segurado especial é a pessoa física residente no imóvel rural ou em aglomerado urbano ou rural próximo que, individualmente ou em regime de economia familiar, ainda que com o auxílio eventual de terceiros, exerce atividade na condição de: (a) produtor agropecuário em área de até quatro módulos fiscais, seringueiro ou extrativista vegetal; (b) pescador artesanal ou assemelhado; (c) cônjuge, companheiro ou filho maior de 16 anos que comprovadamente trabalhe com o grupo familiar (art. 11, VII, da Lei 8.213/91, com a redação da Lei n. 11.718/2008).</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Constituição Federal, no art. 195, § 8º, prevê contribuição diferenciada para esses trabalhadores, incidente sobre o resultado da comercialização da produção. Todos os membros do grupo familiar que trabalham em regime de economia familiar são segurados especiais e têm direito à cobertura prevista no art. 39 da Lei 8.213/91, com renda mensal de um salário-mínimo (R$ 1.621,00 em 2026): aposentadoria por idade, aposentadoria por incapacidade permanente, auxílio por incapacidade temporária, auxílio-acidente (a partir da Lei 12.873/2013), auxílio-reclusão e pensão por morte. A segurada especial tem direito ao salário-maternidade com renda de um salário-mínimo.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regime de economia familiar (§ 1º do art. 11) exige que o trabalho dos membros da família seja indispensável à subsistência do núcleo, exercido em mútua dependência e colaboração, sem empregados permanentes. A lei admite o auxílio eventual de terceiros (Decreto 3.048/99, art. 9º, § 6º) e, desde as Leis 11.718/2008 e 12.873/2013, a contratação de empregados por prazo determinado em épocas de safra, até 120 pessoas-dia no ano civil (art. 11, § 8º). O limite de quatro módulos fiscais (Lei 11.718/2008) funciona como elemento indiciário, e não como causa automática de exclusão: o STJ, no Tema Repetitivo 1115, fixou que a propriedade de área superior não descaracteriza, por si só, o regime de economia familiar, desde que comprovados os demais requisitos do enquadramento. As atividades que não descaracterizam o enquadramento (§§ 8º e 9º do art. 11), a extensa jurisprudência do STJ (Temas 532, 533, 554 e 1115; Súmula 149) e da TNU (Súmulas 30, 41 e 46) e a prova da atividade rural são examinados em profundidade no Capítulo 9, ao qual remetemos o leitor.</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Quando o objeto da demanda é o reconhecimento da condição de segurado especial, documentos como notas fiscais de produtor rural, cadastro no INCRA, contratos de parceria ou arrendamento, Declaração de Aptidão ao PRONAF, CNIS com vínculos rurais, certidão de casamento com profissão "lavrador", título de eleitor com zona rural e prontuários de saúde de postos rurais constituem início de prova material. Para o segurado especial que deseja benefícios com renda mensal superior a um salário-mínimo, ou aposentadoria por tempo de contribuição nas regras de transição, é necessário contribuir adicionalmente como contribuinte individual ou facultativo, na forma do art. 39, II, da Lei 8.213/91. Essa contribuição complementar não descaracteriza a condição de segurado especial.</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2.2 Segurado facultativo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13 da Lei 8.213/91 estabelece que é segurado facultativo o maior de 14 anos de idade que se filiar ao RGPS mediante contribuição, desde que não incluído nas categorias de segurado obrigatório. Trata-se da única categoria cuja filiação não é automática — depende da manifestação de vontade do interessado, concretizada pela inscrição acompanhada do primeiro recolhimento. O enquadramento como segurado facultativo é residual: somente pode filiar-se nessa categoria quem não exerce atividade remunerada que o enquadre como segurado obrigatório do RGPS ou de Regime Próprio de Previdência Social.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Há divergência entre a lei e o regulamento nesse ponto. O Decreto n. 3.048, de 6 de maio de 1999, em seu art. 11, eleva a idade mínima para 16 anos, com fundamento na Emenda Constitucional n. 20/1998, que proibiu o trabalho de menores de 16 anos, salvo na condição de aprendiz a partir dos 14. Prevalece na doutrina majoritária que a disposição regulamentar está correta, pois a EC 20/98 alterou o art. 7º, XXXIII, da Constituição. A vedação constitucional ao trabalho de menores de 16 anos afeta reflexamente a idade mínima para filiação ao RGPS, já que o segurado facultativo se filia precisamente por não exercer atividade remunerada que lhe confira enquadramento obrigatório. Há, contudo, corrente minoritária que sustenta a prevalência da lei (14 anos), argumentando que a vedação constitucional se dirige ao trabalho e não à proteção previdenciária voluntária. Na prática administrativa, o INSS aplica a idade de 16 anos.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art. 201, § 5º, da Constituição Federal, com a redação dada pela EC 103/2019, veda expressamente a filiação ao RGPS, na qualidade de segurado facultativo, de pessoa participante de regime próprio de previdência social — vedação cujo alcance é detalhado na seção 2.6, ao tratar das regras aplicáveis ao servidor público. Para o que aqui importa, basta registrar que o INSS tem entendido que até mesmo o aposentado por RPPS não pode filiar-se como facultativo do RGPS, orientação inicialmente veiculada pela IN PRES/INSS 128/2022 (art. 107, § 5º, II). Como os atos administrativos da autarquia são periodicamente reeditados — a IN 128/2022 foi sucedida por instruções posteriores —, a referência normativa precisa deve ser sempre conferida na instrução normativa do INSS em vigor à época da análise, preservada a substância da orientação aqui descrita.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São exemplos típicos de segurados facultativos a dona de casa, o síndico de condomínio não remunerado, o estudante (a partir de 16 anos), o brasileiro que acompanha cônjuge que presta serviço no exterior, o ex-segurado obrigatório que cessou suas atividades, o bolsista em tempo integral de pesquisa ou pós-graduação, o preso que não exerce atividade remunerada e o brasileiro residente no exterior. O estagiário que presta serviço em conformidade com a Lei n. 11.788/2008 pode inscrever-se como facultativo (art. 12, § 2º, da Lei 11.788/2008). Igualmente, o segurado recolhido à prisão sob regime fechado ou semiaberto que presta serviço dentro ou fora da unidade penal pode filiar-se como facultativo (art. 11, § 1º, XI, do Decreto 3.048/99).</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segurado facultativo de baixa renda — dona de casa ou pessoa dedicada ao trabalho doméstico na própria residência, sem renda própria, inscrita no CadÚnico, com renda familiar de até dois salários-mínimos — contribui com alíquota reduzida de 5% sobre o salário-mínimo (Lei 12.470/2011 c/c art. 21 da Lei 8.212/91). Existe também a possibilidade de contribuição com alíquota de 11% sobre o salário-mínimo para o segurado facultativo que opte pela exclusão do direito à aposentadoria por tempo de contribuição. Em ambos os casos, se posteriormente desejar computar o período para aposentadoria por tempo de contribuição ou para contagem recíproca, deverá complementar a contribuição até a alíquota integral.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jurisprudência encontra dificuldade para delimitar a contingência de incapacidade em relação ao segurado facultativo, que por definição não exerce atividade remunerada. A EC 103/2019 agravou a questão ao substituir, no art. 201, I, da Constituição, a "cobertura de eventos de doença e invalidez" pela "cobertura dos eventos de incapacidade temporária ou permanente para o trabalho". A regulamentação do novo texto poderá resultar na exclusão do direito ao auxílio por incapacidade temporária para segurados facultativos que não exercem atividade laborativa, sob o fundamento de que não existe trabalho do qual se afastar. Até que sobrevenha regulamentação, permanece o direito na forma da legislação vigente.</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2.3 Filiação e inscrição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F</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iliação e inscrição são conceitos distintos, e confundi-los gera consequências práticas relevantes. A filiação é o vínculo jurídico entre o segurado e a Previdência Social, do qual decorrem a qualidade de segurado, a obrigação contributiva e o acesso potencial às prestações. Para o segurado obrigatório, a filiação é automática: o simples exercício de atividade remunerada torna a pessoa segurada do RGPS, independentemente de qualquer ato formal.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o segurado facultativo, a filiação ocorre com a inscrição acompanhada do primeiro recolhimento, sendo necessários ambos os atos (inscrição + pagamento), sob pena de inexistir o vínculo. Trata-se de ato voluntário e constitutivo.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inscrição, por sua vez, é o ato formal pelo qual o segurado é cadastrado no sistema previdenciário. Conforme o art. 18 do Decreto 3.048/99, "considera-se inscrição de segurado para os efeitos da previdência social o ato pelo qual o segurado é cadastrado no RGPS, por meio da comprovação dos dados pessoais". Para o segurado obrigatório, a inscrição é meramente declaratória — reconhece perante o INSS uma condição já existente pela automaticidade da filiação. Para o segurado facultativo, a inscrição é constitutiva; sem ela, não há filiação.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Há controvérsia doutrinária em relação ao contribuinte individual que é responsável pelo recolhimento de sua própria contribuição. Uma corrente, capitaneada por Santos (2025), sustenta que, nesse caso, a filiação somente se perfectibiliza com a inscrição e o recolhimento da primeira contribuição, à semelhança do segurado facultativo, pois sem a contribuição efetiva não se estabelece o vínculo obrigacional recíproco. Outra corrente, majoritária, mantém que a filiação é automática pelo exercício da atividade remunerada, mas que a inscrição e o recolhimento são condições para a eficácia dos direitos previdenciários. A questão possui relevância prática: se a filiação do contribuinte individual depende do recolhimento, o período de atividade anterior ao primeiro pagamento não gera efeitos previdenciários; se é automática pelo exercício da atividade, gera ao menos a obrigação contributiva, podendo ser reconhecida judicialmente.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Decreto 3.048/99, em seu art. 18, § 5º-B, incluído pelo Decreto 10.410/2020, veda expressamente a inscrição post mortem de segurado contribuinte individual e de segurado facultativo. Essa vedação impede que dependentes regularizem a situação previdenciária do falecido após o óbito para fins de obtenção de pensão por morte. A Súmula 52 da TNU reforça: "Para fins de concessão de pensão por morte, é incabível a regularização do recolhimento de contribuições de segurado contribuinte individual posteriormente a seu óbito, exceto quando as contribuições devam ser arrecadadas por empresa tomadora de serviços". A exceção é significativa: quando a empresa tomadora era responsável tributária pelo recolhimento, a filiação decorre do exercício da atividade e não pode ser prejudicada pela inadimplência do responsável tributário.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Cadastro Nacional de Informações Sociais (CNIS) consolida vínculos, remunerações e contribuições do segurado, com presunção relativa de veracidade conferida pelo art. 29-A da Lei 8.213/91, incluído pela Lei n. 10.403/2002. Na prática dos JEFs, o extrato do CNIS é documento de consulta obrigatória em qualquer demanda previdenciária. Lacunas nos registros, contudo, não significam ausência de filiação: a Súmula 75 da TNU reconhece que a CTPS sem defeito formal goza de presunção relativa de veracidade e forma prova suficiente de tempo de serviço, ainda que o vínculo não conste no CNIS. A natureza jurídica do CNIS, sua força probatória e os mecanismos de retificação são examinados no Capítulo 5, seção 5.2.</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art. 12 da Lei 8.213/91 estabelece a regra de exclusão: servidores civis ocupantes de cargo efetivo e militares amparados por regime próprio são excluídos do RGPS. Há, contudo, uma exceção relevante: o exercício concomitante de atividade abrangida pelo RGPS torna o servidor segurado obrigatório em relação a essa atividade, mantendo dupla filiação. O regime de exclusão do servidor e suas exceções são retomados, com maior detalhe, na seção 2.6.</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2.4 Dependentes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condição de dependente caracteriza-se justamente pela vinculação indireta ao sistema. Como observa Savaris (2023), "se a relação jurídica do segurado com a Previdência Social é direta ou imediata, o dependente vincula-se à Previdência Social de modo indireto, por intermédio do vínculo de dependência econômica que mantém com o segurado". É a partir dessa premissa que a lei organiza a proteção dos beneficiários indiretos.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legislação previdenciária organiza os dependentes em três classes hierarquizadas, previstas no art. 16 da Lei 8.213/91. A existência de dependente de qualquer das classes exclui do direito às prestações os das classes seguintes — regra que impõe uma ordem de preferência absoluta. O dependente é uma figura que não possui vínculo de filiação em sentido contributivo com a previdência social: sua relação se estabelece por intermédio do segurado, com o qual mantém liame de parentesco ou afinidade. Nessa relação, o segurado é denominado "instituidor" — termo técnico largamente utilizado na prática previdenciária. Os dependentes fazem jus a pensão por morte, auxílio-reclusão, serviço social e reabilitação profissional. Convém recordar, para a delimitação da competência, que o valor de tais benefícios observa o teto do RGPS (R$ 8.475,55 em 2026) e que a competência do Juizado Especial Federal alcança as causas de até 60 salários-mínimos (R$ 97.260,00 em 2026), parâmetro que baliza o processamento das demandas de pensão por morte e de auxílio-reclusão na sede aqui examinada.</w:t>
      </w:r>
    </w:p>
    <w:p>
      <w:pPr>
        <w:spacing w:before="260" w:after="80" w:line="240" w:lineRule="auto"/>
        <w:jc w:val="left"/>
      </w:pPr>
      <w:r>
        <w:rPr>
          <w:rFonts w:ascii="EB Garamond" w:hAnsi="EB Garamond" w:cs="EB Garamond"/>
          <w:b/>
          <w:i w:val="0"/>
          <w:color w:val="3A3128"/>
          <w:sz w:val="25"/>
          <w:lang w:val="pt-BR" w:bidi="ar-SA"/>
          <w:kern w:val="16"/>
          <w14:ligatures w14:val="standardContextual"/>
        </w:rPr>
        <w:t>2.4.1 Classe I — cônjuge, companheiro e filhos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primeira classe compreende o cônjuge, a companheira, o companheiro e o filho não emancipado, de qualquer condição, menor de 21 anos ou inválido ou que tenha deficiência intelectual ou mental ou deficiência grave. A dependência econômica desses beneficiários é presumida, dispensando comprovação. A doutrina majoritária sustenta que essa presunção, no caso do cônjuge e do companheiro, é de natureza absoluta, juris et de jure, não admitindo prova em contrário. A Turma Nacional de Uniformização tem reiteradamente acolhido esse entendimento.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 união estável</w:t>
      </w:r>
      <w:r>
        <w:rPr>
          <w:rFonts w:ascii="EB Garamond" w:hAnsi="EB Garamond" w:cs="EB Garamond"/>
          <w:b w:val="0"/>
          <w:i w:val="0"/>
          <w:color w:val="201B16"/>
          <w:sz w:val="21"/>
          <w:lang w:val="pt-BR" w:bidi="ar-SA"/>
          <w:kern w:val="16"/>
          <w14:ligatures w14:val="standardContextual"/>
        </w:rPr>
        <w:t xml:space="preserve"> segue a definição do § 3º do art. 226 da Constituição Federal. Em decisão histórica, o Supremo Tribunal Federal, no julgamento conjunto da ADI 4.277 e da ADPF 132/RJ (rel. Min. Ayres Britto, j. 05/05/2011), reconheceu por unanimidade a união estável entre pessoas do mesmo sexo como entidade familiar, com aplicação do mesmo regime jurídico da união estável heteroafetiva. O companheiro homoafetivo integra plenamente a classe I de dependentes, com presunção de dependência econômica e direito a todos os benefícios. O INSS regulamentou o reconhecimento administrativo por meio da Instrução Normativa 128/2022.</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exigência de início de prova material para comprovação de união estável e dependência econômica tem dois marcos temporais distintos. A MP 871, de 18 de janeiro de 2019, introduziu a regra com vigência imediata, acrescentando os §§ 5º e 6º ao art. 16 da Lei 8.213/91. A Lei n. 13.846, de 18 de junho de 2019, converteu a MP em lei, consolidando a exigência. A prova deve ser produzida em período não superior a 24 meses anterior ao óbito ou ao recolhimento à prisão do segurado, não admitida a prova exclusivamente testemunhal, exceto em caso de força maior ou caso fortuito. Para fins de direito intertemporal, o marco relevante é a data de vigência da MP 871 (18/01/2019), não a da lei de conversão. A orientação que prevalece na jurisprudência da TNU é a de que a dispensa de início de prova material, antes admitida com amparo na Súmula 63/TNU, fica restrita aos óbitos (ou recolhimentos à prisão) ocorridos antes da vigência da MP 871/2019; para os eventos posteriores, exige-se a prova material contemporânea nos termos dos §§ 5º e 6º do art. 16.</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questão do concubinato impuro (união paralela ao casamento) é objeto de forte polêmica jurisprudencial. O STF, no julgamento do RE 1.045.273 pela sistemática da repercussão geral (Tema 529), confirmou o entendimento de que a concubina não pode dividir a pensão com a viúva. Havendo, porém, separação de fato, admite-se a união estável para fins previdenciários. O cônjuge divorciado ou separado judicialmente ou de fato que recebia pensão alimentícia concorre em igualdade de condições com os dependentes de primeira classe. Nessa hipótese, a pensão por morte é rateada em partes iguais entre o ex-cônjuge alimentado e o cônjuge ou companheiro atual, na forma do art. 76, § 2º, da Lei 8.213/91, cuja mecânica de divisão e de reversão de cotas é examinada no capítulo dedicado à pensão por morte. A Súmula 336 do STJ vai além: "A mulher que renunciou aos alimentos na separação judicial tem direito à pensão previdenciária por morte do ex-marido, comprovada a necessidade econômica superveniente".</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Quanto ao filho</w:t>
      </w:r>
      <w:r>
        <w:rPr>
          <w:rFonts w:ascii="EB Garamond" w:hAnsi="EB Garamond" w:cs="EB Garamond"/>
          <w:b w:val="0"/>
          <w:i w:val="0"/>
          <w:color w:val="201B16"/>
          <w:sz w:val="21"/>
          <w:lang w:val="pt-BR" w:bidi="ar-SA"/>
          <w:kern w:val="16"/>
          <w14:ligatures w14:val="standardContextual"/>
        </w:rPr>
        <w:t>, é dependente até os 21 anos de idade, independentemente da frequência a curso universitário. A Súmula 37 da TNU é clara: "A pensão por morte, devida ao filho até os 21 anos de idade, não se prorroga pela pendência do curso universitário". O INSS somente admite como dependente o filho inválido se a invalidez surgiu até os 21 anos de idade. Há, contudo, orientação jurisprudencial — majoritária, embora ainda sem uniformização vinculante por súmula ou tema repetitivo — no sentido de que basta a invalidez ter surgido antes do falecimento do instituidor, ainda que após os 21 anos, desde que mantida a dependência econômica. Em qualquer caso, se o dependente já recebia pensão por morte como menor e se torna inválido antes de completar 21 anos, o direito ao benefício perdura.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O enteado, o menor sob tutela e o menor sob guarda judicial</w:t>
      </w:r>
      <w:r>
        <w:rPr>
          <w:rFonts w:ascii="EB Garamond" w:hAnsi="EB Garamond" w:cs="EB Garamond"/>
          <w:b w:val="0"/>
          <w:i w:val="0"/>
          <w:color w:val="201B16"/>
          <w:sz w:val="21"/>
          <w:lang w:val="pt-BR" w:bidi="ar-SA"/>
          <w:kern w:val="16"/>
          <w14:ligatures w14:val="standardContextual"/>
        </w:rPr>
        <w:t xml:space="preserve"> são equiparados a filho pelo § 2º do art. 16, mediante declaração do segurado e comprovação da dependência econômica. A questão do menor sob guarda, contudo, gerou uma das mais longas controvérsias do direito previdenciário.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Lei n. 9.528, de 10 de dezembro de 1997, excluiu o menor sob guarda do rol de dependentes. Essa exclusão foi sistematicamente contestada, por colidir com o princípio da proteção integral (art. 227 da CF) e com o art. 33, § 3º, do ECA, que confere à guarda a condição de dependente "para todos os fins e efeitos de direito, inclusive previdenciários". O STJ, no Tema Repetitivo 732 (REsp 1.411.258/RS, rel. Min. Napoleão Nunes Maia Filho, j. 11/10/2017), decidiu favoravelmente à inclusão. O STF, em sentido convergente — mas em controle concentrado e com fundamento próprio —, julgou as ADIs 4.878 e 5.083 (rel. P/ acórdão Min. Edson Fachin, j. 07/06/2021), por 6 a 5, conferindo interpretação conforme a Constituição ao § 2º do art. 16, condicionada à comprovação de dependência econômica. Não se trata, tecnicamente, de confirmação do repetitivo do STJ: as ADIs têm objeto e fundamento autônomos, embora o resultado tenha caminhado no mesmo sentido da tese firmada no Tema 732.</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questão do menor sob guarda ganhou novo capítulo com a EC 103/2019, cujo art. 23, § 6º, dispõe que "equiparam-se a filho, para fins de recebimento da pensão por morte, exclusivamente o enteado e o menor tutelado, desde que comprovada a dependência econômica". É preciso situar topograficamente o dispositivo: o art. 23 da EC 103/2019 integra o conjunto de regras de transição da pensão por morte, e seu § 6º não alterou a literalidade do art. 16 da Lei 8.213/91 (tampouco a do regime estatutário), limitando-se a fixar, no plano constitucional, quem se equipara a filho para fins de pensão. Daí que a repercussão da norma sobre o rol de dependentes do RGPS não decorre de revogação direta do art. 16, mas de interpretação e integração: discute-se se o comando do § 6º, por sua dicção "exclusivamente", projeta-se sobre o RGPS a ponto de afastar o menor sob guarda, ou se a regra constitucional disciplina apenas o regime dos servidores e dos benefícios reformados, remanescendo o art. 16, § 2º, da Lei 8.213/91 como fonte normativa própria do regime geral. O alcance da norma constitucional sobre o RGPS é, portanto, controvertido, e a resposta condiciona toda a discussão que segue. A norma, na leitura restritiva, excluiria a criança e o adolescente sob guarda do rol de dependentes para pensão por morte. O STF reconheceu repercussão geral no Tema 1.271 (RE 1.442.021, rel. Min. André Mendonça) e em janeiro de 2025 determinou a suspensão nacional de todos os processos. Paralelamente, a Lei n. 15.108, de 13 de março de 2025, reincorporou legislativamente o menor sob guarda ao rol de dependentes do art. 16, § 2º. Subsiste a tensão entre a norma constitucional (EC 103/2019) e a norma legal (Lei 15.108/2025), cuja resolução depende do STF. Note-se que a EC 103/2019 não menciona o auxílio-reclusão, pelo que se pode discutir se o menor sob guarda permanece como dependente para esse benefício e para os serviços previdenciários.</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2.4.2 Classe II — pais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 pais do segurado constituem a segunda classe de dependentes. Para habilitação, devem comprovar a dependência econômica em relação ao segurado, pois a presunção legal não se aplica a essa classe. A comprovação pode ser feita por qualquer meio de prova admitido em direito.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padrão probatório exigido — o standard, na terminologia processual — é o da dependência econômica relevante, e não necessariamente exclusiva: a jurisprudência admite a dependência econômica parcial, isto é, aquela em que o auxílio financeiro do segurado, embora não seja a única fonte de renda dos pais, representa parcela significativa de seu sustento. O ônus da prova recai sobre os pais requerentes, observado o regime de início de prova material contemporânea complementada por prova testemunhal. Dois pontos merecem destaque na qualificação desse padrão. A existência de outros filhos com capacidade econômica não exclui, por si só, a dependência dos pais em relação ao segurado falecido, devendo cada caso ser avaliado conforme as circunstâncias concretas; tampouco se contenta a jurisprudência com auxílios esporádicos ou pontuais, exigindo que a colaboração do segurado se revele habitual e estável. O roteiro probatório operacional correspondente — com a documentação típica das classes II e III — é detalhado no boxe prático da seção 2.4.4.</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segunda classe de dependentes apresenta questão relevante quanto ao padrasto e à madrasta: a legislação previdenciária não os inclui expressamente no conceito de "pais". Há, contudo, corrente doutrinária e decisões isoladas que admitem a equiparação, com fundamento na parentalidade socioafetiva reconhecida pelo direito de família (arts. 1.593 e 1.596 do Código Civil, conforme interpretação do STF no RE 898.060, Tema 622). A questão permanece controvertida e sem uniformização vinculante.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STJ, em precedente isolado de Turma, ampliou o conceito de genitores para fins previdenciários. No REsp 1.574.859 — julgado que, registre-se, não tem caráter repetitivo nem foi convertido em enunciado sumular —, a Corte reconheceu aos avós de segurado falecido o direito ao recebimento de pensão por morte em razão de terem sido os responsáveis pela criação do neto, ocupando verdadeiro papel de genitores. Em síntese, o STJ equiparou os avós a dependentes da segunda classe quando comprovado que exerceram a função parental. A decisão, por seu caráter casuístico, não firma tese vinculante, mas oferece subsídio relevante para a interpretação extensiva do conceito de "pais" na legislação previdenciária, com fundamento no princípio da proteção e na realidade sociológica das famílias brasileiras.</w:t>
      </w:r>
    </w:p>
    <w:p>
      <w:pPr>
        <w:spacing w:before="260" w:after="80" w:line="240" w:lineRule="auto"/>
        <w:jc w:val="left"/>
      </w:pPr>
      <w:r>
        <w:rPr>
          <w:rFonts w:ascii="EB Garamond" w:hAnsi="EB Garamond" w:cs="EB Garamond"/>
          <w:b/>
          <w:i w:val="0"/>
          <w:color w:val="3A3128"/>
          <w:sz w:val="25"/>
          <w:lang w:val="pt-BR" w:bidi="ar-SA"/>
          <w:kern w:val="16"/>
          <w14:ligatures w14:val="standardContextual"/>
        </w:rPr>
        <w:t>2.4.3 Classe III — irmãos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terceira classe compreende o irmão não emancipado, de qualquer condição, menor de 21 anos ou inválido ou que tenha deficiência intelectual ou mental ou deficiência grave. A dependência econômica, assim como para os pais, deve ser comprovada. A redação atual, dada pela Lei n. 13.146, de 6 de julho de 2015, harmonizou a terminologia com o Estatuto da Pessoa com Deficiência, substituindo a expressão "deficiente mental" por "deficiência intelectual ou mental ou deficiência grave".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No cotidiano das varas previdenciárias, demandas envolvendo dependentes de terceira classe são estatisticamente raras, pois a existência de qualquer dependente de classe anterior exclui automaticamente os irmãos. A habilitação ocorre, tipicamente, quando o segurado falecido era solteiro, sem filhos, e cujos pais já eram falecidos ou não comprovaram dependência econômica. A prova da dependência econômica do irmão segue os mesmos parâmetros das demais classes não presumidas: início de prova material contemporânea ao óbito, complementada por prova testemunhal. O irmão maior de 21 anos somente será dependente se inválido ou se portador de deficiência intelectual, mental ou grave, exigindo-se, além da comprovação da dependência econômica, a demonstração da invalidez ou deficiência por meio de laudo pericial. A invalidez deve ser preexistente ao óbito do segurado instituidor — não se admite invalidez superveniente como fundamento para habilitação na terceira classe.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Entendemos que a organização dos dependentes em classes hierarquizadas, embora promova segurança jurídica e previsibilidade, pode gerar situações de desamparo quando os pais ou irmãos do segurado mantêm efetiva dependência econômica, mas são excluídos pela existência de cônjuge ou filho na classe I. A rigidez do sistema de classes é atenuada, na atuação forense, pela possibilidade de rateio entre dependentes da mesma classe e pela autonomia das prestações. O rateio opera de forma igualitária: havendo mais de um dependente na mesma classe, a prestação será dividida em partes iguais entre todos, revertendo-se em favor dos demais a parte daquele cujo direito cessar (art. 77 da Lei 8.213/91).</w:t>
      </w:r>
    </w:p>
    <w:p>
      <w:pPr>
        <w:spacing w:before="260" w:after="80" w:line="240" w:lineRule="auto"/>
        <w:jc w:val="left"/>
      </w:pPr>
      <w:r>
        <w:rPr>
          <w:rFonts w:ascii="EB Garamond" w:hAnsi="EB Garamond" w:cs="EB Garamond"/>
          <w:b/>
          <w:i w:val="0"/>
          <w:color w:val="3A3128"/>
          <w:sz w:val="25"/>
          <w:lang w:val="pt-BR" w:bidi="ar-SA"/>
          <w:kern w:val="16"/>
          <w14:ligatures w14:val="standardContextual"/>
        </w:rPr>
        <w:t>2.4.4 Perda da qualidade de dependente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condição de dependente não é permanente. O art. 17 do Decreto 3.048/99 enumera as hipóteses de perda da qualidade de dependente, que variam conforme a espécie. Para o cônjuge, a perda ocorre pelo divórcio ou separação judicial sem prestação de alimentos, pela anulação do casamento ou pelo óbito. Para o companheiro, pela cessação da união estável, desde que não receba alimentos. Para o filho e equiparados, pela emancipação ou pelo implemento da idade de 21 anos, salvo se inválido ou com deficiência. Para os pais e irmãos, pela cessação da dependência econômica. No caso do filho ou do irmão maior de 21 anos cuja condição de dependente decorra exclusivamente da invalidez ou da deficiência, a cessação da condição que fundamenta a dependência — apurada em perícia, hipótese frequente no JEF — também acarreta a perda da qualidade de dependente, ressalvada a reabilitação ou o agravamento ulterior que restabeleça a incapacidade enquanto subsistir o vínculo previdenciário.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pessoa designada como dependente não existe mais no sistema previdenciário: a Súmula 4 da TNU estabelece que "não há direito adquirido à condição de dependente de pessoa designada, quando o falecimento do segurado se deu após o advento da Lei 9.032/95". A redação anterior da Lei 8.213/91 permitia ao segurado designar dependentes, o que foi suprimido pela Lei 9.032/95.</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Na habilitação de dependentes de classes II e III, o advogado deve reunir documentação robusta que demonstre a dependência econômica efetiva. Comprovantes de transferências bancárias regulares do segurado para o dependente, declarações de imposto de renda que incluam o dependente, recibos de pagamento de despesas (aluguel, plano de saúde, mensalidade escolar), comprovante de residência em comum e declarações de vizinhos e conhecidos constituem acervo probatório relevante. O início de prova material, complementado por prova testemunhal, é o standard exigido. Para a ex-cônjuge que renunciou aos alimentos, a Súmula 336 do STJ admite a pensão por morte mediante comprovação de necessidade econômica superveniente ao divórcio. Na habilitação de companheiro homoafetivo, aplicam-se as mesmas regras da união estável heteroafetiva, por força da ADI 4.277/STF e da IN 128/2022 do INSS, sendo exigida a prova material contemporânea nos termos da Lei 13.846/2019 para óbitos posteriores à MP 871/2019.</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Do ponto de vista do julgador, a valoração dessa prova reclama atenção a alguns pontos centrais. Cabe ao magistrado verificar a contemporaneidade do início de prova material ao óbito ou à reclusão (em regra, dentro dos 24 meses anteriores ao evento, na forma dos §§ 5º e 6º do art. 16), examinar se a dependência econômica é habitual e relevante — e não meramente esporádica —, e ponderar que a existência de outros filhos com capacidade econômica não afasta, por si só, a dependência dos pais. A prova exclusivamente testemunhal não basta para a habilitação das classes II e III, salvo a hipótese de força maior ou caso fortuito; na fundamentação da sentença, recomenda-se explicitar qual documento serviu de início de prova material e de que modo a prova oral o corroborou, sobretudo nos casos de renúncia a alimentos (Súmula 336 do STJ), em que se exige a demonstração da necessidade econômica superveniente.</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2.5 Manutenção e perda da qualidade de segurado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15 da Lei 8.213/91 estabelece o período de graça — lapso temporal em que o segurado mantém essa qualidade e todos os direitos perante a Previdência Social, ainda que não esteja contribuindo. O instituto protege o segurado e seus dependentes contra a perda abrupta de cobertura previdenciária.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período básico de manutenção é de 12 meses após a cessação das contribuições, prorrogável para 24 meses (quando vertidas mais de 120 contribuições) e até 36 meses (com comprovação de desemprego involuntário). Para o segurado facultativo, o prazo é de 6 meses. As hipóteses legais completas, os mecanismos de prorrogação, o cálculo da data exata de perda da qualidade, a extensão ao contribuinte individual (TNU, Tema 239), os efeitos da EC 103/2019 sobre contribuições inferiores ao mínimo e as consequências jurídicas da perda (art. 102 da Lei 8.213/91) são examinados em profundidade no Capítulo 3 (seções 3.5 a 3.8). Para consulta autônoma deste capítulo, sintetizamos os prazos no quadro abaixo.</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Situação do segurado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Prazo-base</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Condição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Segurado que se afasta da atividade ou cessa contribuições (art. 15, II)</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12 meses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Regra geral</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Acréscimo por mais de 120 contribuições sem perda da qualidade (art. 15, § 1º)</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+ 12 meses (total de 24)</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Comprovação de mais de 120 contribuições mensais</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Acréscimo por desemprego involuntário (art. 15, § 2º)</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+ 12 meses (total de até 36)</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Situação de desemprego involuntário comprovada por qualquer meio de prova</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Segurado facultativo (art. 15, VI)</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 meses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Cessação do recolhimento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Segurado retido ou recluso (art. 15, IV)</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12 meses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Após o livramento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Segurado incorporado ao serviço militar — conscrito (art. 15, V)</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3 meses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Após o licenciamento (prazo próprio, que não afasta o eventual aproveitamento da regra geral de 12 meses do art. 15, II)</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V</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encido o período de graça, a perda da qualidade de segurado não ocorre no último dia desse lapso, mas no dia seguinte ao do vencimento do prazo de recolhimento da contribuição do contribuinte individual relativa ao mês imediatamente posterior ao término do período (art. 15, § 4º, da Lei 8.213/91). Na prática, isso desloca a perda para o dia 16 do segundo mês subsequente ao término do período de graça. A título de exemplo: o segurado que cessou as contribuições em janeiro e dispõe do período-base de 12 meses mantém a qualidade até janeiro do ano seguinte; o prazo de graça encerra-se ao fim desse mês, mas a perda só se consuma em 16 de março, dia seguinte ao vencimento do recolhimento (15 de março) relativo à competência de fevereiro. Esse detalhe de contagem é frequentemente decisivo no JEF para aferir a qualidade de segurado na data do evento, e o cálculo é detalhado no Capítulo 3 (seção 3.6).</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prova do desemprego involuntário para o terceiro acréscimo de 12 meses admite qualquer meio de prova. A Súmula 27 da TNU já assentava que "a ausência de registro em órgão do Ministério do Trabalho não impede a comprovação do desemprego por outros meios admitidos em direito". O Superior Tribunal de Justiça, no Tema Repetitivo 1360, consolidou e expandiu esse entendimento ao fixar que, para a prorrogação do período de graça (art. 15, § 2º), o registro perante o órgão competente "pode ser suprido por outros meios de prova admitidos em Direito, tanto na via administrativa quanto na judicial, desde que demonstrada a situação de desemprego involuntário, não sendo suficiente para esse fim a mera ausência de anotações laborais na CTPS ou no CNIS". Exige-se, portanto, prova positiva da situação de desemprego, e não apenas a inexistência de vínculos formais. O tema é aprofundado no Capítulo 3, seção 3.7.</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2.6 Exclusão do servidor público e regras especiais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12 da Lei 8.213/91 exclui do RGPS o servidor civil ocupante de cargo efetivo e o militar da União, dos Estados, do Distrito Federal e dos Municípios, bem como os das respectivas autarquias e fundações, desde que amparados por regime próprio de previdência social. O Decreto 3.048/99, em seu art. 10, § 3º, define regime próprio como aquele que assegura pelo menos as aposentadorias e pensão por morte previstas no art. 40 da Constituição Federal. A exclusão decorre da coexistência de sistemas previdenciários paralelos expressamente autorizada pela Constituição (art. 40 para os servidores, art. 201 para os trabalhadores da iniciativa privada).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Se o ente público com o qual o servidor mantém vínculo funcional não ostentar regime próprio, situação comum em municípios de menor porte, o servidor público titular de cargo efetivo será filiado ao RGPS como segurado empregado. O empregado público contratado pelo regime celetista é, em qualquer caso, vinculado ao RGPS.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parágrafo único do art. 12 ressalva a hipótese de exercício concomitante: o servidor ou militar que exerce, simultaneamente, atividade abrangida pelo RGPS é segurado obrigatório em relação a essa atividade. Assim, o juiz federal que leciona em universidade particular é segurado obrigatório do RGPS na qualidade de contribuinte individual em relação à atividade docente, mantendo vinculação ao RPPS na condição de magistrado.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art. 201, § 5º, da CF/88, com a redação dada pela EC 103/2019, veda a filiação ao RGPS, na qualidade de segurado facultativo, de pessoa participante de regime próprio. Essa vedação impede que o servidor público vinculado a RPPS opte por contribuir voluntariamente ao RGPS, salvo quando exerce efetivamente atividade remunerada abrangida pelo regime geral. A regra visa impedir que servidores públicos acumulem benefícios dos dois regimes sem a correspondente atividade contributiva no RGPS.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Os advogados nomeados pelo Presidente da República para compor o TSE ou os TREs (art. 119, II, e art. 120, § 1º, III, da CF) mantêm o mesmo enquadramento no RGPS de antes da investidura no cargo, nos termos do art. 9º, § 11, do Decreto 3.048/99. Trata-se de exceção à regra geral de enquadramento como contribuinte individual aplicável aos demais membros temporários desses tribunais.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contagem recíproca de tempo de contribuição entre RGPS e RPPS, prevista no art. 201, § 9º-A, da Constituição Federal (com a redação da EC 103/2019) e regulamentada pelos arts. 94 a 99 da Lei 8.213/91, permite ao segurado que tenha contribuído para ambos os regimes aproveitar, em um deles, o tempo de contribuição vertido no outro, para fins de aposentadoria. A contagem recíproca exige a emissão de Certidão de Tempo de Contribuição (CTC) pelo regime de origem, nos termos do art. 130 do Decreto 3.048/99, com a redação dada pelo Decreto 10.410/2020. A CTC deve conter a indicação precisa dos períodos de contribuição, das remunerações e das eventuais restrições. A EC 103/2019, em seu art. 25, § 1º, vedou a emissão de CTC sem a comprovação de contribuição efetiva, encerrando a possibilidade de contagem de tempo ficto — prática que gerava distorções, especialmente no cômputo de tempo de serviço militar e de licenças não remuneradas. Na prática dos JEFs, a contagem recíproca é frequentemente invocada por segurados que transitaram entre o serviço público e a iniciativa privada ao longo de suas carreiras, sendo indispensável verificar a regularidade da CTC e a inexistência de sobreposição de vínculos.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Quanto aos militares, a regra geral é a exclusão do RGPS, pois são amparados por regime próprio previsto nos arts. 42 e 142 da Constituição Federal. Os militares das Forças Armadas (Exército, Marinha e Aeronáutica) são regidos pela Lei n. 6.880, de 9 de dezembro de 1980 (Estatuto dos Militares), enquanto os militares dos Estados, do Distrito Federal e dos Territórios são regidos pelas legislações estaduais respectivas. O prestador de serviço militar obrigatório (conscrito), durante o período de incorporação, é segurado obrigatório do RGPS na condição de contribuinte individual (art. 9º, § 1º, XII, do Decreto 3.048/99, com a redação do Decreto 10.410/2020), e após o licenciamento mantém a qualidade de segurado por 3 meses (art. 15, V, da Lei 8.213/91), prazo fixo, sem cláusula de variação. Registre-se, contudo, que esse prazo específico do art. 15, V, não exclui a incidência da regra geral do art. 15, II (12 meses), quando o segurado já reunisse, antes da incorporação, contribuições aptas a lhe assegurar o período de graça ordinário — hipótese em que prevalece o prazo que for mais favorável à manutenção da qualidade de segurado.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Conclusão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 cinco categorias de segurados obrigatórios abrangem virtualmente todas as formas de trabalho remunerado; o segurado facultativo estende a proteção àqueles que não exercem atividade econômica; os dependentes, organizados em três classes hierarquizadas, completam o quadro protetivo. A matéria, contudo, não é estática. As reformas da EC 20/1998 à EC 103/2019, passando pela LC 150/2015, pela Lei 13.846/2019 e pela Lei 15.108/2025, vêm redesenhando os contornos do sistema. O Decreto 10.410/2020 refinou conceitos e procedimentos com impacto direto na prática administrativa e na instrução processual.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atuação nos JEFs, três aspectos exigem atenção permanente: o enquadramento correto do segurado, que determina filiação, contribuição e carência; a comprovação da condição de dependente, especialmente após a exigência de prova material contemporânea introduzida pela MP 871/2019 (convertida na Lei 13.846/2019); e a verificação da qualidade de segurado na data do evento gerador, tema aprofundado no capítulo seguinte.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Questões como o reconhecimento do menor sob guarda como dependente (tensão entre a EC 103/2019 e a Lei 15.108/2025), a extensão do período de graça ao contribuinte individual e a prova da atividade do segurado especial permanecem em aberto e exigem do magistrado e do advogado previdenciarista atualização constante.</w:t>
      </w:r>
    </w:p>
    <w:p>
      <w:pPr>
        <w:sectPr>
          <w:headerReference w:type="default" r:id="rId63"/>
          <w:headerReference w:type="even" r:id="rId64"/>
          <w:footerReference w:type="default" r:id="rId65"/>
          <w:footerReference w:type="even" r:id="rId66"/>
          <w:headerReference w:type="first" r:id="rId67"/>
          <w:footerReference w:type="first" r:id="rId68"/>
          <w:pgSz w:w="8391" w:h="11906"/>
          <w:pgMar w:top="935" w:right="879" w:bottom="964" w:left="1162" w:header="454" w:footer="425" w:gutter="0" w:mirrorMargins="1"/>
          <w:cols w:space="720"/>
          <w:titlePg/>
          <w:docGrid w:linePitch="360"/>
        </w:sectPr>
      </w:pPr>
    </w:p>
    <w:p>
      <w:pPr>
        <w:spacing w:before="240" w:after="80" w:line="240" w:lineRule="auto"/>
        <w:jc w:val="center"/>
        <w:keepNext/>
      </w:pPr>
      <w:r>
        <w:rPr>
          <w:rFonts w:ascii="Noto Sans" w:hAnsi="Noto Sans" w:cs="Noto Sans"/>
          <w:b/>
          <w:i w:val="0"/>
          <w:caps/>
          <w:color w:val="8A6A2A"/>
          <w:sz w:val="19"/>
          <w:lang w:val="pt-BR" w:bidi="ar-SA"/>
          <w:kern w:val="16"/>
          <w14:ligatures w14:val="standardContextual"/>
        </w:rPr>
        <w:t>CAPÍTULO 3</w:t>
      </w:r>
    </w:p>
    <w:p>
      <w:pPr>
        <w:pStyle w:val="Heading2"/>
        <w:spacing w:before="0" w:after="160" w:line="240" w:lineRule="auto"/>
        <w:jc w:val="center"/>
        <w:keepNext/>
      </w:pPr>
      <w:r>
        <w:rPr>
          <w:rFonts w:ascii="EB Garamond" w:hAnsi="EB Garamond" w:cs="EB Garamond"/>
          <w:b/>
          <w:i w:val="0"/>
          <w:caps/>
          <w:color w:val="2F2923"/>
          <w:sz w:val="40"/>
          <w:lang w:val="pt-BR" w:bidi="ar-SA"/>
          <w:kern w:val="16"/>
          <w14:ligatures w14:val="standardContextual"/>
        </w:rPr>
        <w:t>Período de Carência e Manutenção da Qualidade de Segurado</w:t>
      </w:r>
    </w:p>
    <w:p>
      <w:pPr>
        <w:spacing w:before="0" w:after="240" w:line="240" w:lineRule="auto"/>
        <w:jc w:val="center"/>
      </w:pPr>
      <w:r>
        <w:rPr>
          <w:rFonts w:ascii="EB Garamond" w:hAnsi="EB Garamond" w:cs="EB Garamond"/>
          <w:b w:val="0"/>
          <w:i w:val="0"/>
          <w:color w:val="B78B37"/>
          <w:sz w:val="18"/>
          <w:lang w:val="pt-BR" w:bidi="ar-SA"/>
          <w:kern w:val="16"/>
          <w14:ligatures w14:val="standardContextual"/>
        </w:rPr>
        <w:t>━━━━  ◆  ━━━━</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acesso aos benefícios previdenciários no Regime Geral de Previdência Social não se esgota na condição de segurado. Além da filiação e da ocorrência do evento coberto (incapacidade, idade avançada, morte, maternidade), a legislação exige, como regra, o cumprimento de um período mínimo de contribuições prévias, denominado carência. Paralelamente, a manutenção da qualidade de segurado constitui pressuposto de proteção que se prolonga, em determinadas hipóteses, mesmo após a cessação das contribuições, por meio do chamado período de graça.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Carência e qualidade de segurado são conceitos autônomos, mas funcionalmente conectados. A carência consiste no número mínimo de contribuições exigido para o acesso ao benefício. A qualidade de segurado define o arco temporal dentro do qual o trabalhador permanece sob a proteção previdenciária. A perda de qualquer desses requisitos impede, em regra, a concessão do benefício pleiteado. Na prática dos Juizados Especiais Federais, carência e qualidade de segurado são questões preliminares em quase toda ação previdenciária.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importância prática desses institutos revela-se na constatação de que carência e qualidade de segurado constituem, ao lado da ocorrência do fato gerador, os três pressupostos genéricos de concessão de benefícios previdenciários. A ausência de qualquer um deles, salvo nos casos expressamente ressalvados pela legislação, acarreta o indeferimento administrativo ou a improcedência do pedido judicial. A análise desses pressupostos antecede o exame do mérito propriamente dito e, não raro, constitui o fundamento exclusivo da decisão. Não por acaso, Porto (2024) os denomina "parte geral do plano de benefícios": a compreensão articulada dos institutos é pré-requisito indispensável para o estudo das prestações em espécie, daí a conveniência de isolá-los para análise autônoma antes de adentrar os contornos específicos de cada benefício. Esse enfoque sistemático será adotado no presente capítulo, que busca esgotar os aspectos mais relevantes da carência e da qualidade de segurado para a prática previdenciária nos JEFs.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3.1 Conceito e natureza jurídica da carência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24 da Lei n. 8.213, de 24 de julho de 1991, define o período de carência como "o número mínimo de contribuições mensais indispensáveis para que o beneficiário faça jus ao benefício, consideradas a partir do transcurso do primeiro dia dos meses de suas competências". A doutrina majoritária classifica a carência como requisito objetivo de concessão do benefício previdenciário, ao lado da qualidade de segurado e da ocorrência do fato gerador. Ibrahim situa a carência na hipótese de incidência da norma previdenciária, conectando-a à função atuarial do sistema: assegurar que o acesso aos benefícios seja restrito a segurados com vínculo contributivo efetivo e contínuo.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Porto (2024) sintetiza o conceito com objetividade: a carência consiste em um número mínimo de contribuições mensais (ou de atividade laborativa, no caso do segurado especial) exigido para a concessão de certos benefícios. Assim, há benefícios que não exigem carência e outros que a exigem, sendo variável o número de contribuições mensais conforme a espécie. O conceito é simples de enunciar, mas a sua aplicação concreta depende da correta identificação da categoria do segurado, do regime temporal aplicável e da natureza do evento gerador — e é justamente nesse ponto que, em nossa experiência judicante, residem as maiores dificuldades.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natureza jurídica da carência é objeto de debate doutrinário. A corrente majoritária a classifica como condição objetiva de acesso ao benefício, de natureza diversa tanto da qualidade de segurado (que é condição subjetiva de proteção) quanto do fato gerador (que é o evento coberto pelo seguro). Trata-se, em essência, de requisito atuarial que reflete o princípio do equilíbrio financeiro e atuarial consagrado no art. 201, caput, da Constituição Federal: exige-se um período mínimo de contribuição para que o beneficiário demonstre participação efetiva no custeio do sistema antes de usufruir de suas prestações. Essa exigência distingue a previdência social da assistência social, na qual o acesso independe de contribuição prévia.</w:t>
      </w:r>
    </w:p>
    <w:p>
      <w:pPr>
        <w:spacing w:before="260" w:after="80" w:line="240" w:lineRule="auto"/>
        <w:jc w:val="left"/>
      </w:pPr>
      <w:r>
        <w:rPr>
          <w:rFonts w:ascii="EB Garamond" w:hAnsi="EB Garamond" w:cs="EB Garamond"/>
          <w:b/>
          <w:i w:val="0"/>
          <w:color w:val="3A3128"/>
          <w:sz w:val="25"/>
          <w:lang w:val="pt-BR" w:bidi="ar-SA"/>
          <w:kern w:val="16"/>
          <w14:ligatures w14:val="standardContextual"/>
        </w:rPr>
        <w:t>3.1.1 Carência versus tempo de contribuição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P</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oucos equívocos chegam com tanta frequência aos JEFs quanto a confusão entre carência e tempo de contribuição, sobre a qual Kertzman (2025) expressamente adverte. A carência é contada em número de contribuições mensais válidas, ao passo que o tempo de contribuição compreende o cômputo total de períodos laborais em dias, meses e anos, podendo incluir períodos indenizados, ficcionais e retroativos. Contribuições recolhidas em atraso, por exemplo, são computadas para tempo de contribuição, mas não necessariamente para carência (art. 27, II, da Lei 8.213/91). A Turma Nacional de Uniformização consolidou essa distinção no Tema 358 (rel. Juiz Federal Giovani Bigolin, j. 16/10/2024), fixando a tese de que "tempo de contribuição e carência são institutos distintos" e que "a carência consiste em contribuições tempestivas", esclarecendo ainda que "o art. 18 da EC n. 103/2019 não dispensa o requisito da carência para concessão de aposentadoria".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distinção adquire relevância prática quando se considera que o segurado pode reunir tempo de contribuição suficiente para aposentadoria sem ter cumprido a carência correspondente, e vice-versa. Isso ocorre, por exemplo, quando o contribuinte individual recolhe contribuições em atraso para completar o tempo necessário: essas contribuições contam para tempo de contribuição, mas não para carência, exceto se recolhidas após o primeiro pagamento tempestivo e dentro do período de qualidade de segurado. A consequência é que dois segurados com idêntico tempo de contribuição podem ostentar situações radicalmente distintas quanto à carência, a depender da regularidade e da tempestividade de seus recolhimentos.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Porto (2024) oferece exemplo esclarecedor: para os benefícios programados (aposentadorias por idade, especial e por tempo de contribuição), que não exigem qualidade de segurado na data do requerimento por força do art. 3º da Lei n. 10.666/2003, basta reunir ao longo de toda a vida laborativa os 180 meses de contribuição exigidos como carência, ainda que de forma espaçada no tempo. Já para os benefícios não programados (auxílio por incapacidade temporária, aposentadoria por incapacidade permanente e auxílio-reclusão), o cômputo da carência deve observar contribuições sequenciais, de modo que entre todas elas não tenha havido perda da qualidade de segurado. A perda da qualidade acarreta, salvo as exceções legais, a caducidade da carência anteriormente cumprida.</w:t>
      </w:r>
    </w:p>
    <w:p>
      <w:pPr>
        <w:spacing w:before="260" w:after="80" w:line="240" w:lineRule="auto"/>
        <w:jc w:val="left"/>
      </w:pPr>
      <w:r>
        <w:rPr>
          <w:rFonts w:ascii="EB Garamond" w:hAnsi="EB Garamond" w:cs="EB Garamond"/>
          <w:b/>
          <w:i w:val="0"/>
          <w:color w:val="3A3128"/>
          <w:sz w:val="25"/>
          <w:lang w:val="pt-BR" w:bidi="ar-SA"/>
          <w:kern w:val="16"/>
          <w14:ligatures w14:val="standardContextual"/>
        </w:rPr>
        <w:t>3.1.2 Função atuarial e dimensão constitucional da carência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carência desempenha função atuarial no sistema previdenciário ao evitar que segurados recém-ingressantes acessem imediatamente benefícios cujo custeio pressupõe contribuição mínima pretérita. Sem esse filtro, o sistema enfrentaria desequilíbrio financeiro decorrente da concessão de prestações a segurados que contribuíram por período ínfimo. A Constituição Federal, ao consagrar o princípio do equilíbrio financeiro e atuarial (art. 201, caput), fornece o fundamento para a exigência de carência, embora não a imponha diretamente, delegando ao legislador ordinário a definição dos períodos aplicáveis.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função atuarial da carência não a coloca, porém, acima do controle de constitucionalidade. Ao apreciar as ADIs 2.110 e 2.111, que tinham por objeto a carência de 10 contribuições mensais exigida das seguradas contribuinte individual, especial e facultativa para o salário-maternidade (art. 25, III, da Lei 8.213/91), o Supremo Tribunal Federal declarou-a inconstitucional. Embora a tese tenha alcance circunscrito ao salário-maternidade, dela se extrai diretriz de projeção mais ampla: a carência, ainda que legítima em sua função atuarial, encontra limites nos princípios constitucionais que regem a seguridade social, em especial a isonomia. Os fundamentos dessa decisão são examinados em detalhe adiante (seção 3.3.5), com destaque sintético também no box de jurisprudência da seção 3.2.4.</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3.2 Prazos de carência por espécie de benefício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25 da Lei 8.213/91 estabelece os períodos de carência exigidos para cada espécie de benefício, adotando critério que reflete a natureza e a previsibilidade do evento coberto: benefícios relacionados a eventos imprevisíveis exigem carência menor, enquanto aposentadorias programadas demandam período contributivo mais extenso.</w:t>
      </w:r>
    </w:p>
    <w:p>
      <w:pPr>
        <w:spacing w:before="260" w:after="80" w:line="240" w:lineRule="auto"/>
        <w:jc w:val="left"/>
      </w:pPr>
      <w:r>
        <w:rPr>
          <w:rFonts w:ascii="EB Garamond" w:hAnsi="EB Garamond" w:cs="EB Garamond"/>
          <w:b/>
          <w:i w:val="0"/>
          <w:color w:val="3A3128"/>
          <w:sz w:val="25"/>
          <w:lang w:val="pt-BR" w:bidi="ar-SA"/>
          <w:kern w:val="16"/>
          <w14:ligatures w14:val="standardContextual"/>
        </w:rPr>
        <w:t>3.2.1 Benefícios por incapacidade: 12 contribuições mensais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auxílio por incapacidade temporária (antigo auxílio-doença) e a aposentadoria por incapacidade permanente (antiga aposentadoria por invalidez) exigem 12 contribuições mensais (art. 25, inciso I). A carência relativamente reduzida se justifica pela natureza imprevisível do evento incapacitante: não seria razoável exigir período contributivo extenso para proteção contra riscos que independem da vontade do segurado. Uma vez perdida a qualidade de segurado, o art. 27-A exige que o segurado cumpra novamente metade da carência (6 contribuições) a partir da nova filiação para readquirir o direito ao benefício por incapacidade, regra que será examinada em detalhe na seção 3.8.</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nomenclatura dos benefícios por incapacidade foi alterada após a EC 103/2019. O INSS passou a adotar as denominações "aposentadoria por incapacidade permanente" e "auxílio por incapacidade temporária", decorrentes da nova redação do art. 201, I, da Constituição. A legislação ordinária ainda não incorporou formalmente a nova nomenclatura, embora o Decreto 10.410/2020 já a tenha adotado no Regulamento da Previdência Social.</w:t>
      </w:r>
    </w:p>
    <w:p>
      <w:pPr>
        <w:spacing w:before="260" w:after="80" w:line="240" w:lineRule="auto"/>
        <w:jc w:val="left"/>
      </w:pPr>
      <w:r>
        <w:rPr>
          <w:rFonts w:ascii="EB Garamond" w:hAnsi="EB Garamond" w:cs="EB Garamond"/>
          <w:b/>
          <w:i w:val="0"/>
          <w:color w:val="3A3128"/>
          <w:sz w:val="25"/>
          <w:lang w:val="pt-BR" w:bidi="ar-SA"/>
          <w:kern w:val="16"/>
          <w14:ligatures w14:val="standardContextual"/>
        </w:rPr>
        <w:t>3.2.2 Aposentadorias programadas: 180 contribuições mensais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 aposentadorias por idade, por tempo de contribuição e especial demandam 180 contribuições mensais (art. 25, inciso II). Trata-se do período de carência mais extenso do sistema, coerente com a natureza programada desses benefícios: o segurado pode planejar antecipadamente o cumprimento dos requisitos. A exigência de 180 contribuições aplica-se também à aposentadoria programada instituída pela EC 103/2019 — que substituiu as antigas aposentadorias por idade e por tempo de contribuição para os segurados ingressos no RGPS após 13 de novembro de 2019 —, sem que isso represente inovação infralegal: a base normativa do requisito permanece sendo o art. 25, II, da Lei 8.213/91, tendo o Decreto 10.410/2020 apenas explicitado, no Regulamento, a aplicação dessa carência ao novo desenho da aposentadoria programada.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tabela de transição prevista no art. 142 da Lei 8.213/91 ainda pode ser relevante para situações pretéritas. Esse dispositivo estabelecia carência progressiva para segurados inscritos no RGPS até 24 de julho de 1991 (data de publicação da Lei 8.213/91), partindo de 60 contribuições mensais em 1991 e alcançando 180 contribuições a partir de 2011. A tabela foi integralmente cumprida e deixou de ter aplicação prática para novos requerimentos, mas permanece relevante para análise de direito adquirido em ações envolvendo segurados que preencheram requisitos antes de 2011.</w:t>
      </w:r>
    </w:p>
    <w:p>
      <w:pPr>
        <w:spacing w:before="260" w:after="80" w:line="240" w:lineRule="auto"/>
        <w:jc w:val="left"/>
      </w:pPr>
      <w:r>
        <w:rPr>
          <w:rFonts w:ascii="EB Garamond" w:hAnsi="EB Garamond" w:cs="EB Garamond"/>
          <w:b/>
          <w:i w:val="0"/>
          <w:color w:val="3A3128"/>
          <w:sz w:val="25"/>
          <w:lang w:val="pt-BR" w:bidi="ar-SA"/>
          <w:kern w:val="16"/>
          <w14:ligatures w14:val="standardContextual"/>
        </w:rPr>
        <w:t>3.2.3 Auxílio-reclusão e salário-maternidade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salário-maternidade das seguradas contribuinte individual, especial e facultativa exigia 10 contribuições mensais (art. 25, inciso III) — exigência hoje superada, pois o dispositivo foi declarado inconstitucional pelo STF nas ADIs 2.110 e 2.111, de modo que a prestação não está mais sujeita a carência para nenhuma categoria de segurada (v. Seção 3.3.5). O auxílio-reclusão, por sua vez, passou a exigir 24 contribuições mensais (art. 25, inciso IV), exigência introduzida pela Medida Provisória n. 871/2019, a partir de 18 de janeiro de 2019, e posteriormente confirmada pela Lei n. 13.846, de 18 de junho de 2019.</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alteração promovida pela Lei 13.846/2019 em relação ao auxílio-reclusão é significativa. Até a vigência da Medida Provisória n. 871/2019 (18/01/2019), o auxílio-reclusão dispensava carência, figurando no rol do art. 26, inciso I, da Lei 8.213/91. A partir dessa data, a prestação passou a exigir 24 contribuições mensais (art. 25, IV), a mais elevada carência entre os benefícios que não são aposentadoria — circunstância que Porto (2024) também sublinha ao registrar a retirada do benefício do rol do art. 26, I. A modificação, cumulada à exigência de baixa renda que a EC 103/2019 posteriormente constitucionalizou, restringiu substancialmente o acesso de dependentes de segurados recolhidos à prisão. Daí a importância prática do regime temporal: requerimentos cujo fato gerador (recolhimento à prisão) seja anterior a 18 de janeiro de 2019 seguem o regime antigo, sem carência, enquanto os posteriores submetem-se às 24 contribuições.</w:t>
      </w:r>
    </w:p>
    <w:p>
      <w:pPr>
        <w:spacing w:before="260" w:after="80" w:line="240" w:lineRule="auto"/>
        <w:jc w:val="left"/>
      </w:pPr>
      <w:r>
        <w:rPr>
          <w:rFonts w:ascii="EB Garamond" w:hAnsi="EB Garamond" w:cs="EB Garamond"/>
          <w:b/>
          <w:i w:val="0"/>
          <w:color w:val="3A3128"/>
          <w:sz w:val="25"/>
          <w:lang w:val="pt-BR" w:bidi="ar-SA"/>
          <w:kern w:val="16"/>
          <w14:ligatures w14:val="standardContextual"/>
        </w:rPr>
        <w:t>3.2.4 Impactos da EC 103/2019 nos prazos de carência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EC 103/2019, embora tenha promovido profunda reforma no sistema previdenciário, não alterou diretamente os períodos de carência previstos na Lei 8.213/91. A emenda, contudo, introduziu a exigência de tempo mínimo de contribuição de 20 anos para homens e 15 anos para mulheres nas novas regras de aposentadoria (art. 201, § 7º, I, da Constituição), o que representa, na prática, requisito superior à carência legal de 180 meses para os segurados do sexo masculino que ingressarem no RGPS após a reforma.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Santos e Calejon (2025) A EC 103/2019, ao dar nova redação ao art. 201, § 7º, I, da Constituição, fixou tempo mínimo de contribuição de 15 anos para a mulher e 20 anos para o homem na aposentadoria programada, requisito detalhado nos arts. 15 e 18 da própria emenda. Na atuação forense, opera-se verdadeira equiparação entre carência e tempo mínimo de contribuição, superando a distinção que anteriormente existia entre os dois institutos para as aposentadorias programadas. A PEC 133/2019, conhecida como PEC paralela, propôs a redução do tempo mínimo do homem para 15 anos, mas até o presente momento não foi aprovada.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No julgamento conjunto das ADIs 2.110 e 2.111, o Supremo Tribunal Federal declarou inconstitucional a exigência de carência de 10 contribuições mensais prevista no inciso III do art. 25 da Lei 8.213/91 para o salário-maternidade das seguradas contribuinte individual, especial e facultativa, com efeitos retroativos à data de publicação da Lei n. 9.876/1999 (29/11/1999), que havia inserido o inciso. O exame dos fundamentos dessa decisão — em especial a violação à isonomia — e de seus desdobramentos práticos é desenvolvido na seção 3.3.5, à qual remetemos.</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3.3 Dispensa de carência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26 da Lei 8.213/91 enumera as prestações cuja concessão independe de carência. A norma contempla duas categorias de hipóteses: benefícios intrinsecamente dispensados (pensão por morte, salário-família, auxílio-acidente, serviço social e reabilitação profissional) e benefícios condicionalmente dispensados, nos quais a isenção depende da natureza do evento causador. A compreensão detalhada dessas hipóteses é essencial para a prática nos JEFs, pois a dispensa de carência frequentemente constitui o fundamento central do pedido inicial em ações previdenciárias.</w:t>
      </w:r>
    </w:p>
    <w:p>
      <w:pPr>
        <w:spacing w:before="260" w:after="80" w:line="240" w:lineRule="auto"/>
        <w:jc w:val="left"/>
      </w:pPr>
      <w:r>
        <w:rPr>
          <w:rFonts w:ascii="EB Garamond" w:hAnsi="EB Garamond" w:cs="EB Garamond"/>
          <w:b/>
          <w:i w:val="0"/>
          <w:color w:val="3A3128"/>
          <w:sz w:val="25"/>
          <w:lang w:val="pt-BR" w:bidi="ar-SA"/>
          <w:kern w:val="16"/>
          <w14:ligatures w14:val="standardContextual"/>
        </w:rPr>
        <w:t>3.3.1 Benefícios intrinsecamente dispensados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primeiro grupo de benefícios dispensados de carência abrange aqueles cuja natureza é incompatível com a exigência de período contributivo prévio. A pensão por morte, o salário-família e o auxílio-acidente independem de carência por expressa disposição do art. 26, I, da Lei 8.213/91. O serviço social e a reabilitação profissional, que são serviços (e não benefícios em sentido estrito), também figuram no rol de prestações dispensadas (art. 26, V).</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Porto (2024) Essas hipóteses possuem natureza distinta dessas hipóteses: a pensão por morte, o salário-família e o auxílio-acidente são benefícios em espécie, destinados a cobrir eventos cuja ocorrência independe de qualquer previsibilidade; já o serviço social e a reabilitação profissional são serviços que integram o plano de prestações do RGPS e cuja finalidade seria frustrada pela imposição de carência.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segurado especial possui regra própria: a carência é substituída pela exigência de comprovação do exercício de atividade rural pelo período equivalente ao que se exige como carência dos demais segurados (art. 39, I, da Lei 8.213/91). Porto (2024) observa que, embora no linguajar forense seja comum tratar esse período de atividade rural como "carência", tecnicamente não se trata de carência propriamente dita, mas de requisito funcional equivalente.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regra projeta-se também para a aposentadoria por idade do trabalhador rural: o art. 48, § 2º, da Lei 8.213/91 admite a concessão do benefício mediante comprovação do exercício de atividade rural, ainda que de forma descontínua, no período imediatamente anterior ao requerimento, por tempo igual ao número de meses correspondente à carência exigida. Em vez de contribuições, o que se exige do segurado especial é a prova do labor campesino. Esse ponto tem peso desproporcional nos JEFs, onde as ações rurais são numerosas e a controvérsia raramente recai sobre o direito em tese, e quase sempre sobre a prova.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Vale converter a regra em números, espelhando os exemplos das demais categorias. Para a aposentadoria por idade rural, em que a carência legal corresponde a 180 contribuições, exige-se do segurado especial a comprovação de 180 meses de exercício de atividade rural — equivalentes a 15 anos —, ainda que de forma descontínua. Suponha-se um segurado especial que requeira o benefício em março de 2026: a aferição recai sobre o período imediatamente anterior ao requerimento, no qual o lavrador deverá demonstrar, somando trechos eventualmente intercalados, os 180 meses de labor campesino. Diferentemente do contribuinte individual, não há aqui marco de "primeira contribuição tempestiva" nem recolhimentos a conferir; o que se conta são meses de atividade rural comprovada por início de prova material idôneo, na forma examinada a seguir. Assim, dois lavradores com idêntica idade podem ostentar situações distintas conforme a robustez da prova de seus 180 meses, e não conforme o histórico de recolhimentos.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comprovação observa o regime do art. 55, § 3º, da Lei 8.213/91, que veda a prova exclusivamente testemunhal: exige-se início de prova material contemporâneo aos fatos, corroborado por prova testemunhal idônea. A autodeclaração do segurado especial, hoje colhida pelo INSS e cotejada com bases governamentais (art. 38-B da Lei 8.213/91), e os registros do CNIS rural funcionam como elementos de partida, mas não dispensam o início de prova material quando impugnados. Vale registrar, porém, que a Súmula 577 do STJ admite o reconhecimento de tempo de serviço rural anterior ao documento mais antigo apresentado, desde que amparado por convincente prova testemunhal colhida sob o contraditório — diretriz que flexibiliza a contemporaneidade estrita da prova material. A matéria — meios de prova admitidos, valor da autodeclaração e eficácia probatória de cada documento — é tratada de modo próprio no capítulo dedicado à comprovação da atividade rural, ao qual remetemos para o aprofundamento devido.</w:t>
      </w:r>
    </w:p>
    <w:p>
      <w:pPr>
        <w:spacing w:before="260" w:after="80" w:line="240" w:lineRule="auto"/>
        <w:jc w:val="left"/>
      </w:pPr>
      <w:r>
        <w:rPr>
          <w:rFonts w:ascii="EB Garamond" w:hAnsi="EB Garamond" w:cs="EB Garamond"/>
          <w:b/>
          <w:i w:val="0"/>
          <w:color w:val="3A3128"/>
          <w:sz w:val="25"/>
          <w:lang w:val="pt-BR" w:bidi="ar-SA"/>
          <w:kern w:val="16"/>
          <w14:ligatures w14:val="standardContextual"/>
        </w:rPr>
        <w:t>3.3.2 Dispensa por acidente de qualquer natureza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inciso II do art. 26 é o que mais comparece na rotina dos JEFs. Dispensa ele a carência para auxílio por incapacidade temporária e aposentadoria por incapacidade permanente nos casos de "acidente de qualquer natureza ou causa" e de "doença profissional ou do trabalho", bem como quando o segurado, após filiar-se ao RGPS, for acometido de doença grave constante de lista elaborada pelos Ministérios da Saúde e da Previdência Social. A doutrina é convergente na interpretação de que a expressão "acidente de qualquer natureza" abrange tanto o acidente de trabalho (art. 19 da Lei 8.213/91) quanto o acidente de qualquer outra causa, inclusive doméstico, de trânsito ou esportivo.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amplitude da expressão legal é significativa: a lei não distingue entre acidente de trabalho e acidente comum para fins de dispensa de carência. A dispensa abrange toda e qualquer incapacidade decorrente de evento acidentário, independentemente do nexo com a atividade laboral. A distinção entre acidente de trabalho e acidente de outra natureza permanece relevante para outros fins (como a estabilidade provisória do art. 118 da Lei 8.213/91 e o cálculo diferenciado da aposentadoria por incapacidade permanente após a EC 103/2019), mas não para a carência.</w:t>
      </w:r>
    </w:p>
    <w:p>
      <w:pPr>
        <w:spacing w:before="260" w:after="80" w:line="240" w:lineRule="auto"/>
        <w:jc w:val="left"/>
      </w:pPr>
      <w:r>
        <w:rPr>
          <w:rFonts w:ascii="EB Garamond" w:hAnsi="EB Garamond" w:cs="EB Garamond"/>
          <w:b/>
          <w:i w:val="0"/>
          <w:color w:val="3A3128"/>
          <w:sz w:val="25"/>
          <w:lang w:val="pt-BR" w:bidi="ar-SA"/>
          <w:kern w:val="16"/>
          <w14:ligatures w14:val="standardContextual"/>
        </w:rPr>
        <w:t>3.3.3 Doenças graves e o rol do art. 151</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rol de doenças graves que dispensam carência encontra-se atualmente disciplinado por duas fontes normativas complementares. O art. 151 da Lei 8.213/91 enumera, em caráter transitório, as doenças que dispensam carência até a elaboração da lista ministerial prevista no inciso II do art. 26. A Portaria Interministerial MTP/MS n. 22, de 31 de agosto de 2022, atualizou e ampliou esse rol, estabelecendo as seguintes doenças e afecções: (I) tuberculose ativa; (II) hanseníase; (III) transtorno mental grave, desde que cursando com alienação mental; (IV) neoplasia maligna; (V) cegueira; (VI) paralisia irreversível e incapacitante; (VII) cardiopatia grave; (VIII) doença de Parkinson; (IX) espondilite anquilosante; (X) nefropatia grave; (XI) estado avançado da doença de Paget (osteíte deformante); (XII) síndrome da deficiência imunológica adquirida (AIDS); (XIII) contaminação por radiação, com base em conclusão da medicina especializada; (XIV) hepatopatia grave; (XV) esclerose múltipla; (XVI) acidente vascular encefálico (agudo); e (XVII) abdome agudo cirúrgico.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As doenças listadas nos incisos XVI e XVII (AVE agudo e abdome agudo cirúrgico) constituem novidade da Portaria Interministerial de 2022 e serão enquadradas como isentas de carência quando apresentarem quadro de evolução aguda e atenderem a critérios de gravidade. Essas inclusões refletem a orientação do art. 26, II, da Lei 8.213/91, que exige "especificidade e gravidade que mereçam tratamento particularizado" como critério para figurar na lista.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questão sobre a taxatividade desse rol foi enfrentada pela TNU no Tema 220 (j. 28/04/2021), que firmou tese em três pontos: o rol é exaustivo quanto às hipóteses de dispensa (não se admite a criação de novas categorias por analogia); a lista de doenças admite, contudo, interpretação extensiva dentro das categorias nosológicas já previstas, desde que demonstrada especificidade e gravidade equivalente (por exemplo, variantes de cardiopatia grave não nominadas expressamente); e a gravidez de alto risco, com recomendação médica de afastamento superior a 15 dias, autoriza a dispensa de carência para benefícios por incapacidade.</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Saber se o rol é taxativo ou comporta interpretação extensiva decide muitos casos concretos. O exame costuma seguir uma sequência simples. Primeiro, verifica-se se a doença do segurado está expressamente prevista no art. 151 ou na Portaria Interministerial MTP/MS 22/2022; em caso positivo, a dispensa é automática. Não estando listada, indaga-se se apresenta especificidade e gravidade equivalentes às doenças do rol, hipótese em que se sustenta a dispensa por interpretação extensiva, nos termos do Tema 220/TNU. Resta ainda a gravidez de alto risco com afastamento superior a 15 dias, que a TNU incluiu na cobertura da dispensa. Em qualquer dessas situações, a prova pericial é indispensável, pois é dela que dependerá a demonstração da natureza e da gravidade da enfermidade.</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3.3.4 Doença preexistente e a distinção DID/DII</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questão da doença preexistente à filiação exige atenção redobrada. O art. 26, II, pressupõe que a doença tenha se manifestado após a filiação ao RGPS. Quando o segurado reingressa no sistema já portador de enfermidade, não faz jus à dispensa de carência. A jurisprudência, contudo, consolidou distinção fundamental entre a data de início da doença (DID) e a data de início da incapacidade (DII): o dado juridicamente relevante não é quando surgiu a doença, mas quando se instalou a incapacidade laboral. O art. 42, § 2º, da Lei 8.213/91 permite expressamente o benefício quando a incapacidade sobrevém por motivo de progressão ou agravamento de doença preexistente. O juiz, nesses casos, deve determinar prova pericial ampla para verificar se houve progressão posterior à filiação.</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P</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orto (2024) formula a regra com precisão: caso o segurado já fosse portador da doença antes da filiação, não cabe dispensa de carência em qualquer hipótese. Contudo, se a incapacidade sobrevier por motivo de progressão ou agravamento da doença ou lesão preexistente, a concessão do benefício será admitida desde que cumprida a carência exigida. Trata-se de leitura conjugada do art. 26, II, com o art. 42, § 2º, e o art. 59, § 1º, da Lei 8.213/91.</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Santos e Calejon (2025) A jurisprudência dominante firmou-se no sentido de que a contingência se configura com a existência da incapacidade total e permanente (ou temporária), e não com a mera existência da doença. Nesse sentido, a Súmula 53 da TNU dispõe que "Não há direito a auxílio-doença (atual auxílio por incapacidade temporária) ou a aposentadoria por invalidez (atual aposentadoria por incapacidade permanente) quando a incapacidade para o trabalho é preexistente ao reingresso do segurado no Regime Geral de Previdência Social". A distinção entre doença preexistente (que não impede o benefício) e incapacidade preexistente (que impede) é determinante na análise dos casos concretos nos JEFs.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Situação particular envolve os portadores do vírus HIV. A Súmula 78 da TNU orienta que, comprovada a condição de portador do vírus HIV, cabe ao julgador analisar a incapacidade em sentido amplo, levando em conta as condições pessoais e socioeconômicas do segurado e a elevada estigmatização social associada à doença. Por trás dessa diretriz há uma divisão jurisprudencial bem mapeada na doutrina: entre exigir a manifestação de doenças oportunistas (incapacidade clínica) e reconhecer a incapacidade pela simples contaminação (incapacidade social), o estigma e o preconceito frequentemente transformam portadores do HIV em incapazes do ponto de vista socioprofissional, ainda que clinicamente aptos ao trabalho.</w:t>
      </w:r>
    </w:p>
    <w:p>
      <w:pPr>
        <w:spacing w:before="260" w:after="80" w:line="240" w:lineRule="auto"/>
        <w:jc w:val="left"/>
      </w:pPr>
      <w:r>
        <w:rPr>
          <w:rFonts w:ascii="EB Garamond" w:hAnsi="EB Garamond" w:cs="EB Garamond"/>
          <w:b/>
          <w:i w:val="0"/>
          <w:color w:val="3A3128"/>
          <w:sz w:val="25"/>
          <w:lang w:val="pt-BR" w:bidi="ar-SA"/>
          <w:kern w:val="16"/>
          <w14:ligatures w14:val="standardContextual"/>
        </w:rPr>
        <w:t>3.3.5 Salário-maternidade: inconstitucionalidade da carência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salário-maternidade das seguradas empregada, trabalhadora avulsa e empregada doméstica é dispensado de carência pelo inciso VI do art. 26. Após a declaração de inconstitucionalidade do inciso III do art. 25 pelo STF nas ADIs 2.110 e 2.111, com efeitos retroativos à data de publicação da Lei n. 9.876/1999 (29/11/1999), o salário-maternidade de todas as categorias de seguradas passou a independer de carência, resultado que a doutrina já defendia com fundamento na isonomia constitucional.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Convém deter-nos sobre os fundamentos dessa decisão do STF, que este capítulo concentra neste ponto. O fundamento central foi a violação ao princípio da isonomia (art. 5º, caput, da Constituição Federal): a exigência de carência de 10 contribuições mensais recaía exclusivamente sobre seguradas contribuinte individual, especial e facultativa, enquanto empregadas, domésticas e avulsas eram integralmente dispensadas. Não havia justificativa razoável para essa distinção, que penalizava precisamente as categorias com menor proteção laboral. A retroatividade dos efeitos à data de publicação da Lei n. 9.876/1999 (29/11/1999), diploma que inserira o inciso III, significa que ações envolvendo salário-maternidade negado por falta de carência ao longo de todo o período de vigência do dispositivo podem ser revisitadas, o que representa significativo impacto para ações em tramitação nos JEFs.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Importa fixar a conclusão sem margem para dúvida: depois da inconstitucionalidade do art. 25, III, nenhuma categoria de segurada está sujeita à carência para o salário-maternidade. A prestação independe de carência tanto para a empregada, avulsa e a empregada doméstica (que já a dispensavam pelo art. 26, VI) quanto para a contribuinte individual, a facultativa e a segurada especial. A única ressalva diz respeito à segurada especial, de quem se exige não carência em sentido próprio, mas a comprovação do exercício de atividade rural nos meses imediatamente anteriores ao parto (art. 39, parágrafo único, da Lei 8.213/91) — requisito funcional equivalente, e não contributivo, na linha do que se expôs na seção 3.3.1.</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3.4 Contagem do período de carência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27 da Lei 8.213/91 estabelece regras distintas de contagem conforme a categoria do segurado (sobre as categorias em espécie, v. Capítulo 2), refletindo a diferente posição que cada categoria ocupa em relação à responsabilidade pelo recolhimento das contribuições. Calcular corretamente a carência segundo a categoria do segurado é tarefa diária na análise de requerimentos previdenciários nos JEFs, e nem sempre trivial.</w:t>
      </w:r>
    </w:p>
    <w:p>
      <w:pPr>
        <w:spacing w:before="260" w:after="80" w:line="240" w:lineRule="auto"/>
        <w:jc w:val="left"/>
      </w:pPr>
      <w:r>
        <w:rPr>
          <w:rFonts w:ascii="EB Garamond" w:hAnsi="EB Garamond" w:cs="EB Garamond"/>
          <w:b/>
          <w:i w:val="0"/>
          <w:color w:val="3A3128"/>
          <w:sz w:val="25"/>
          <w:lang w:val="pt-BR" w:bidi="ar-SA"/>
          <w:kern w:val="16"/>
          <w14:ligatures w14:val="standardContextual"/>
        </w:rPr>
        <w:t>3.4.1 Segurados empregado e trabalhador avulso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P</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ara empregados e trabalhadores avulsos, a carência é contada a partir da data de filiação ao RGPS (art. 27, inciso I). A razão é simples: o empregado não é responsável pelo recolhimento de sua contribuição, que incumbe ao empregador. Seria injusto imputar ao segurado empregado as consequências da inadimplência patronal.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diferença entre as duas regras é substancial. O segurado empregado conta a carência desde a filiação, mesmo que o empregador não tenha efetivamente recolhido as contribuições, cabendo ao INSS cobrar o débito do empregador sem prejuízo do direito do segurado. Essa proteção decorre do princípio da automaticidade das prestações previdenciárias, que impede que a responsabilidade pelo inadimplemento do empregador seja transferida ao trabalhador. O mesmo raciocínio aplica-se ao trabalhador avulso, que, nos termos do art. 7º, XXXIV, da Constituição Federal, goza de igualdade de direitos em relação ao empregado.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regra do art. 27, I, aplica-se também quando o contribuinte individual não é responsável pelo recolhimento de sua própria contribuição. O § 4º do art. 26 do Decreto 3.048/99 dispõe que, para o contribuinte individual cujo recolhimento é de responsabilidade do empregador ou contratante, a carência é computada a partir do exercício da atividade remunerada, tal como para o empregado. Essa distinção é relevante na prática, pois nem todo contribuinte individual é responsável tributário pelo próprio recolhimento.</w:t>
      </w:r>
    </w:p>
    <w:p>
      <w:pPr>
        <w:spacing w:before="260" w:after="80" w:line="240" w:lineRule="auto"/>
        <w:jc w:val="left"/>
      </w:pPr>
      <w:r>
        <w:rPr>
          <w:rFonts w:ascii="EB Garamond" w:hAnsi="EB Garamond" w:cs="EB Garamond"/>
          <w:b/>
          <w:i w:val="0"/>
          <w:color w:val="3A3128"/>
          <w:sz w:val="25"/>
          <w:lang w:val="pt-BR" w:bidi="ar-SA"/>
          <w:kern w:val="16"/>
          <w14:ligatures w14:val="standardContextual"/>
        </w:rPr>
        <w:t>3.4.2 O empregado doméstico antes e depois da LC 150/2015</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empregado doméstico apresenta particularidades decorrentes da evolução legislativa que sofreu. Antes da Lei Complementar n. 150, de 1º de junho de 2015, o empregado doméstico não estava expressamente incluído no inciso I do art. 27, o que gerava a aplicação do regime mais rigoroso do inciso II (contagem a partir do efetivo recolhimento). A doutrina criticava essa exclusão, pois o doméstico, à semelhança do empregado comum, não era responsável pelo recolhimento de sua contribuição, que incumbia ao empregador. A própria TNU já vinha afastando essa limitação antes mesmo da alteração legislativa, equiparando o doméstico ao empregado comum para fins de contagem da carência a partir da filiação — orientação depois positivada pela LC 150/2015.</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LC 150/2015 corrigiu a distorção ao incluir expressamente o empregado doméstico no inciso I do art. 27, passando a carência a ser contada desde a data de filiação, e não mais do efetivo recolhimento. O Decreto 10.410/2020 detalhou a aplicação temporal da regra em três dispositivos inseridos no art. 26 do Regulamento (§§ 4º-A, 4º-B e 4º-C): (a) a partir da competência junho de 2015, presume-se o recolhimento das contribuições descontadas pelo empregador doméstico; (b) para o empregado doméstico filiado ao RGPS nessa condição até 31 de maio de 2015, o período de carência é contado a partir da data do efetivo recolhimento da primeira contribuição sem atraso; e (c) para o período de filiação comprovado como empregado doméstico sem comprovação do recolhimento, será reconhecido o direito ao benefício no valor de um salário-mínimo.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regra de transição do empregado doméstico ganha relevo nas ações cujo fato gerador é anterior a junho de 2015. Diante de um CNIS de segurado que trabalhou como doméstico antes da LC 150/2015, alguns cuidados se impõem. Convém verificar se há recolhimentos efetivos registrados, pois a carência anterior a 01/06/2015 só é computada a partir do primeiro recolhimento tempestivo. É útil identificar se o empregador doméstico foi regularizado pelo eSocial, que passou a operar para a categoria a partir de outubro de 2015. E não se deve perder de vista que, mesmo sem comprovação de recolhimento, o segurado pode fazer jus ao benefício no valor de um salário-mínimo, nos termos do § 4º-C do art. 26 do Decreto 3.048/99. Em nossa prática, é nessa última hipótese que se concentram os litígios mais frequentes da categoria.</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3.4.3 Contribuinte individual, segurado especial e facultativo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P</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ara contribuintes individuais, segurados especiais e facultativos, a contagem inicia na data do efetivo pagamento da primeira contribuição sem atraso, não sendo consideradas as contribuições recolhidas com atraso referentes a competências anteriores (art. 27, inciso II). Como resume Porto (2024), uma vez feita a primeira contribuição tempestiva, caso haja atraso no recolhimento das subsequentes, a jurisprudência admite o pagamento a destempo como computável para carência, desde que não tenha havido perda da qualidade de segurado.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contribuinte individual tem a carência condicionada ao recolhimento tempestivo, o que gera consequências práticas severas para trabalhadores autônomos com histórico irregular de pagamentos. A vedação de inscrição post mortem e de regularização de contribuições após o óbito (Súmula 52 da TNU e § 5º-B do art. 18 do Decreto 3.048/99) é examinada no Capítulo 2, seção 2.3.</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TNU, no Tema 192, firmou tese esclarecedora: contribuições recolhidas com atraso anteriores ao pagamento da primeira contribuição sem atraso não são computadas para fins de carência; contribuições recolhidas com atraso posteriores ao primeiro pagamento tempestivo podem ser computadas, desde que não tenha havido perda da qualidade de segurado no intervalo. Na prática, o marco inicial da carência para o contribuinte individual é fixado pelo primeiro recolhimento pontual, e toda contribuição em atraso anterior a esse marco vale apenas para tempo de contribuição, não para carência.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Conselho de Recursos da Previdência Social consolidou esse entendimento no Enunciado 5, incisos III e IV, que estabelecem: as contribuições recolhidas em atraso pelo contribuinte individual após o período de graça não são computadas como carência nem para fins de manutenção da qualidade de segurado, mas apenas como tempo de contribuição; havendo perda da qualidade de segurado, somente são consideradas para carência as contribuições efetivadas sem atraso, após nova filiação. Essa posição da instância administrativa reforça a orientação jurisprudencial e é frequentemente invocada nas contestações do INSS nos JEFs.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CNIS do contribuinte individual costuma chegar aos JEFs com recolhimentos irregulares, e é aí que o exame exige rigor. Ao aferir o direito à aposentadoria ou a benefício por incapacidade, convém identificar a data do primeiro recolhimento sem atraso, que define o marco inicial da carência; apurar se houve perda da qualidade de segurado no período, o que reinicia a contagem conforme o art. 27-A; e confirmar se as contribuições em atraso posteriores ao marco se situam dentro de período em que a qualidade de segurado se manteve. Fixe-se aqui, como alerta de referência para todo o capítulo, uma advertência que a experiência torna recorrente: a mera existência de 180 contribuições no CNIS não assegura o cumprimento da carência se parte delas foi recolhida com atraso antes do primeiro pagamento tempestivo. É a tempestividade, e não o número bruto de registros, que define a carência do contribuinte individual.</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3.4.4 Cômputo de períodos de afastamento por incapacidade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U</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ma questão recorrente nos JEFs é o cômputo de períodos em gozo de benefício por incapacidade para fins de carência. A Súmula 73 da TNU dispõe que "O tempo de gozo de auxílio-doença (atual auxílio por incapacidade temporária) ou de aposentadoria por invalidez (atual aposentadoria por incapacidade permanente) não decorrentes de acidente de trabalho só pode ser computado como tempo de contribuição ou para fins de carência quando intercalado entre períodos nos quais houve recolhimento de contribuições para a previdência social" (redação original com atualização terminológica). O STJ adota entendimento similar, exigindo a intercalação entre períodos contributivos.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Em sentido convergente, e com raciocínio análogo, o STJ entende que o período de recebimento de auxílio por incapacidade temporária não acidentário deve ser considerado no cômputo do prazo de carência da aposentadoria por idade, se intercalado com períodos contributivos. A exigência de intercalação visa impedir que segurados com longos períodos de afastamento por incapacidade, desacompanhados de qualquer contribuição posterior, computem esse tempo para carência.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Supremo Tribunal Federal enfrentou a matéria no Tema 1.125 da repercussão geral (RE 1.298.832, rel. Min. Luiz Fux, então Presidente da Corte, j. 19/02/2021), decidido por reafirmação de jurisprudência no Plenário Virtual. O Tribunal reconheceu a repercussão geral por unanimidade e, no mérito, por maioria, reafirmou a jurisprudência dominante, vencido o Min. Nunes Marques. Com o trânsito em julgado, fixou-se a seguinte tese: "É constitucional o cômputo, para fins de carência, do período no qual o segurado esteve em gozo do benefício de auxílio-doença, desde que intercalado com atividade laborativa." A decisão confirmou, em sede constitucional, a orientação da Súmula 73 da TNU, mantendo a exigência de intercalação como condição para o cômputo do período de afastamento por incapacidade na carência. Note-se que a tese fixada pelo STF se refere expressamente ao auxílio-doença (atual auxílio por incapacidade temporária), não abrangendo a aposentadoria por incapacidade permanente, cuja extensão analógica permanece objeto de debate doutrinário e jurisprudencial.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Com o julgamento do Tema 1.125 pelo STF (RE 1.298.832, rel. Min. Luiz Fux, então Presidente da Corte, j. 19/02/2021, trânsito em julgado), a exigência de intercalação com atividade laborativa para o cômputo de período de gozo de auxílio por incapacidade temporária na carência está definitivamente confirmada em sede constitucional, em consonância com a Súmula 73 da TNU. Para benefícios por incapacidade decorrentes de acidente de trabalho, o período de afastamento é computado para carência independentemente de intercalação, nos termos do art. 60, III, do Decreto 3.048/99. Essa distinção entre benefício acidentário e não acidentário deve ser observada na análise dos casos concretos. Registre-se que a tese do STF abrange expressamente apenas o auxílio-doença (atual auxílio por incapacidade temporária); a aplicabilidade do mesmo regime à aposentadoria por incapacidade permanente não foi objeto da decisão e segue controvertida.</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3.5 Contribuição inferior ao mínimo e os mecanismos da EC 103/2019</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EC 103/2019 introduziu regra com profundo impacto na contagem de carência dos segurados de baixa renda. O § 14 do art. 195 da Constituição Federal, na redação dada pela emenda, estabeleceu que "o segurado somente terá reconhecidas como tempo de contribuição ao Regime Geral de Previdência Social as competências cuja contribuição seja igual ou superior à contribuição mínima mensal exigida para sua categoria". Essa disposição atinge diretamente trabalhadores que recebem remuneração inferior ao salário-mínimo mensal, cujas contribuições ficam abaixo do piso.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mitigar o impacto dessa regra sobre trabalhadores vulneráveis, o mesmo dispositivo constitucional previu três mecanismos: (a) a complementação da contribuição, mediante recolhimento da diferença entre o valor efetivamente pago e a contribuição mínima mensal; (b) a utilização do excedente de contribuição superior ao mínimo em outra competência para suprir a insuficiência em competência diversa; e (c) o agrupamento de contribuições inferiores ao mínimo de diferentes competências para alcançar o valor mínimo mensal exigido.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Os §§ 7º e 8º do art. 13 do Decreto 3.048/99, inseridos pelo Decreto 10.410/2020, regulamentaram a matéria, dispondo que a contribuição recolhida em valor inferior ao salário-mínimo não será útil para a manutenção da qualidade de segurado, de modo que o período de graça se inicia no primeiro dia do mês subsequente ao da última contribuição com valor igual ou superior ao salário-mínimo, salvo se o segurado se valer dos mecanismos de complementação, utilização ou agrupamento.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Convém ancorar esses mecanismos em valores concretos, tomando por base o salário-mínimo de 2026, fixado em R$ 1.621,00. A contribuição mínima mensal varia conforme a alíquota da categoria: o contribuinte individual e o facultativo que optam pelo plano simplificado recolhem 11% sobre o piso, isto é, R$ 178,31; o facultativo de baixa renda e o microempreendedor individual recolhem 5%, ou R$ 81,05; e a alíquota cheia de 20% corresponde a R$ 324,20. Suponha-se um diarista que, em determinada competência de 2026, tenha auferido apenas R$ 900,00 e, por isso, recolhido 20% sobre essa base (R$ 180,00), aquém do mínimo exigido para a competência (R$ 324,20). Pela via da </w:t>
      </w:r>
      <w:r>
        <w:rPr>
          <w:rFonts w:ascii="EB Garamond" w:hAnsi="EB Garamond" w:cs="EB Garamond"/>
          <w:b/>
          <w:i w:val="0"/>
          <w:color w:val="201B16"/>
          <w:sz w:val="21"/>
          <w:lang w:val="pt-BR" w:bidi="ar-SA"/>
          <w:kern w:val="16"/>
          <w14:ligatures w14:val="standardContextual"/>
        </w:rPr>
        <w:t>complementação</w:t>
      </w:r>
      <w:r>
        <w:rPr>
          <w:rFonts w:ascii="EB Garamond" w:hAnsi="EB Garamond" w:cs="EB Garamond"/>
          <w:b w:val="0"/>
          <w:i w:val="0"/>
          <w:color w:val="201B16"/>
          <w:sz w:val="21"/>
          <w:lang w:val="pt-BR" w:bidi="ar-SA"/>
          <w:kern w:val="16"/>
          <w14:ligatures w14:val="standardContextual"/>
        </w:rPr>
        <w:t xml:space="preserve">, basta recolher a diferença de R$ 144,20 para que a competência seja integralmente aproveitada. Pela via do </w:t>
      </w:r>
      <w:r>
        <w:rPr>
          <w:rFonts w:ascii="EB Garamond" w:hAnsi="EB Garamond" w:cs="EB Garamond"/>
          <w:b/>
          <w:i w:val="0"/>
          <w:color w:val="201B16"/>
          <w:sz w:val="21"/>
          <w:lang w:val="pt-BR" w:bidi="ar-SA"/>
          <w:kern w:val="16"/>
          <w14:ligatures w14:val="standardContextual"/>
        </w:rPr>
        <w:t>agrupamento</w:t>
      </w:r>
      <w:r>
        <w:rPr>
          <w:rFonts w:ascii="EB Garamond" w:hAnsi="EB Garamond" w:cs="EB Garamond"/>
          <w:b w:val="0"/>
          <w:i w:val="0"/>
          <w:color w:val="201B16"/>
          <w:sz w:val="21"/>
          <w:lang w:val="pt-BR" w:bidi="ar-SA"/>
          <w:kern w:val="16"/>
          <w14:ligatures w14:val="standardContextual"/>
        </w:rPr>
        <w:t>, se em uma competência o segurado tiver contribuído sobre R$ 900,00 e em outra sobre R$ 800,00 — ambas isoladamente abaixo do piso —, a soma das bases (R$ 1.700,00) supera o salário-mínimo e permite o aproveitamento de uma competência, com o excedente projetado para outra. O exemplo evidencia que os três mecanismos não são abstrações regulamentares: traduzem-se em pequenas quantias cuja correta operação define o cômputo da carência e a preservação da qualidade de segurado.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TNU contribuiu para a densificação desse tema com o Tema 349 (Processo 0504017-94.2022.4.05.8400/RN, rel. Juiz Federal Neian Milhomem Cruz, j. 16/10/2024), que fixou a tese de que o recolhimento de contribuição previdenciária em valor inferior ao mínimo mensal da categoria, na ausência de previsão legal, não impede o reconhecimento da qualidade de segurado obrigatório, inclusive após o advento da EC n. 103/2019. A decisão protege trabalhadores de baixa renda cujas contribuições ficam abaixo do piso mensal, assegurando que a qualidade de segurado não seja recusada pelo INSS com fundamento no valor insuficiente do recolhimento.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contribuição inferior ao mínimo assume contornos críticos para trabalhadores intermitentes (art. 443, § 3º, da CLT), diaristas que prestam serviço por menos de três dias na semana a um mesmo contratante e segurados com múltiplos vínculos de baixa remuneração. O ponto de atenção no CNIS são as competências em que a remuneração registrada fica abaixo do salário-mínimo. Para elas, o segurado pode complementar a contribuição mediante GPS com o código específico ou agrupar competências distintas — mecanismos ilustrados, com valores de 2026, logo acima —, restando ainda invocar o Tema 349/TNU para sustentar que a qualidade de segurado não se perdeu. O INSS, com apoio nos §§ 7º e 8º do art. 13 do Decreto 3.048/99, tende a desconsiderar essas competências; cabe ao Judiciário a correção caso a caso, que, sob a diretriz do Tema 349, vem prevalecendo.</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H</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á tensão evidente entre a posição da TNU no Tema 349 e a regulamentação do Decreto 10.410/2020. O Decreto estabelece, nos §§ 7º e 8º do art. 13 do RPS, que a contribuição inferior ao mínimo não é útil para manutenção da qualidade de segurado nem para carência. A TNU, contudo, firmou que essa restrição não encontra amparo na legislação e que a EC 103/2019, ao prever os mecanismos de complementação, utilização e agrupamento, não autorizou a desconsideração automática das competências com contribuição abaixo do piso. A consequência prática é que o INSS indeferirá administrativamente os benefícios com base no Decreto, mas o Judiciário, com base no Tema 349, tenderá a reconhecer a qualidade de segurado e o cômputo para carência. Para os segurados que optam pela alíquota reduzida de 11% (art. 21, § 2º, da Lei 8.212/91), excluindo o direito à aposentadoria por tempo de contribuição, ou pela alíquota de 5% (segurado facultativo de baixa renda e microempreendedor individual), a complementação posterior é expressamente admitida pela legislação, mediante recolhimento da diferença acrescida de juros moratórios. Esse período contributivo com alíquota reduzida, embora não conte para aposentadoria por tempo de contribuição, é plenamente válido para os demais benefícios (incapacidade, idade, pensão por morte), desde que observados os requisitos de carência e qualidade de segurado.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3.6 Manutenção da qualidade de segurado e período de graça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15 da Lei 8.213/91 estabelece o período de graça, durante o qual o segurado mantém essa qualidade e todos os direitos perante a Previdência Social, independentemente de contribuições. O instituto, já mencionado no capítulo anterior ao tratar dos segurados obrigatórios e facultativos, é agora examinado em profundidade. Horvath Júnior (2025) identifica no período de graça expressão do fundamento solidarístico da previdência social: o instituto impede a cessação abrupta da proteção em momentos de vulnerabilidade, quando circunstâncias alheias à vontade do segurado, como o desemprego involuntário ou a doença, impedem a continuidade contributiva.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Porto (2024) apresenta o período de graça como modalidade de manutenção extraordinária da qualidade de segurado, distinguindo-a da manutenção ordinária, que se dá pela contribuição (segurado facultativo) ou pela permanência em relação contributiva (segurado obrigatório). A expressão "período de graça" traduz exatamente essa ideia: trata-se da manutenção "gratuita" da qualidade de segurado durante período variável, conforme as circunstâncias que motivaram a cessação contributiva.</w:t>
      </w:r>
    </w:p>
    <w:p>
      <w:pPr>
        <w:spacing w:before="260" w:after="80" w:line="240" w:lineRule="auto"/>
        <w:jc w:val="left"/>
      </w:pPr>
      <w:r>
        <w:rPr>
          <w:rFonts w:ascii="EB Garamond" w:hAnsi="EB Garamond" w:cs="EB Garamond"/>
          <w:b/>
          <w:i w:val="0"/>
          <w:color w:val="3A3128"/>
          <w:sz w:val="25"/>
          <w:lang w:val="pt-BR" w:bidi="ar-SA"/>
          <w:kern w:val="16"/>
          <w14:ligatures w14:val="standardContextual"/>
        </w:rPr>
        <w:t>3.6.1 Fundamento e hipóteses legais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período básico é de 12 meses após a cessação das contribuições ou do exercício de atividade remunerada (art. 15, II). Para o segurado em gozo de benefício, a qualidade é mantida sem limite de prazo (inciso I), com a ressalva introduzida pela MP 871/2019 (a partir de 18/01/2019), confirmada pela Lei 13.846/2019, que excluiu dessa proteção o beneficiário de auxílio-acidente. A inserção dessa exceção ocorreu com o advento da MP 871/2019, convertida na Lei 13.846/2019, e que, até então, não estava expresso que a percepção isolada do auxílio-acidente não permitiria a manutenção da qualidade de segurado, havendo forte controvérsia doutrinária em razão da natureza meramente indenizatória desse benefício. O STJ firmou, ainda, que a manutenção da qualidade prevista no art. 15, I, inclui os benefícios deferidos por decisão de caráter provisório, ainda que futuramente revogada (STJ, AREsp 2.023.456, rel. Min. Gurgel de Faria, Primeira Turma, j. 20/06/2023, DJe 17/08/2023). O fundamento decisivo foi o de que o art. 15, I, não diferencia a natureza da concessão do benefício e de que o segurado em gozo de prestação por incapacidade concedida por tutela de urgência não pode, nesse intervalo, verter contribuições na condição de segurado obrigatório ou facultativo; logo, não seria razoável imputar-lhe a perda da qualidade pela posterior revogação da medida precária.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segurado acometido de doença de segregação compulsória mantém a qualidade por 12 meses após cessar a segregação (inciso III). O segurado retido ou recluso conserva-a por 12 meses após o livramento (inciso IV). Conforme o parágrafo único do art. 118 do Decreto 3.048/99, aquele que ostentava qualidade de segurado por ocasião da reclusão a mantém enquanto recluso, independentemente da duração do encarceramento. O incorporado às Forças Armadas dispõe de 3 meses após o licenciamento (inciso V), e o segurado facultativo de 6 meses após a cessação das contribuições (inciso VI). Além disso, nos termos do art. 11, § 1º, XI, do Decreto 3.048/99, o segurado recolhido à prisão sob regime fechado ou semiaberto que preste serviço dentro ou fora da unidade penal poderá inscrever-se como segurado facultativo, o que constitui via adicional de manutenção da qualidade de segurado durante o período de reclusão.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Durante o período de graça, a qualidade de segurado está preservada, o que permite ao interessado conservar todos os seus direitos perante a Previdência Social (§ 3º do art. 15). Em regra, contudo, esse período não é computado como tempo de contribuição: serve apenas para manter os direitos inerentes à qualidade de segurado e à carência eventualmente já cumprida, na precisa observação de Porto (2024). Sobrevindo a perda da qualidade, será necessária nova filiação, nos mesmos moldes da original, para readquiri-la.</w:t>
      </w:r>
    </w:p>
    <w:p>
      <w:pPr>
        <w:spacing w:before="260" w:after="80" w:line="240" w:lineRule="auto"/>
        <w:jc w:val="left"/>
      </w:pPr>
      <w:r>
        <w:rPr>
          <w:rFonts w:ascii="EB Garamond" w:hAnsi="EB Garamond" w:cs="EB Garamond"/>
          <w:b/>
          <w:i w:val="0"/>
          <w:color w:val="3A3128"/>
          <w:sz w:val="25"/>
          <w:lang w:val="pt-BR" w:bidi="ar-SA"/>
          <w:kern w:val="16"/>
          <w14:ligatures w14:val="standardContextual"/>
        </w:rPr>
        <w:t>3.6.2 Mecanismos de prorrogação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D</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ois mecanismos de prorrogação ampliam o período básico do inciso II. O § 1º do art. 15 estende o prazo para 24 meses quando o segurado já tiver vertido mais de 120 contribuições mensais sem interrupção que acarrete a perda da qualidade. O § 2º acrescenta 12 meses adicionais quando comprovada situação de desemprego involuntário. A combinação desses dois acréscimos pode elevar o período de graça ao máximo de 36 meses.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Porto (2024) As duas situações de prorrogação podem ser aproveitadas isoladamente (atingindo-se, em qualquer caso, 24 meses) ou cumuladas, hipótese em que o prazo total alcança 36 meses. Essa cumulação é expressamente admitida pela jurisprudência e constitui cenário relativamente comum nos JEFs: segurados com longo histórico contributivo que, ao perder o emprego, acumulam a prorrogação por 120 contribuições (§ 1º) com a prorrogação por desemprego involuntário (§ 2º).</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TNU, no Tema 365 (Processo 0500120-68.2021.4.05.8311/PE, rel. Originária Juíza Federal Lílian Oliveira da Costa Tourinho, redator para acórdão Juiz Federal Ivanir César Ireno Júnior, j. 12/11/2025), firmou a tese de que "não é possível o cômputo do período de gozo de benefício por incapacidade intercalado entre contribuições para fins de aferição das mais de 120 contribuições mensais exigidas para a prorrogação do período de graça, nos termos do art. 15, § 1º, da Lei n. 8.213/91". A decisão impede que segurados com longos períodos de afastamento por incapacidade se beneficiem da prorrogação automática do período de graça (de 12 para 24 meses) sem terem efetivamente vertido as contribuições exigidas.</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3.6.3 Cálculo da data exata de perda da qualidade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perda efetiva da qualidade de segurado não ocorre no último dia do período de graça, mas em momento posterior, conforme a regra do § 4º do art. 15. Segundo esse dispositivo, a perda se dá no dia seguinte ao término do prazo de recolhimento da contribuição referente ao mês imediatamente posterior ao final do período de graça. O Decreto 3.048/99, em seu art. 14, complementa: o reconhecimento da perda ocorre no dia seguinte ao do vencimento da contribuição do contribuinte individual relativa ao mês imediatamente posterior ao término dos prazos.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administrativa e na contagem judicial, isso significa que o segurado dispõe de um mês adicional além do período de graça propriamente dito, acrescido do prazo até o vencimento da contribuição daquele mês. Porto (2024) oferece exemplo numérico esclarecedor: se o período de graça é de 12 meses e o último mês de trabalho foi janeiro de 2015, o período de graça vai de fevereiro de 2015 até janeiro de 2016; para não perder a qualidade, o segurado precisaria voltar a contribuir em fevereiro de 2016, cujo recolhimento vence em 15 de março de 2016 (para o contribuinte individual), resultando em período efetivo de proteção de 13 meses e 15 dias. A mesma extensão aplica-se aos demais prazos.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Esse cálculo exige atenção minuciosa, pois um erro de dias pode alterar a conclusão sobre a manutenção ou perda da qualidade de segurado na data do evento gerador. Nos JEFs, o cálculo preciso dessa data é determinante para o resultado do processo, especialmente em ações de pensão por morte (em que o evento é o óbito) e de benefícios por incapacidade (em que o evento é a data de início da incapacidade).</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3.7 Prorrogação do período de graça e jurisprudência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prova do desemprego involuntário, exigida para obtenção do acréscimo de 12 meses previsto no § 2º do art. 15, figura entre as questões mais litigadas em torno da qualidade de segurado. A lei reclama comprovação por meio de "registro no órgão próprio do Ministério do Trabalho e da Previdência Social", o que suscitou longa controvérsia sobre a taxatividade desse meio de prova.</w:t>
      </w:r>
    </w:p>
    <w:p>
      <w:pPr>
        <w:spacing w:before="260" w:after="80" w:line="240" w:lineRule="auto"/>
        <w:jc w:val="left"/>
      </w:pPr>
      <w:r>
        <w:rPr>
          <w:rFonts w:ascii="EB Garamond" w:hAnsi="EB Garamond" w:cs="EB Garamond"/>
          <w:b/>
          <w:i w:val="0"/>
          <w:color w:val="3A3128"/>
          <w:sz w:val="25"/>
          <w:lang w:val="pt-BR" w:bidi="ar-SA"/>
          <w:kern w:val="16"/>
          <w14:ligatures w14:val="standardContextual"/>
        </w:rPr>
        <w:t>3.7.1 Prova do desemprego involuntário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TNU, por meio da Súmula 27, firmou que a ausência de registro em órgão do Ministério do Trabalho não impede a comprovação do desemprego por outros meios admitidos em direito. Porto (2024), em nota doutrinária, registra que o STJ exige prova mais robusta do que a mera ausência de anotação posterior na CTPS, ou seja, a prova negativa não é suficiente; é necessário elemento positivo que demonstre a condição de desempregado.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Superior Tribunal de Justiça, no julgamento do Tema Repetitivo 1360 (rel. Min. Afrânio Vilela, j. 11/03/2026), consolidou e expandiu esse entendimento, fixando que o registro perante o Ministério do Trabalho pode ser suprido por outros meios de prova, tanto na via administrativa quanto na judicial, desde que demonstrada a situação de desemprego involuntário. A Corte ressalvou que a mera ausência de anotações na CTPS ou no CNIS não é suficiente isoladamente, exigindo prova positiva da condição de desempregado, como FGTS movimentado, recibo de seguro-desemprego, Termo de Rescisão ou documentação equivalente.</w:t>
      </w:r>
    </w:p>
    <w:p>
      <w:pPr>
        <w:spacing w:before="260" w:after="80" w:line="240" w:lineRule="auto"/>
        <w:jc w:val="left"/>
      </w:pPr>
      <w:r>
        <w:rPr>
          <w:rFonts w:ascii="EB Garamond" w:hAnsi="EB Garamond" w:cs="EB Garamond"/>
          <w:b/>
          <w:i w:val="0"/>
          <w:color w:val="3A3128"/>
          <w:sz w:val="25"/>
          <w:lang w:val="pt-BR" w:bidi="ar-SA"/>
          <w:kern w:val="16"/>
          <w14:ligatures w14:val="standardContextual"/>
        </w:rPr>
        <w:t>3.7.2 Extensão ao contribuinte individual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prorrogação por desemprego involuntário alcança também o contribuinte individual. A TNU, no Tema 239 (PEDILEF 0504272-91.2018.4.05.8400, j. 28/04/2021), firmou a tese de que a prorrogação prevista no § 2º do art. 15 estende-se ao segurado contribuinte individual, quando comprovado que a cessação da atividade econômica decorreu de causa involuntária, além da ausência de atividade subsequente. Savaris (2023), que foi pioneiro na defesa dessa extensão antes de seu acolhimento jurisprudencial, fundamenta a tese no princípio da adequada proteção previdenciária, sustentando que o período de graça é concretização do direito fundamental à proteção social.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Porto (2024) anota que, tradicionalmente, entendia-se que o termo "desempregado" abarcaria apenas o segurado empregado (inclusive o doméstico e o trabalhador avulso) em situação de desemprego. A evolução jurisprudencial, contudo, expandiu o conceito para incluir o contribuinte individual que comprove situação de "desocupação" (termo tecnicamente mais adequado que "desemprego" para essa categoria). A ressalva é que o contribuinte individual deve demonstrar não apenas a cessação involuntária de sua atividade, mas também a ausência de atividade remunerada subsequente.</w:t>
      </w:r>
    </w:p>
    <w:p>
      <w:pPr>
        <w:spacing w:before="260" w:after="80" w:line="240" w:lineRule="auto"/>
        <w:jc w:val="left"/>
      </w:pPr>
      <w:r>
        <w:rPr>
          <w:rFonts w:ascii="EB Garamond" w:hAnsi="EB Garamond" w:cs="EB Garamond"/>
          <w:b/>
          <w:i w:val="0"/>
          <w:color w:val="3A3128"/>
          <w:sz w:val="25"/>
          <w:lang w:val="pt-BR" w:bidi="ar-SA"/>
          <w:kern w:val="16"/>
          <w14:ligatures w14:val="standardContextual"/>
        </w:rPr>
        <w:t>3.7.3 Limbo previdenciário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S</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ituação peculiar envolve o chamado limbo previdenciário, que ocorre quando o INSS cessa o benefício por incapacidade, considerando o segurado apto ao trabalho, mas o empregador recusa seu retorno por considerá-lo inapto. A TNU enfrentou a questão no Tema 300 (Processo 05130308820204058400, j. 07/12/2022), fixando que, nessa hipótese, a qualidade de segurado se mantém até o encerramento do vínculo de trabalho, que ocorrerá com a rescisão contratual, momento a partir do qual se inicia a contagem do período de graça do art. 15, inciso II. A tese protege o segurado em situação de vulnerabilidade, impedindo que a perda da qualidade seja contada a partir da cessação do benefício pelo INSS quando o trabalhador permanece vinculado ao emprego sem poder exercê-lo nem contribuir.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limbo previdenciário situa-se na fronteira entre o direito previdenciário e o direito do trabalho, e essa dupla natureza explica boa parte de sua dificuldade. O trabalhador que se encontra nessa situação não recebe remuneração do empregador (que recusa o retorno) nem benefício previdenciário (que foi cessado), ficando em completo desamparo. A tese firmada no Tema 300/TNU garante que, ao menos para fins previdenciários, a qualidade de segurado seja preservada durante o período de limbo, mas não resolve a questão trabalhista. Nos JEFs, a solução usual é o restabelecimento do benefício por incapacidade quando demonstrada a persistência da incapacidade, ou a fixação do termo inicial do período de graça na data da efetiva rescisão contratual.</w:t>
      </w:r>
    </w:p>
    <w:p>
      <w:pPr>
        <w:spacing w:before="260" w:after="80" w:line="240" w:lineRule="auto"/>
        <w:jc w:val="left"/>
      </w:pPr>
      <w:r>
        <w:rPr>
          <w:rFonts w:ascii="EB Garamond" w:hAnsi="EB Garamond" w:cs="EB Garamond"/>
          <w:b/>
          <w:i w:val="0"/>
          <w:color w:val="3A3128"/>
          <w:sz w:val="25"/>
          <w:lang w:val="pt-BR" w:bidi="ar-SA"/>
          <w:kern w:val="16"/>
          <w14:ligatures w14:val="standardContextual"/>
        </w:rPr>
        <w:t>3.7.4 Início da contagem após cessação de benefício por incapacidade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início da contagem do período de graça após a cessação de benefício por incapacidade foi uniformizado pela TNU no Tema 251 (Processo 0501223-27.2018.4.05.8405/RN, rel. Juíza Federal Isadora Segalla Afanasieff, j. 16/10/2020): "o início da contagem do período de graça para o segurado que se encontra em gozo de auxílio-doença, para fins de aplicação do disposto no artigo 15, inciso II e parágrafos 1º e 2º da lei nº 8.213/91, é o primeiro dia do mês seguinte à data de cessação do benefício previdenciário por incapacidade". Essa uniformização é essencial para o cálculo preciso da qualidade de segurado em ações de concessão de novos benefícios ou de pensão por morte.</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cálculo do período de graça concentra boa parte das controvérsias sobre qualidade de segurado, e por isso convém reduzi-lo a uma sequência ordenada: (1) identificar a data de cessação das contribuições ou do último benefício por incapacidade (Tema 251/TNU: primeiro dia do mês seguinte à cessação); (2) verificar se o segurado conta com mais de 120 contribuições efetivas (prorrogação para 24 meses, conforme o § 1º, exigindo contribuições efetivas nos termos do Tema 365/TNU, sem cômputo de período em gozo de benefício por incapacidade intercalado); (3) verificar se há prova de desemprego involuntário (acréscimo de 12 meses, conforme o § 2º, admitindo qualquer meio de prova nos termos do Tema 1360/STJ e extensível ao contribuinte individual conforme Tema 239/TNU); (4) aplicar a regra do § 4º para determinar a data exata da perda (dia seguinte ao vencimento da contribuição do mês imediatamente posterior ao término do período de graça); e (5) em caso de limbo previdenciário, considerar o Tema 300/TNU para fixar o termo inicial da contagem na data da rescisão contratual. É desse cálculo, frequentemente disputado por questão de dias, que depende a conclusão sobre a manutenção da qualidade na data do evento gerador (incapacidade, óbito, recolhimento à prisão).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3.8 Perda e reaquisição da qualidade de segurado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perda da qualidade de segurado produz, como efeito principal, a caducidade dos direitos inerentes a essa condição, nos termos do art. 102 da Lei 8.213/91. O ex-segurado perde o acesso a benefícios cujo fato gerador ocorra após a perda, e seus dependentes ficam desprotegidos para fins de pensão por morte e auxílio-reclusão. Porto (2024) sintetiza a consequência: perdida a qualidade de segurado, será necessária nova filiação ("refiliação"), nos mesmos moldes da filiação original, para readquiri-la. Para os benefícios não programados, a perda acarreta também a caducidade da carência anteriormente cumprida. Há, contudo, exceções relevantes que merecem exame detalhado.</w:t>
      </w:r>
    </w:p>
    <w:p>
      <w:pPr>
        <w:spacing w:before="260" w:after="80" w:line="240" w:lineRule="auto"/>
        <w:jc w:val="left"/>
      </w:pPr>
      <w:r>
        <w:rPr>
          <w:rFonts w:ascii="EB Garamond" w:hAnsi="EB Garamond" w:cs="EB Garamond"/>
          <w:b/>
          <w:i w:val="0"/>
          <w:color w:val="3A3128"/>
          <w:sz w:val="25"/>
          <w:lang w:val="pt-BR" w:bidi="ar-SA"/>
          <w:kern w:val="16"/>
          <w14:ligatures w14:val="standardContextual"/>
        </w:rPr>
        <w:t>3.8.1 Efeitos da perda e exceções legais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primeira exceção é o direito adquirido à aposentadoria. O § 1º do art. 102 estabelece que a perda da qualidade não prejudica o direito à aposentadoria cujos requisitos já tenham sido integralmente preenchidos segundo a legislação vigente à época. A Lei n. 10.666, de 8 de maio de 2003, ampliou esse entendimento em seu art. 3º, dispondo que a perda da qualidade de segurado não será considerada para a concessão das aposentadorias por tempo de contribuição e especial. Essa norma dispensa a manutenção da qualidade de segurado para essas espécies de aposentadoria, bastando o cumprimento da carência e do tempo exigidos. O Decreto 3.048/99, em seus §§ 5º e 6º do art. 13, estendeu a mesma lógica à aposentadoria por idade, desde que o segurado conte com a carência mínima exigida.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Santos e Calejon (2025) A regra do art. 102, § 1º, constitui norma que respeita o direito adquirido do segurado e que tem reflexo na cobertura previdenciária até de seus dependentes. Não teria sentido que, cumpridos os requisitos para aposentar-se, deixando o segurado de contribuir e perdendo essa condição, perdesse o direito ao benefício. A regra foi repetida pelo art. 3º da Lei n. 10.666/2003, acolhendo entendimento então dominante na jurisprudência.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segunda exceção protege os dependentes. O § 2º do art. 102 veda a concessão de pensão por morte aos dependentes do segurado que falecer após a perda da qualidade, salvo se o falecido já havia preenchido todos os requisitos para aposentadoria na forma do § 1º. Essa ressalva é aplicação direta da Súmula 416 do STJ, que consagra o entendimento de que "é devida a pensão por morte aos dependentes do segurado que, apesar de ter perdido essa qualidade, preencheu os requisitos legais para a obtenção de aposentadoria até a data do seu óbito". A identificação do regime jurídico aplicável segue o princípio consagrado na Súmula 340 do STJ, segundo a qual a lei vigente na data do óbito é a que rege a concessão da pensão, o que exige atenção ao marco temporal em ações envolvendo óbitos ocorridos antes e depois da EC 103/2019.</w:t>
      </w:r>
    </w:p>
    <w:p>
      <w:pPr>
        <w:spacing w:before="260" w:after="80" w:line="240" w:lineRule="auto"/>
        <w:jc w:val="left"/>
      </w:pPr>
      <w:r>
        <w:rPr>
          <w:rFonts w:ascii="EB Garamond" w:hAnsi="EB Garamond" w:cs="EB Garamond"/>
          <w:b/>
          <w:i w:val="0"/>
          <w:color w:val="3A3128"/>
          <w:sz w:val="25"/>
          <w:lang w:val="pt-BR" w:bidi="ar-SA"/>
          <w:kern w:val="16"/>
          <w14:ligatures w14:val="standardContextual"/>
        </w:rPr>
        <w:t>3.8.2 O regime anterior: o art. 24, parágrafo único (revogado)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reaquisição da qualidade de segurado após sua perda suscita a questão do aproveitamento das contribuições anteriores para fins de carência. Até 2016, a matéria era regida pelo art. 24, parágrafo único, da Lei 8.213/91, segundo o qual as contribuições anteriores à perda da qualidade só seriam computadas para carência depois que o segurado contasse, a partir da nova filiação, com no mínimo um terço do número de contribuições exigidas para o benefício pretendido. Na prática, para benefícios por incapacidade que exigem 12 contribuições, bastavam 4.</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Esse parágrafo único foi revogado pela MP 767/2017, convertida na Lei 13.457/2017, e não tem mais aplicação a fatos geradores posteriores a 06/01/2017. Seu interesse atual é de direito intertemporal: continua a reger os benefícios cujo fato gerador ocorreu sob sua vigência (seção 3.8.4). Hoje a matéria é disciplinada exclusivamente pelo art. 27-A, que se limita aos benefícios nele enumerados: os benefícios por incapacidade, o salário-maternidade e o auxílio-reclusão.</w:t>
      </w:r>
    </w:p>
    <w:p>
      <w:pPr>
        <w:spacing w:before="260" w:after="80" w:line="240" w:lineRule="auto"/>
        <w:jc w:val="left"/>
      </w:pPr>
      <w:r>
        <w:rPr>
          <w:rFonts w:ascii="EB Garamond" w:hAnsi="EB Garamond" w:cs="EB Garamond"/>
          <w:b/>
          <w:i w:val="0"/>
          <w:color w:val="3A3128"/>
          <w:sz w:val="25"/>
          <w:lang w:val="pt-BR" w:bidi="ar-SA"/>
          <w:kern w:val="16"/>
          <w14:ligatures w14:val="standardContextual"/>
        </w:rPr>
        <w:t>3.8.3 O art. 27-A e a regra da metade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27-A foi acrescido à Lei 8.213/91 pela MP 767/2017, convertida na Lei 13.457/2017, e tem a redação vigente dada pela Lei 13.846/2019. O dispositivo contempla os benefícios por incapacidade, o salário-maternidade e o auxílio-reclusão. Quanto ao salário-maternidade, contudo, a regra perdeu aplicabilidade depois que o STF declarou inconstitucional a carência do benefício nas ADIs 2.110 e 2.111, como examinado na seção 3.3.5. Pela regra vigente, o segurado que perdeu a qualidade deve contar, a partir da nova filiação, com metade dos períodos previstos nos incisos I, III e IV do art. 25. Na prática, para benefícios por incapacidade, a exigência é de 6 contribuições (metade de 12) após a nova filiação; para o auxílio-reclusão, 12 contribuições (metade de 24). A regra da metade é mais gravosa que a do revogado parágrafo único do art. 24, sob o qual bastavam 4 contribuições (um terço de 12) para readquirir o aproveitamento pleno das contribuições pretéritas, e mais branda que a carência integral exigida pelas MPs 739/2016, 767/2017 e 871/2019 enquanto vigoraram.</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Porto (2024) denomina essa exigência de "resgate da carência" ou "carência de reingresso", regra que, adotada pela Lei 13.457/2017, foi restabelecida e estabilizada pela Lei 13.846/2019. Após o cumprimento da carência de reingresso, o segurado pode aproveitar as contribuições anteriores à perda da qualidade para completar a carência total exigida para o benefício.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Exemplo prático: segurado contribuinte individual que verteu 120 contribuições, perdeu a qualidade de segurado por cessação das contribuições e, após dois anos, refiliou-se ao RGPS. Para obter auxílio por incapacidade temporária (carência de 12 contribuições), deve cumprir 6 novas contribuições tempestivas (metade de 12) após a refiliação. Cumprida essa "carência de reingresso", as 120 contribuições anteriores são reaproveitadas, e o segurado terá 126 contribuições computadas para carência. Se, contudo, não cumprir as 6 contribuições necessárias antes do evento incapacitante, não terá direito ao benefício por falta de carência, mesmo tendo vertido 120 contribuições ao longo de sua vida laboral.</w:t>
      </w:r>
    </w:p>
    <w:p>
      <w:pPr>
        <w:spacing w:before="260" w:after="80" w:line="240" w:lineRule="auto"/>
        <w:jc w:val="left"/>
      </w:pPr>
      <w:r>
        <w:rPr>
          <w:rFonts w:ascii="EB Garamond" w:hAnsi="EB Garamond" w:cs="EB Garamond"/>
          <w:b/>
          <w:i w:val="0"/>
          <w:color w:val="3A3128"/>
          <w:sz w:val="25"/>
          <w:lang w:val="pt-BR" w:bidi="ar-SA"/>
          <w:kern w:val="16"/>
          <w14:ligatures w14:val="standardContextual"/>
        </w:rPr>
        <w:t>3.8.4 Histórico legislativo do art. 27-A (2016-2019)</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histórico legislativo do art. 27-A revela instabilidade normativa sem precedentes. Entre julho de 2016 e junho de 2019, o regime de reaquisição da carência após a perda da qualidade foi alterado cinco vezes: MP 739/2016 (exigiu carência integral e perdeu eficácia sem conversão), MP 767/2017 (criou o art. 27-A, com carência integral, e revogou o parágrafo único do art. 24), Lei 13.457/2017 (converteu a MP 767, adotando a regra da metade), MP 871/2019 (voltou à carência integral) e Lei 13.846/2019 (converteu a MP 871, restabelecendo a metade, que é a regra vigente). Nesse período, o operador do direito precisou lidar com cinco regimes distintos em menos de três anos. Para ações nos JEFs envolvendo incapacidade surgida entre 2016 e 2019, é essencial verificar qual regime estava vigente na data de início da incapacidade.</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cronologia detalhada é indispensável para a correta aplicação do direito intertemporal: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Regime anterior à MP 739/2016: aplicava-se o art. 24, parágrafo único, com exigência de um terço da carência (4 contribuições para benefícios por incapacidade com carência de 12). Não havia o art. 27-A.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(b) MP 739, de 07/07/2016 (eficácia até 04/11/2016): deu nova redação ao parágrafo único do art. 27, exigindo o cumprimento integral da carência após a perda da qualidade, sem aproveitamento de contribuições pretéritas. Não foi convertida em lei e teve o prazo de vigência encerrado em 04/11/2016 (Ato Declaratório do Presidente da Mesa do Congresso Nacional n. 58/2016).</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(c) De 05/11/2016 a 05/01/2017: com a perda de eficácia da MP 739/2016, voltou a incidir o art. 24, parágrafo único (um terço).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(d) MP 767/2017 (06/01/2017 a 26/06/2017): criou o art. 27-A, com exigência de carência integral, e revogou o parágrafo único do art. 24.</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 Lei 13.457/2017 (27/06/2017 a 17/01/2019): converteu a MP 767/2017 com alteração relevante. O art. 27-A passou a exigir metade dos períodos previstos nos incisos I e III do art. 25 (6 contribuições para os benefícios por incapacidade).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(f) MP 871/2019 (18/01/2019 a 17/06/2019): reformulou o art. 27-A, voltando a exigir os períodos integrais de carência e incluindo o auxílio-reclusão (que passou a exigir carência de 24 contribuições pela mesma MP).</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(g) Lei 13.846/2019 (a partir de 18/06/2019): converteu a MP 871/2019 e restabeleceu a regra da metade, agora referida aos incisos I, III e IV do art. 25: 6 contribuições para os benefícios por incapacidade e 12 para o auxílio-reclusão. É a redação vigente.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TNU enfrentou a aplicação das medidas provisórias no Tema 176 (PEDILEF 5001792-09.2017.4.04.7129/RS, rel. Juiz Federal Guilherme Bollorini Pereira, j. 17/08/2018) e fixou a tese de que, "constatado que a incapacidade do(a) segurado(a) do Regime Geral da Previdência Social (RGPS) ocorreu ao tempo da vigência das Medidas Provisórias 739/2016 e 767/2017, aplicam-se as novas regras de carência nelas previstas".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aplicação do princípio tempus regit actum impõe que se identifique qual regime estava vigente na data do fato gerador. Para benefícios por incapacidade, o marco relevante é a data de início da incapacidade (DII); para o auxílio-reclusão, a data do recolhimento à prisão; para o salário-maternidade, a data do parto ou do evento que gera o direito ao benefício. A importância dessa verificação temporal não pode ser subestimada: um segurado que perdeu a qualidade em março de 2017 e sofreu incapacidade em maio de 2017, sob o regime da MP 767/2017 (vigente desde 06/01/2017), precisava cumprir a carência integral (12 contribuições) após a refiliação. Se o mesmo segurado tivesse sofrido a incapacidade em setembro de 2016, sob o regime da MP 739/2016, idêntica exigência se aplicaria (carência integral de 12 contribuições). E se a incapacidade tivesse ocorrido em dezembro de 2016, após a perda de eficácia da MP 739/2016 e antes da edição da MP 767/2017, aplicava-se o art. 24, parágrafo único (um terço, ou seja, 4 contribuições), regime substancialmente mais favorável. Para incapacidade surgida entre 27/06/2017 e 17/01/2019, sob a Lei 13.457/2017, bastava metade da carência (6 contribuições). Entre 18/01/2019 e 17/06/2019, sob a MP 871/2019, voltou-se a exigir a carência integral (12 contribuições). A partir de 18/06/2019, com a Lei 13.846/2019, a exigência é novamente de metade (6 contribuições). Essa oscilação normativa exige do advogado e do juiz nos JEFs meticulosa atenção à cronologia legislativa.</w:t>
      </w:r>
    </w:p>
    <w:p>
      <w:pPr>
        <w:spacing w:before="260" w:after="80" w:line="240" w:lineRule="auto"/>
        <w:jc w:val="left"/>
      </w:pPr>
      <w:r>
        <w:rPr>
          <w:rFonts w:ascii="EB Garamond" w:hAnsi="EB Garamond" w:cs="EB Garamond"/>
          <w:b/>
          <w:i w:val="0"/>
          <w:color w:val="3A3128"/>
          <w:sz w:val="25"/>
          <w:lang w:val="pt-BR" w:bidi="ar-SA"/>
          <w:kern w:val="16"/>
          <w14:ligatures w14:val="standardContextual"/>
        </w:rPr>
        <w:t>3.8.5 Complementação de contribuições após o óbito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P</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or fim, admite-se a possibilidade de complementação de contribuições após o óbito do segurado. A TNU, no Tema 286 (rel. Juiz Federal Ivanir César Ireno Júnior, j. 23/06/2022), admitiu que os dependentes complementem, após o óbito, as contribuições recolhidas em vida pelo segurado contribuinte de baixa renda (de 5% para 11% ou 20%), nos termos do art. 21, § 2º, II, "b", da Lei 8.212/91, em caso de não validação das contribuições originais. Essa complementação não se confunde com o recolhimento intempestivo de contribuições, que permanece vedado pela jurisprudência consolidada. A distinção é relevante: complementar a alíquota de contribuição tempestiva é permitido; recolher contribuição intempestiva após o óbito para criar carência é vedado.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vedação de inscrição post mortem e de regularização de contribuições após o óbito (§ 5º-B do art. 18 do Decreto 3.048/99 e Súmula 52 da TNU), já examinada no Capítulo 2 (seção 2.3), não se confunde com a complementação de alíquota aqui tratada. A regra protege a integridade atuarial do sistema, impedindo que dependentes criem retroativamente situações contributivas que nunca existiram, mas admite a mera complementação quando o segurado já havia recolhido tempestivamente, ainda que em valor insuficiente para gerar todos os efeitos previdenciários.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conjugação dos Temas 286 e 349 da TNU oferece proteção significativa aos dependentes de segurados de baixa renda. O Tema 349 — já examinado em detalhe na seção 3.5, à qual remetemos — assegura que a contribuição em valor inferior ao mínimo não impede o reconhecimento da qualidade de segurado obrigatório; o Tema 286, por sua vez, admite a complementação post mortem da alíquota reduzida. O que importa aqui é a soma dos dois: o dependente de segurado falecido que recolheu em vida contribuições de 5% sobre o salário-mínimo (R$ 81,05 em 2026) pode, de um lado, complementar a alíquota para 11% ou 20% e, de outro, ver reconhecida a qualidade de segurado ainda que alguma competência tenha ficado abaixo do piso, podendo, conforme o caso, ver reconhecida a qualidade de segurado do instituidor para fins de concessão da pensão por morte. Essa combinação de teses é especialmente relevante para ações de pensão por morte nos JEFs envolvendo segurados que contribuíram como microempreendedores individuais (MEI) ou como segurados facultativos de baixa renda.</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Conclusão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S</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ustentamos que o sistema de perda e reaquisição da qualidade de segurado, tal como configurado pela conjugação dos arts. 15, 27-A e 102 da Lei 8.213/91 (e, para fatos geradores anteriores a 2017, do revogado parágrafo único do art. 24), constitui mecanismo complexo que demanda do operador do direito atenção tanto ao regime temporal aplicável quanto à natureza do benefício pretendido. A regra da metade do art. 27-A, embora represente agravamento em relação ao regime anterior, ainda preserva espaço de proteção razoável ao permitir que segurados com histórico contributivo anterior reaproveitem esse tempo após período relativamente curto de nova filiação. A proteção dos dependentes, assegurada pela conjugação da Súmula 416 do STJ com o § 2º do art. 102, constitui garantia essencial que impede o desamparo completo das famílias de ex-segurados que preencheram requisitos de aposentadoria antes da perda da qualidade.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Carência e qualidade de segurado, embora conceitos juridicamente autônomos, operam em interdependência funcional. A carência pressupõe a qualidade de segurado para os benefícios não programados; a perda da qualidade acarreta, como efeito reflexo, a caducidade da carência para esses mesmos benefícios. A jurisprudência atual da TNU e do STJ, examinada ao longo deste capítulo, oferece ao juiz, à defesa e ao próprio INSS balizas suficientes para a correta análise desses pressupostos, tanto na esfera administrativa quanto na judicial.</w:t>
      </w:r>
    </w:p>
    <w:p>
      <w:pPr>
        <w:sectPr>
          <w:headerReference w:type="default" r:id="rId69"/>
          <w:headerReference w:type="even" r:id="rId70"/>
          <w:footerReference w:type="default" r:id="rId71"/>
          <w:footerReference w:type="even" r:id="rId72"/>
          <w:headerReference w:type="first" r:id="rId73"/>
          <w:footerReference w:type="first" r:id="rId74"/>
          <w:pgSz w:w="8391" w:h="11906"/>
          <w:pgMar w:top="935" w:right="879" w:bottom="964" w:left="1162" w:header="454" w:footer="425" w:gutter="0" w:mirrorMargins="1"/>
          <w:cols w:space="720"/>
          <w:titlePg/>
          <w:docGrid w:linePitch="360"/>
        </w:sectPr>
      </w:pPr>
    </w:p>
    <w:p>
      <w:pPr>
        <w:spacing w:before="240" w:after="80" w:line="240" w:lineRule="auto"/>
        <w:jc w:val="center"/>
        <w:keepNext/>
      </w:pPr>
      <w:r>
        <w:rPr>
          <w:rFonts w:ascii="Noto Sans" w:hAnsi="Noto Sans" w:cs="Noto Sans"/>
          <w:b/>
          <w:i w:val="0"/>
          <w:caps/>
          <w:color w:val="8A6A2A"/>
          <w:sz w:val="19"/>
          <w:lang w:val="pt-BR" w:bidi="ar-SA"/>
          <w:kern w:val="16"/>
          <w14:ligatures w14:val="standardContextual"/>
        </w:rPr>
        <w:t>CAPÍTULO 4</w:t>
      </w:r>
    </w:p>
    <w:p>
      <w:pPr>
        <w:pStyle w:val="Heading2"/>
        <w:spacing w:before="0" w:after="160" w:line="240" w:lineRule="auto"/>
        <w:jc w:val="center"/>
        <w:keepNext/>
      </w:pPr>
      <w:r>
        <w:rPr>
          <w:rFonts w:ascii="EB Garamond" w:hAnsi="EB Garamond" w:cs="EB Garamond"/>
          <w:b/>
          <w:i w:val="0"/>
          <w:caps/>
          <w:color w:val="2F2923"/>
          <w:sz w:val="40"/>
          <w:lang w:val="pt-BR" w:bidi="ar-SA"/>
          <w:kern w:val="16"/>
          <w14:ligatures w14:val="standardContextual"/>
        </w:rPr>
        <w:t>Contribuições Previdenciárias e Custeio do RGPS</w:t>
      </w:r>
    </w:p>
    <w:p>
      <w:pPr>
        <w:spacing w:before="0" w:after="240" w:line="240" w:lineRule="auto"/>
        <w:jc w:val="center"/>
      </w:pPr>
      <w:r>
        <w:rPr>
          <w:rFonts w:ascii="EB Garamond" w:hAnsi="EB Garamond" w:cs="EB Garamond"/>
          <w:b w:val="0"/>
          <w:i w:val="0"/>
          <w:color w:val="B78B37"/>
          <w:sz w:val="18"/>
          <w:lang w:val="pt-BR" w:bidi="ar-SA"/>
          <w:kern w:val="16"/>
          <w14:ligatures w14:val="standardContextual"/>
        </w:rPr>
        <w:t>━━━━  ◆  ━━━━</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Introdução: o financiamento da previdência social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sistema previdenciário brasileiro sustenta-se sobre a lógica do pacto intergeracional: trabalhadores ativos financiam os benefícios dos inativos por meio de contribuições compulsórias. A CF/88 consolidou essa estrutura no art. 195, distribuindo o ônus entre empregadores, trabalhadores e Estado.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Questões de contribuição permeiam a concessão de quase todos os benefícios: a carência depende de contribuições efetivamente recolhidas; o tempo de contribuição pressupõe prova do recolhimento ou da atividade que o dispensa; o valor do benefício é calculado a partir dos salários de contribuição registrados no CNIS. Não há como litigar nos JEFs sem dominar o custeio.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Neste capítulo, examinaremos as contribuições devidas tanto pelo segurado quanto pelo empregador, porque ambas geram controvérsias nos JEFs. Ações previdenciárias rotineiramente envolvem períodos sem recolhimento, contribuições em atraso, complementações do plano simplificado, divergências entre o CNIS e a realidade contributiva do segurado, além de questões sobre a base de cálculo patronal, desoneração da folha e imunidade de entidades beneficentes. Sem domínio do mecanismo de financiamento, o litígio previdenciário perde eficiência.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art. 195, caput, da Constituição Federal estabelece o financiamento da seguridade social por toda a sociedade, de forma direta e indireta. Para o RGPS, a fonte primária são as contribuições dos empregadores sobre a folha de salários e dos trabalhadores sobre a remuneração — a tríplice forma de custeio que sustenta o financiamento solidário.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princípio da equidade na forma de participação no custeio (art. 194, parágrafo único, V, CF/88) determina que a contribuição deve ser proporcional à capacidade contributiva do segurado. A EC 103/2019 levou esse princípio às últimas consequências ao instituir alíquotas progressivas para o segurado empregado, doméstico e trabalhador avulso — tema central deste capítulo.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Além da equidade, dois outros princípios constitucionais norteiam o custeio previdenciário. O princípio da preexistência do custeio (art. 195, § 5º, CF/88), segundo o qual nenhum benefício pode ser criado, majorado ou estendido sem a correspondente fonte de custeio total, funciona como freio à expansão irresponsável da cobertura. E o princípio da diversidade da base de financiamento (art. 194, parágrafo único, VI, CF/88) distribui os encargos entre diversas fontes, reduzindo a vulnerabilidade do sistema a oscilações em uma única base tributária.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Essas regras de custeio ganham vida concreta quando se percebe que uma contribuição não recolhida pode impedir a aposentadoria de um trabalhador com 35 anos de labor, ou que uma complementação de R$ 3.000 pode viabilizar economicamente um benefício vitalício. Na prática dos JEFs, verificamos que boa parte das demandas previdenciárias tem, em seu núcleo, uma questão de custeio mal resolvida na via administrativa. O capítulo organiza-se em blocos temáticos. Primeiro, examinamos as contribuições por categoria de segurado (empregado, contribuinte individual, MEI, facultativo, doméstico, segurado especial) e a contribuição patronal. Em seguida, tratamos do salário de contribuição como base de cálculo e dos mecanismos de regularização (contribuição em atraso, complementação, retenção). Por fim, abordamos temas transversais, fiscalização, imunidades, restituição e os aspectos práticos nos JEFs.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4.2 Alíquotas progressivas do segurado empregado</w:t>
      </w:r>
    </w:p>
    <w:p>
      <w:pPr>
        <w:spacing w:before="260" w:after="80" w:line="240" w:lineRule="auto"/>
        <w:jc w:val="left"/>
      </w:pPr>
      <w:r>
        <w:rPr>
          <w:rFonts w:ascii="EB Garamond" w:hAnsi="EB Garamond" w:cs="EB Garamond"/>
          <w:b/>
          <w:i w:val="0"/>
          <w:color w:val="3A3128"/>
          <w:sz w:val="25"/>
          <w:lang w:val="pt-BR" w:bidi="ar-SA"/>
          <w:kern w:val="16"/>
          <w14:ligatures w14:val="standardContextual"/>
        </w:rPr>
        <w:t>4.2.1 O modelo anterior à EC 103/2019</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ntes da Reforma da Previdência, vigoravam três faixas com alíquotas de 8%, 9% e 11%, aplicadas sobre o total da remuneração conforme a faixa salarial em que o segurado se enquadrava. O sistema era proporcional (alíquota única sobre toda a remuneração), não progressivo. Um empregado que recebesse um centavo acima do limite inferior da faixa seguinte já pagava a alíquota superior sobre toda a remuneração, gerando distorções nos valores líquidos de salários próximos às faixas de transição.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Esse modelo vigorou por décadas e gerava o chamado "efeito degrau": um aumento salarial nominal podia resultar em redução do salário líquido quando o segurado mudava de faixa. A EC 103/2019 corrigiu essa distorção adotando a progressividade por faixas.</w:t>
      </w:r>
    </w:p>
    <w:p>
      <w:pPr>
        <w:spacing w:before="260" w:after="80" w:line="240" w:lineRule="auto"/>
        <w:jc w:val="left"/>
      </w:pPr>
      <w:r>
        <w:rPr>
          <w:rFonts w:ascii="EB Garamond" w:hAnsi="EB Garamond" w:cs="EB Garamond"/>
          <w:b/>
          <w:i w:val="0"/>
          <w:color w:val="3A3128"/>
          <w:sz w:val="25"/>
          <w:lang w:val="pt-BR" w:bidi="ar-SA"/>
          <w:kern w:val="16"/>
          <w14:ligatures w14:val="standardContextual"/>
        </w:rPr>
        <w:t>4.2.2 O modelo progressivo pós-EC 103/2019</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EC 103/2019 introduziu a progressividade por faixas, inspirada na sistemática do Imposto de Renda. Registre-se que o art. 28 da EC 103/2019 disciplina primariamente as alíquotas progressivas do RPPS (servidores públicos federais). Para o RGPS, as alíquotas progressivas foram inseridas no art. 28, § 1º, da Lei 8.212/91, com redação dada pela própria EC 103/2019. A contribuição incide de forma escalonada: cada parcela da remuneração é tributada pela alíquota correspondente à sua faixa. As alíquotas são:</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Faixa</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Base de cálculo (2026)</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Alíquota</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1ª</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Até R$ 1.621,00 (1 SM)</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7,5%</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2ª</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De R$ 1.621,01 até R$ 2.902,84</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9,0%</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3ª</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De R$ 2.902,85 até R$ 4.354,27</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12,0%</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4ª</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De R$ 4.354,28 até R$ 8.475,55 (teto)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14,0%</w:t>
            </w: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Atenção:</w:t>
            </w:r>
            <w:r>
              <w:rPr>
                <w:rFonts w:ascii="EB Garamond" w:hAnsi="EB Garamond" w:cs="EB Garamond"/>
                <w:b w:val="0"/>
                <w:i w:val="0"/>
                <w:color w:val="201B16"/>
                <w:sz w:val="19"/>
                <w:lang w:val="pt-BR" w:bidi="ar-SA"/>
                <w:kern w:val="16"/>
                <w14:ligatures w14:val="standardContextual"/>
              </w:rPr>
              <w:t xml:space="preserve"> Os valores das faixas são atualizados anualmente por portaria interministerial. Os valores acima referem-se ao exercício de 2026 (Portaria Interministerial MPS/MF n. 13, de 09/01/2026). A alíquota é aplicada POR FAIXA, não sobre o total da remuneração. Um segurado que receba R$ 4.000,00 não paga 12% sobre R$ 4.000,00. Paga 7,5% sobre a primeira faixa, 9% sobre a segunda e 12% sobre o excedente até seu salário.</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4.2.3 Cálculo prático da contribuição por faixas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mecanismo de aplicação por faixas opera da seguinte forma: cada parcela da remuneração correspondente a determinada faixa recebe incidência apenas da alíquota respectiva. Esse procedimento resulta numa alíquota efetiva inferior à alíquota nominal da faixa em que o segurado se enquadra.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Nos exemplos a seguir, adotamos um único critério de arredondamento para todo o capítulo: a contribuição de cada faixa é arredondada para dois decimais pelo critério do meio para cima (arredondamento comercial — a terceira casa igual ou superior a 5 eleva a segunda), e o total é a soma das parcelas já arredondadas. É por isso que a 1ª faixa de R$ 1.621,00 (R$ 1.621,00 × 7,5% = R$ 121,575) aparece como R$ 121,58. Diferenças de centavo entre eventuais sistemas de folha decorrem apenas da escolha entre arredondar ou truncar; a metodologia adotada aqui é uniforme em todas as tabelas.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Exemplo de cálculo — Segurado empregado com remuneração de R$ 4.000,00 (2026):</w:t>
            </w:r>
          </w:p>
          <w:tbl>
            <w:tblPr>
              <w:tblW w:type="auto" w:w="0"/>
              <w:jc w:val="center"/>
              <w:tblLook w:firstColumn="1" w:firstRow="1" w:lastColumn="0" w:lastRow="0" w:noHBand="0" w:noVBand="1" w:val="04A0"/>
              <w:tblW w:w="5000" w:type="pct"/>
            </w:tblPr>
            <w:tblGrid>
              <w:gridCol w:w="1587"/>
              <w:gridCol w:w="1587"/>
              <w:gridCol w:w="1587"/>
              <w:gridCol w:w="1587"/>
            </w:tblGrid>
            <w:tr>
              <w:trPr>
                <w:tblHeader/>
              </w:trPr>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Faixa</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Base</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Alíquota</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Contribuição</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1ª</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R$ 1.621,00</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7,5%</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R$ 121,58</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2ª</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R$ 1.281,84 (2.902,84 - 1.621,00)</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9,0%</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R$ 115,37</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3ª</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R$ 1.097,16 (4.000,00 - 2.902,84)</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12,0%</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R$ 131,66</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4ª</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14,0%</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Total</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R$ 4.000,00</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Efetiva: 9,22%</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R$ 368,61</w:t>
                  </w:r>
                </w:p>
              </w:tc>
            </w:tr>
          </w:tbl>
          <w:p/>
          <w:p>
            <w:pPr>
              <w:spacing w:before="0" w:after="0" w:line="240" w:lineRule="auto"/>
            </w:pPr>
          </w:p>
          <w:p>
            <w:pPr>
              <w:spacing w:before="0" w:after="60" w:line="247" w:lineRule="auto"/>
              <w:jc w:val="both"/>
            </w:pPr>
            <w:r>
              <w:rPr>
                <w:rFonts w:ascii="EB Garamond" w:hAnsi="EB Garamond" w:cs="EB Garamond"/>
                <w:b w:val="0"/>
                <w:i w:val="0"/>
                <w:color w:val="201B16"/>
                <w:sz w:val="19"/>
                <w:lang w:val="pt-BR" w:bidi="ar-SA"/>
                <w:kern w:val="16"/>
                <w14:ligatures w14:val="standardContextual"/>
              </w:rPr>
              <w:t>Se o modelo antigo estivesse em vigor, esse segurado pagaria 11% sobre R$ 4.000,00 = R$ 440,00. A economia com a progressividade é de R$ 71,39/mês.</w:t>
            </w:r>
          </w:p>
          <w:p>
            <w:pPr>
              <w:spacing w:before="0" w:after="60" w:line="247" w:lineRule="auto"/>
              <w:jc w:val="both"/>
            </w:pPr>
            <w:r>
              <w:rPr>
                <w:rFonts w:ascii="EB Garamond" w:hAnsi="EB Garamond" w:cs="EB Garamond"/>
                <w:b/>
                <w:i w:val="0"/>
                <w:color w:val="201B16"/>
                <w:sz w:val="19"/>
                <w:lang w:val="pt-BR" w:bidi="ar-SA"/>
                <w:kern w:val="16"/>
                <w14:ligatures w14:val="standardContextual"/>
              </w:rPr>
              <w:t>Alíquota efetiva</w:t>
            </w:r>
            <w:r>
              <w:rPr>
                <w:rFonts w:ascii="EB Garamond" w:hAnsi="EB Garamond" w:cs="EB Garamond"/>
                <w:b w:val="0"/>
                <w:i w:val="0"/>
                <w:color w:val="201B16"/>
                <w:sz w:val="19"/>
                <w:lang w:val="pt-BR" w:bidi="ar-SA"/>
                <w:kern w:val="16"/>
                <w14:ligatures w14:val="standardContextual"/>
              </w:rPr>
              <w:t xml:space="preserve"> = contribuição total / remuneração = 368,61 / 4.000 = 9,22%</w:t>
            </w: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Exemplo de cálculo — Segurado empregado com remuneração no teto (R$ 8.475,55 em 2026):</w:t>
            </w:r>
          </w:p>
          <w:tbl>
            <w:tblPr>
              <w:tblW w:type="auto" w:w="0"/>
              <w:jc w:val="center"/>
              <w:tblLook w:firstColumn="1" w:firstRow="1" w:lastColumn="0" w:lastRow="0" w:noHBand="0" w:noVBand="1" w:val="04A0"/>
              <w:tblW w:w="5000" w:type="pct"/>
            </w:tblPr>
            <w:tblGrid>
              <w:gridCol w:w="1587"/>
              <w:gridCol w:w="1587"/>
              <w:gridCol w:w="1587"/>
              <w:gridCol w:w="1587"/>
            </w:tblGrid>
            <w:tr>
              <w:trPr>
                <w:tblHeader/>
              </w:trPr>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Faixa</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Base</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Alíquota</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Contribuição</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1ª</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R$ 1.621,00</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7,5%</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R$ 121,58</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2ª</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R$ 1.281,84</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9,0%</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R$ 115,37</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3ª</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R$ 1.451,43 (4.354,27 - 2.902,84)</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12,0%</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R$ 174,17</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4ª</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R$ 4.121,28 (8.475,55 - 4.354,27)</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14,0%</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R$ 576,98</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Total</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R$ 8.475,55</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Efetiva: 11,66%</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R$ 988,10</w:t>
                  </w:r>
                </w:p>
              </w:tc>
            </w:tr>
          </w:tbl>
          <w:p/>
          <w:p>
            <w:pPr>
              <w:spacing w:before="0" w:after="0" w:line="240" w:lineRule="auto"/>
            </w:pP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alíquota efetiva máxima é de aproximadamente 11,66%. Nenhum segurado empregado paga efetivamente 14% sobre toda a remuneração.</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4.2.4 Alíquota efetiva máxima e mínima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segurado que recebe exatamente 1 SM paga a alíquota efetiva mínima de 7,5% (R$ 121,58 em 2026). O segurado que recebe valor igual ou superior ao teto atinge a alíquota efetiva máxima, que não chega a 14% porque as faixas inferiores são tributadas com alíquotas menores. Com o teto de R$ 8.475,55 para 2026 (Portaria Interministerial MPS/MF n. 13, de 09/01/2026), a contribuição máxima do segurado empregado é de aproximadamente R$ 988,10, resultando em alíquota efetiva de cerca de 11,66%.</w:t>
      </w:r>
    </w:p>
    <w:p>
      <w:pPr>
        <w:spacing w:before="260" w:after="80" w:line="240" w:lineRule="auto"/>
        <w:jc w:val="left"/>
      </w:pPr>
      <w:r>
        <w:rPr>
          <w:rFonts w:ascii="EB Garamond" w:hAnsi="EB Garamond" w:cs="EB Garamond"/>
          <w:b/>
          <w:i w:val="0"/>
          <w:color w:val="3A3128"/>
          <w:sz w:val="25"/>
          <w:lang w:val="pt-BR" w:bidi="ar-SA"/>
          <w:kern w:val="16"/>
          <w14:ligatures w14:val="standardContextual"/>
        </w:rPr>
        <w:t>4.2.5 Vigência e regra de transição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regime progressivo entrou em vigor no primeiro dia do quarto mês seguinte ao da publicação da EC 103/2019 (publicada em 13/11/2019), ou seja, em 1º de março de 2020 (novembro conta como mês da publicação; os quatro meses seguintes são dezembro, janeiro, fevereiro e março). Não houve regra de transição para as alíquotas: a partir daquela data, todo empregado, doméstico e avulso passou a contribuir pelo sistema progressivo, independentemente da data de filiação ao RGPS.</w:t>
      </w:r>
    </w:p>
    <w:p>
      <w:pPr>
        <w:spacing w:before="260" w:after="80" w:line="240" w:lineRule="auto"/>
        <w:jc w:val="left"/>
      </w:pPr>
      <w:r>
        <w:rPr>
          <w:rFonts w:ascii="EB Garamond" w:hAnsi="EB Garamond" w:cs="EB Garamond"/>
          <w:b/>
          <w:i w:val="0"/>
          <w:color w:val="3A3128"/>
          <w:sz w:val="25"/>
          <w:lang w:val="pt-BR" w:bidi="ar-SA"/>
          <w:kern w:val="16"/>
          <w14:ligatures w14:val="standardContextual"/>
        </w:rPr>
        <w:t>4.2.6 Impacto no CNIS e na prova judicial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CNIS registra o salário de contribuição mensal do segurado, não a alíquota aplicada. Para fins de cálculo de benefícios, o que importa é o salário de contribuição (limitado ao teto), não o valor efetivamente recolhido como contribuição. A progressividade não altera o salário de benefício — ela apenas reduz o custo para o trabalhador. No JEF, esse ponto raramente gera controvérsia para empregados, pois o empregador é o responsável pelo recolhimento (art. 30, I, Lei 8.212/91). A questão torna-se relevante quando há divergência entre a remuneração efetiva e o valor registrado no CNIS, hipótese em que o segurado pode buscar a retificação judicial (tema tratado no Capítulo 5).</w:t>
      </w:r>
    </w:p>
    <w:p>
      <w:pPr>
        <w:spacing w:before="260" w:after="80" w:line="240" w:lineRule="auto"/>
        <w:jc w:val="left"/>
      </w:pPr>
      <w:r>
        <w:rPr>
          <w:rFonts w:ascii="EB Garamond" w:hAnsi="EB Garamond" w:cs="EB Garamond"/>
          <w:b/>
          <w:i w:val="0"/>
          <w:color w:val="3A3128"/>
          <w:sz w:val="25"/>
          <w:lang w:val="pt-BR" w:bidi="ar-SA"/>
          <w:kern w:val="16"/>
          <w14:ligatures w14:val="standardContextual"/>
        </w:rPr>
        <w:t>4.2.7 Evolução histórica das alíquotas do empregado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 alíquotas de contribuição do segurado empregado sofreram alterações sucessivas ao longo da história do RGPS. A evolução importa para o cálculo de benefícios com períodos contributivos anteriores, sobretudo nas revisões de aposentadorias concedidas antes da EC 103/2019.</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Nos primórdios do sistema, a contribuição do empregado era fixada pelas legislações dos Institutos de Aposentadoria e Pensão (IAPs) e, posteriormente, pela LOPS (Lei 3.807/60). Embora o Decreto-Lei 5.452/43 (CLT) tenha consolidado a legislação trabalhista, as contribuições previdenciárias eram regidas por normas específicas de cada instituto, geralmente em torno de 8% sobre o salário, sem progressividade. A Lei 8.212/91 manteve alíquotas proporcionais (não progressivas) de 8%, 9% e 11%, distribuídas em três faixas salariais. Essa estrutura permaneceu por quase 30 anos, com atualização periódica dos valores-limites das faixas por portaria ministerial.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EC 103/2019 rompeu com esse modelo ao adotar a progressividade por faixas, aproximando a contribuição previdenciária da sistemática do Imposto de Renda. A mudança dá concretude ao princípio da equidade na forma de participação no custeio (art. 194, V, CF/88): quem ganha mais, contribui proporcionalmente mais. A progressividade beneficia os segurados de baixa e média renda, que passaram a contribuir com alíquotas efetivas menores do que as anteriores.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o cálculo judicial de benefícios, o advogado deve atentar que o modelo de alíquotas não afeta o salário de contribuição (que é a remuneração, limitada ao teto), mas sim o valor efetivamente descontado do trabalhador. Ações que discutem o valor do benefício baseiam-se nos salários de contribuição registrados no CNIS, não nas alíquotas aplicadas em cada período.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Evolução das alíquotas do segurado empregado:</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Período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Alíquotas</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Sistema</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Até 1991</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8% fixa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Proporcional</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1991-2020 (Lei 8.212)</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8%, 9%, 11%</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Proporcional por faixa</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Mar/2020 em diante (EC 103)</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7,5%, 9%, 12%, 14%</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Progressivo por faixa</w:t>
                  </w:r>
                </w:p>
              </w:tc>
            </w:tr>
          </w:tbl>
          <w:p/>
          <w:p>
            <w:pPr>
              <w:spacing w:before="0" w:after="0" w:line="240" w:lineRule="auto"/>
            </w:pPr>
          </w:p>
          <w:p>
            <w:pPr>
              <w:spacing w:before="0" w:after="60" w:line="247" w:lineRule="auto"/>
              <w:jc w:val="both"/>
            </w:pPr>
            <w:r>
              <w:rPr>
                <w:rFonts w:ascii="EB Garamond" w:hAnsi="EB Garamond" w:cs="EB Garamond"/>
                <w:b/>
                <w:i w:val="0"/>
                <w:color w:val="201B16"/>
                <w:sz w:val="19"/>
                <w:lang w:val="pt-BR" w:bidi="ar-SA"/>
                <w:kern w:val="16"/>
                <w14:ligatures w14:val="standardContextual"/>
              </w:rPr>
              <w:t>Exemplo comparativo (salário R$ 4.000,00):</w:t>
            </w:r>
            <w:r>
              <w:rPr>
                <w:rFonts w:ascii="EB Garamond" w:hAnsi="EB Garamond" w:cs="EB Garamond"/>
                <w:b w:val="0"/>
                <w:i w:val="0"/>
                <w:color w:val="201B16"/>
                <w:sz w:val="19"/>
                <w:lang w:val="pt-BR" w:bidi="ar-SA"/>
                <w:kern w:val="16"/>
                <w14:ligatures w14:val="standardContextual"/>
              </w:rPr>
              <w:t xml:space="preserve"> - Sistema antigo (11% fixa): R$ 440,00 - Sistema progressivo (EC 103): R$ 368,61 - Economia para o segurado: R$ 71,39/mês (R$ 856,68/ano)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4.3 Contribuição patronal, RAT e FAP</w:t>
      </w:r>
    </w:p>
    <w:p>
      <w:pPr>
        <w:spacing w:before="260" w:after="80" w:line="240" w:lineRule="auto"/>
        <w:jc w:val="left"/>
      </w:pPr>
      <w:r>
        <w:rPr>
          <w:rFonts w:ascii="EB Garamond" w:hAnsi="EB Garamond" w:cs="EB Garamond"/>
          <w:b/>
          <w:i w:val="0"/>
          <w:color w:val="3A3128"/>
          <w:sz w:val="25"/>
          <w:lang w:val="pt-BR" w:bidi="ar-SA"/>
          <w:kern w:val="16"/>
          <w14:ligatures w14:val="standardContextual"/>
        </w:rPr>
        <w:t>4.3.1 Estrutura da contribuição do empregador</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contribuição patronal previdenciária é a principal fonte de custeio do RGPS e incide sobre a totalidade das remunerações pagas, devidas ou creditadas a qualquer título, durante o mês, aos segurados empregados e trabalhadores avulsos que prestem serviços à empresa. O art. 22, incisos I a III, da Lei 8.212/91 disciplina a contribuição patronal em três componentes (o inciso IV, que previa contribuição de 15% sobre o valor da nota fiscal de serviços prestados por cooperativas de trabalho, foi declarado inconstitucional pelo STF no Tema 166 — RE 595.838, j. 23/04/2014):</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a) </w:t>
      </w:r>
      <w:r>
        <w:rPr>
          <w:rFonts w:ascii="EB Garamond" w:hAnsi="EB Garamond" w:cs="EB Garamond"/>
          <w:b/>
          <w:i w:val="0"/>
          <w:color w:val="201B16"/>
          <w:sz w:val="21"/>
          <w:lang w:val="pt-BR" w:bidi="ar-SA"/>
          <w:kern w:val="16"/>
          <w14:ligatures w14:val="standardContextual"/>
        </w:rPr>
        <w:t>Contribuição básica (cota patronal):</w:t>
      </w:r>
      <w:r>
        <w:rPr>
          <w:rFonts w:ascii="EB Garamond" w:hAnsi="EB Garamond" w:cs="EB Garamond"/>
          <w:b w:val="0"/>
          <w:i w:val="0"/>
          <w:color w:val="201B16"/>
          <w:sz w:val="21"/>
          <w:lang w:val="pt-BR" w:bidi="ar-SA"/>
          <w:kern w:val="16"/>
          <w14:ligatures w14:val="standardContextual"/>
        </w:rPr>
        <w:t xml:space="preserve"> 20% sobre o total das remunerações pagas aos segurados empregados e avulsos (art. 22, I). Essa alíquota é fixa, não progressiva. Ao contrário da contribuição do segurado, que varia por faixa, o empregador paga 20% sobre toda a folha, sem limite de teto por segurado.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b) </w:t>
      </w:r>
      <w:r>
        <w:rPr>
          <w:rFonts w:ascii="EB Garamond" w:hAnsi="EB Garamond" w:cs="EB Garamond"/>
          <w:b/>
          <w:i w:val="0"/>
          <w:color w:val="201B16"/>
          <w:sz w:val="21"/>
          <w:lang w:val="pt-BR" w:bidi="ar-SA"/>
          <w:kern w:val="16"/>
          <w14:ligatures w14:val="standardContextual"/>
        </w:rPr>
        <w:t>RAT — Riscos Ambientais do Trabalho:</w:t>
      </w:r>
      <w:r>
        <w:rPr>
          <w:rFonts w:ascii="EB Garamond" w:hAnsi="EB Garamond" w:cs="EB Garamond"/>
          <w:b w:val="0"/>
          <w:i w:val="0"/>
          <w:color w:val="201B16"/>
          <w:sz w:val="21"/>
          <w:lang w:val="pt-BR" w:bidi="ar-SA"/>
          <w:kern w:val="16"/>
          <w14:ligatures w14:val="standardContextual"/>
        </w:rPr>
        <w:t xml:space="preserve"> Contribuição adicional destinada ao financiamento de aposentadorias especiais e benefícios decorrentes de acidentes de trabalho e doenças ocupacionais. O art. 22, II, da Lei 8.212/91 fixa as alíquotas em 1%, 2% ou 3%, conforme o grau de risco da atividade preponderante da empresa (leve, médio ou grave, respectivamente). A classificação do risco segue o CNAE (Classificação Nacional de Atividades Econômicas) da empresa, conforme o Anexo V do Decreto 3.048/99 (Regulamento da Previdência Social), com redação dada pelo Decreto 6.957/2009.</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c) </w:t>
      </w:r>
      <w:r>
        <w:rPr>
          <w:rFonts w:ascii="EB Garamond" w:hAnsi="EB Garamond" w:cs="EB Garamond"/>
          <w:b/>
          <w:i w:val="0"/>
          <w:color w:val="201B16"/>
          <w:sz w:val="21"/>
          <w:lang w:val="pt-BR" w:bidi="ar-SA"/>
          <w:kern w:val="16"/>
          <w14:ligatures w14:val="standardContextual"/>
        </w:rPr>
        <w:t>Contribuição sobre a remuneração de contribuintes individuais:</w:t>
      </w:r>
      <w:r>
        <w:rPr>
          <w:rFonts w:ascii="EB Garamond" w:hAnsi="EB Garamond" w:cs="EB Garamond"/>
          <w:b w:val="0"/>
          <w:i w:val="0"/>
          <w:color w:val="201B16"/>
          <w:sz w:val="21"/>
          <w:lang w:val="pt-BR" w:bidi="ar-SA"/>
          <w:kern w:val="16"/>
          <w14:ligatures w14:val="standardContextual"/>
        </w:rPr>
        <w:t xml:space="preserve"> 20% sobre o total das remunerações pagas ou creditadas a contribuintes individuais que prestem serviço à empresa (art. 22, III).</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Duas obrigações autônomas: a patronal e a do empregado não se confundem</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contribuição patronal (20%) incide sobre a folha de pagamento da empresa, sem limite de teto por empregado. A contribuição do empregado (7,5% a 14%) incide sobre a remuneração individual, limitada ao teto. As duas obrigações são autônomas e cumulativas. Assim, sobre uma remuneração de R$ 10.000,00 (acima do teto), o empregador paga 20% sobre R$ 10.000,00 (= R$ 2.000,00), enquanto o empregado contribui com ~R$ 988,10 (limitado ao teto de R$ 8.475,55).</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4.3.2 RAT: graus de risco e enquadramento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Riscos Ambientais do Trabalho (RAT), que substituiu a antiga denominação SAT (Seguro de Acidente do Trabalho), classifica as atividades econômicas em três graus de risco:</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Grau de risco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Alíquota RAT</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Exemplos</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Leve (1)</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Comércio varejista, serviços administrativos, tecnologia</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Médio (2)</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Indústria alimentícia, transporte, saúde</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Grave (3)</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3%</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Mineração, construção civil, metalurgia, petroquímica</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enquadramento é feito pelo CNAE da atividade preponderante da empresa, conforme o Anexo V do Decreto 3.048/99, com redação dada pelo Decreto 6.957/2009 (e alterações posteriores, inclusive pelo Decreto 10.410/2020). Atividade preponderante é aquela que ocupa o maior número de empregados na empresa, considerando todos os estabelecimentos (matriz e filiais).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forense, a classificação do grau de risco gera litígios frequentes na Justiça Federal (varas federais de execução fiscal, não JEFs), quando a empresa contesta a alíquota do RAT atribuída pela RFB. Nos JEFs, o impacto é indireto: o RAT financia as aposentadorias especiais (art. 57, § 6º, Lei 8.213/91), e sua arrecadação repercute na viabilidade atuarial desses benefícios.</w:t>
      </w:r>
    </w:p>
    <w:p>
      <w:pPr>
        <w:spacing w:before="260" w:after="80" w:line="240" w:lineRule="auto"/>
        <w:jc w:val="left"/>
      </w:pPr>
      <w:r>
        <w:rPr>
          <w:rFonts w:ascii="EB Garamond" w:hAnsi="EB Garamond" w:cs="EB Garamond"/>
          <w:b/>
          <w:i w:val="0"/>
          <w:color w:val="3A3128"/>
          <w:sz w:val="25"/>
          <w:lang w:val="pt-BR" w:bidi="ar-SA"/>
          <w:kern w:val="16"/>
          <w14:ligatures w14:val="standardContextual"/>
        </w:rPr>
        <w:t>4.3.3 FAP — fator acidentário de prevenção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FAP é um multiplicador que individualiza a alíquota do RAT para cada empresa, conforme seu histórico de acidentes do trabalho e doenças ocupacionais. Instituído pela Lei 10.666/2003 (art. 10) e regulamentado pelo Decreto 6.042/2007, o FAP varia de 0,5000 a 2,0000, funcionando como bônus (redução) ou malus (majoração) da alíquota do RAT.</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fórmula da contribuição acidentária individualizada é:</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Contribuição = Folha de pagamento × RAT × FAP</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Exemplo — Cálculo do RAT ajustado pelo FAP:</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Empresa de construção civil (CNAE 4120-4/00): - Folha de pagamento mensal: R$ 500.000,00 - RAT (grau grave): 3% - FAP atribuído: 1,8500 (empresa com alto índice de acidentes) - Alíquota efetiva: 3% × 1,8500 = 5,55% - Contribuição RAT mensal: R$ 500.000 × 5,55% = R$ 27.750,00</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Se a mesma empresa tivesse FAP de 0,5000 (poucos acidentes): - Alíquota efetiva: 3% × 0,5000 = 1,50% - Contribuição RAT mensal: R$ 500.000 × 1,50% = R$ 7.500,00</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diferença é de R$ 20.250,00/mês — incentivo econômico expressivo para investimento em prevenção de acidentes. Na nossa experiência, a política de bônus-malus do FAP é o mecanismo mais eficaz de indução à prevenção de acidentes no direito previdenciário brasileiro.</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FAP é calculado anualmente pela Previdência Social com base nos dados de acidentes e benefícios acidentários dos dois anos anteriores, sendo disponibilizado em setembro para vigência no exercício seguinte. A empresa pode contestar o FAP atribuído no prazo de 30 dias da publicação, por meio de formulário eletrônico (Portal da Previdência Social).</w:t>
      </w:r>
    </w:p>
    <w:p>
      <w:pPr>
        <w:spacing w:before="260" w:after="80" w:line="240" w:lineRule="auto"/>
        <w:jc w:val="left"/>
      </w:pPr>
      <w:r>
        <w:rPr>
          <w:rFonts w:ascii="EB Garamond" w:hAnsi="EB Garamond" w:cs="EB Garamond"/>
          <w:b/>
          <w:i w:val="0"/>
          <w:color w:val="3A3128"/>
          <w:sz w:val="25"/>
          <w:lang w:val="pt-BR" w:bidi="ar-SA"/>
          <w:kern w:val="16"/>
          <w14:ligatures w14:val="standardContextual"/>
        </w:rPr>
        <w:t>4.3.4 RAT ajustado e aposentadoria especial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financiamento da aposentadoria especial (art. 57 e 58 da Lei 8.213/91) é feito por meio do acréscimo sobre o RAT, previsto no art. 22, § 6º, da Lei 8.212/91. As alíquotas adicionais são:</w:t>
      </w:r>
    </w:p>
    <w:tbl>
      <w:tblPr>
        <w:tblW w:type="auto" w:w="0"/>
        <w:jc w:val="center"/>
        <w:tblLook w:firstColumn="1" w:firstRow="1" w:lastColumn="0" w:lastRow="0" w:noHBand="0" w:noVBand="1" w:val="04A0"/>
        <w:tblW w:w="5000" w:type="pct"/>
      </w:tblPr>
      <w:tblGrid>
        <w:gridCol w:w="3175"/>
        <w:gridCol w:w="3175"/>
      </w:tblGrid>
      <w:tr>
        <w:trPr>
          <w:tblHeader/>
        </w:trPr>
        <w:tc>
          <w:tcPr>
            <w:tcW w:type="dxa" w:w="3175"/>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Tempo especial</w:t>
            </w:r>
          </w:p>
        </w:tc>
        <w:tc>
          <w:tcPr>
            <w:tcW w:type="dxa" w:w="3175"/>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Adicional sobre RAT</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15 anos</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12%</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 anos</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25 anos</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E</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ssas alíquotas incidem sobre a remuneração dos segurados expostos a agentes nocivos que ensejam aposentadoria especial. A empresa é obrigada a informar esses segurados no PPP (Perfil Profissiográfico Previdenciário) e no eSocial (evento S-2240 — Condições Ambientais do Trabalho), com indicação dos agentes nocivos e do período de exposição.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A omissão do empregador no recolhimento do adicional não prejudica o segurado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ausência de recolhimento do adicional de RAT pelo empregador NÃO pode prejudicar o segurado na concessão da aposentadoria especial. A contribuição adicional destinada ao custeio da aposentadoria especial é encargo exclusivo da empresa (art. 22, II, da Lei 8.212/91, com os acréscimos do art. 57, §§ 6º e 7º, da Lei 8.213/91), e não parcela descontada do segurado; a responsabilidade pelo recolhimento é do empregador, e o segurado não pode ser penalizado por omissão que não é sua. Nos JEFs, o INSS frequentemente nega a aposentadoria especial alegando ausência de recolhimento do adicional, conduta reiteradamente rechaçada pela jurisprudência. O tema é aprofundado no Capítulo 8 (Aposentadoria Especial).</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4.3.5 Contribuição patronal sobre a remuneração de contribuintes individuais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lém da contribuição sobre empregados e avulsos, a empresa deve recolher 20% sobre o total das remunerações pagas ou creditadas a contribuintes individuais que lhe prestem serviço (art. 22, III, Lei 8.212/91). Essa obrigação abrange:</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Profissionais autônomos contratados pela empresa (médicos, advogados, engenheiros, consultores)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Cooperados que prestam serviço à empresa por intermédio de cooperativa de trabalho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Transportadores autônomos (sobre 20% do valor do frete — base reduzida pelo art. 201, § 4º, Decreto 3.048/99)</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contribuição patronal sobre o CI é adicional à retenção de 11% que a empresa faz da remuneração do próprio CI (art. 216, § 26, Decreto 3.048/99). São obrigações distintas: a retenção é da contribuição do CI (descontada dele); a patronal é ônus da empresa.</w:t>
      </w:r>
    </w:p>
    <w:p>
      <w:pPr>
        <w:spacing w:before="260" w:after="80" w:line="240" w:lineRule="auto"/>
        <w:jc w:val="left"/>
      </w:pPr>
      <w:r>
        <w:rPr>
          <w:rFonts w:ascii="EB Garamond" w:hAnsi="EB Garamond" w:cs="EB Garamond"/>
          <w:b/>
          <w:i w:val="0"/>
          <w:color w:val="3A3128"/>
          <w:sz w:val="25"/>
          <w:lang w:val="pt-BR" w:bidi="ar-SA"/>
          <w:kern w:val="16"/>
          <w14:ligatures w14:val="standardContextual"/>
        </w:rPr>
        <w:t>4.3.6 Contribuição sobre a receita bruta: COFINS e PIS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E</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mbora não sejam contribuições previdenciárias em sentido estrito, as contribuições sociais sobre a receita bruta (COFINS — art. 195, I, b, CF/88) e sobre o faturamento (PIS/PASEP) integram o financiamento da seguridade social como um todo. A COFINS é destinada ao financiamento da seguridade social (saúde, previdência e assistência), enquanto o PIS/PASEP financia o seguro-desemprego e o abono salarial.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o advogado previdenciarista, a relevância dessas contribuições é sobretudo conceitual: quando se debate a sustentabilidade do sistema previdenciário, é preciso considerar que o RGPS não é financiado exclusivamente pelas contribuições sobre a folha de salários. As contribuições sobre receita, lucro e importação compõem o orçamento da seguridade social e devem ser computadas na análise do equilíbrio atuarial do regime.</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4.4 Desoneração da folha de pagamento e CPRB</w:t>
      </w:r>
    </w:p>
    <w:p>
      <w:pPr>
        <w:spacing w:before="260" w:after="80" w:line="240" w:lineRule="auto"/>
        <w:jc w:val="left"/>
      </w:pPr>
      <w:r>
        <w:rPr>
          <w:rFonts w:ascii="EB Garamond" w:hAnsi="EB Garamond" w:cs="EB Garamond"/>
          <w:b/>
          <w:i w:val="0"/>
          <w:color w:val="3A3128"/>
          <w:sz w:val="25"/>
          <w:lang w:val="pt-BR" w:bidi="ar-SA"/>
          <w:kern w:val="16"/>
          <w14:ligatures w14:val="standardContextual"/>
        </w:rPr>
        <w:t>4.4.1 Conceito e fundamento legal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desoneração da folha de pagamento consiste na substituição da contribuição patronal de 20% sobre a folha de salários por uma contribuição sobre a receita bruta (CPRB — Contribuição Previdenciária sobre a Receita Bruta). Instituída originalmente pela Lei 12.546/2011 como medida temporária de estímulo econômico no âmbito do Plano Brasil Maior, a desoneração foi prorrogada diversas vezes e permanece vigente em 2026 para setores específicos da economia, conforme a Lei 14.784/2023 (com prorrogação e reoneração gradual estabelecida pela Lei 14.973/2024).</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lógica econômica da desoneração é simples: empresas com alta intensidade de mão de obra (folha de pagamento proporcionalmente elevada em relação à receita) pagavam contribuição patronal desproporcional. Ao substituir a base "folha" pela base "receita", a desoneração redistribui o ônus: empresas intensivas em trabalho pagam menos; empresas com alta receita e poucos empregados pagam proporcionalmente mais. A opção pela CPRB é facultativa para os setores contemplados.</w:t>
      </w:r>
    </w:p>
    <w:p>
      <w:pPr>
        <w:spacing w:before="260" w:after="80" w:line="240" w:lineRule="auto"/>
        <w:jc w:val="left"/>
      </w:pPr>
      <w:r>
        <w:rPr>
          <w:rFonts w:ascii="EB Garamond" w:hAnsi="EB Garamond" w:cs="EB Garamond"/>
          <w:b/>
          <w:i w:val="0"/>
          <w:color w:val="3A3128"/>
          <w:sz w:val="25"/>
          <w:lang w:val="pt-BR" w:bidi="ar-SA"/>
          <w:kern w:val="16"/>
          <w14:ligatures w14:val="standardContextual"/>
        </w:rPr>
        <w:t>4.4.2 Alíquotas e setores beneficiados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Lei 12.546/2011 (com alterações subsequentes) estabelece duas alíquotas de CPRB, conforme o setor:</w:t>
      </w:r>
    </w:p>
    <w:tbl>
      <w:tblPr>
        <w:tblW w:type="auto" w:w="0"/>
        <w:jc w:val="center"/>
        <w:tblLook w:firstColumn="1" w:firstRow="1" w:lastColumn="0" w:lastRow="0" w:noHBand="0" w:noVBand="1" w:val="04A0"/>
        <w:tblW w:w="5000" w:type="pct"/>
      </w:tblPr>
      <w:tblGrid>
        <w:gridCol w:w="3175"/>
        <w:gridCol w:w="3175"/>
      </w:tblGrid>
      <w:tr>
        <w:trPr>
          <w:tblHeader/>
        </w:trPr>
        <w:tc>
          <w:tcPr>
            <w:tcW w:type="dxa" w:w="3175"/>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Alíquota CPRB</w:t>
            </w:r>
          </w:p>
        </w:tc>
        <w:tc>
          <w:tcPr>
            <w:tcW w:type="dxa" w:w="3175"/>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Setores</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 sobre receita bruta</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Empresas de TI/TIC (tecnologia da informação), call centers, fabricantes de veículos, máquinas e equipamentos</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 sobre receita bruta</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Empresas de construção civil, transporte rodoviário, comunicação, confecções, calçados</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C</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om a reoneração gradual prevista na Lei 14.973/2024, as alíquotas de CPRB serão progressivamente reduzidas enquanto a contribuição sobre a folha retorna gradualmente:</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Ano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CPRB (% aplicável)</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Contribuição sobre folha (% da patronal padrão)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2024</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0% (substituição total)</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80%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25% (sobre folha = 5% efetivos)</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2026</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50% (sobre folha = 10% efetivos)</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2027</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40%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75% (sobre folha = 15% efetivos)</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2028</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0% (extinção da CPRB)</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 (retorno à patronal integral de 20%)</w:t>
            </w: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Atenção — Reoneração gradual a partir de 2026:</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Lei 14.973/2024 estabeleceu cronograma de reoneração gradual entre 2025 e 2027 (art. 9º-A da Lei 12.546/2011), com extinção da CPRB a partir de 2028. Contudo, a trajetória depende da manutenção da lei — prorrogações legislativas são recorrentes nessa matéria. Em 2026, as empresas dos setores contemplados aplicam 60% das alíquotas de CPRB e recolhem 50% da contribuição patronal sobre a folha (10% efetivos), sem incidência sobre o décimo terceiro salário durante a transição (art. 9º-A, § 1º).</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4.4.3 Impacto da desoneração no CNIS e nos benefícios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desoneração da folha não afeta diretamente o valor dos benefícios do segurado. O salário de contribuição do empregado permanece inalterado — a desoneração substitui apenas a parcela patronal, mantendo integralmente a contribuição do segurado (alíquotas progressivas). O CNIS registra normalmente a remuneração e a contribuição do empregado, independentemente de o empregador ter optado pela CPRB ou pela contribuição sobre a folha.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Nos JEFs, a desoneração pode surgir como questão incidental em ações de restituição propostas por empresas que optaram pela CPRB e posteriormente constataram recolhimento a maior (dupla incidência — folha + receita bruta). Porém, essas ações geralmente ultrapassam o teto de 60 SM e tramitam nas varas federais ordinárias, não nos JEFs.</w:t>
      </w:r>
    </w:p>
    <w:p>
      <w:pPr>
        <w:spacing w:before="260" w:after="80" w:line="240" w:lineRule="auto"/>
        <w:jc w:val="left"/>
      </w:pPr>
      <w:r>
        <w:rPr>
          <w:rFonts w:ascii="EB Garamond" w:hAnsi="EB Garamond" w:cs="EB Garamond"/>
          <w:b/>
          <w:i w:val="0"/>
          <w:color w:val="3A3128"/>
          <w:sz w:val="25"/>
          <w:lang w:val="pt-BR" w:bidi="ar-SA"/>
          <w:kern w:val="16"/>
          <w14:ligatures w14:val="standardContextual"/>
        </w:rPr>
        <w:t>4.4.4 Relevância para o segurado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E</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mbora a desoneração seja primariamente uma questão tributária do empregador, o advogado previdenciarista deve compreender o instituto por três razões práticas: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a) </w:t>
      </w:r>
      <w:r>
        <w:rPr>
          <w:rFonts w:ascii="EB Garamond" w:hAnsi="EB Garamond" w:cs="EB Garamond"/>
          <w:b/>
          <w:i w:val="0"/>
          <w:color w:val="201B16"/>
          <w:sz w:val="21"/>
          <w:lang w:val="pt-BR" w:bidi="ar-SA"/>
          <w:kern w:val="16"/>
          <w14:ligatures w14:val="standardContextual"/>
        </w:rPr>
        <w:t>Planejamento empresarial de clientes CI/MEI:</w:t>
      </w:r>
      <w:r>
        <w:rPr>
          <w:rFonts w:ascii="EB Garamond" w:hAnsi="EB Garamond" w:cs="EB Garamond"/>
          <w:b w:val="0"/>
          <w:i w:val="0"/>
          <w:color w:val="201B16"/>
          <w:sz w:val="21"/>
          <w:lang w:val="pt-BR" w:bidi="ar-SA"/>
          <w:kern w:val="16"/>
          <w14:ligatures w14:val="standardContextual"/>
        </w:rPr>
        <w:t xml:space="preserve"> Empresários que migram de MEI para microempresa precisam decidir entre a contribuição patronal convencional e a CPRB (quando o setor for contemplado), o que afeta o custo total da operação.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b) </w:t>
      </w:r>
      <w:r>
        <w:rPr>
          <w:rFonts w:ascii="EB Garamond" w:hAnsi="EB Garamond" w:cs="EB Garamond"/>
          <w:b/>
          <w:i w:val="0"/>
          <w:color w:val="201B16"/>
          <w:sz w:val="21"/>
          <w:lang w:val="pt-BR" w:bidi="ar-SA"/>
          <w:kern w:val="16"/>
          <w14:ligatures w14:val="standardContextual"/>
        </w:rPr>
        <w:t>Ações de retificação de CNIS:</w:t>
      </w:r>
      <w:r>
        <w:rPr>
          <w:rFonts w:ascii="EB Garamond" w:hAnsi="EB Garamond" w:cs="EB Garamond"/>
          <w:b w:val="0"/>
          <w:i w:val="0"/>
          <w:color w:val="201B16"/>
          <w:sz w:val="21"/>
          <w:lang w:val="pt-BR" w:bidi="ar-SA"/>
          <w:kern w:val="16"/>
          <w14:ligatures w14:val="standardContextual"/>
        </w:rPr>
        <w:t xml:space="preserve"> Empregados de empresas desoneradas podem encontrar divergências no CNIS se o empregador declarou incorretamente a base no eSocial durante a transição entre regimes (folha vs. Receita).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c) </w:t>
      </w:r>
      <w:r>
        <w:rPr>
          <w:rFonts w:ascii="EB Garamond" w:hAnsi="EB Garamond" w:cs="EB Garamond"/>
          <w:b/>
          <w:i w:val="0"/>
          <w:color w:val="201B16"/>
          <w:sz w:val="21"/>
          <w:lang w:val="pt-BR" w:bidi="ar-SA"/>
          <w:kern w:val="16"/>
          <w14:ligatures w14:val="standardContextual"/>
        </w:rPr>
        <w:t>Discussão sobre equilíbrio atuarial:</w:t>
      </w:r>
      <w:r>
        <w:rPr>
          <w:rFonts w:ascii="EB Garamond" w:hAnsi="EB Garamond" w:cs="EB Garamond"/>
          <w:b w:val="0"/>
          <w:i w:val="0"/>
          <w:color w:val="201B16"/>
          <w:sz w:val="21"/>
          <w:lang w:val="pt-BR" w:bidi="ar-SA"/>
          <w:kern w:val="16"/>
          <w14:ligatures w14:val="standardContextual"/>
        </w:rPr>
        <w:t xml:space="preserve"> Em ações que envolvem a constitucionalidade de regras previdenciárias, a desoneração é frequentemente invocada como argumento de que o déficit previdenciário decorre de renúncias fiscais concedidas pelo governo, não da generosidade dos benefícios — argumento relevante em ações de revisão (Capítulo 17).</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4.5 Contribuição do contribuinte individual</w:t>
      </w:r>
    </w:p>
    <w:p>
      <w:pPr>
        <w:spacing w:before="260" w:after="80" w:line="240" w:lineRule="auto"/>
        <w:jc w:val="left"/>
      </w:pPr>
      <w:r>
        <w:rPr>
          <w:rFonts w:ascii="EB Garamond" w:hAnsi="EB Garamond" w:cs="EB Garamond"/>
          <w:b/>
          <w:i w:val="0"/>
          <w:color w:val="3A3128"/>
          <w:sz w:val="25"/>
          <w:lang w:val="pt-BR" w:bidi="ar-SA"/>
          <w:kern w:val="16"/>
          <w14:ligatures w14:val="standardContextual"/>
        </w:rPr>
        <w:t>4.5.1 Regra geral: 20% sobre a remuneração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contribuinte individual (CI), autônomo, empresário, profissional liberal, recolhe 20% sobre sua remuneração mensal, observados o piso (SM) e o teto (limite máximo do salário de contribuição). Diferentemente do empregado, cuja contribuição é retida na fonte pelo empregador, o CI é responsável pelo próprio recolhimento, o que gera frequentes irregularidades e lacunas contributivas.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art. 21, caput, da Lei 8.212/91 fixa essa alíquota de 20%. A base de cálculo é a remuneração auferida no mês, respeitados os limites mínimo e máximo. Se o CI recebe R$ 3.000,00 em determinado mês, recolhe R$ 600,00 (20% de R$ 3.000,00). Se recebe acima do teto, recolhe 20% sobre o teto.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Atenção:</w:t>
            </w:r>
            <w:r>
              <w:rPr>
                <w:rFonts w:ascii="EB Garamond" w:hAnsi="EB Garamond" w:cs="EB Garamond"/>
                <w:b w:val="0"/>
                <w:i w:val="0"/>
                <w:color w:val="201B16"/>
                <w:sz w:val="19"/>
                <w:lang w:val="pt-BR" w:bidi="ar-SA"/>
                <w:kern w:val="16"/>
                <w14:ligatures w14:val="standardContextual"/>
              </w:rPr>
              <w:t xml:space="preserve"> O CI que presta serviço a uma ou mais empresas tem tratamento diferenciado. A empresa contratante é obrigada a reter 11% da remuneração paga ao CI (art. 216, § 26, Decreto 3.048/99), limitado ao teto. O CI pode abater esse valor do total devido (20%), recolhendo apenas os 9% restantes sobre a mesma base. Se o total retido pelas empresas já equivale a 20% do teto, nada mais é devido pelo CI naquele mês.</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4.5.2 Plano simplificado: 11% sobre o salário-mínimo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I</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nstituído pela LC 123/2006 e previsto no art. 21, § 2º, da Lei 8.212/91, o plano simplificado permite que o CI sem relação de trabalho com empresa (autônomo conta-própria) recolha apenas 11% sobre o salário-mínimo. Em 2026, isso equivale a R$ 178,31/mês (11% x R$ 1.621,00).</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contrapartida é significativa: o segurado que opta pelo plano simplificado não tem direito à aposentadoria por tempo de contribuição. Somente poderá obter aposentadoria por idade (quando cumprir a idade mínima e a carência de 180 contribuições) ou aposentadoria programada nos termos da EC 103/2019.</w:t>
      </w:r>
    </w:p>
    <w:p>
      <w:pPr>
        <w:spacing w:before="260" w:after="80" w:line="240" w:lineRule="auto"/>
        <w:jc w:val="left"/>
      </w:pPr>
      <w:r>
        <w:rPr>
          <w:rFonts w:ascii="EB Garamond" w:hAnsi="EB Garamond" w:cs="EB Garamond"/>
          <w:b/>
          <w:i w:val="0"/>
          <w:color w:val="3A3128"/>
          <w:sz w:val="25"/>
          <w:lang w:val="pt-BR" w:bidi="ar-SA"/>
          <w:kern w:val="16"/>
          <w14:ligatures w14:val="standardContextual"/>
        </w:rPr>
        <w:t>4.5.3 Quem pode optar pelo plano simplificado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21, § 2º, Lei 8.212/91, com redação dada pela LC 123/2006, restringe o plano simplificado ao contribuinte individual que trabalha por conta própria, sem relação de trabalho com empresa ou equiparado. Na prática, enquadram-se:</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Profissionais liberais que atendem apenas pessoas físicas (encanador, eletricista, diarista que não é doméstico)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Comerciantes informais sem CNPJ</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Prestadores de serviço eventual a pessoas físicas</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N</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ão pode optar pelo plano simplificado o CI que presta serviço a empresa, pois nesse caso a empresa já retém 11% e o segurado complementa até 20%.</w:t>
      </w:r>
    </w:p>
    <w:p>
      <w:pPr>
        <w:spacing w:before="260" w:after="80" w:line="240" w:lineRule="auto"/>
        <w:jc w:val="left"/>
      </w:pPr>
      <w:r>
        <w:rPr>
          <w:rFonts w:ascii="EB Garamond" w:hAnsi="EB Garamond" w:cs="EB Garamond"/>
          <w:b/>
          <w:i w:val="0"/>
          <w:color w:val="3A3128"/>
          <w:sz w:val="25"/>
          <w:lang w:val="pt-BR" w:bidi="ar-SA"/>
          <w:kern w:val="16"/>
          <w14:ligatures w14:val="standardContextual"/>
        </w:rPr>
        <w:t>4.5.4 Tabela comparativa: planos do contribuinte individual</w:t>
      </w:r>
    </w:p>
    <w:tbl>
      <w:tblPr>
        <w:tblW w:type="auto" w:w="0"/>
        <w:jc w:val="center"/>
        <w:tblLook w:firstColumn="1" w:firstRow="1" w:lastColumn="0" w:lastRow="0" w:noHBand="0" w:noVBand="1" w:val="04A0"/>
        <w:tblW w:w="5000" w:type="pct"/>
      </w:tblPr>
      <w:tblGrid>
        <w:gridCol w:w="1270"/>
        <w:gridCol w:w="1270"/>
        <w:gridCol w:w="1270"/>
        <w:gridCol w:w="1270"/>
        <w:gridCol w:w="1270"/>
      </w:tblGrid>
      <w:tr>
        <w:trPr>
          <w:tblHeader/>
        </w:trPr>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Plano</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Base</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Alíquota</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Valor (2026)</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Aposentadoria por TC?</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Normal</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Remuneração (SM a teto)</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R$ 324,20 a R$ 1.695,11</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Sim</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Simplificado</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 SM</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11%</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R$ 178,31</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Com retenção</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Remuneração até teto</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11% (empresa) + 9% (CI)</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Variável</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Sim</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4.6 Retenção de 11% sobre o CI e cessão de mão de obra</w:t>
      </w:r>
    </w:p>
    <w:p>
      <w:pPr>
        <w:spacing w:before="260" w:after="80" w:line="240" w:lineRule="auto"/>
        <w:jc w:val="left"/>
      </w:pPr>
      <w:r>
        <w:rPr>
          <w:rFonts w:ascii="EB Garamond" w:hAnsi="EB Garamond" w:cs="EB Garamond"/>
          <w:b/>
          <w:i w:val="0"/>
          <w:color w:val="3A3128"/>
          <w:sz w:val="25"/>
          <w:lang w:val="pt-BR" w:bidi="ar-SA"/>
          <w:kern w:val="16"/>
          <w14:ligatures w14:val="standardContextual"/>
        </w:rPr>
        <w:t>4.6.1 Mecanismo da retenção obrigatória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empresa que contrata serviços de contribuinte individual é obrigada a reter 11% da remuneração paga, a título de contribuição previdenciária do CI (art. 4º, Lei 10.666/2003, c/c art. 216, § 26, Decreto 3.048/99). Essa retenção tem a natureza de antecipação. O CI que contribui pela alíquota de 20% deve recolher por GPS apenas a diferença de 9% sobre a mesma base. Se o CI presta serviço a diversas empresas no mesmo mês, a soma das retenções será abatida do total devido.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mecanismo de retenção transfere a responsabilidade operacional do recolhimento para a empresa, reduzindo a inadimplência. O CI que presta serviço exclusivamente a empresas pode sequer precisar recolher GPS própria, desde que as retenções de 11% atinjam o valor devido.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Exemplo — CI com múltiplas fontes pagadoras:</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Dra. Carla, médica, presta serviço como CI a três hospitais em janeiro/2026: - Hospital A: remuneração R$ 4.000,00 → retenção 11% = R$ 440,00 - Hospital B: remuneração R$ 3.500,00 → retenção 11% = R$ 385,00 - Hospital C: remuneração R$ 2.500,00 → retenção 11% = R$ 275,00</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Total da remuneração: R$ 10.000,00 (acima do teto de R$ 8.475,55) Total retido: R$ 1.100,00</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Contribuição devida: 20% sobre o teto = R$ 1.695,11 Total retido: R$ 1.100,00 Diferença a recolher por GPS (código 1007): R$ 595,11</w:t>
            </w:r>
          </w:p>
          <w:p>
            <w:pPr>
              <w:spacing w:before="0" w:after="60" w:line="247" w:lineRule="auto"/>
              <w:jc w:val="both"/>
            </w:pPr>
            <w:r>
              <w:rPr>
                <w:rFonts w:ascii="EB Garamond" w:hAnsi="EB Garamond" w:cs="EB Garamond"/>
                <w:b/>
                <w:i w:val="0"/>
                <w:color w:val="201B16"/>
                <w:sz w:val="19"/>
                <w:lang w:val="pt-BR" w:bidi="ar-SA"/>
                <w:kern w:val="16"/>
                <w14:ligatures w14:val="standardContextual"/>
              </w:rPr>
              <w:t>Observação:</w:t>
            </w:r>
            <w:r>
              <w:rPr>
                <w:rFonts w:ascii="EB Garamond" w:hAnsi="EB Garamond" w:cs="EB Garamond"/>
                <w:b w:val="0"/>
                <w:i w:val="0"/>
                <w:color w:val="201B16"/>
                <w:sz w:val="19"/>
                <w:lang w:val="pt-BR" w:bidi="ar-SA"/>
                <w:kern w:val="16"/>
                <w14:ligatures w14:val="standardContextual"/>
              </w:rPr>
              <w:t xml:space="preserve"> O CI deve acompanhar mensalmente as retenções para verificar se atingem o limite do teto. Quando a soma das remunerações ultrapassa o teto, o CI deve informar à empresa pagadora para que a retenção seja cessada ou reduzida a partir do limite. Na prática, essa comunicação raramente ocorre e o CI pode ter retenção a maior — situação que gera direito à restituição (seção 4.20).</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4.6.2 Retenção de 11% na cessão de mão de obra (art. 31, Lei 8.212/91)</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cessão de mão de obra é instituto distinto da contratação individual de CI. Quando uma empresa (cedente) coloca trabalhadores à disposição de outra empresa (contratante) para executar serviços contínuos, mediante cessão de mão de obra ou empreitada, a contratante é obrigada a reter 11% do valor bruto da nota fiscal ou fatura de prestação de serviços (art. 31 da Lei 8.212/91, com redação dada pela Lei 9.711/98).</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Essa retenção incide sobre o valor total dos serviços, não sobre a remuneração individual dos trabalhadores. A empresa cedente (prestadora de serviço) compensa o valor retido com as contribuições previdenciárias devidas sobre sua folha de pagamento.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Os serviços sujeitos à retenção do art. 31 estão listados no art. 117 da IN RFB 2.110/2022 e incluem, entre outros: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Limpeza, conservação e zeladoria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Vigilância e segurança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Construção civil (empreitada de mão de obra)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Manutenção de instalações e equipamentos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Transporte de valores e cargas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Portaria, recepção e ascensorista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Serviços de informática (quando há cessão de pessoal)</w:t>
      </w:r>
    </w:p>
    <w:p>
      <w:pPr>
        <w:spacing w:before="0" w:after="6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Atenção — Retenção do art. 31 vs. Retenção do CI:</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São institutos distintos com regimes jurídicos diferentes:</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Aspecto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Retenção CI (art. 216, §26, Dec. 3.048)</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Retenção art. 31 (Lei 8.212/91)</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Incidência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Remuneração do CI pessoa física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Nota fiscal da empresa prestadora</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Natureza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Contribuição do segurado CI</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Sub-rogação da contribuição patronal</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Alíquota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11%</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11% (regra) ou 3,5% (desonerada)</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Quem retém</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Empresa tomadora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Empresa contratante</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Quem é beneficiado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O CI (deduz de sua contribuição)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 empresa prestadora (compensa com folha)</w:t>
                  </w:r>
                </w:p>
              </w:tc>
            </w:tr>
          </w:tbl>
          <w:p/>
          <w:p>
            <w:pPr>
              <w:spacing w:before="0" w:after="0" w:line="240" w:lineRule="auto"/>
            </w:pPr>
          </w:p>
          <w:p>
            <w:pPr>
              <w:spacing w:before="0" w:after="60" w:line="247" w:lineRule="auto"/>
              <w:jc w:val="both"/>
            </w:pPr>
            <w:r>
              <w:rPr>
                <w:rFonts w:ascii="EB Garamond" w:hAnsi="EB Garamond" w:cs="EB Garamond"/>
                <w:b w:val="0"/>
                <w:i w:val="0"/>
                <w:color w:val="201B16"/>
                <w:sz w:val="19"/>
                <w:lang w:val="pt-BR" w:bidi="ar-SA"/>
                <w:kern w:val="16"/>
                <w14:ligatures w14:val="standardContextual"/>
              </w:rPr>
              <w:t>No JEF, a confusão entre os dois regimes pode gerar demandas equivocadas. O segurado (pessoa física) não é parte na relação de retenção do art. 31 — esta é relação entre empresas. Mas o segurado pode ser prejudicado se a empresa prestadora não repassar corretamente os valores ao CNIS.</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4.6.3 Retenção e prova no JEF</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N</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os JEFs, a retenção sobre o CI gera dois tipos de demanda: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a) </w:t>
      </w:r>
      <w:r>
        <w:rPr>
          <w:rFonts w:ascii="EB Garamond" w:hAnsi="EB Garamond" w:cs="EB Garamond"/>
          <w:b/>
          <w:i w:val="0"/>
          <w:color w:val="201B16"/>
          <w:sz w:val="21"/>
          <w:lang w:val="pt-BR" w:bidi="ar-SA"/>
          <w:kern w:val="16"/>
          <w14:ligatures w14:val="standardContextual"/>
        </w:rPr>
        <w:t>CNIS com divergência por retenção não repassada:</w:t>
      </w:r>
      <w:r>
        <w:rPr>
          <w:rFonts w:ascii="EB Garamond" w:hAnsi="EB Garamond" w:cs="EB Garamond"/>
          <w:b w:val="0"/>
          <w:i w:val="0"/>
          <w:color w:val="201B16"/>
          <w:sz w:val="21"/>
          <w:lang w:val="pt-BR" w:bidi="ar-SA"/>
          <w:kern w:val="16"/>
          <w14:ligatures w14:val="standardContextual"/>
        </w:rPr>
        <w:t xml:space="preserve"> A empresa reteve 11% do CI mas não repassou ao INSS. O CI tem direito ao cômputo do período porque a obrigação de recolher era da empresa (princípio da automaticidade). O segurado comprova a retenção com recibos de pagamento ou com a própria declaração de IR (que registra a retenção como "contribuição previdenciária").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b) </w:t>
      </w:r>
      <w:r>
        <w:rPr>
          <w:rFonts w:ascii="EB Garamond" w:hAnsi="EB Garamond" w:cs="EB Garamond"/>
          <w:b/>
          <w:i w:val="0"/>
          <w:color w:val="201B16"/>
          <w:sz w:val="21"/>
          <w:lang w:val="pt-BR" w:bidi="ar-SA"/>
          <w:kern w:val="16"/>
          <w14:ligatures w14:val="standardContextual"/>
        </w:rPr>
        <w:t>Restituição de retenção a maior:</w:t>
      </w:r>
      <w:r>
        <w:rPr>
          <w:rFonts w:ascii="EB Garamond" w:hAnsi="EB Garamond" w:cs="EB Garamond"/>
          <w:b w:val="0"/>
          <w:i w:val="0"/>
          <w:color w:val="201B16"/>
          <w:sz w:val="21"/>
          <w:lang w:val="pt-BR" w:bidi="ar-SA"/>
          <w:kern w:val="16"/>
          <w14:ligatures w14:val="standardContextual"/>
        </w:rPr>
        <w:t xml:space="preserve"> O CI que teve retenção de 11% por diversas empresas, totalizando valor superior à contribuição devida (20% do teto), tem direito à restituição do excedente. O pedido é feito à RFB (PER/DCOMP), mas pode ser judicializado no JEF se houver negativa administrativa.</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4.7 MEI — microempreendedor individual</w:t>
      </w:r>
    </w:p>
    <w:p>
      <w:pPr>
        <w:spacing w:before="260" w:after="80" w:line="240" w:lineRule="auto"/>
        <w:jc w:val="left"/>
      </w:pPr>
      <w:r>
        <w:rPr>
          <w:rFonts w:ascii="EB Garamond" w:hAnsi="EB Garamond" w:cs="EB Garamond"/>
          <w:b/>
          <w:i w:val="0"/>
          <w:color w:val="3A3128"/>
          <w:sz w:val="25"/>
          <w:lang w:val="pt-BR" w:bidi="ar-SA"/>
          <w:kern w:val="16"/>
          <w14:ligatures w14:val="standardContextual"/>
        </w:rPr>
        <w:t>4.7.1 Enquadramento e alíquota diferenciada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Microempreendedor Individual é figura jurídica criada pela LC 123/2006, alterada pela LC 128/2008, que permite ao pequeno empreendedor individual formalizar-se com benefícios tributários e previdenciários simplificados. O MEI recolhe contribuição previdenciária de 5% sobre o salário-mínimo, integrada ao Documento de Arrecadação do Simples (DAS-MEI).</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Em 2026, a contribuição previdenciária do MEI é de R$ 81,05/mês (5% x R$ 1.621,00), acrescida de R$ 1,00 de ICMS (comércio/indústria) e/ou R$ 5,00 de ISS (serviços), conforme a atividade.</w:t>
      </w:r>
    </w:p>
    <w:p>
      <w:pPr>
        <w:spacing w:before="260" w:after="80" w:line="240" w:lineRule="auto"/>
        <w:jc w:val="left"/>
      </w:pPr>
      <w:r>
        <w:rPr>
          <w:rFonts w:ascii="EB Garamond" w:hAnsi="EB Garamond" w:cs="EB Garamond"/>
          <w:b/>
          <w:i w:val="0"/>
          <w:color w:val="3A3128"/>
          <w:sz w:val="25"/>
          <w:lang w:val="pt-BR" w:bidi="ar-SA"/>
          <w:kern w:val="16"/>
          <w14:ligatures w14:val="standardContextual"/>
        </w:rPr>
        <w:t>4.7.2 Requisitos para enquadramento como MEI</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18-A da LC 123/2006 estabelece os requisitos cumulativos: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Receita bruta anual de até R$ 81.000,00</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Não ser sócio, administrador ou titular de outra empresa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Ter no máximo um empregado que receba 1 SM ou o piso da categoria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Exercer atividade permitida (lista CNAE do Anexo XI da Resolução CGSN)</w:t>
      </w:r>
    </w:p>
    <w:p>
      <w:pPr>
        <w:spacing w:before="0" w:after="6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4.7.3 Cobertura previdenciária reduzida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MEI tem acesso aos seguintes benefícios previdenciários: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Aposentadoria por idade (65/62 anos + 180 contribuições)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Aposentadoria por incapacidade permanente</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Auxílio por incapacidade temporária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Salário-maternidade</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Pensão por morte (para dependentes)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Auxílio-reclusão (para dependentes)</w:t>
      </w:r>
    </w:p>
    <w:p>
      <w:pPr>
        <w:spacing w:before="0" w:after="6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Atenção:</w:t>
            </w:r>
            <w:r>
              <w:rPr>
                <w:rFonts w:ascii="EB Garamond" w:hAnsi="EB Garamond" w:cs="EB Garamond"/>
                <w:b w:val="0"/>
                <w:i w:val="0"/>
                <w:color w:val="201B16"/>
                <w:sz w:val="19"/>
                <w:lang w:val="pt-BR" w:bidi="ar-SA"/>
                <w:kern w:val="16"/>
                <w14:ligatures w14:val="standardContextual"/>
              </w:rPr>
              <w:t xml:space="preserve"> O MEI que contribui apenas com 5% sobre o SM NÃO tem direito à aposentadoria por tempo de contribuição. Os meses recolhidos como MEI contam apenas para aposentadoria por idade/programada, não para TC. Se o segurado desejar contar esse período para aposentadoria por TC, deve complementar a contribuição.</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4.7.4 Complementação para cômputo de tempo de contribuição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MEI pode, a qualquer tempo, complementar suas contribuições para fins de contagem de tempo. A complementação corresponde à diferença entre a alíquota paga (5%) e a alíquota do plano normal (20%), aplicada sobre o salário-mínimo vigente à época de cada competência: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Complementação = 15% sobre o SM da competência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Código GPS: 1910 (complementação mensal) ou cálculo retroativo</w:t>
      </w:r>
    </w:p>
    <w:p>
      <w:pPr>
        <w:spacing w:before="0" w:after="6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Cálculo da complementação MEI (competência 2026):</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Contribuição MEI paga: 5% x R$ 1.621,00 = R$ 81,05 Complementação devida: 15% x R$ 1.621,00 = R$ 243,15 Total efetivo: 20% x R$ 1.621,00 = R$ 324,20</w:t>
            </w:r>
          </w:p>
          <w:p>
            <w:pPr>
              <w:spacing w:before="0" w:after="60" w:line="247" w:lineRule="auto"/>
              <w:jc w:val="both"/>
            </w:pPr>
            <w:r>
              <w:rPr>
                <w:rFonts w:ascii="EB Garamond" w:hAnsi="EB Garamond" w:cs="EB Garamond"/>
                <w:b/>
                <w:i w:val="0"/>
                <w:color w:val="201B16"/>
                <w:sz w:val="19"/>
                <w:lang w:val="pt-BR" w:bidi="ar-SA"/>
                <w:kern w:val="16"/>
                <w14:ligatures w14:val="standardContextual"/>
              </w:rPr>
              <w:t>Atenção:</w:t>
            </w:r>
            <w:r>
              <w:rPr>
                <w:rFonts w:ascii="EB Garamond" w:hAnsi="EB Garamond" w:cs="EB Garamond"/>
                <w:b w:val="0"/>
                <w:i w:val="0"/>
                <w:color w:val="201B16"/>
                <w:sz w:val="19"/>
                <w:lang w:val="pt-BR" w:bidi="ar-SA"/>
                <w:kern w:val="16"/>
                <w14:ligatures w14:val="standardContextual"/>
              </w:rPr>
              <w:t xml:space="preserve"> A complementação é calculada sobre o SM vigente na competência original, não no SM atual. Se o MEI deseja complementar competências de 2022 (SM = R$ 1.212,00), paga 15% x R$ 1.212,00 = R$ 181,80 por mês de 2022.</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Não incide juros nem multa sobre a complementação, desde que recolhida dentro do prazo de decadência (5 anos). Para competências anteriores, aplica-se atualização monetária.</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4.7.5 MEI caminhoneiro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Lei 14.260/2021 (vigência a partir de 2022) criou a figura do MEI Caminhoneiro Transportador Autônomo de Cargas, com receita bruta anual de até R$ 251.600,00 e alíquota previdenciária diferenciada de 12% sobre o salário-mínimo. A complementação para TC é de apenas 8% (20% - 12%).</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Em 2026: contribuição previdenciária do MEI Caminhoneiro = 12% x R$ 1.621,00 = R$ 194,52/mês.</w:t>
      </w:r>
    </w:p>
    <w:p>
      <w:pPr>
        <w:spacing w:before="260" w:after="80" w:line="240" w:lineRule="auto"/>
        <w:jc w:val="left"/>
      </w:pPr>
      <w:r>
        <w:rPr>
          <w:rFonts w:ascii="EB Garamond" w:hAnsi="EB Garamond" w:cs="EB Garamond"/>
          <w:b/>
          <w:i w:val="0"/>
          <w:color w:val="3A3128"/>
          <w:sz w:val="25"/>
          <w:lang w:val="pt-BR" w:bidi="ar-SA"/>
          <w:kern w:val="16"/>
          <w14:ligatures w14:val="standardContextual"/>
        </w:rPr>
        <w:t>4.7.6 MEI e a questão do desenquadramento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MEI que ultrapassa o limite de faturamento anual (R$ 81.000,00) ou descumpre outros requisitos (contrata mais de um empregado, torna-se sócio de outra empresa) é desenquadrado automaticamente e passa a contribuir como contribuinte individual na alíquota ordinária (20%). O desenquadramento pode ocorrer de ofício (pela RFB) ou por comunicação do próprio MEI (via Portal do Simples Nacional).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As consequências previdenciárias do desenquadramento são relevantes: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a) </w:t>
      </w:r>
      <w:r>
        <w:rPr>
          <w:rFonts w:ascii="EB Garamond" w:hAnsi="EB Garamond" w:cs="EB Garamond"/>
          <w:b/>
          <w:i w:val="0"/>
          <w:color w:val="201B16"/>
          <w:sz w:val="21"/>
          <w:lang w:val="pt-BR" w:bidi="ar-SA"/>
          <w:kern w:val="16"/>
          <w14:ligatures w14:val="standardContextual"/>
        </w:rPr>
        <w:t>Período como MEI:</w:t>
      </w:r>
      <w:r>
        <w:rPr>
          <w:rFonts w:ascii="EB Garamond" w:hAnsi="EB Garamond" w:cs="EB Garamond"/>
          <w:b w:val="0"/>
          <w:i w:val="0"/>
          <w:color w:val="201B16"/>
          <w:sz w:val="21"/>
          <w:lang w:val="pt-BR" w:bidi="ar-SA"/>
          <w:kern w:val="16"/>
          <w14:ligatures w14:val="standardContextual"/>
        </w:rPr>
        <w:t xml:space="preserve"> As contribuições recolhidas como MEI (5%) permanecem válidas, mas contam apenas para aposentadoria por idade. Se o segurado deseja que contem para TC, deve complementar (15% sobre o SM de cada competência).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b) </w:t>
      </w:r>
      <w:r>
        <w:rPr>
          <w:rFonts w:ascii="EB Garamond" w:hAnsi="EB Garamond" w:cs="EB Garamond"/>
          <w:b/>
          <w:i w:val="0"/>
          <w:color w:val="201B16"/>
          <w:sz w:val="21"/>
          <w:lang w:val="pt-BR" w:bidi="ar-SA"/>
          <w:kern w:val="16"/>
          <w14:ligatures w14:val="standardContextual"/>
        </w:rPr>
        <w:t>Período pós-desenquadramento:</w:t>
      </w:r>
      <w:r>
        <w:rPr>
          <w:rFonts w:ascii="EB Garamond" w:hAnsi="EB Garamond" w:cs="EB Garamond"/>
          <w:b w:val="0"/>
          <w:i w:val="0"/>
          <w:color w:val="201B16"/>
          <w:sz w:val="21"/>
          <w:lang w:val="pt-BR" w:bidi="ar-SA"/>
          <w:kern w:val="16"/>
          <w14:ligatures w14:val="standardContextual"/>
        </w:rPr>
        <w:t xml:space="preserve"> O segurado passa a contribuir como CI (20% sobre a remuneração, limitada ao teto). Se presta serviço a empresa, esta retém 11% e o CI complementa 9%.</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c) </w:t>
      </w:r>
      <w:r>
        <w:rPr>
          <w:rFonts w:ascii="EB Garamond" w:hAnsi="EB Garamond" w:cs="EB Garamond"/>
          <w:b/>
          <w:i w:val="0"/>
          <w:color w:val="201B16"/>
          <w:sz w:val="21"/>
          <w:lang w:val="pt-BR" w:bidi="ar-SA"/>
          <w:kern w:val="16"/>
          <w14:ligatures w14:val="standardContextual"/>
        </w:rPr>
        <w:t>Transição:</w:t>
      </w:r>
      <w:r>
        <w:rPr>
          <w:rFonts w:ascii="EB Garamond" w:hAnsi="EB Garamond" w:cs="EB Garamond"/>
          <w:b w:val="0"/>
          <w:i w:val="0"/>
          <w:color w:val="201B16"/>
          <w:sz w:val="21"/>
          <w:lang w:val="pt-BR" w:bidi="ar-SA"/>
          <w:kern w:val="16"/>
          <w14:ligatures w14:val="standardContextual"/>
        </w:rPr>
        <w:t xml:space="preserve"> Não há solução de continuidade na filiação. O segurado permanece filiado ao RGPS — muda apenas a categoria e a alíquota.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Uma armadilha frequente: o desenquadramento retroativo do MEI</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Se o MEI ultrapassou o faturamento de R$ 81.000,00 durante o ano-calendário em mais de 20%, o desenquadramento é retroativo a janeiro daquele ano. Todas as contribuições do período são recalculadas como se fossem de CI, gerando diferenças a recolher com juros e multa. Nos JEFs, surgem ações em que o segurado busca aposentadoria e o INSS identifica, no cruzamento de dados, que houve faturamento acima do limite como MEI em determinados anos. As contribuições do período são consideradas insuficientes (recolheu 5% quando deveria ter recolhido 20%), e o INSS desconta os meses da carência e do tempo de contribuição. O advogado deve verificar o histórico de faturamento do cliente MEI antes do ajuizamento.</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4.7.7 MEI com empregado: obrigações patronais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MEI que possui empregado registrado assume obrigações previdenciárias adicionais. Deve recolher contribuição patronal de 3% sobre a remuneração do empregado (alíquota reduzida — art. 18-C, § 1º, I, LC 123/2006), acrescida de 8% de FGTS. O recolhimento é feito pelo DAE (Documento de Arrecadação do eSocial), com vencimento no dia 7 do mês seguinte.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Essa contribuição patronal reduzida (3% em vez de 20%) é benefício exclusivo do MEI. Caso o empresário perca o enquadramento como MEI (por ultrapassar o faturamento ou contratar mais de um empregado), a contribuição patronal passa a seguir as regras ordinárias (20% + RAT).</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4.8 Segurado facultativo</w:t>
      </w:r>
    </w:p>
    <w:p>
      <w:pPr>
        <w:spacing w:before="260" w:after="80" w:line="240" w:lineRule="auto"/>
        <w:jc w:val="left"/>
      </w:pPr>
      <w:r>
        <w:rPr>
          <w:rFonts w:ascii="EB Garamond" w:hAnsi="EB Garamond" w:cs="EB Garamond"/>
          <w:b/>
          <w:i w:val="0"/>
          <w:color w:val="3A3128"/>
          <w:sz w:val="25"/>
          <w:lang w:val="pt-BR" w:bidi="ar-SA"/>
          <w:kern w:val="16"/>
          <w14:ligatures w14:val="standardContextual"/>
        </w:rPr>
        <w:t>4.8.1 Conceito e opções de contribuição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segurado facultativo (conceituado no Capítulo 2) é o maior de 16 anos que se filia ao RGPS por ato volitivo, sem exercer atividade remunerada que o enquadre como segurado obrigatório. Exemplos clássicos: estudantes, donas de casa, desempregados que optam por manter a filiação, síndicos não remunerados, bolsistas de dedicação exclusiva.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facultativo dispõe de três opções de contribuição:</w:t>
      </w:r>
    </w:p>
    <w:tbl>
      <w:tblPr>
        <w:tblW w:type="auto" w:w="0"/>
        <w:jc w:val="center"/>
        <w:tblLook w:firstColumn="1" w:firstRow="1" w:lastColumn="0" w:lastRow="0" w:noHBand="0" w:noVBand="1" w:val="04A0"/>
        <w:tblW w:w="5000" w:type="pct"/>
      </w:tblPr>
      <w:tblGrid>
        <w:gridCol w:w="1270"/>
        <w:gridCol w:w="1270"/>
        <w:gridCol w:w="1270"/>
        <w:gridCol w:w="1270"/>
        <w:gridCol w:w="1270"/>
      </w:tblGrid>
      <w:tr>
        <w:trPr>
          <w:tblHeader/>
        </w:trPr>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Plano</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Base</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Alíquota</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Valor (2026)</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Aposentadoria TC?</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Normal</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SM a teto</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R$ 324,20 a R$ 1.695,11</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Sim</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Simplificado</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SM</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11%</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R$ 178,31</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Baixa renda</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SM</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R$ 81,05</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4.8.2 Plano simplificado do facultativo (11%)</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plica-se a qualquer segurado facultativo, sem requisito de renda. O código GPS é 1473. A restrição é a mesma do CI simplificado: sem direito a aposentadoria por tempo de contribuição. A base é sempre o salário-mínimo.</w:t>
      </w:r>
    </w:p>
    <w:p>
      <w:pPr>
        <w:spacing w:before="260" w:after="80" w:line="240" w:lineRule="auto"/>
        <w:jc w:val="left"/>
      </w:pPr>
      <w:r>
        <w:rPr>
          <w:rFonts w:ascii="EB Garamond" w:hAnsi="EB Garamond" w:cs="EB Garamond"/>
          <w:b/>
          <w:i w:val="0"/>
          <w:color w:val="3A3128"/>
          <w:sz w:val="25"/>
          <w:lang w:val="pt-BR" w:bidi="ar-SA"/>
          <w:kern w:val="16"/>
          <w14:ligatures w14:val="standardContextual"/>
        </w:rPr>
        <w:t>4.8.3 Facultativo baixa renda: alíquota de 5%</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Lei 12.470/2011, ao dar nova redação ao art. 21, § 2º, inciso II, alínea 'b', da Lei 8.212/91, criou a alíquota reduzida de 5% sobre o SM para o segurado facultativo de baixa renda. Os requisitos são cumulativos e devem persistir durante todo o período contributivo: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Não possuir renda própria de qualquer natureza; b) Dedicar-se exclusivamente ao trabalho doméstico no âmbito de sua residência; c) Pertencer a família inscrita no Cadastro Único para Programas Sociais (CadÚnico); e d) Renda mensal familiar de até 2 salários-mínimos.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Atenção — Armadilhas do plano 5%:</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1. A inscrição no CadÚnico deve estar ATUALIZADA (a cada 2 anos). Se o CadÚnico está desatualizado, o INSS pode negar o cômputo das contribuições.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2. "Sem renda própria" inclui qualquer fonte. Se o segurado recebe pensão alimentícia, aluguel ou pensão por morte, perde o direito à alíquota de 5%.</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3. O benefício de aposentadoria será de 1 SM. Não há possibilidade de aposentadoria com valor superior, pois a base de contribuição é sempre o mínimo.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4. Se o segurado deixar de preencher os requisitos (ex.: conseguir emprego), deve migrar para outra categoria imediatamente. Contribuições feitas como baixa renda após a perda dos requisitos são inválidas.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5. QUALQUER atividade remunerada, ainda que informal, descaracteriza a condição, conforme a TNU fixou no Tema 241 (vide box jurisprudencial abaixo).</w:t>
            </w: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TNU — Tema 241 (j. 21/10/2021)</w:t>
            </w:r>
          </w:p>
          <w:p>
            <w:pPr>
              <w:spacing w:before="0" w:after="60" w:line="247" w:lineRule="auto"/>
              <w:jc w:val="both"/>
            </w:pPr>
            <w:r>
              <w:rPr>
                <w:rFonts w:ascii="EB Garamond" w:hAnsi="EB Garamond" w:cs="EB Garamond"/>
                <w:b/>
                <w:i w:val="0"/>
                <w:color w:val="201B16"/>
                <w:sz w:val="19"/>
                <w:lang w:val="pt-BR" w:bidi="ar-SA"/>
                <w:kern w:val="16"/>
                <w14:ligatures w14:val="standardContextual"/>
              </w:rPr>
              <w:t>Tese fixada:</w:t>
            </w:r>
            <w:r>
              <w:rPr>
                <w:rFonts w:ascii="EB Garamond" w:hAnsi="EB Garamond" w:cs="EB Garamond"/>
                <w:b w:val="0"/>
                <w:i w:val="0"/>
                <w:color w:val="201B16"/>
                <w:sz w:val="19"/>
                <w:lang w:val="pt-BR" w:bidi="ar-SA"/>
                <w:kern w:val="16"/>
                <w14:ligatures w14:val="standardContextual"/>
              </w:rPr>
              <w:t xml:space="preserve"> "O exercício de atividade remunerada, ainda que informal e de baixa expressão econômica, obsta o enquadramento como segurado facultativo de baixa renda, na forma do art. 21, § 2º, inciso II, alínea 'b', da Lei n. 8.212/1991, impedindo a validação das contribuições recolhidas sob a alíquota de 5%."</w:t>
            </w:r>
          </w:p>
          <w:p>
            <w:pPr>
              <w:spacing w:before="0" w:after="60" w:line="247" w:lineRule="auto"/>
              <w:jc w:val="both"/>
            </w:pPr>
            <w:r>
              <w:rPr>
                <w:rFonts w:ascii="EB Garamond" w:hAnsi="EB Garamond" w:cs="EB Garamond"/>
                <w:b/>
                <w:i w:val="0"/>
                <w:color w:val="201B16"/>
                <w:sz w:val="19"/>
                <w:lang w:val="pt-BR" w:bidi="ar-SA"/>
                <w:kern w:val="16"/>
                <w14:ligatures w14:val="standardContextual"/>
              </w:rPr>
              <w:t>Consequência prática:</w:t>
            </w:r>
            <w:r>
              <w:rPr>
                <w:rFonts w:ascii="EB Garamond" w:hAnsi="EB Garamond" w:cs="EB Garamond"/>
                <w:b w:val="0"/>
                <w:i w:val="0"/>
                <w:color w:val="201B16"/>
                <w:sz w:val="19"/>
                <w:lang w:val="pt-BR" w:bidi="ar-SA"/>
                <w:kern w:val="16"/>
                <w14:ligatures w14:val="standardContextual"/>
              </w:rPr>
              <w:t xml:space="preserve"> A dona de casa que eventualmente faz "bicos" (faxinas, venda de salgados, artesanato) perde o direito à alíquota de 5%, mesmo que a renda obtida seja ínfima. Nesses casos, a formalização como MEI (5% sobre SM com cobertura previdenciária) pode ser alternativa mais segura, pois o MEI pode exercer atividade remunerada sem a restrição de "renda própria".</w:t>
            </w:r>
          </w:p>
          <w:p>
            <w:pPr>
              <w:spacing w:before="0" w:after="60" w:line="247" w:lineRule="auto"/>
              <w:jc w:val="both"/>
            </w:pPr>
            <w:r>
              <w:rPr>
                <w:rFonts w:ascii="EB Garamond" w:hAnsi="EB Garamond" w:cs="EB Garamond"/>
                <w:b/>
                <w:i w:val="0"/>
                <w:color w:val="201B16"/>
                <w:sz w:val="19"/>
                <w:lang w:val="pt-BR" w:bidi="ar-SA"/>
                <w:kern w:val="16"/>
                <w14:ligatures w14:val="standardContextual"/>
              </w:rPr>
              <w:t>Impacto no JEF:</w:t>
            </w:r>
            <w:r>
              <w:rPr>
                <w:rFonts w:ascii="EB Garamond" w:hAnsi="EB Garamond" w:cs="EB Garamond"/>
                <w:b w:val="0"/>
                <w:i w:val="0"/>
                <w:color w:val="201B16"/>
                <w:sz w:val="19"/>
                <w:lang w:val="pt-BR" w:bidi="ar-SA"/>
                <w:kern w:val="16"/>
                <w14:ligatures w14:val="standardContextual"/>
              </w:rPr>
              <w:t xml:space="preserve"> Frequentes ações de restabelecimento/concessão em que o INSS invalida contribuições feitas sob o código 1929 ao constatar (via CNIS, CadÚnico ou cruzamento de dados) que o segurado exercia atividade remunerada. As contribuições invalidadas não são devolvidas, são convertidas para o código 1473 (11% sobre SM) mediante complementação de 6%, ou simplesmente não computadas.</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4.8.4 Complementação do facultativo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ssim como o MEI, o segurado facultativo que contribuiu pelo plano simplificado (11%) ou pelo plano baixa renda (5%) pode complementar para obter contagem de tempo de contribuição: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Plano 11% → complementar 9% (para atingir 20% sobre SM)</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Plano 5% → complementar 15% (para atingir 20% sobre SM)</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código GPS para complementação é o 1686 (facultativo complementar). A complementação somente produz efeitos se recolhida antes do requerimento do benefício.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4.9 Contribuição do empregado doméstico</w:t>
      </w:r>
    </w:p>
    <w:p>
      <w:pPr>
        <w:spacing w:before="260" w:after="80" w:line="240" w:lineRule="auto"/>
        <w:jc w:val="left"/>
      </w:pPr>
      <w:r>
        <w:rPr>
          <w:rFonts w:ascii="EB Garamond" w:hAnsi="EB Garamond" w:cs="EB Garamond"/>
          <w:b/>
          <w:i w:val="0"/>
          <w:color w:val="3A3128"/>
          <w:sz w:val="25"/>
          <w:lang w:val="pt-BR" w:bidi="ar-SA"/>
          <w:kern w:val="16"/>
          <w14:ligatures w14:val="standardContextual"/>
        </w:rPr>
        <w:t>4.9.1 Regime especial do empregado doméstico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empregado doméstico possui regime contributivo próprio, disciplinado pela LC 150/2015 (que regulamentou a EC 72/2013) e operacionalizado exclusivamente pelo módulo eSocial Doméstico. A contribuição do empregado doméstico segue as mesmas alíquotas progressivas do empregado comum (7,5% a 14%, por faixas), mas o recolhimento é feito pelo empregador por meio do DAE — Documento de Arrecadação do eSocial.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DAE unifica, em guia mensal única, todas as obrigações do empregador doméstico: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Contribuição previdenciária do empregado (alíquotas progressivas)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Contribuição patronal previdenciária (8%)</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Seguro contra acidentes de trabalho — GILRAT (0,8%)</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FGTS (8%)</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FGTS, reserva indenizatória (3,2%)</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vencimento ocorre no dia 7 do mês seguinte à competência. O empregador gera e paga a guia pelo portal do eSocial (login Gov.br, nível prata ou ouro).</w:t>
      </w:r>
    </w:p>
    <w:p>
      <w:pPr>
        <w:spacing w:before="260" w:after="80" w:line="240" w:lineRule="auto"/>
        <w:jc w:val="left"/>
      </w:pPr>
      <w:r>
        <w:rPr>
          <w:rFonts w:ascii="EB Garamond" w:hAnsi="EB Garamond" w:cs="EB Garamond"/>
          <w:b/>
          <w:i w:val="0"/>
          <w:color w:val="3A3128"/>
          <w:sz w:val="25"/>
          <w:lang w:val="pt-BR" w:bidi="ar-SA"/>
          <w:kern w:val="16"/>
          <w14:ligatures w14:val="standardContextual"/>
        </w:rPr>
        <w:t>4.9.2 Relevância nos JEFs: doméstico sem registro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S</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ituação comum nos JEFs: o empregado doméstico que trabalhou sem registro formal (antes ou depois da LC 150/2015) e busca o reconhecimento de vínculo para cômputo de tempo de contribuição e carência. A prova é particularmente difícil pela natureza da relação — trabalho prestado na intimidade do lar, frequentemente sem documentação.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INSS resiste ao reconhecimento de vínculo doméstico sem contribuições formais, mas o JEF pode reconhecer o vínculo mediante prova testemunhal corroborada por indícios materiais (recibos de pagamento, mensagens, declarações de IR do empregador, comprovantes de coabitação). Uma vez reconhecido o vínculo, as contribuições são devidas pelo empregador, e o segurado não precisa indenizar, pois a obrigação de recolher era do empregador (princípio da automaticidade da filiação).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Prova de vínculo doméstico no JEF — documentos úteis: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Declaração de IR do empregador com pagamento a pessoa física (mesmo sem identificação como "doméstico")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Comprovantes de transferência/PIX periódicos do empregador para o trabalhador</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Comunicação via mensagens (WhatsApp) sobre escala, pagamento, tarefas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Testemunhos de vizinhos, porteiros, familiares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Fotos ou registros no local de trabalho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Cadastro no CadÚnico ou programas sociais indicando "trabalho doméstico"</w:t>
            </w:r>
          </w:p>
          <w:p>
            <w:pPr>
              <w:spacing w:before="0" w:after="60" w:line="247" w:lineRule="auto"/>
              <w:jc w:val="both"/>
            </w:pPr>
            <w:r>
              <w:rPr>
                <w:rFonts w:ascii="EB Garamond" w:hAnsi="EB Garamond" w:cs="EB Garamond"/>
                <w:b/>
                <w:i w:val="0"/>
                <w:color w:val="201B16"/>
                <w:sz w:val="19"/>
                <w:lang w:val="pt-BR" w:bidi="ar-SA"/>
                <w:kern w:val="16"/>
                <w14:ligatures w14:val="standardContextual"/>
              </w:rPr>
              <w:t>Atenção:</w:t>
            </w:r>
            <w:r>
              <w:rPr>
                <w:rFonts w:ascii="EB Garamond" w:hAnsi="EB Garamond" w:cs="EB Garamond"/>
                <w:b w:val="0"/>
                <w:i w:val="0"/>
                <w:color w:val="201B16"/>
                <w:sz w:val="19"/>
                <w:lang w:val="pt-BR" w:bidi="ar-SA"/>
                <w:kern w:val="16"/>
                <w14:ligatures w14:val="standardContextual"/>
              </w:rPr>
              <w:t xml:space="preserve"> A ausência de CTPS assinada não impede o reconhecimento. O vínculo empregatício doméstico configura-se pelos requisitos do art. 1º da LC 150/2015: prestação de serviços de forma contínua, subordinada, onerosa e pessoal, por mais de 2 dias por semana, a pessoa ou família no âmbito residencial.</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4.10 Contribuição do segurado especial</w:t>
      </w:r>
    </w:p>
    <w:p>
      <w:pPr>
        <w:spacing w:before="260" w:after="80" w:line="240" w:lineRule="auto"/>
        <w:jc w:val="left"/>
      </w:pPr>
      <w:r>
        <w:rPr>
          <w:rFonts w:ascii="EB Garamond" w:hAnsi="EB Garamond" w:cs="EB Garamond"/>
          <w:b/>
          <w:i w:val="0"/>
          <w:color w:val="3A3128"/>
          <w:sz w:val="25"/>
          <w:lang w:val="pt-BR" w:bidi="ar-SA"/>
          <w:kern w:val="16"/>
          <w14:ligatures w14:val="standardContextual"/>
        </w:rPr>
        <w:t>4.10.1 Regime diferenciado de custeio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segurado especial, pequeno produtor rural, pescador artesanal, extrativista, possui regime de custeio singular no RGPS. Diferentemente de todos os demais segurados, sua contribuição não incide sobre salário ou remuneração, mas sobre a receita bruta da comercialização da produção rural (art. 25, Lei 8.212/91):</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 xml:space="preserve">Alíquota: 1,2% da receita bruta de comercialização (contribuição básica, art. 25, I, Lei 8.212/91) + 0,1% (SAT/GILRAT, art. 25, II, Lei 8.212/91) = </w:t>
      </w:r>
      <w:r>
        <w:rPr>
          <w:rFonts w:ascii="EB Garamond" w:hAnsi="EB Garamond" w:cs="EB Garamond"/>
          <w:b/>
          <w:i w:val="0"/>
          <w:color w:val="201B16"/>
          <w:sz w:val="20"/>
          <w:lang w:val="pt-BR" w:bidi="ar-SA"/>
          <w:kern w:val="16"/>
          <w14:ligatures w14:val="standardContextual"/>
        </w:rPr>
        <w:t>1,3% total</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Responsável pelo recolhimento: adquirente da produção (empresa, cooperativa, intermediário)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Sub-rogação: o adquirente retém e recolhe a contribuição do segurado especial</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N</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 prática, o segurado especial geralmente não recolhe diretamente nenhuma contribuição. A empresa que adquire sua produção é responsável pela retenção e recolhimento. Se o segurado vende diretamente ao consumidor final (feiras, beira de estrada), deveria recolher sobre a receita bruta, mas essa obrigação raramente é cumprida e não impede a obtenção de benefícios.</w:t>
      </w:r>
    </w:p>
    <w:p>
      <w:pPr>
        <w:spacing w:before="260" w:after="80" w:line="240" w:lineRule="auto"/>
        <w:jc w:val="left"/>
      </w:pPr>
      <w:r>
        <w:rPr>
          <w:rFonts w:ascii="EB Garamond" w:hAnsi="EB Garamond" w:cs="EB Garamond"/>
          <w:b/>
          <w:i w:val="0"/>
          <w:color w:val="3A3128"/>
          <w:sz w:val="25"/>
          <w:lang w:val="pt-BR" w:bidi="ar-SA"/>
          <w:kern w:val="16"/>
          <w14:ligatures w14:val="standardContextual"/>
        </w:rPr>
        <w:t>4.10.2 Dispensa de contribuição formal para benefícios básicos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39, I, da Lei 8.213/91 garante ao segurado especial o acesso a benefícios no valor de 1 salário-mínimo independentemente de contribuição formal, desde que comprove o exercício de atividade rural pelo período de carência: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Aposentadoria por idade rural (55F/60M)</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Aposentadoria por incapacidade permanente</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Auxílio por incapacidade temporária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Salário-maternidade</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Pensão por morte e auxílio-reclusão (dependentes)</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P</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ara obter benefício em valor superior a 1 SM, o segurado especial deve contribuir facultativamente sobre o salário-mínimo (código GPS 1503 — 20% sobre SM), além da contribuição sobre a comercialização.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Atenção — Interface custeio x prova de atividade rural:</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Nos JEFs, o INSS frequentemente nega benefícios rurais alegando ausência de comprovação da comercialização (e, consequentemente, da contribuição). Contudo, a jurisprudência consolidou que a contribuição do segurado especial NÃO é requisito para a concessão do benefício, basta a comprovação da atividade rural pelo período de carência. A contribuição sobre a comercialização é obrigação tributária do adquirente (sub-rogação), não do segurado. O tema é aprofundado no Capítulo 9 (Aposentadoria do Segurado Rural).</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4.10.3 Contribuição facultativa do segurado especial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segurado especial que deseja aposentadoria por tempo de contribuição, ou que pretende benefício superior a 1 SM, pode contribuir facultativamente:</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Código GPS: 1503 (facultativo segurado especial)</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Base: salário-mínimo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Alíquota: 20%</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Valor (2026): R$ 324,20/mês</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E</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ssa contribuição é cumulativa com a incidência sobre a comercialização (1,2% de contribuição básica + 0,1% de SAT/GILRAT = 1,3% total, na forma do art. 25, I e II, da Lei 8.212/91), pois têm naturezas e finalidades distintas. A contribuição sobre a comercialização custeia o sistema; a contribuição facultativa amplia a cobertura individual do segurado.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4.11 Contribuição do produtor rural pessoa física e pessoa jurídica</w:t>
      </w:r>
    </w:p>
    <w:p>
      <w:pPr>
        <w:spacing w:before="260" w:after="80" w:line="240" w:lineRule="auto"/>
        <w:jc w:val="left"/>
      </w:pPr>
      <w:r>
        <w:rPr>
          <w:rFonts w:ascii="EB Garamond" w:hAnsi="EB Garamond" w:cs="EB Garamond"/>
          <w:b/>
          <w:i w:val="0"/>
          <w:color w:val="3A3128"/>
          <w:sz w:val="25"/>
          <w:lang w:val="pt-BR" w:bidi="ar-SA"/>
          <w:kern w:val="16"/>
          <w14:ligatures w14:val="standardContextual"/>
        </w:rPr>
        <w:t>4.11.1 Produtor rural pessoa física (empregador rural)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produtor rural pessoa física que emprega trabalhadores rurais possui regime de contribuição próprio, previsto no art. 25 da Lei 8.212/91 (redação dada pela Lei 10.256/2001). Diferentemente do empregador urbano, que contribui com 20% sobre a folha de salários, o produtor rural PF contribui sobre a receita bruta da comercialização da produção: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 xml:space="preserve">Alíquota total: 1,2% (RGPS) + 0,1% (GILRAT) + 0,2% (SENAR) = </w:t>
      </w:r>
      <w:r>
        <w:rPr>
          <w:rFonts w:ascii="EB Garamond" w:hAnsi="EB Garamond" w:cs="EB Garamond"/>
          <w:b/>
          <w:i w:val="0"/>
          <w:color w:val="201B16"/>
          <w:sz w:val="20"/>
          <w:lang w:val="pt-BR" w:bidi="ar-SA"/>
          <w:kern w:val="16"/>
          <w14:ligatures w14:val="standardContextual"/>
        </w:rPr>
        <w:t>1,5%</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Base: receita bruta proveniente da comercialização da produção rural</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Responsável: o próprio produtor ou o adquirente (por sub-rogação)</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contribuição sobre a receita bruta substitui integralmente a contribuição patronal de 20% sobre a folha. Essa substituição é a razão pela qual o custeio do setor rural é frequentemente apontado como deficitário, as alíquotas sobre a receita são muito inferiores ao que seria devido sobre a folha.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STF — RE 718.874 (Tema 669, j. 30/03/2017)</w:t>
            </w:r>
          </w:p>
          <w:p>
            <w:pPr>
              <w:spacing w:before="0" w:after="60" w:line="247" w:lineRule="auto"/>
              <w:jc w:val="both"/>
            </w:pPr>
            <w:r>
              <w:rPr>
                <w:rFonts w:ascii="EB Garamond" w:hAnsi="EB Garamond" w:cs="EB Garamond"/>
                <w:b/>
                <w:i w:val="0"/>
                <w:color w:val="201B16"/>
                <w:sz w:val="19"/>
                <w:lang w:val="pt-BR" w:bidi="ar-SA"/>
                <w:kern w:val="16"/>
                <w14:ligatures w14:val="standardContextual"/>
              </w:rPr>
              <w:t>Tese fixada:</w:t>
            </w:r>
            <w:r>
              <w:rPr>
                <w:rFonts w:ascii="EB Garamond" w:hAnsi="EB Garamond" w:cs="EB Garamond"/>
                <w:b w:val="0"/>
                <w:i w:val="0"/>
                <w:color w:val="201B16"/>
                <w:sz w:val="19"/>
                <w:lang w:val="pt-BR" w:bidi="ar-SA"/>
                <w:kern w:val="16"/>
                <w14:ligatures w14:val="standardContextual"/>
              </w:rPr>
              <w:t xml:space="preserve"> "É constitucional formal e materialmente a contribuição social do empregador rural pessoa física, instituída pela Lei 10.256/2001, incidente sobre a receita bruta obtida com a comercialização de sua produção."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Fundamento:</w:t>
            </w:r>
            <w:r>
              <w:rPr>
                <w:rFonts w:ascii="EB Garamond" w:hAnsi="EB Garamond" w:cs="EB Garamond"/>
                <w:b w:val="0"/>
                <w:i w:val="0"/>
                <w:color w:val="201B16"/>
                <w:sz w:val="19"/>
                <w:lang w:val="pt-BR" w:bidi="ar-SA"/>
                <w:kern w:val="16"/>
                <w14:ligatures w14:val="standardContextual"/>
              </w:rPr>
              <w:t xml:space="preserve"> O art. 195, I, b, CF/88 (com redação da EC 20/1998) autoriza contribuição social sobre a receita. A Lei 10.256/2001 foi editada após a EC 20/1998, suprindo o vício formal que invalidara a contribuição anterior (Lei 8.540/92, declarada inconstitucional no RE 363.852; a cobrança rural sobre a receita anterior à EC 20/1998 é objeto do Tema 202/STF — RE 596.177, j. 01/08/2011).</w:t>
            </w:r>
          </w:p>
          <w:p>
            <w:pPr>
              <w:spacing w:before="0" w:after="60" w:line="247" w:lineRule="auto"/>
              <w:jc w:val="both"/>
            </w:pPr>
            <w:r>
              <w:rPr>
                <w:rFonts w:ascii="EB Garamond" w:hAnsi="EB Garamond" w:cs="EB Garamond"/>
                <w:b/>
                <w:i w:val="0"/>
                <w:color w:val="201B16"/>
                <w:sz w:val="19"/>
                <w:lang w:val="pt-BR" w:bidi="ar-SA"/>
                <w:kern w:val="16"/>
                <w14:ligatures w14:val="standardContextual"/>
              </w:rPr>
              <w:t>Impacto prático:</w:t>
            </w:r>
            <w:r>
              <w:rPr>
                <w:rFonts w:ascii="EB Garamond" w:hAnsi="EB Garamond" w:cs="EB Garamond"/>
                <w:b w:val="0"/>
                <w:i w:val="0"/>
                <w:color w:val="201B16"/>
                <w:sz w:val="19"/>
                <w:lang w:val="pt-BR" w:bidi="ar-SA"/>
                <w:kern w:val="16"/>
                <w14:ligatures w14:val="standardContextual"/>
              </w:rPr>
              <w:t xml:space="preserve"> Encerrou a longa controvérsia sobre a constitucionalidade da contribuição rural sobre a receita. Para o advogado previdenciarista, a consequência é que o empregador rural PF contribui pelo regime especial do art. 25 da Lei 8.212/91 (sobre receita bruta), não pela regra geral do art. 22, I (sobre folha), o que reduz sua carga tributária previdenciária de modo substancial.</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4.11.2 Produtor rural pessoa jurídica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produtor rural constituído como pessoa jurídica (empresa rural) também contribui sobre a receita bruta da comercialização, conforme art. 25 da Lei 8.870/94. A alíquota é distinta: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 xml:space="preserve">Alíquota total: 1,7% (RGPS) + 0,1% (GILRAT) + 0,25% (SENAR) = </w:t>
      </w:r>
      <w:r>
        <w:rPr>
          <w:rFonts w:ascii="EB Garamond" w:hAnsi="EB Garamond" w:cs="EB Garamond"/>
          <w:b/>
          <w:i w:val="0"/>
          <w:color w:val="201B16"/>
          <w:sz w:val="20"/>
          <w:lang w:val="pt-BR" w:bidi="ar-SA"/>
          <w:kern w:val="16"/>
          <w14:ligatures w14:val="standardContextual"/>
        </w:rPr>
        <w:t>2,05%</w:t>
      </w:r>
    </w:p>
    <w:p>
      <w:pPr>
        <w:spacing w:before="0" w:after="6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Atenção — Opção pela contribuição sobre a folha: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Lei 13.606/2018 (art. 15) facultou ao produtor rural PJ optar pela contribuição patronal convencional (20% sobre a folha de salários + RAT) em substituição à contribuição sobre a receita bruta. Essa opção é irretratável para o ano-calendário e deve ser manifestada no pagamento da competência janeiro (ou na primeira competência do ano em que houver receita). Para empresas com receita bruta elevada e folha de pagamento reduzida (alto grau de mecanização), a contribuição sobre a folha pode ser mais vantajosa. Trata-se de planejamento tributário legítimo.</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4.11.3 Sub-rogação do adquirente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empresa adquirente de produção rural (indústria alimentícia, cooperativa, frigorífico) é sub-rogada na obrigação de reter e recolher a contribuição do produtor rural PF (art. 30, IV, Lei 8.212/91). Na prática: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1. </w:t>
      </w:r>
      <w:r>
        <w:rPr>
          <w:rFonts w:ascii="EB Garamond" w:hAnsi="EB Garamond" w:cs="EB Garamond"/>
          <w:b w:val="0"/>
          <w:i w:val="0"/>
          <w:color w:val="201B16"/>
          <w:sz w:val="20"/>
          <w:lang w:val="pt-BR" w:bidi="ar-SA"/>
          <w:kern w:val="16"/>
          <w14:ligatures w14:val="standardContextual"/>
        </w:rPr>
        <w:t>O produtor rural PF vende sua produção à empresa.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2. </w:t>
      </w:r>
      <w:r>
        <w:rPr>
          <w:rFonts w:ascii="EB Garamond" w:hAnsi="EB Garamond" w:cs="EB Garamond"/>
          <w:b w:val="0"/>
          <w:i w:val="0"/>
          <w:color w:val="201B16"/>
          <w:sz w:val="20"/>
          <w:lang w:val="pt-BR" w:bidi="ar-SA"/>
          <w:kern w:val="16"/>
          <w14:ligatures w14:val="standardContextual"/>
        </w:rPr>
        <w:t>A empresa retém 1,5% do valor da nota fiscal (contribuição do produtor).</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3. </w:t>
      </w:r>
      <w:r>
        <w:rPr>
          <w:rFonts w:ascii="EB Garamond" w:hAnsi="EB Garamond" w:cs="EB Garamond"/>
          <w:b w:val="0"/>
          <w:i w:val="0"/>
          <w:color w:val="201B16"/>
          <w:sz w:val="20"/>
          <w:lang w:val="pt-BR" w:bidi="ar-SA"/>
          <w:kern w:val="16"/>
          <w14:ligatures w14:val="standardContextual"/>
        </w:rPr>
        <w:t>A empresa recolhe o valor retido via DARF (DCTF-Web).</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4. </w:t>
      </w:r>
      <w:r>
        <w:rPr>
          <w:rFonts w:ascii="EB Garamond" w:hAnsi="EB Garamond" w:cs="EB Garamond"/>
          <w:b w:val="0"/>
          <w:i w:val="0"/>
          <w:color w:val="201B16"/>
          <w:sz w:val="20"/>
          <w:lang w:val="pt-BR" w:bidi="ar-SA"/>
          <w:kern w:val="16"/>
          <w14:ligatures w14:val="standardContextual"/>
        </w:rPr>
        <w:t>O produtor recebe o preço líquido (valor da NF menos a retenção).</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S</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e a venda é feita diretamente ao consumidor final (feira livre, beira de estrada), não há sub-rogação — o próprio produtor deveria recolher. Na atuação forense, como mencionado, essa obrigação raramente é cumprida nas vendas diretas.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Exemplo — Contribuição do produtor rural PF:</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João, produtor rural familiar, vendeu em fevereiro/2026: - Para cooperativa local (NF R$ 15.000,00): retenção sub-rogada de 1,5% = R$ 225,00 (a cooperativa retém e recolhe) - Na feira municipal (R$ 3.000,00): deveria recolher 1,5% = R$ 45,00 (raramente ocorre)</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CNIS de João registrará a comercialização declarada pela cooperativa (R$ 15.000,00), mas não a venda na feira. Para efeito de enquadramento como segurado especial, o que importa é a comprovação da atividade rural, não o valor exato da comercialização.</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4.11.4 Consórcio simplificado de produtores rurais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Lei 10.256/2001 (art. 25-A, Lei 8.212/91) instituiu o consórcio simplificado de produtores rurais pessoas físicas, que consiste na união de produtores para contratação coletiva de empregados rurais. O consórcio é equiparado ao empregador rural PF para fins previdenciários — contribui sobre a receita bruta da comercialização (1,5%), não sobre a folha.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Essa figura é relevante nas regiões de agricultura familiar, onde pequenos produtores se associam para compartilhar mão de obra sazonal (colheita, plantio). O consórcio não tem personalidade jurídica — é administrado por um dos produtores, que assume a responsabilidade pelas obrigações trabalhistas e previdenciárias perante o INSS.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Nos JEFs, trabalhadores contratados por consórcio simplificado frequentemente enfrentam dificuldade de comprovação de vínculo, pois o registro no CNIS pode estar vinculado ao CEI/CAEPF do produtor responsável, não ao consórcio. A prova de atividade rural nesses casos segue as mesmas regras do empregado rural comum (CTPS, contratos, recibos de pagamento, ficha de registro).</w:t>
      </w:r>
    </w:p>
    <w:p>
      <w:pPr>
        <w:spacing w:before="260" w:after="80" w:line="240" w:lineRule="auto"/>
        <w:jc w:val="left"/>
      </w:pPr>
      <w:r>
        <w:rPr>
          <w:rFonts w:ascii="EB Garamond" w:hAnsi="EB Garamond" w:cs="EB Garamond"/>
          <w:b/>
          <w:i w:val="0"/>
          <w:color w:val="3A3128"/>
          <w:sz w:val="25"/>
          <w:lang w:val="pt-BR" w:bidi="ar-SA"/>
          <w:kern w:val="16"/>
          <w14:ligatures w14:val="standardContextual"/>
        </w:rPr>
        <w:t>4.11.5 Agroindústria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agroindústria (pessoa jurídica cuja atividade econômica é a industrialização de produção rural própria ou de produção rural própria e adquirida de terceiros) contribui sobre a receita bruta com alíquota de 2,5% (RGPS) + 0,1% (GILRAT) = 2,6%, conforme art. 22-A da Lei 8.212/91 (incluído pela Lei 10.256/2001). Essa alíquota substituiu a contribuição patronal sobre a folha.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exceção são as agroindústrias de piscicultura, carcinicultura, suinocultura e avicultura, que contribuem pelo regime geral (20% sobre folha + RAT), por expressa disposição do art. 22-A, § 4º, da Lei 8.212/91.</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4.12 Salário de contribuição: conceito, limites e parcelas</w:t>
      </w:r>
    </w:p>
    <w:p>
      <w:pPr>
        <w:spacing w:before="260" w:after="80" w:line="240" w:lineRule="auto"/>
        <w:jc w:val="left"/>
      </w:pPr>
      <w:r>
        <w:rPr>
          <w:rFonts w:ascii="EB Garamond" w:hAnsi="EB Garamond" w:cs="EB Garamond"/>
          <w:b/>
          <w:i w:val="0"/>
          <w:color w:val="3A3128"/>
          <w:sz w:val="25"/>
          <w:lang w:val="pt-BR" w:bidi="ar-SA"/>
          <w:kern w:val="16"/>
          <w14:ligatures w14:val="standardContextual"/>
        </w:rPr>
        <w:t>4.12.1 Definição legal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salário de contribuição é a base de cálculo sobre a qual incide a contribuição previdenciária do segurado. Está definido no art. 28 da Lei 8.212/91 para cada categoria: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Empregado e avulso:</w:t>
      </w:r>
      <w:r>
        <w:rPr>
          <w:rFonts w:ascii="EB Garamond" w:hAnsi="EB Garamond" w:cs="EB Garamond"/>
          <w:b w:val="0"/>
          <w:i w:val="0"/>
          <w:color w:val="201B16"/>
          <w:sz w:val="20"/>
          <w:lang w:val="pt-BR" w:bidi="ar-SA"/>
          <w:kern w:val="16"/>
          <w14:ligatures w14:val="standardContextual"/>
        </w:rPr>
        <w:t xml:space="preserve"> Remuneração auferida em uma ou mais empresas, assim entendida a totalidade dos rendimentos pagos, devidos ou creditados a qualquer título, durante o mês, destinados a retribuir o trabalho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Empregado doméstico:</w:t>
      </w:r>
      <w:r>
        <w:rPr>
          <w:rFonts w:ascii="EB Garamond" w:hAnsi="EB Garamond" w:cs="EB Garamond"/>
          <w:b w:val="0"/>
          <w:i w:val="0"/>
          <w:color w:val="201B16"/>
          <w:sz w:val="20"/>
          <w:lang w:val="pt-BR" w:bidi="ar-SA"/>
          <w:kern w:val="16"/>
          <w14:ligatures w14:val="standardContextual"/>
        </w:rPr>
        <w:t xml:space="preserve"> Remuneração registrada na CTPS ou no eSocial</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Contribuinte individual:</w:t>
      </w:r>
      <w:r>
        <w:rPr>
          <w:rFonts w:ascii="EB Garamond" w:hAnsi="EB Garamond" w:cs="EB Garamond"/>
          <w:b w:val="0"/>
          <w:i w:val="0"/>
          <w:color w:val="201B16"/>
          <w:sz w:val="20"/>
          <w:lang w:val="pt-BR" w:bidi="ar-SA"/>
          <w:kern w:val="16"/>
          <w14:ligatures w14:val="standardContextual"/>
        </w:rPr>
        <w:t xml:space="preserve"> Remuneração auferida no mês pelo exercício de atividade por conta própria ou prestação de serviço a empresa ou equiparado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Segurado facultativo:</w:t>
      </w:r>
      <w:r>
        <w:rPr>
          <w:rFonts w:ascii="EB Garamond" w:hAnsi="EB Garamond" w:cs="EB Garamond"/>
          <w:b w:val="0"/>
          <w:i w:val="0"/>
          <w:color w:val="201B16"/>
          <w:sz w:val="20"/>
          <w:lang w:val="pt-BR" w:bidi="ar-SA"/>
          <w:kern w:val="16"/>
          <w14:ligatures w14:val="standardContextual"/>
        </w:rPr>
        <w:t xml:space="preserve"> Valor por ele declarado, observados os limites mínimo e máximo</w:t>
      </w:r>
    </w:p>
    <w:p>
      <w:pPr>
        <w:spacing w:before="0" w:after="6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4.12.2 Limite mínimo e máximo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salário de contribuição está limitado entre:</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Piso:</w:t>
      </w:r>
      <w:r>
        <w:rPr>
          <w:rFonts w:ascii="EB Garamond" w:hAnsi="EB Garamond" w:cs="EB Garamond"/>
          <w:b w:val="0"/>
          <w:i w:val="0"/>
          <w:color w:val="201B16"/>
          <w:sz w:val="20"/>
          <w:lang w:val="pt-BR" w:bidi="ar-SA"/>
          <w:kern w:val="16"/>
          <w14:ligatures w14:val="standardContextual"/>
        </w:rPr>
        <w:t xml:space="preserve"> Salário-mínimo (R$ 1.621,00 em 2026) ou piso salarial da categoria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Teto:</w:t>
      </w:r>
      <w:r>
        <w:rPr>
          <w:rFonts w:ascii="EB Garamond" w:hAnsi="EB Garamond" w:cs="EB Garamond"/>
          <w:b w:val="0"/>
          <w:i w:val="0"/>
          <w:color w:val="201B16"/>
          <w:sz w:val="20"/>
          <w:lang w:val="pt-BR" w:bidi="ar-SA"/>
          <w:kern w:val="16"/>
          <w14:ligatures w14:val="standardContextual"/>
        </w:rPr>
        <w:t xml:space="preserve"> Limite máximo do salário de contribuição (R$ 8.475,55 em 2026)</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N</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enhum segurado pode contribuir sobre valor inferior ao SM. A consequência prática é que o empregado que recebe remuneração inferior ao mínimo (tempo parcial, por exemplo) deve complementar a contribuição até atingir a alíquota sobre 1 SM, sob pena de o mês não ser computado para carência e tempo de contribuição.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Atenção — Trabalhador com mais de um vínculo: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empregado que trabalha em duas ou mais empresas tem a contribuição calculada sobre a soma das remunerações, respeitado o teto. Se a soma ultrapassa o teto, deve informar ao segundo empregador para que a retenção seja ajustada. Na prática, quando há divergência, o INSS consolida os vínculos no CNIS. No JEF, o problema surge quando o segurado reclama que contribuiu acima do teto e pleiteia restituição ou que o período não foi computado adequadamente.</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4.12.3 Trabalhador com remuneração inferior ao salário-mínimo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EC 103/2019 introduziu regra específica para o trabalhador cuja remuneração mensal é inferior ao salário-mínimo (tempo parcial, trabalho intermitente). O art. 195, § 14, da CF/88, incluído pela EC 103/2019, determina que o segurado somente terá reconhecido como tempo de contribuição e carência o mês cuja contribuição seja igual ou superior à contribuição mínima mensal exigida para sua categoria. O mês em que a contribuição for inferior à contribuição mínima (7,5% x SM = R$ 121,58 em 2026) não será computado para fins de carência e tempo de contribuição, salvo se o segurado complementar a contribuição até atingir o piso.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As opções do segurado são: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Complementar a contribuição:</w:t>
      </w:r>
      <w:r>
        <w:rPr>
          <w:rFonts w:ascii="EB Garamond" w:hAnsi="EB Garamond" w:cs="EB Garamond"/>
          <w:b w:val="0"/>
          <w:i w:val="0"/>
          <w:color w:val="201B16"/>
          <w:sz w:val="20"/>
          <w:lang w:val="pt-BR" w:bidi="ar-SA"/>
          <w:kern w:val="16"/>
          <w14:ligatures w14:val="standardContextual"/>
        </w:rPr>
        <w:t xml:space="preserve"> Recolher a diferença entre o valor efetivamente descontado e 7,5% do SM, via GPS código específico;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Agrupar competências:</w:t>
      </w:r>
      <w:r>
        <w:rPr>
          <w:rFonts w:ascii="EB Garamond" w:hAnsi="EB Garamond" w:cs="EB Garamond"/>
          <w:b w:val="0"/>
          <w:i w:val="0"/>
          <w:color w:val="201B16"/>
          <w:sz w:val="20"/>
          <w:lang w:val="pt-BR" w:bidi="ar-SA"/>
          <w:kern w:val="16"/>
          <w14:ligatures w14:val="standardContextual"/>
        </w:rPr>
        <w:t xml:space="preserve"> Somar remunerações de meses diferentes até atingir o valor mínimo, "utilizando" um único mês de carência para o período agrupado;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Utilizar contribuições de outro vínculo:</w:t>
      </w:r>
      <w:r>
        <w:rPr>
          <w:rFonts w:ascii="EB Garamond" w:hAnsi="EB Garamond" w:cs="EB Garamond"/>
          <w:b w:val="0"/>
          <w:i w:val="0"/>
          <w:color w:val="201B16"/>
          <w:sz w:val="20"/>
          <w:lang w:val="pt-BR" w:bidi="ar-SA"/>
          <w:kern w:val="16"/>
          <w14:ligatures w14:val="standardContextual"/>
        </w:rPr>
        <w:t xml:space="preserve"> Se o segurado tem dois empregos, a soma das remunerações pode ultrapassar o SM, validando automaticamente ambas as competências.</w:t>
      </w:r>
    </w:p>
    <w:p>
      <w:pPr>
        <w:spacing w:before="0" w:after="6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Atenção — Trabalho intermitente e custeio: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trabalhador intermitente (art. 443, § 3º, CLT) é particularmente afetado por essa regra. Meses em que não é convocado ou em que a remuneração total é inferior ao SM geram contribuição abaixo do mínimo. Esses meses ficam "em aberto" no CNIS — não contam para carência nem para tempo de contribuição até que o segurado complemente. Na prática dos JEFs, surgem ações em que o segurado intermitente pleiteia aposentadoria por idade e o INSS desconta os meses "incompletos" da carência. O advogado deve verificar se a complementação é possível e viável antes do ajuizamento.</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4.12.4 Parcelas integrantes do salário de contribuição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I</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ntegram o salário de contribuição todas as parcelas de natureza remuneratória pagas ao empregado. O conceito operacional é: toda verba destinada a retribuir o trabalho, habitual ou não, inclusive gorjetas, gratificações e comissões, integra a base de cálculo. O art. 28, I, da Lei 8.212/91 adota uma definição ampla, e as exclusões são taxativas (previstas no § 9º do mesmo artigo).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Parcelas que integram o salário de contribuição: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Salário-base e adicionais (insalubridade, periculosidade, noturno, hora extra)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Gratificações e comissões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13º salário (contribuição calculada separadamente, no mês de dezembro)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Gorjetas (compulsórias ou espontâneas)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Terço constitucional de férias (desde o Tema 985/STF — ver abaixo)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Salário in natura (moradia, alimentação fora do PAT, veículo para uso pessoal)</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Diárias excedentes a 50% da remuneração (quando não sujeitas à prestação de contas)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Prêmios e bonificações habituais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Remuneração do intervalo intrajornada suprimido</w:t>
      </w:r>
    </w:p>
    <w:p>
      <w:pPr>
        <w:spacing w:before="0" w:after="6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4.12.5 Parcelas não integrantes do salário de contribuição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28, § 9º, da Lei 8.212/91 lista exaustivamente as parcelas excluídas da base de cálculo. A natureza dessas parcelas é predominantemente indenizatória, ressarcitória ou de caráter social. Destacam-se: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a) </w:t>
      </w:r>
      <w:r>
        <w:rPr>
          <w:rFonts w:ascii="EB Garamond" w:hAnsi="EB Garamond" w:cs="EB Garamond"/>
          <w:b/>
          <w:i w:val="0"/>
          <w:color w:val="201B16"/>
          <w:sz w:val="21"/>
          <w:lang w:val="pt-BR" w:bidi="ar-SA"/>
          <w:kern w:val="16"/>
          <w14:ligatures w14:val="standardContextual"/>
        </w:rPr>
        <w:t>Benefícios da Previdência Social</w:t>
      </w:r>
      <w:r>
        <w:rPr>
          <w:rFonts w:ascii="EB Garamond" w:hAnsi="EB Garamond" w:cs="EB Garamond"/>
          <w:b w:val="0"/>
          <w:i w:val="0"/>
          <w:color w:val="201B16"/>
          <w:sz w:val="21"/>
          <w:lang w:val="pt-BR" w:bidi="ar-SA"/>
          <w:kern w:val="16"/>
          <w14:ligatures w14:val="standardContextual"/>
        </w:rPr>
        <w:t xml:space="preserve"> (aposentadoria, pensão), exceto quando o aposentado retorna ao trabalho, caso em que a remuneração do novo emprego integra o SC.</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b) </w:t>
      </w:r>
      <w:r>
        <w:rPr>
          <w:rFonts w:ascii="EB Garamond" w:hAnsi="EB Garamond" w:cs="EB Garamond"/>
          <w:b/>
          <w:i w:val="0"/>
          <w:color w:val="201B16"/>
          <w:sz w:val="21"/>
          <w:lang w:val="pt-BR" w:bidi="ar-SA"/>
          <w:kern w:val="16"/>
          <w14:ligatures w14:val="standardContextual"/>
        </w:rPr>
        <w:t>Ajuda de custo e diárias para viagem</w:t>
      </w:r>
      <w:r>
        <w:rPr>
          <w:rFonts w:ascii="EB Garamond" w:hAnsi="EB Garamond" w:cs="EB Garamond"/>
          <w:b w:val="0"/>
          <w:i w:val="0"/>
          <w:color w:val="201B16"/>
          <w:sz w:val="21"/>
          <w:lang w:val="pt-BR" w:bidi="ar-SA"/>
          <w:kern w:val="16"/>
          <w14:ligatures w14:val="standardContextual"/>
        </w:rPr>
        <w:t>, não integram desde que compatíveis com a necessidade (a Lei 13.467/2017 eliminou o antigo limite de 50% da remuneração, mas a RFB mantém o critério de razoabilidade na fiscalização).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c) </w:t>
      </w:r>
      <w:r>
        <w:rPr>
          <w:rFonts w:ascii="EB Garamond" w:hAnsi="EB Garamond" w:cs="EB Garamond"/>
          <w:b/>
          <w:i w:val="0"/>
          <w:color w:val="201B16"/>
          <w:sz w:val="21"/>
          <w:lang w:val="pt-BR" w:bidi="ar-SA"/>
          <w:kern w:val="16"/>
          <w14:ligatures w14:val="standardContextual"/>
        </w:rPr>
        <w:t>Vale-transporte</w:t>
      </w:r>
      <w:r>
        <w:rPr>
          <w:rFonts w:ascii="EB Garamond" w:hAnsi="EB Garamond" w:cs="EB Garamond"/>
          <w:b w:val="0"/>
          <w:i w:val="0"/>
          <w:color w:val="201B16"/>
          <w:sz w:val="21"/>
          <w:lang w:val="pt-BR" w:bidi="ar-SA"/>
          <w:kern w:val="16"/>
          <w14:ligatures w14:val="standardContextual"/>
        </w:rPr>
        <w:t xml:space="preserve"> — independentemente da forma de pagamento (vales, cartão ou dinheiro), conforme posição consolidada pelo STF (RE 478.410, Plenário, j. 14/05/2010).</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d) </w:t>
      </w:r>
      <w:r>
        <w:rPr>
          <w:rFonts w:ascii="EB Garamond" w:hAnsi="EB Garamond" w:cs="EB Garamond"/>
          <w:b/>
          <w:i w:val="0"/>
          <w:color w:val="201B16"/>
          <w:sz w:val="21"/>
          <w:lang w:val="pt-BR" w:bidi="ar-SA"/>
          <w:kern w:val="16"/>
          <w14:ligatures w14:val="standardContextual"/>
        </w:rPr>
        <w:t>Alimentação fornecida conforme o PAT</w:t>
      </w:r>
      <w:r>
        <w:rPr>
          <w:rFonts w:ascii="EB Garamond" w:hAnsi="EB Garamond" w:cs="EB Garamond"/>
          <w:b w:val="0"/>
          <w:i w:val="0"/>
          <w:color w:val="201B16"/>
          <w:sz w:val="21"/>
          <w:lang w:val="pt-BR" w:bidi="ar-SA"/>
          <w:kern w:val="16"/>
          <w14:ligatures w14:val="standardContextual"/>
        </w:rPr>
        <w:t xml:space="preserve"> (Programa de Alimentação do Trabalhador), desde que a empresa esteja inscrita no PAT. Vale-alimentação ou vale-refeição sem inscrição no PAT pode ser considerado salário in natura e integrar o SC.</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e) </w:t>
      </w:r>
      <w:r>
        <w:rPr>
          <w:rFonts w:ascii="EB Garamond" w:hAnsi="EB Garamond" w:cs="EB Garamond"/>
          <w:b/>
          <w:i w:val="0"/>
          <w:color w:val="201B16"/>
          <w:sz w:val="21"/>
          <w:lang w:val="pt-BR" w:bidi="ar-SA"/>
          <w:kern w:val="16"/>
          <w14:ligatures w14:val="standardContextual"/>
        </w:rPr>
        <w:t>PLR, Participação nos Lucros e Resultados</w:t>
      </w:r>
      <w:r>
        <w:rPr>
          <w:rFonts w:ascii="EB Garamond" w:hAnsi="EB Garamond" w:cs="EB Garamond"/>
          <w:b w:val="0"/>
          <w:i w:val="0"/>
          <w:color w:val="201B16"/>
          <w:sz w:val="21"/>
          <w:lang w:val="pt-BR" w:bidi="ar-SA"/>
          <w:kern w:val="16"/>
          <w14:ligatures w14:val="standardContextual"/>
        </w:rPr>
        <w:t>, não integra o SC, desde que paga nos termos da Lei 10.101/2000 (negociação prévia, periodicidade mínima semestral, critérios claros).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f) </w:t>
      </w:r>
      <w:r>
        <w:rPr>
          <w:rFonts w:ascii="EB Garamond" w:hAnsi="EB Garamond" w:cs="EB Garamond"/>
          <w:b/>
          <w:i w:val="0"/>
          <w:color w:val="201B16"/>
          <w:sz w:val="21"/>
          <w:lang w:val="pt-BR" w:bidi="ar-SA"/>
          <w:kern w:val="16"/>
          <w14:ligatures w14:val="standardContextual"/>
        </w:rPr>
        <w:t>Indenização por rescisão</w:t>
      </w:r>
      <w:r>
        <w:rPr>
          <w:rFonts w:ascii="EB Garamond" w:hAnsi="EB Garamond" w:cs="EB Garamond"/>
          <w:b w:val="0"/>
          <w:i w:val="0"/>
          <w:color w:val="201B16"/>
          <w:sz w:val="21"/>
          <w:lang w:val="pt-BR" w:bidi="ar-SA"/>
          <w:kern w:val="16"/>
          <w14:ligatures w14:val="standardContextual"/>
        </w:rPr>
        <w:t>, multa de 40% do FGTS, aviso prévio indenizado, férias indenizadas (sobre a indenização principal, não sobre o terço).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g) </w:t>
      </w:r>
      <w:r>
        <w:rPr>
          <w:rFonts w:ascii="EB Garamond" w:hAnsi="EB Garamond" w:cs="EB Garamond"/>
          <w:b/>
          <w:i w:val="0"/>
          <w:color w:val="201B16"/>
          <w:sz w:val="21"/>
          <w:lang w:val="pt-BR" w:bidi="ar-SA"/>
          <w:kern w:val="16"/>
          <w14:ligatures w14:val="standardContextual"/>
        </w:rPr>
        <w:t>Bolsa de estágio</w:t>
      </w:r>
      <w:r>
        <w:rPr>
          <w:rFonts w:ascii="EB Garamond" w:hAnsi="EB Garamond" w:cs="EB Garamond"/>
          <w:b w:val="0"/>
          <w:i w:val="0"/>
          <w:color w:val="201B16"/>
          <w:sz w:val="21"/>
          <w:lang w:val="pt-BR" w:bidi="ar-SA"/>
          <w:kern w:val="16"/>
          <w14:ligatures w14:val="standardContextual"/>
        </w:rPr>
        <w:t>, quando o estágio observa a Lei 11.788/2008 (supervisão, termo de compromisso, compatibilidade horária).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h) </w:t>
      </w:r>
      <w:r>
        <w:rPr>
          <w:rFonts w:ascii="EB Garamond" w:hAnsi="EB Garamond" w:cs="EB Garamond"/>
          <w:b/>
          <w:i w:val="0"/>
          <w:color w:val="201B16"/>
          <w:sz w:val="21"/>
          <w:lang w:val="pt-BR" w:bidi="ar-SA"/>
          <w:kern w:val="16"/>
          <w14:ligatures w14:val="standardContextual"/>
        </w:rPr>
        <w:t>Prêmios e abonos</w:t>
      </w:r>
      <w:r>
        <w:rPr>
          <w:rFonts w:ascii="EB Garamond" w:hAnsi="EB Garamond" w:cs="EB Garamond"/>
          <w:b w:val="0"/>
          <w:i w:val="0"/>
          <w:color w:val="201B16"/>
          <w:sz w:val="21"/>
          <w:lang w:val="pt-BR" w:bidi="ar-SA"/>
          <w:kern w:val="16"/>
          <w14:ligatures w14:val="standardContextual"/>
        </w:rPr>
        <w:t>, a Reforma Trabalhista (Lei 13.467/2017) excluiu os prêmios pagos até duas vezes ao ano da base do SC, definindo-os como "liberalidades concedidas em razão de desempenho superior ao ordinariamente esperado" (art. 457, § 4º, CLT). Essa exclusão está sujeita a fiscalização rigorosa da RFB.</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Quadro comparativo — Parcelas integrantes vs. Não integrantes:</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Parcela</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Integra SC?</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Fundamento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Salário-base</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Sim</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28, I, Lei 8.212</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Hora extra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Sim</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28, I</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Adicional noturno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Sim</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28, I</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Insalubridade/Periculosidade</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Sim</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28, I; STJ Tema 1.252</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Remuneração do aprendiz (art. 428 CLT)</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Sim</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STJ Tema 1.342</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13º salário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Sim (separado)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28, § 7º</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Terço de férias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Sim</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STF Tema 985</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Gorjetas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Sim</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28, I</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Comissões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Sim</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28, I</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PLR</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28, § 9º, j</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Vale-transporte</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28, § 9º, f</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Vale-alimentação (PAT)</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28, § 9º, c</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Ajuda de custo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28, § 9º, g</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Diárias p/ viagem</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28, § 9º, h</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Aviso prévio indenizado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28, § 9º, e</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FGTS 40% (multa)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28, § 9º, e</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Bolsa estágio (Lei 11.788)</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28, § 9º, i</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Prêmios (até 2x/ano)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457, § 4º, CLT</w:t>
                  </w:r>
                </w:p>
              </w:tc>
            </w:tr>
          </w:tbl>
          <w:p/>
          <w:p>
            <w:pPr>
              <w:spacing w:before="0" w:after="0" w:line="240" w:lineRule="auto"/>
            </w:pP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4.12.6 A base de cálculo da contribuição patronal nos repetitivos recentes do STJ</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E</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mbora a seção trate primordialmente do salário de contribuição do segurado, o conceito de remuneração que o delimita é o mesmo que define a base de cálculo da contribuição patronal (art. 22, I, da Lei 8.212/91). Por isso, os recursos repetitivos julgados pelo STJ em 2024 e 2025 sobre quais parcelas integram (ou não) a base patronal repercutem diretamente sobre a definição de salário de contribuição. Três teses recentes consolidam o entendimento.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primeira (Tema 1.174) afasta da base patronal as verbas que o empregador apenas desconta em folha por imposição legal, mas que continuam pertencendo ao próprio trabalhador: a lógica é que tais descontos são meras técnicas de arrecadação ou de repasse, e não acréscimo patrimonial do empregador, de modo que não alteram o conceito de salário ou de salário de contribuição. A segunda (Tema 1.252) confirma a incidência sobre o adicional de insalubridade, em razão de sua natureza remuneratória. A terceira (Tema 1.342) define que a remuneração paga ao aprendiz integra a base patronal, do GILRAT e das contribuições de terceiros.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STJ — A base de cálculo da contribuição patronal em três repetitivos (2024-2025)</w:t>
            </w:r>
          </w:p>
          <w:p>
            <w:pPr>
              <w:spacing w:before="0" w:after="60" w:line="247" w:lineRule="auto"/>
              <w:jc w:val="both"/>
            </w:pPr>
            <w:r>
              <w:rPr>
                <w:rFonts w:ascii="EB Garamond" w:hAnsi="EB Garamond" w:cs="EB Garamond"/>
                <w:b/>
                <w:i w:val="0"/>
                <w:color w:val="201B16"/>
                <w:sz w:val="19"/>
                <w:lang w:val="pt-BR" w:bidi="ar-SA"/>
                <w:kern w:val="16"/>
                <w14:ligatures w14:val="standardContextual"/>
              </w:rPr>
              <w:t>Tema 1.174 (REsp 2.005.029/PR, Rel. Min. Herman Benjamin, 1ª Seção, j. 14/08/2024) — o que NÃO integra a base patronal:</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Tese fixada: "As parcelas relativas ao vale-transporte, vale-refeição/alimentação, plano de assistência à saúde (auxílio-saúde, odontológico e farmácia), ao Imposto de Renda retido na fonte (IRRF) dos empregados e à contribuição previdenciária dos empregados, descontadas na folha de pagamento do trabalhador, constituem simples técnica de arrecadação ou de garantia para recebimento do credor, e não modificam o conceito de salário ou de salário contribuição, e, portanto, não modificam a base de cálculo da contribuição previdenciária patronal, do SAT e da contribuição de terceiros."</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Em síntese: o valor descontado do empregado (sua contribuição previdenciária, o IRRF, a coparticipação no vale-transporte, no vale-refeição/alimentação e no plano de saúde) é despesa do trabalhador retida na fonte, não do empregador. Por isso não pode ser somado à base sobre a qual incidem os 20% patronais (e o RAT/SAT e as contribuições a terceiros).</w:t>
            </w:r>
          </w:p>
          <w:p>
            <w:pPr>
              <w:spacing w:before="0" w:after="60" w:line="247" w:lineRule="auto"/>
              <w:jc w:val="both"/>
            </w:pPr>
            <w:r>
              <w:rPr>
                <w:rFonts w:ascii="EB Garamond" w:hAnsi="EB Garamond" w:cs="EB Garamond"/>
                <w:b/>
                <w:i w:val="0"/>
                <w:color w:val="201B16"/>
                <w:sz w:val="19"/>
                <w:lang w:val="pt-BR" w:bidi="ar-SA"/>
                <w:kern w:val="16"/>
                <w14:ligatures w14:val="standardContextual"/>
              </w:rPr>
              <w:t>Tema 1.252 (REsp 2.050.498, Rel. Min. Herman Benjamin, 1ª Seção, j. 20/06/2024) — o que INTEGRA a base patronal:</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Tese fixada: "Incide a Contribuição Previdenciária patronal sobre o Adicional de Insalubridade, em razão da sua natureza remuneratória."</w:t>
            </w:r>
          </w:p>
          <w:p>
            <w:pPr>
              <w:spacing w:before="0" w:after="60" w:line="247" w:lineRule="auto"/>
              <w:jc w:val="both"/>
            </w:pPr>
            <w:r>
              <w:rPr>
                <w:rFonts w:ascii="EB Garamond" w:hAnsi="EB Garamond" w:cs="EB Garamond"/>
                <w:b/>
                <w:i w:val="0"/>
                <w:color w:val="201B16"/>
                <w:sz w:val="19"/>
                <w:lang w:val="pt-BR" w:bidi="ar-SA"/>
                <w:kern w:val="16"/>
                <w14:ligatures w14:val="standardContextual"/>
              </w:rPr>
              <w:t>Tema 1.342 (REsp 2.191.479, Rel. Min. Maria Thereza de Assis Moura, 1ª Seção, j. 13/08/2025) — o que INTEGRA a base patronal:</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Tese fixada: "A remuneração decorrente do contrato de aprendizagem (art. 428 da CLT) integra a base de cálculo da contribuição previdenciária patronal, da Contribuição do Grau de Incidência de Incapacidade Laborativa decorrente dos Riscos Ambientais do Trabalho (GIIL-RAT) e das contribuições a terceiros."</w:t>
            </w:r>
          </w:p>
          <w:p>
            <w:pPr>
              <w:spacing w:before="0" w:after="60" w:line="247" w:lineRule="auto"/>
              <w:jc w:val="both"/>
            </w:pPr>
            <w:r>
              <w:rPr>
                <w:rFonts w:ascii="EB Garamond" w:hAnsi="EB Garamond" w:cs="EB Garamond"/>
                <w:b/>
                <w:i w:val="0"/>
                <w:color w:val="201B16"/>
                <w:sz w:val="19"/>
                <w:lang w:val="pt-BR" w:bidi="ar-SA"/>
                <w:kern w:val="16"/>
                <w14:ligatures w14:val="standardContextual"/>
              </w:rPr>
              <w:t>Quadro-síntese:</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Parcela</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Integra a base patronal?</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Precedente STJ</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Contribuição previdenciária do empregado (descontada em folha)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Tema 1.174</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IRRF do empregado (retido na fonte)</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Tema 1.174</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Vale-transporte (coparticipação descontada)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Tema 1.174</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Vale-refeição/alimentação (coparticipação descontada)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Tema 1.174</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Plano de assistência à saúde/odontológico/farmácia (coparticipação descontada)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Tema 1.174</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Adicional de insalubridade</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Sim</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Tema 1.252</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Remuneração do contrato de aprendizagem (art. 428 CLT)</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Sim</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Tema 1.342</w:t>
                  </w:r>
                </w:p>
              </w:tc>
            </w:tr>
          </w:tbl>
          <w:p/>
          <w:p>
            <w:pPr>
              <w:spacing w:before="0" w:after="0" w:line="240" w:lineRule="auto"/>
            </w:pPr>
          </w:p>
          <w:p>
            <w:pPr>
              <w:spacing w:before="0" w:after="60" w:line="247" w:lineRule="auto"/>
              <w:jc w:val="both"/>
            </w:pPr>
            <w:r>
              <w:rPr>
                <w:rFonts w:ascii="EB Garamond" w:hAnsi="EB Garamond" w:cs="EB Garamond"/>
                <w:b/>
                <w:i w:val="0"/>
                <w:color w:val="201B16"/>
                <w:sz w:val="19"/>
                <w:lang w:val="pt-BR" w:bidi="ar-SA"/>
                <w:kern w:val="16"/>
                <w14:ligatures w14:val="standardContextual"/>
              </w:rPr>
              <w:t>Impacto prático:</w:t>
            </w:r>
            <w:r>
              <w:rPr>
                <w:rFonts w:ascii="EB Garamond" w:hAnsi="EB Garamond" w:cs="EB Garamond"/>
                <w:b w:val="0"/>
                <w:i w:val="0"/>
                <w:color w:val="201B16"/>
                <w:sz w:val="19"/>
                <w:lang w:val="pt-BR" w:bidi="ar-SA"/>
                <w:kern w:val="16"/>
                <w14:ligatures w14:val="standardContextual"/>
              </w:rPr>
              <w:t xml:space="preserve"> Esses repetitivos interessam sobretudo às ações tributárias do empregador (em regra fora dos JEFs, por ultrapassarem o teto de 60 SM). Para o segurado, o reflexo é indireto, mas relevante na retificação de CNIS: como o adicional de insalubridade e a remuneração do aprendiz têm natureza remuneratória, integram o salário de contribuição e devem compor a média do PBC. Já as parcelas afastadas pelo Tema 1.174 (descontos do próprio empregado) jamais foram acréscimo à remuneração — sua exclusão da base patronal não reduz o salário de contribuição do segurado, que continua calculado sobre a remuneração bruta a ele devida.</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4.12.7 O terço constitucional de férias e o Tema 985/STF</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incidência de contribuição previdenciária sobre o terço constitucional de férias foi uma das questões previdenciárias mais litigadas no Brasil durante duas décadas. O STJ manteve, durante anos, jurisprudência pacificada no sentido de que o terço de férias tinha natureza indenizatória e, portanto, não integrava o salário de contribuição.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STF — Tema 985 (RE 1.072.485, Rel. Min. Luís Roberto Barroso, j. 31/08/2020)</w:t>
            </w:r>
          </w:p>
          <w:p>
            <w:pPr>
              <w:spacing w:before="0" w:after="60" w:line="247" w:lineRule="auto"/>
              <w:jc w:val="both"/>
            </w:pPr>
            <w:r>
              <w:rPr>
                <w:rFonts w:ascii="EB Garamond" w:hAnsi="EB Garamond" w:cs="EB Garamond"/>
                <w:b/>
                <w:i w:val="0"/>
                <w:color w:val="201B16"/>
                <w:sz w:val="19"/>
                <w:lang w:val="pt-BR" w:bidi="ar-SA"/>
                <w:kern w:val="16"/>
                <w14:ligatures w14:val="standardContextual"/>
              </w:rPr>
              <w:t>Tese fixada:</w:t>
            </w:r>
            <w:r>
              <w:rPr>
                <w:rFonts w:ascii="EB Garamond" w:hAnsi="EB Garamond" w:cs="EB Garamond"/>
                <w:b w:val="0"/>
                <w:i w:val="0"/>
                <w:color w:val="201B16"/>
                <w:sz w:val="19"/>
                <w:lang w:val="pt-BR" w:bidi="ar-SA"/>
                <w:kern w:val="16"/>
                <w14:ligatures w14:val="standardContextual"/>
              </w:rPr>
              <w:t xml:space="preserve"> "É legítima a incidência de contribuição social sobre o valor satisfeito a título de terço constitucional de férias."</w:t>
            </w:r>
          </w:p>
          <w:p>
            <w:pPr>
              <w:spacing w:before="0" w:after="60" w:line="247" w:lineRule="auto"/>
              <w:jc w:val="both"/>
            </w:pPr>
            <w:r>
              <w:rPr>
                <w:rFonts w:ascii="EB Garamond" w:hAnsi="EB Garamond" w:cs="EB Garamond"/>
                <w:b/>
                <w:i w:val="0"/>
                <w:color w:val="201B16"/>
                <w:sz w:val="19"/>
                <w:lang w:val="pt-BR" w:bidi="ar-SA"/>
                <w:kern w:val="16"/>
                <w14:ligatures w14:val="standardContextual"/>
              </w:rPr>
              <w:t>Contexto:</w:t>
            </w:r>
            <w:r>
              <w:rPr>
                <w:rFonts w:ascii="EB Garamond" w:hAnsi="EB Garamond" w:cs="EB Garamond"/>
                <w:b w:val="0"/>
                <w:i w:val="0"/>
                <w:color w:val="201B16"/>
                <w:sz w:val="19"/>
                <w:lang w:val="pt-BR" w:bidi="ar-SA"/>
                <w:kern w:val="16"/>
                <w14:ligatures w14:val="standardContextual"/>
              </w:rPr>
              <w:t xml:space="preserve"> Reverteu jurisprudência consolidada do STJ (que excluía o terço do SC). A partir de setembro/2020, é pacífico que o terço de férias integra o salário de contribuição.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Modulação:</w:t>
            </w:r>
            <w:r>
              <w:rPr>
                <w:rFonts w:ascii="EB Garamond" w:hAnsi="EB Garamond" w:cs="EB Garamond"/>
                <w:b w:val="0"/>
                <w:i w:val="0"/>
                <w:color w:val="201B16"/>
                <w:sz w:val="19"/>
                <w:lang w:val="pt-BR" w:bidi="ar-SA"/>
                <w:kern w:val="16"/>
                <w14:ligatures w14:val="standardContextual"/>
              </w:rPr>
              <w:t xml:space="preserve"> Aplicação ex nunc. Contribuintes que obtiveram decisão transitada em julgado excluindo o terço mantêm o direito (até eventual rescisória). Para novas ações, não cabe mais a discussão.</w:t>
            </w:r>
          </w:p>
          <w:p>
            <w:pPr>
              <w:spacing w:before="0" w:after="60" w:line="247" w:lineRule="auto"/>
              <w:jc w:val="both"/>
            </w:pPr>
            <w:r>
              <w:rPr>
                <w:rFonts w:ascii="EB Garamond" w:hAnsi="EB Garamond" w:cs="EB Garamond"/>
                <w:b/>
                <w:i w:val="0"/>
                <w:color w:val="201B16"/>
                <w:sz w:val="19"/>
                <w:lang w:val="pt-BR" w:bidi="ar-SA"/>
                <w:kern w:val="16"/>
                <w14:ligatures w14:val="standardContextual"/>
              </w:rPr>
              <w:t>Impacto para o segurado (JEF):</w:t>
            </w:r>
            <w:r>
              <w:rPr>
                <w:rFonts w:ascii="EB Garamond" w:hAnsi="EB Garamond" w:cs="EB Garamond"/>
                <w:b w:val="0"/>
                <w:i w:val="0"/>
                <w:color w:val="201B16"/>
                <w:sz w:val="19"/>
                <w:lang w:val="pt-BR" w:bidi="ar-SA"/>
                <w:kern w:val="16"/>
                <w14:ligatures w14:val="standardContextual"/>
              </w:rPr>
              <w:t xml:space="preserve"> Indiretamente favorável — a incidência do terço sobre o SC eleva a média dos salários de contribuição no PBC, resultando em salário de benefício (e RMI) ligeiramente maior. O advogado previdenciarista deve atentar: para segurados que obtiveram exclusão judicial do terço antes do Tema 985, os salários de contribuição registrados no CNIS para aquele período estarão menores do que deveriam, podendo justificar ação de retificação para inclusão do terço e consequente revisão do benefício.</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4.12.8 Evolução histórica do teto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limite máximo do salário de contribuição (teto) sofreu diversas alterações ao longo do tempo. Para o cálculo de benefícios, o teto vigente na data de cada competência limita o salário de contribuição daquele mês. Os principais marcos são:</w:t>
      </w:r>
    </w:p>
    <w:tbl>
      <w:tblPr>
        <w:tblW w:type="auto" w:w="0"/>
        <w:jc w:val="center"/>
        <w:tblLook w:firstColumn="1" w:firstRow="1" w:lastColumn="0" w:lastRow="0" w:noHBand="0" w:noVBand="1" w:val="04A0"/>
        <w:tblW w:w="5000" w:type="pct"/>
      </w:tblPr>
      <w:tblGrid>
        <w:gridCol w:w="3175"/>
        <w:gridCol w:w="3175"/>
      </w:tblGrid>
      <w:tr>
        <w:trPr>
          <w:tblHeader/>
        </w:trPr>
        <w:tc>
          <w:tcPr>
            <w:tcW w:type="dxa" w:w="3175"/>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Período</w:t>
            </w:r>
          </w:p>
        </w:tc>
        <w:tc>
          <w:tcPr>
            <w:tcW w:type="dxa" w:w="3175"/>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Teto</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Até 11/1994</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Variável conforme legislação</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12/1998 (EC 20)</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R$ 1.200,00</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01/2004 (EC 41/2003)</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R$ 2.400,00</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02/2009</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R$ 3.038,99</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01/2012</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R$ 3.916,20</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01/2016</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R$ 5.189,82</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01/2020</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R$ 6.101,06</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01/2024</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R$ 7.786,02</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01/2025</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R$ 8.157,41</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01/2026</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R$ 8.475,55</w:t>
            </w: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Atenção — Revisão de benefícios limitados pelo teto: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STF, no julgamento do RE 564.354/SE (Tema 76, rel. Min. Cármen Lúcia, Plenário, j. 08/09/2010), fixou a tese de que "não ofende o ato jurídico perfeito a aplicação imediata do art. 14 da Emenda Constitucional 20/1998 e do art. 5º da Emenda Constitucional 41/2003 aos benefícios previdenciários limitados a teto do regime geral de previdência estabelecido antes da vigência dessas normas, de modo a que passem a observar o novo teto constitucional". Essa tese resultou na chamada "revisão do teto" — aplicável a benefícios concedidos entre 05/04/1991 (Lei 8.213) e 31/12/2003, cujo salário de benefício foi limitado pelo teto então vigente mas que, recalculado com os tetos da EC 20/1998 (R$ 1.200,00) e da EC 41/2003 (R$ 2.400,00), resultaria em valor superior. A revisão é objeto frequente de ações nos JEFs.</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4.12.9 Salário in natura e sua incidência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salário in natura, também chamado de salário-utilidade, consiste em prestações não monetárias fornecidas habitualmente pelo empregador ao empregado. A CLT, no art. 458, estabelece que, além do pagamento em dinheiro, compreendem-se no salário as prestações in natura que a empresa fornecer habitualmente ao empregado.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fins previdenciários, a questão central é: o que fornecido pelo empregador integra o salário de contribuição? A resposta depende da destinação da utilidade: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a) </w:t>
      </w:r>
      <w:r>
        <w:rPr>
          <w:rFonts w:ascii="EB Garamond" w:hAnsi="EB Garamond" w:cs="EB Garamond"/>
          <w:b/>
          <w:i w:val="0"/>
          <w:color w:val="201B16"/>
          <w:sz w:val="21"/>
          <w:lang w:val="pt-BR" w:bidi="ar-SA"/>
          <w:kern w:val="16"/>
          <w14:ligatures w14:val="standardContextual"/>
        </w:rPr>
        <w:t>Integra o SC (caráter retributivo):</w:t>
      </w:r>
      <w:r>
        <w:rPr>
          <w:rFonts w:ascii="EB Garamond" w:hAnsi="EB Garamond" w:cs="EB Garamond"/>
          <w:b w:val="0"/>
          <w:i w:val="0"/>
          <w:color w:val="201B16"/>
          <w:sz w:val="21"/>
          <w:lang w:val="pt-BR" w:bidi="ar-SA"/>
          <w:kern w:val="16"/>
          <w14:ligatures w14:val="standardContextual"/>
        </w:rPr>
        <w:t xml:space="preserve"> Moradia cedida pelo empregador sem vinculação à necessidade do serviço, veículo para uso pessoal, alimentação fora do PAT, vestuário não profissional.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b) </w:t>
      </w:r>
      <w:r>
        <w:rPr>
          <w:rFonts w:ascii="EB Garamond" w:hAnsi="EB Garamond" w:cs="EB Garamond"/>
          <w:b/>
          <w:i w:val="0"/>
          <w:color w:val="201B16"/>
          <w:sz w:val="21"/>
          <w:lang w:val="pt-BR" w:bidi="ar-SA"/>
          <w:kern w:val="16"/>
          <w14:ligatures w14:val="standardContextual"/>
        </w:rPr>
        <w:t>Não integra o SC (caráter instrumental):</w:t>
      </w:r>
      <w:r>
        <w:rPr>
          <w:rFonts w:ascii="EB Garamond" w:hAnsi="EB Garamond" w:cs="EB Garamond"/>
          <w:b w:val="0"/>
          <w:i w:val="0"/>
          <w:color w:val="201B16"/>
          <w:sz w:val="21"/>
          <w:lang w:val="pt-BR" w:bidi="ar-SA"/>
          <w:kern w:val="16"/>
          <w14:ligatures w14:val="standardContextual"/>
        </w:rPr>
        <w:t xml:space="preserve"> Moradia fornecida por necessidade do serviço (zelador que mora no prédio, gerente de fazenda), veículo utilizado exclusivamente para o trabalho, equipamentos de proteção individual (EPIs), ferramentas de trabalho.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Lei 10.243/2001 alterou o § 2º do art. 458 da CLT, excluindo expressamente do salário: educação (matrícula, mensalidade, material didático), assistência médica, seguro de vida, previdência privada e vale-cultura. Essas exclusões aplicam-se tanto para fins trabalhistas quanto previdenciários.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Impacto prático no JEF:</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Nas ações de retificação de CNIS, a discussão sobre salário in natura pode surgir quando o segurado alega que recebia parcela não registrada no CNIS (moradia, alimentação) que deveria integrar o SC e, consequentemente, elevar o salário de benefício. O ônus da prova é do segurado, que deve demonstrar: (i) o fornecimento habitual da utilidade; (ii) o caráter retributivo (não instrumental); (iii) o valor mensal da utilidade. Comprovados esses elementos, o juiz determina a retificação do CNIS com inclusão da parcela in natura no salário de contribuição dos períodos correspondentes.</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4.12.10 Décimo terceiro salário e contribuição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13º salário integra o salário de contribuição, mas com peculiaridade: sua contribuição é calculada separadamente da remuneração mensal (art. 28, § 7º, Lei 8.212/91). Isso significa que o 13º tem incidência autônoma — não é somado ao salário do mês de pagamento para efeito de enquadramento nas faixas progressivas. A contribuição sobre o 13º é recolhida em dezembro (ou na rescisão, proporcionalmente), utilizando-se as faixas progressivas sobre o valor integral do 13º.</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razão para a incidência separada é evitar distorções no enquadramento por faixas. Cabe destacar que o 13º salário gera contribuição previdenciária autônoma (art. 28, § 7º, Lei 8.212/91), mas NÃO gera competência adicional para fins de cálculo do benefício. O art. 29, § 3º, da Lei 8.213/91 exclui o 13º do período básico de cálculo (PBC): os salários de contribuição referentes ao 13º não integram a média aritmética utilizada para apuração do salário de benefício. Assim, o 13º não eleva o número de "competências" nem aumenta a média do PBC.</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4.13 Contribuições em atraso e indenização</w:t>
      </w:r>
    </w:p>
    <w:p>
      <w:pPr>
        <w:spacing w:before="260" w:after="80" w:line="240" w:lineRule="auto"/>
        <w:jc w:val="left"/>
      </w:pPr>
      <w:r>
        <w:rPr>
          <w:rFonts w:ascii="EB Garamond" w:hAnsi="EB Garamond" w:cs="EB Garamond"/>
          <w:b/>
          <w:i w:val="0"/>
          <w:color w:val="3A3128"/>
          <w:sz w:val="25"/>
          <w:lang w:val="pt-BR" w:bidi="ar-SA"/>
          <w:kern w:val="16"/>
          <w14:ligatures w14:val="standardContextual"/>
        </w:rPr>
        <w:t>4.13.1 Distinção fundamental: atraso com filiação vs. Indenização sem filiação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E</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sta distinção é uma das mais litigadas nos JEFs em matéria previdenciária e frequentemente confundida por advogados menos experientes. São dois institutos juridicamente distintos: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 Contribuição em atraso (CI com filiação anterior):</w:t>
      </w:r>
      <w:r>
        <w:rPr>
          <w:rFonts w:ascii="EB Garamond" w:hAnsi="EB Garamond" w:cs="EB Garamond"/>
          <w:b w:val="0"/>
          <w:i w:val="0"/>
          <w:color w:val="201B16"/>
          <w:sz w:val="21"/>
          <w:lang w:val="pt-BR" w:bidi="ar-SA"/>
          <w:kern w:val="16"/>
          <w14:ligatures w14:val="standardContextual"/>
        </w:rPr>
        <w:t xml:space="preserve"> O contribuinte individual que exerceu atividade remunerada, manteve filiação ao RGPS, mas não recolheu tempestivamente suas contribuições, pode recolhê-las em atraso. O recolhimento extemporâneo está previsto no art. 45-A da Lei 8.212/91 e regulamentado pelos arts. 62 a 66 da IN INSS/PRES 128/2022.</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b) Indenização (período anterior à filiação):</w:t>
      </w:r>
      <w:r>
        <w:rPr>
          <w:rFonts w:ascii="EB Garamond" w:hAnsi="EB Garamond" w:cs="EB Garamond"/>
          <w:b w:val="0"/>
          <w:i w:val="0"/>
          <w:color w:val="201B16"/>
          <w:sz w:val="21"/>
          <w:lang w:val="pt-BR" w:bidi="ar-SA"/>
          <w:kern w:val="16"/>
          <w14:ligatures w14:val="standardContextual"/>
        </w:rPr>
        <w:t xml:space="preserve"> Pessoa que exerceu atividade remunerada antes de inscrever-se como segurado, ou em período sem filiação reconhecida, e pretende computar esse tempo. Trata-se de verdadeira indenização, calculada na forma do art. 45-A.</w:t>
      </w:r>
    </w:p>
    <w:p>
      <w:pPr>
        <w:spacing w:before="260" w:after="80" w:line="240" w:lineRule="auto"/>
        <w:jc w:val="left"/>
      </w:pPr>
      <w:r>
        <w:rPr>
          <w:rFonts w:ascii="EB Garamond" w:hAnsi="EB Garamond" w:cs="EB Garamond"/>
          <w:b/>
          <w:i w:val="0"/>
          <w:color w:val="3A3128"/>
          <w:sz w:val="25"/>
          <w:lang w:val="pt-BR" w:bidi="ar-SA"/>
          <w:kern w:val="16"/>
          <w14:ligatures w14:val="standardContextual"/>
        </w:rPr>
        <w:t>4.13.2 Requisitos para o recolhimento em atraso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P</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ara o CI que tinha filiação e deixou de recolher:</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Comprovação da atividade no período (contratos, recibos, declaração IR, inscrição municipal)</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Cálculo do valor: média dos 80% maiores salários de contribuição (desde julho/1994) x alíquota de 20% x n.º de competências em atraso, com juros moratórios e multa</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P</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ara o período sem filiação anterior (indenização propriamente dita):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Comprovação robusta da atividade (início de prova material)</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Cálculo: média aritmética simples dos 80% maiores salários de contribuição x alíquota de 20% x n.º de meses x juros legais (taxa SELIC)</w:t>
      </w:r>
    </w:p>
    <w:p>
      <w:pPr>
        <w:spacing w:before="0" w:after="6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Exemplo — CI que exerceu atividade de 2010 a 2015 sem recolher (com filiação):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Dados hipotéticos: - Período: jan/2010 a dez/2015 (72 meses) - Média dos 80% maiores SC (todo o período contributivo): R$ 2.500,00 - Cálculo base: R$ 2.500,00 x 20% = R$ 500,00/mês - Total base: 72 x R$ 500,00 = R$ 36.000,00 - Acréscimos: juros moratórios + multa (variável conforme data) - O INSS calcula via sistema (SAL — Sistema de Acréscimos Legais)</w:t>
            </w:r>
          </w:p>
          <w:p>
            <w:pPr>
              <w:spacing w:before="0" w:after="60" w:line="247" w:lineRule="auto"/>
              <w:jc w:val="both"/>
            </w:pPr>
            <w:r>
              <w:rPr>
                <w:rFonts w:ascii="EB Garamond" w:hAnsi="EB Garamond" w:cs="EB Garamond"/>
                <w:b/>
                <w:i w:val="0"/>
                <w:color w:val="201B16"/>
                <w:sz w:val="19"/>
                <w:lang w:val="pt-BR" w:bidi="ar-SA"/>
                <w:kern w:val="16"/>
                <w14:ligatures w14:val="standardContextual"/>
              </w:rPr>
              <w:t>O segurado pode parcelar?</w:t>
            </w:r>
            <w:r>
              <w:rPr>
                <w:rFonts w:ascii="EB Garamond" w:hAnsi="EB Garamond" w:cs="EB Garamond"/>
                <w:b w:val="0"/>
                <w:i w:val="0"/>
                <w:color w:val="201B16"/>
                <w:sz w:val="19"/>
                <w:lang w:val="pt-BR" w:bidi="ar-SA"/>
                <w:kern w:val="16"/>
                <w14:ligatures w14:val="standardContextual"/>
              </w:rPr>
              <w:t xml:space="preserve"> Não. A indenização deve ser paga integralmente antes da concessão do benefício. Admite-se pagamento parcial (recolher apenas os meses necessários para atingir carência ou tempo mínimo).</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4.13.3 A controvérsia: contribuição em atraso conta para carência?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E</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ste é o ponto nevrálgico. A carência, definida no art. 24 da Lei 8.213/91, consiste no "número mínimo de contribuições mensais indispensáveis para que o beneficiário faça jus ao benefício". A questão é: contribuições recolhidas em atraso ou pagas a título de indenização integram esse "número mínimo"?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STJ — Tema 1.103 (REsp 1.914.019/SC, Rel. Min. Og Fernandes, 1ª Seção, j. 11/05/2022)</w:t>
            </w:r>
          </w:p>
          <w:p>
            <w:pPr>
              <w:spacing w:before="0" w:after="60" w:line="247" w:lineRule="auto"/>
              <w:jc w:val="both"/>
            </w:pPr>
            <w:r>
              <w:rPr>
                <w:rFonts w:ascii="EB Garamond" w:hAnsi="EB Garamond" w:cs="EB Garamond"/>
                <w:b/>
                <w:i w:val="0"/>
                <w:color w:val="201B16"/>
                <w:sz w:val="19"/>
                <w:lang w:val="pt-BR" w:bidi="ar-SA"/>
                <w:kern w:val="16"/>
                <w14:ligatures w14:val="standardContextual"/>
              </w:rPr>
              <w:t>Tese fixada:</w:t>
            </w:r>
            <w:r>
              <w:rPr>
                <w:rFonts w:ascii="EB Garamond" w:hAnsi="EB Garamond" w:cs="EB Garamond"/>
                <w:b w:val="0"/>
                <w:i w:val="0"/>
                <w:color w:val="201B16"/>
                <w:sz w:val="19"/>
                <w:lang w:val="pt-BR" w:bidi="ar-SA"/>
                <w:kern w:val="16"/>
                <w14:ligatures w14:val="standardContextual"/>
              </w:rPr>
              <w:t xml:space="preserve"> "As contribuições previdenciárias não recolhidas no momento oportuno sofrerão o acréscimo de multa e de juros apenas quando o período a ser indenizado for posterior à edição da Medida Provisória n. 1.523/1996 (convertida na Lei n. 9.528/1997)."</w:t>
            </w:r>
          </w:p>
          <w:p>
            <w:pPr>
              <w:spacing w:before="0" w:after="60" w:line="247" w:lineRule="auto"/>
              <w:jc w:val="both"/>
            </w:pPr>
            <w:r>
              <w:rPr>
                <w:rFonts w:ascii="EB Garamond" w:hAnsi="EB Garamond" w:cs="EB Garamond"/>
                <w:b/>
                <w:i w:val="0"/>
                <w:color w:val="201B16"/>
                <w:sz w:val="19"/>
                <w:lang w:val="pt-BR" w:bidi="ar-SA"/>
                <w:kern w:val="16"/>
                <w14:ligatures w14:val="standardContextual"/>
              </w:rPr>
              <w:t>Fundamento:</w:t>
            </w:r>
            <w:r>
              <w:rPr>
                <w:rFonts w:ascii="EB Garamond" w:hAnsi="EB Garamond" w:cs="EB Garamond"/>
                <w:b w:val="0"/>
                <w:i w:val="0"/>
                <w:color w:val="201B16"/>
                <w:sz w:val="19"/>
                <w:lang w:val="pt-BR" w:bidi="ar-SA"/>
                <w:kern w:val="16"/>
                <w14:ligatures w14:val="standardContextual"/>
              </w:rPr>
              <w:t xml:space="preserve"> A incidência de juros e multa sobre a indenização exige previsão legal expressa, e a norma que disciplinou tais acréscimos somente surgiu com a MP 1.523/96 (11/10/1996). Para períodos de atividade anteriores a essa data, o segurado pode indenizar pagando apenas o valor principal, sem multa nem juros moratórios.</w:t>
            </w:r>
          </w:p>
          <w:p>
            <w:pPr>
              <w:spacing w:before="0" w:after="60" w:line="247" w:lineRule="auto"/>
              <w:jc w:val="both"/>
            </w:pPr>
            <w:r>
              <w:rPr>
                <w:rFonts w:ascii="EB Garamond" w:hAnsi="EB Garamond" w:cs="EB Garamond"/>
                <w:b/>
                <w:i w:val="0"/>
                <w:color w:val="201B16"/>
                <w:sz w:val="19"/>
                <w:lang w:val="pt-BR" w:bidi="ar-SA"/>
                <w:kern w:val="16"/>
                <w14:ligatures w14:val="standardContextual"/>
              </w:rPr>
              <w:t>Impacto prático no JEF:</w:t>
            </w:r>
            <w:r>
              <w:rPr>
                <w:rFonts w:ascii="EB Garamond" w:hAnsi="EB Garamond" w:cs="EB Garamond"/>
                <w:b w:val="0"/>
                <w:i w:val="0"/>
                <w:color w:val="201B16"/>
                <w:sz w:val="19"/>
                <w:lang w:val="pt-BR" w:bidi="ar-SA"/>
                <w:kern w:val="16"/>
                <w14:ligatures w14:val="standardContextual"/>
              </w:rPr>
              <w:t xml:space="preserve"> Para segurados que exerceram atividade na informalidade nas décadas de 1970 a 1996, a indenização fica significativamente mais barata. Um período de 10 anos (1986-1996) que poderia custar R$ 60.000 com juros/multa pode ser regularizado por cerca de R$ 35.000 (apenas o valor base). Essa diferença frequentemente viabiliza economicamente o recolhimento.</w:t>
            </w:r>
          </w:p>
          <w:p>
            <w:pPr>
              <w:spacing w:before="0" w:after="60" w:line="247" w:lineRule="auto"/>
              <w:jc w:val="both"/>
            </w:pPr>
            <w:r>
              <w:rPr>
                <w:rFonts w:ascii="EB Garamond" w:hAnsi="EB Garamond" w:cs="EB Garamond"/>
                <w:b/>
                <w:i w:val="0"/>
                <w:color w:val="201B16"/>
                <w:sz w:val="19"/>
                <w:lang w:val="pt-BR" w:bidi="ar-SA"/>
                <w:kern w:val="16"/>
                <w14:ligatures w14:val="standardContextual"/>
              </w:rPr>
              <w:t>Observação:</w:t>
            </w:r>
            <w:r>
              <w:rPr>
                <w:rFonts w:ascii="EB Garamond" w:hAnsi="EB Garamond" w:cs="EB Garamond"/>
                <w:b w:val="0"/>
                <w:i w:val="0"/>
                <w:color w:val="201B16"/>
                <w:sz w:val="19"/>
                <w:lang w:val="pt-BR" w:bidi="ar-SA"/>
                <w:kern w:val="16"/>
                <w14:ligatures w14:val="standardContextual"/>
              </w:rPr>
              <w:t xml:space="preserve"> O Tema 1.103 NÃO trata da controvérsia sobre cômputo de contribuições em atraso para fins de carência (questão distinta, ainda debatida nas Turmas Recursais). A tese fixa apenas os limites temporais dos acréscimos moratórios.</w:t>
            </w: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Controvérsia não resolvida — contribuição em atraso e carência: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questão de fundo permanece aberta: contribuições recolhidas em atraso (indenizadas) contam para fins de carência? A posição majoritária nas Turmas Recursais e na TNU é negativa: o recolhimento extemporâneo computa tempo de contribuição, mas não satisfaz a carência, que pressupõe contribuições efetivamente vertidas mês a mês. Há, contudo, decisões isoladas admitindo o cômputo para carência quando a filiação estava ativa e o segurado apenas não formalizou o recolhimento. Entendemos que a distinção correta é entre o CI que mantinha filiação ativa (caso em que a contribuição em atraso deveria contar para carência, pois a filiação já existia) e o período sem filiação anterior (indenização pura, que gera apenas tempo). Até que o STJ fixe tese específica, contudo, o advogado prudente não deve planejar a aposentadoria do cliente contando exclusivamente com contribuições em atraso para atingir a carência mínima.</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4.13.4 Contribuição em atraso do segurado especial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segurado especial (agricultor familiar) tem regime diferenciado. Conforme o art. 39, I, da Lei 8.213/91, pode obter aposentadoria por idade rural sem contribuição formal, desde que comprove atividade rural pelo período de carência. Para fins de aposentadoria por TC, entretanto, o segurado especial que queira computar período posterior a novembro/1991 como tempo de contribuição (e não como carência rural) deve recolher facultativamente ou indenizar nos termos do art. 45-A.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dispensa de recolhimento alcança apenas o período anterior à Lei 8.213/91. É o que dispõe a Súmula 24 da TNU: "O tempo de serviço do segurado trabalhador rural anterior ao advento da Lei nº 8.213/91, sem o recolhimento de contribuições previdenciárias, pode ser considerado para a concessão de benefício previdenciário do Regime Geral de Previdência Social (RGPS), exceto para efeito de carência, conforme a regra do art. 55, § 2º, da Lei nº 8.213/91". Para o período posterior a novembro de 1991, a regra é a da Súmula 272 do STJ: "O trabalhador rural, na condição de segurado especial, sujeito à contribuição obrigatória sobre a produção rural comercializada, somente faz jus à aposentadoria por tempo de serviço, se recolher contribuições facultativas".</w:t>
      </w:r>
    </w:p>
    <w:p>
      <w:pPr>
        <w:spacing w:before="260" w:after="80" w:line="240" w:lineRule="auto"/>
        <w:jc w:val="left"/>
      </w:pPr>
      <w:r>
        <w:rPr>
          <w:rFonts w:ascii="EB Garamond" w:hAnsi="EB Garamond" w:cs="EB Garamond"/>
          <w:b/>
          <w:i w:val="0"/>
          <w:color w:val="3A3128"/>
          <w:sz w:val="25"/>
          <w:lang w:val="pt-BR" w:bidi="ar-SA"/>
          <w:kern w:val="16"/>
          <w14:ligatures w14:val="standardContextual"/>
        </w:rPr>
        <w:t>4.13.5 Aspectos processuais nos JEFs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N</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as ações previdenciárias perante os JEFs, a questão do recolhimento em atraso geralmente surge em dois contextos: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a) </w:t>
      </w:r>
      <w:r>
        <w:rPr>
          <w:rFonts w:ascii="EB Garamond" w:hAnsi="EB Garamond" w:cs="EB Garamond"/>
          <w:b/>
          <w:i w:val="0"/>
          <w:color w:val="201B16"/>
          <w:sz w:val="21"/>
          <w:lang w:val="pt-BR" w:bidi="ar-SA"/>
          <w:kern w:val="16"/>
          <w14:ligatures w14:val="standardContextual"/>
        </w:rPr>
        <w:t>Pedido de cômputo de tempo:</w:t>
      </w:r>
      <w:r>
        <w:rPr>
          <w:rFonts w:ascii="EB Garamond" w:hAnsi="EB Garamond" w:cs="EB Garamond"/>
          <w:b w:val="0"/>
          <w:i w:val="0"/>
          <w:color w:val="201B16"/>
          <w:sz w:val="21"/>
          <w:lang w:val="pt-BR" w:bidi="ar-SA"/>
          <w:kern w:val="16"/>
          <w14:ligatures w14:val="standardContextual"/>
        </w:rPr>
        <w:t xml:space="preserve"> O segurado comprova atividade de CI, o INSS reconhece a atividade, mas exige a indenização do art. 45-A como condição para cômputo. O juiz pode determinar o cômputo condicionado ao pagamento da indenização, fixando prazo para recolhimento.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b) </w:t>
      </w:r>
      <w:r>
        <w:rPr>
          <w:rFonts w:ascii="EB Garamond" w:hAnsi="EB Garamond" w:cs="EB Garamond"/>
          <w:b/>
          <w:i w:val="0"/>
          <w:color w:val="201B16"/>
          <w:sz w:val="21"/>
          <w:lang w:val="pt-BR" w:bidi="ar-SA"/>
          <w:kern w:val="16"/>
          <w14:ligatures w14:val="standardContextual"/>
        </w:rPr>
        <w:t>Reafirmação da DER com contribuições em atraso:</w:t>
      </w:r>
      <w:r>
        <w:rPr>
          <w:rFonts w:ascii="EB Garamond" w:hAnsi="EB Garamond" w:cs="EB Garamond"/>
          <w:b w:val="0"/>
          <w:i w:val="0"/>
          <w:color w:val="201B16"/>
          <w:sz w:val="21"/>
          <w:lang w:val="pt-BR" w:bidi="ar-SA"/>
          <w:kern w:val="16"/>
          <w14:ligatures w14:val="standardContextual"/>
        </w:rPr>
        <w:t xml:space="preserve"> O segurado ajuíza ação e, durante o processo, recolhe contribuições em atraso para completar o tempo necessário. O STJ (Tema 995) admite a reafirmação da DER, mas o cômputo de contribuições recolhidas após o ajuizamento para fins de carência permanece controverso nas Turmas Recursais. Já os acréscimos moratórios da indenização seguem a tese do Tema 1.103/STJ (sem juros/multa para períodos anteriores a outubro/1996).</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4.14 Complementação de contribuições</w:t>
      </w:r>
    </w:p>
    <w:p>
      <w:pPr>
        <w:spacing w:before="260" w:after="80" w:line="240" w:lineRule="auto"/>
        <w:jc w:val="left"/>
      </w:pPr>
      <w:r>
        <w:rPr>
          <w:rFonts w:ascii="EB Garamond" w:hAnsi="EB Garamond" w:cs="EB Garamond"/>
          <w:b/>
          <w:i w:val="0"/>
          <w:color w:val="3A3128"/>
          <w:sz w:val="25"/>
          <w:lang w:val="pt-BR" w:bidi="ar-SA"/>
          <w:kern w:val="16"/>
          <w14:ligatures w14:val="standardContextual"/>
        </w:rPr>
        <w:t>4.14.1 Conceito e finalidade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complementação distingue-se do recolhimento em atraso: como ensina Porto (2024, p. 312), não se trata de contribuição não recolhida, mas de adição de valor a uma contribuição já efetivada em alíquota reduzida. O segurado que optou pelo plano simplificado (11%) ou pelo DAS-MEI (5%) pagou sua contribuição em dia e está adimplente perante o INSS. Ocorre que essa contribuição, pela alíquota reduzida, não dá direito à aposentadoria por tempo de contribuição.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Se o segurado, posteriormente, desejar que aquele período conte para TC, poderá complementar a diferença até atingir os 20% sobre o salário-mínimo. A previsão legal está no art. 21, § 3º, da Lei 8.212/91.</w:t>
      </w:r>
    </w:p>
    <w:p>
      <w:pPr>
        <w:spacing w:before="260" w:after="80" w:line="240" w:lineRule="auto"/>
        <w:jc w:val="left"/>
      </w:pPr>
      <w:r>
        <w:rPr>
          <w:rFonts w:ascii="EB Garamond" w:hAnsi="EB Garamond" w:cs="EB Garamond"/>
          <w:b/>
          <w:i w:val="0"/>
          <w:color w:val="3A3128"/>
          <w:sz w:val="25"/>
          <w:lang w:val="pt-BR" w:bidi="ar-SA"/>
          <w:kern w:val="16"/>
          <w14:ligatures w14:val="standardContextual"/>
        </w:rPr>
        <w:t>4.14.2 Procedimento de complementação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complementação é feita mediante GPS com código específico: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Código 1295:</w:t>
      </w:r>
      <w:r>
        <w:rPr>
          <w:rFonts w:ascii="EB Garamond" w:hAnsi="EB Garamond" w:cs="EB Garamond"/>
          <w:b w:val="0"/>
          <w:i w:val="0"/>
          <w:color w:val="201B16"/>
          <w:sz w:val="20"/>
          <w:lang w:val="pt-BR" w:bidi="ar-SA"/>
          <w:kern w:val="16"/>
          <w14:ligatures w14:val="standardContextual"/>
        </w:rPr>
        <w:t xml:space="preserve"> Complementação CI (de 11% para 20%)</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Código 1686:</w:t>
      </w:r>
      <w:r>
        <w:rPr>
          <w:rFonts w:ascii="EB Garamond" w:hAnsi="EB Garamond" w:cs="EB Garamond"/>
          <w:b w:val="0"/>
          <w:i w:val="0"/>
          <w:color w:val="201B16"/>
          <w:sz w:val="20"/>
          <w:lang w:val="pt-BR" w:bidi="ar-SA"/>
          <w:kern w:val="16"/>
          <w14:ligatures w14:val="standardContextual"/>
        </w:rPr>
        <w:t xml:space="preserve"> Complementação Facultativo (de 11% para 20%)</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Código 1910:</w:t>
      </w:r>
      <w:r>
        <w:rPr>
          <w:rFonts w:ascii="EB Garamond" w:hAnsi="EB Garamond" w:cs="EB Garamond"/>
          <w:b w:val="0"/>
          <w:i w:val="0"/>
          <w:color w:val="201B16"/>
          <w:sz w:val="20"/>
          <w:lang w:val="pt-BR" w:bidi="ar-SA"/>
          <w:kern w:val="16"/>
          <w14:ligatures w14:val="standardContextual"/>
        </w:rPr>
        <w:t xml:space="preserve"> Complementação MEI (de 5% para 20%)</w:t>
      </w:r>
    </w:p>
    <w:p>
      <w:pPr>
        <w:spacing w:before="0" w:after="6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Passo a passo — Complementação MEI para Tempo de Contribuição: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1. Identificar as competências que deseja complementar</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2. Verificar o SM vigente em cada competência</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3. Calcular: 15% x SM da competência = valor da complementação por mês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4. Gerar GPS (código 1910) para cada competência ou em lote</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5. Pagar antes do requerimento administrativo do benefício</w:t>
            </w:r>
          </w:p>
          <w:p>
            <w:pPr>
              <w:spacing w:before="0" w:after="60" w:line="247" w:lineRule="auto"/>
              <w:jc w:val="both"/>
            </w:pPr>
            <w:r>
              <w:rPr>
                <w:rFonts w:ascii="EB Garamond" w:hAnsi="EB Garamond" w:cs="EB Garamond"/>
                <w:b/>
                <w:i w:val="0"/>
                <w:color w:val="201B16"/>
                <w:sz w:val="19"/>
                <w:lang w:val="pt-BR" w:bidi="ar-SA"/>
                <w:kern w:val="16"/>
                <w14:ligatures w14:val="standardContextual"/>
              </w:rPr>
              <w:t>Exemplo:</w:t>
            </w:r>
            <w:r>
              <w:rPr>
                <w:rFonts w:ascii="EB Garamond" w:hAnsi="EB Garamond" w:cs="EB Garamond"/>
                <w:b w:val="0"/>
                <w:i w:val="0"/>
                <w:color w:val="201B16"/>
                <w:sz w:val="19"/>
                <w:lang w:val="pt-BR" w:bidi="ar-SA"/>
                <w:kern w:val="16"/>
                <w14:ligatures w14:val="standardContextual"/>
              </w:rPr>
              <w:t xml:space="preserve"> MEI deseja complementar jan/2020 a dez/2022 (36 meses): - 2020 (SM R$ 1.045,00): 15% x R$ 1.045,00 = R$ 156,75/mês x 12 = R$ 1.881,00 - 2021 (SM R$ 1.100,00): 15% x R$ 1.100,00 = R$ 165,00/mês x 12 = R$ 1.980,00 - 2022 (SM R$ 1.212,00): 15% x R$ 1.212,00 = R$ 181,80/mês x 12 = R$ 2.181,60 - </w:t>
            </w:r>
            <w:r>
              <w:rPr>
                <w:rFonts w:ascii="EB Garamond" w:hAnsi="EB Garamond" w:cs="EB Garamond"/>
                <w:b/>
                <w:i w:val="0"/>
                <w:color w:val="201B16"/>
                <w:sz w:val="19"/>
                <w:lang w:val="pt-BR" w:bidi="ar-SA"/>
                <w:kern w:val="16"/>
                <w14:ligatures w14:val="standardContextual"/>
              </w:rPr>
              <w:t>Total da complementação:</w:t>
            </w:r>
            <w:r>
              <w:rPr>
                <w:rFonts w:ascii="EB Garamond" w:hAnsi="EB Garamond" w:cs="EB Garamond"/>
                <w:b w:val="0"/>
                <w:i w:val="0"/>
                <w:color w:val="201B16"/>
                <w:sz w:val="19"/>
                <w:lang w:val="pt-BR" w:bidi="ar-SA"/>
                <w:kern w:val="16"/>
                <w14:ligatures w14:val="standardContextual"/>
              </w:rPr>
              <w:t xml:space="preserve"> R$ 6.042,60 (sem juros/multa — é complementação, não atraso)</w:t>
            </w:r>
          </w:p>
          <w:p>
            <w:pPr>
              <w:spacing w:before="0" w:after="60" w:line="247" w:lineRule="auto"/>
              <w:jc w:val="both"/>
            </w:pPr>
            <w:r>
              <w:rPr>
                <w:rFonts w:ascii="EB Garamond" w:hAnsi="EB Garamond" w:cs="EB Garamond"/>
                <w:b/>
                <w:i w:val="0"/>
                <w:color w:val="201B16"/>
                <w:sz w:val="19"/>
                <w:lang w:val="pt-BR" w:bidi="ar-SA"/>
                <w:kern w:val="16"/>
                <w14:ligatures w14:val="standardContextual"/>
              </w:rPr>
              <w:t>Resultado:</w:t>
            </w:r>
            <w:r>
              <w:rPr>
                <w:rFonts w:ascii="EB Garamond" w:hAnsi="EB Garamond" w:cs="EB Garamond"/>
                <w:b w:val="0"/>
                <w:i w:val="0"/>
                <w:color w:val="201B16"/>
                <w:sz w:val="19"/>
                <w:lang w:val="pt-BR" w:bidi="ar-SA"/>
                <w:kern w:val="16"/>
                <w14:ligatures w14:val="standardContextual"/>
              </w:rPr>
              <w:t xml:space="preserve"> 36 meses passam a contar como tempo de contribuição efetivo.</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4.14.3 Efeitos retroativos da complementação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Art. 21, § 3º, da Lei 8.212/91 — Complementação de contribuições</w:t>
            </w:r>
          </w:p>
          <w:p>
            <w:pPr>
              <w:spacing w:before="0" w:after="60" w:line="247" w:lineRule="auto"/>
              <w:jc w:val="both"/>
            </w:pPr>
            <w:r>
              <w:rPr>
                <w:rFonts w:ascii="EB Garamond" w:hAnsi="EB Garamond" w:cs="EB Garamond"/>
                <w:b/>
                <w:i w:val="0"/>
                <w:color w:val="201B16"/>
                <w:sz w:val="19"/>
                <w:lang w:val="pt-BR" w:bidi="ar-SA"/>
                <w:kern w:val="16"/>
                <w14:ligatures w14:val="standardContextual"/>
              </w:rPr>
              <w:t>Regra:</w:t>
            </w:r>
            <w:r>
              <w:rPr>
                <w:rFonts w:ascii="EB Garamond" w:hAnsi="EB Garamond" w:cs="EB Garamond"/>
                <w:b w:val="0"/>
                <w:i w:val="0"/>
                <w:color w:val="201B16"/>
                <w:sz w:val="19"/>
                <w:lang w:val="pt-BR" w:bidi="ar-SA"/>
                <w:kern w:val="16"/>
                <w14:ligatures w14:val="standardContextual"/>
              </w:rPr>
              <w:t xml:space="preserve"> O segurado que verteu contribuições previdenciárias sob a alíquota reduzida (11% ou 5%) pode, a qualquer tempo, complementar a contribuição para fins de contagem recíproca ou cômputo como tempo de contribuição, com efeitos retroativos à data da competência original.</w:t>
            </w:r>
          </w:p>
          <w:p>
            <w:pPr>
              <w:spacing w:before="0" w:after="60" w:line="247" w:lineRule="auto"/>
              <w:jc w:val="both"/>
            </w:pPr>
            <w:r>
              <w:rPr>
                <w:rFonts w:ascii="EB Garamond" w:hAnsi="EB Garamond" w:cs="EB Garamond"/>
                <w:b/>
                <w:i w:val="0"/>
                <w:color w:val="201B16"/>
                <w:sz w:val="19"/>
                <w:lang w:val="pt-BR" w:bidi="ar-SA"/>
                <w:kern w:val="16"/>
                <w14:ligatures w14:val="standardContextual"/>
              </w:rPr>
              <w:t>Fundamento:</w:t>
            </w:r>
            <w:r>
              <w:rPr>
                <w:rFonts w:ascii="EB Garamond" w:hAnsi="EB Garamond" w:cs="EB Garamond"/>
                <w:b w:val="0"/>
                <w:i w:val="0"/>
                <w:color w:val="201B16"/>
                <w:sz w:val="19"/>
                <w:lang w:val="pt-BR" w:bidi="ar-SA"/>
                <w:kern w:val="16"/>
                <w14:ligatures w14:val="standardContextual"/>
              </w:rPr>
              <w:t xml:space="preserve"> Art. 21, § 3º, Lei 8.212/91 — "O segurado que tenha contribuído na forma do § 2º deste artigo e pretenda contar o tempo de contribuição correspondente para fins de obtenção da aposentadoria por tempo de contribuição ou da contagem recíproca do tempo de contribuição [...] deverá complementar a respectiva contribuição mensal."</w:t>
            </w:r>
          </w:p>
          <w:p>
            <w:pPr>
              <w:spacing w:before="0" w:after="60" w:line="247" w:lineRule="auto"/>
              <w:jc w:val="both"/>
            </w:pPr>
            <w:r>
              <w:rPr>
                <w:rFonts w:ascii="EB Garamond" w:hAnsi="EB Garamond" w:cs="EB Garamond"/>
                <w:b/>
                <w:i w:val="0"/>
                <w:color w:val="201B16"/>
                <w:sz w:val="19"/>
                <w:lang w:val="pt-BR" w:bidi="ar-SA"/>
                <w:kern w:val="16"/>
                <w14:ligatures w14:val="standardContextual"/>
              </w:rPr>
              <w:t>Nota:</w:t>
            </w:r>
            <w:r>
              <w:rPr>
                <w:rFonts w:ascii="EB Garamond" w:hAnsi="EB Garamond" w:cs="EB Garamond"/>
                <w:b w:val="0"/>
                <w:i w:val="0"/>
                <w:color w:val="201B16"/>
                <w:sz w:val="19"/>
                <w:lang w:val="pt-BR" w:bidi="ar-SA"/>
                <w:kern w:val="16"/>
                <w14:ligatures w14:val="standardContextual"/>
              </w:rPr>
              <w:t xml:space="preserve"> O Tema 1.070/STJ (REsp 1.870.793/RS) não trata de complementação de contribuições, mas sim do cálculo de benefícios com atividades concomitantes (art. 32 da Lei 8.213/91, com redação dada pela Lei 13.846/2019). A base legal para a complementação é diretamente o art. 21, § 3º, da Lei 8.212/91.</w:t>
            </w:r>
          </w:p>
          <w:p>
            <w:pPr>
              <w:spacing w:before="0" w:after="60" w:line="247" w:lineRule="auto"/>
              <w:jc w:val="both"/>
            </w:pPr>
            <w:r>
              <w:rPr>
                <w:rFonts w:ascii="EB Garamond" w:hAnsi="EB Garamond" w:cs="EB Garamond"/>
                <w:b/>
                <w:i w:val="0"/>
                <w:color w:val="201B16"/>
                <w:sz w:val="19"/>
                <w:lang w:val="pt-BR" w:bidi="ar-SA"/>
                <w:kern w:val="16"/>
                <w14:ligatures w14:val="standardContextual"/>
              </w:rPr>
              <w:t>Impacto prático:</w:t>
            </w:r>
            <w:r>
              <w:rPr>
                <w:rFonts w:ascii="EB Garamond" w:hAnsi="EB Garamond" w:cs="EB Garamond"/>
                <w:b w:val="0"/>
                <w:i w:val="0"/>
                <w:color w:val="201B16"/>
                <w:sz w:val="19"/>
                <w:lang w:val="pt-BR" w:bidi="ar-SA"/>
                <w:kern w:val="16"/>
                <w14:ligatures w14:val="standardContextual"/>
              </w:rPr>
              <w:t xml:space="preserve"> A complementação pode ser feita a qualquer tempo, sem decadência, e retroage à competência original. Não há necessidade de requerimento prévio ao INSS para complementar, o segurado paga a GPS e o CNIS deve ser atualizado automaticamente.</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4.14.4 Complementação parcial: estratégia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N</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ão há obrigação de complementar todo o período. O segurado pode selecionar apenas as competências necessárias para atingir o tempo de contribuição mínimo. Essa estratégia é comum quando o segurado precisa de poucos meses adicionais para completar os requisitos de uma regra de transição da EC 103/2019.</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Estratégia — Complementação seletiva: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Maria, 59 anos em 2026, MEI desde jan/2020, com 28 anos de contribuição anterior (como empregada CLT de 1992 a 2019). Precisa de 30 anos de TC + 57 anos de idade para a regra de transição do art. 16 da EC 103/2019 (idade mínima progressiva para mulheres em 2026).</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Situação atual: 28 anos (CLT) + 0 anos como MEI (sem complementação) = 28 anos de TC. Se complementar os 72 meses de MEI (jan/2020 a dez/2025): passa a ter 28 + 6 = 34 anos de TC. Já ultrapassa os 30 anos exigidos. E a idade (59 anos) supera os 57 exigidos para mulheres em 2026.</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 xml:space="preserve">Custo da complementação seletiva (bastam 24 meses para atingir 30 anos): - 2020: 15% x R$ 1.045,00 = R$ 156,75/mês x 12 = R$ 1.881,00 - 2021: 15% x R$ 1.100,00 = R$ 165,00/mês x 12 = R$ 1.980,00 - </w:t>
            </w:r>
            <w:r>
              <w:rPr>
                <w:rFonts w:ascii="EB Garamond" w:hAnsi="EB Garamond" w:cs="EB Garamond"/>
                <w:b/>
                <w:i w:val="0"/>
                <w:color w:val="201B16"/>
                <w:sz w:val="19"/>
                <w:lang w:val="pt-BR" w:bidi="ar-SA"/>
                <w:kern w:val="16"/>
                <w14:ligatures w14:val="standardContextual"/>
              </w:rPr>
              <w:t>Total mínimo para atingir 30 anos:</w:t>
            </w:r>
            <w:r>
              <w:rPr>
                <w:rFonts w:ascii="EB Garamond" w:hAnsi="EB Garamond" w:cs="EB Garamond"/>
                <w:b w:val="0"/>
                <w:i w:val="0"/>
                <w:color w:val="201B16"/>
                <w:sz w:val="19"/>
                <w:lang w:val="pt-BR" w:bidi="ar-SA"/>
                <w:kern w:val="16"/>
                <w14:ligatures w14:val="standardContextual"/>
              </w:rPr>
              <w:t xml:space="preserve"> R$ 3.861,00 (24 meses)</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Benefício estimado: aposentadoria com RMI de ~2 SM (R$ 3.242,00/mês). Retorno do investimento: pouco mais de 1 mês de benefício.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4.15 Contribuição em atraso: casos especiais e estratégias</w:t>
      </w:r>
    </w:p>
    <w:p>
      <w:pPr>
        <w:spacing w:before="260" w:after="80" w:line="240" w:lineRule="auto"/>
        <w:jc w:val="left"/>
      </w:pPr>
      <w:r>
        <w:rPr>
          <w:rFonts w:ascii="EB Garamond" w:hAnsi="EB Garamond" w:cs="EB Garamond"/>
          <w:b/>
          <w:i w:val="0"/>
          <w:color w:val="3A3128"/>
          <w:sz w:val="25"/>
          <w:lang w:val="pt-BR" w:bidi="ar-SA"/>
          <w:kern w:val="16"/>
          <w14:ligatures w14:val="standardContextual"/>
        </w:rPr>
        <w:t>4.15.1 O CI que nunca se inscreveu</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S</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ituação distinta da indenização do art. 45-A ocorre quando o trabalhador jamais se inscreveu perante o INSS. Até a vigência da Lei 10.666/2003, a inscrição como contribuinte individual dependia de ato formal (requerimento administrativo). A pessoa que exercia atividade por conta própria sem inscrição não era sequer filiada ao RGPS — e, portanto, não tinha direito a recolher contribuições em atraso, pois não havia "atraso" a regularizar.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Lei 10.666/2003 (art. 4º) estabeleceu que a filiação do CI decorre automaticamente do exercício de atividade remunerada. Com isso, todo o período de atividade comprovada (ainda que sem inscrição formal) passou a ser passível de indenização. Para o período anterior à Lei 10.666/2003, a possibilidade de indenização depende da comprovação de que havia filiação de fato (exercício de atividade que geraria enquadramento como CI).</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Fluxograma — Recolhimento em atraso do CI:</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1. O segurado exerceu atividade como CI? Sim: Próximo 2. O período é posterior à Lei 10.666/2003 (maio/2003)?  - Sim: Filiação automática. Pode indenizar (art. 45-A).  - Não: O segurado tinha inscrição formal na época?  - Sim: Pode indenizar (filiação comprovada por inscrição).  - Não: Deve comprovar atividade + filiação de fato (início de prova material robusta). 3. O período é anterior a outubro/1996 (MP 1.523)?  - Sim: Sem juros/multa (Tema 1.103/STJ). Apenas valor base.  - Não: Juros + multa incidentes. Cálculo pelo SAL (Sistema de Acréscimos Legais). 4. Pagou a indenização?  - Sim: Cômputo como tempo de contribuição. NÃO como carência (posição majoritária).  - Não: Sem cômputo.</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4.15.2 Atividades concomitantes e contribuição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segurado que exerce simultaneamente mais de uma atividade como CI (médico que atende em consultório e também é perito judicial, por exemplo) deve contribuir sobre a soma das remunerações, limitada ao teto do salário de contribuição. Se a soma ultrapassa o teto, recolhe 20% sobre o teto.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Quando uma das atividades é exercida como empregado e outra como CI, a contribuição como empregado (retida pelo empregador) é prioritária. O CI só recolhe sobre a diferença entre o teto e o salário de contribuição como empregado: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Exemplo — Atividades concomitantes (empregado + CI):</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José é engenheiro: - Empregado na Empresa X: salário R$ 6.000,00 — contribuição retida na fonte pelas alíquotas progressivas, resultando em ~R$ 641,52 - Consultor autônomo (CI): renda R$ 3.000,00/mês prestando a pessoas físicas</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Teto 2026: R$ 8.475,55 Diferença: R$ 8.475,55 − R$ 6.000,00 = R$ 2.475,55</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contribuição como empregado é prioritária e consome a base até R$ 6.000,00. Como CI, José recolhe 20% apenas sobre a diferença entre o teto e o seu salário de empregado, ou seja, 20% × R$ 2.475,55 = R$ 495,11 (não 20% × R$ 3.000,00). Embora sua renda como CI seja de R$ 3.000,00, a parcela que excede o teto (R$ 524,45) não é tributada.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Em síntese: sobre os R$ 6.000,00 de emprego incidem as alíquotas progressivas (~R$ 641,52, retidos na fonte pela Empresa X); sobre a diferença até o teto incidem os 20% de CI (R$ 495,11). As duas contribuições, somadas, esgotam o teto sem duplicar a base.</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4.15.3 Prescrição e decadência do direito de recolher em atraso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prazo decadencial para a constituição do crédito previdenciário pela Receita Federal é de 5 anos, por força do art. 173 do CTN. Os arts. 45 e 46 da Lei 8.212/91, que fixavam prazos de dez anos, foram declarados inconstitucionais pelo STF (Súmula Vinculante 8) e revogados pela LC 128/2008. Essa regra aplica-se à cobrança do INSS contra o segurado. Mas e o direito do segurado de recolher em atraso para cômputo de tempo?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jurisprudência consolidou que o segurado pode indenizar contribuições em atraso a qualquer tempo, sem prazo prescricional ou decadencial. Isso porque a indenização é faculdade do segurado (não obrigação imposta pelo fisco), e o art. 45-A não estabelece prazo para exercício desse direito. Todavia, quanto mais antigo o período, mais difícil será a comprovação da atividade — e o INSS exige documentação robusta.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Não confundir: prescrição tributária e direito de indenizar são institutos distintos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 </w:t>
            </w:r>
            <w:r>
              <w:rPr>
                <w:rFonts w:ascii="EB Garamond" w:hAnsi="EB Garamond" w:cs="EB Garamond"/>
                <w:b/>
                <w:i w:val="0"/>
                <w:color w:val="201B16"/>
                <w:sz w:val="19"/>
                <w:lang w:val="pt-BR" w:bidi="ar-SA"/>
                <w:kern w:val="16"/>
                <w14:ligatures w14:val="standardContextual"/>
              </w:rPr>
              <w:t>Decadência e prescrição tributárias (5 anos cada):</w:t>
            </w:r>
            <w:r>
              <w:rPr>
                <w:rFonts w:ascii="EB Garamond" w:hAnsi="EB Garamond" w:cs="EB Garamond"/>
                <w:b w:val="0"/>
                <w:i w:val="0"/>
                <w:color w:val="201B16"/>
                <w:sz w:val="19"/>
                <w:lang w:val="pt-BR" w:bidi="ar-SA"/>
                <w:kern w:val="16"/>
                <w14:ligatures w14:val="standardContextual"/>
              </w:rPr>
              <w:t xml:space="preserve"> a RFB tem cinco anos para constituir o crédito (art. 173 do CTN) e, constituído, cinco anos para cobrá-lo (art. 174 do CTN).</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 </w:t>
            </w:r>
            <w:r>
              <w:rPr>
                <w:rFonts w:ascii="EB Garamond" w:hAnsi="EB Garamond" w:cs="EB Garamond"/>
                <w:b/>
                <w:i w:val="0"/>
                <w:color w:val="201B16"/>
                <w:sz w:val="19"/>
                <w:lang w:val="pt-BR" w:bidi="ar-SA"/>
                <w:kern w:val="16"/>
                <w14:ligatures w14:val="standardContextual"/>
              </w:rPr>
              <w:t>Direito de indenizar (sem prazo):</w:t>
            </w:r>
            <w:r>
              <w:rPr>
                <w:rFonts w:ascii="EB Garamond" w:hAnsi="EB Garamond" w:cs="EB Garamond"/>
                <w:b w:val="0"/>
                <w:i w:val="0"/>
                <w:color w:val="201B16"/>
                <w:sz w:val="19"/>
                <w:lang w:val="pt-BR" w:bidi="ar-SA"/>
                <w:kern w:val="16"/>
                <w14:ligatures w14:val="standardContextual"/>
              </w:rPr>
              <w:t xml:space="preserve"> O segurado pode voluntariamente pagar contribuições de qualquer período pretérito, desde que comprove atividade. Não há prazo extintivo para esse direito.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Na prática: um segurado pode indenizar período de 1985-1990 em 2026, mesmo que a RFB não pudesse mais cobrar essas contribuições. São institutos distintos (faculdade vs. Cobrança).</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4.16 Contribuição durante gozo de benefício e situações especiais</w:t>
      </w:r>
    </w:p>
    <w:p>
      <w:pPr>
        <w:spacing w:before="260" w:after="80" w:line="240" w:lineRule="auto"/>
        <w:jc w:val="left"/>
      </w:pPr>
      <w:r>
        <w:rPr>
          <w:rFonts w:ascii="EB Garamond" w:hAnsi="EB Garamond" w:cs="EB Garamond"/>
          <w:b/>
          <w:i w:val="0"/>
          <w:color w:val="3A3128"/>
          <w:sz w:val="25"/>
          <w:lang w:val="pt-BR" w:bidi="ar-SA"/>
          <w:kern w:val="16"/>
          <w14:ligatures w14:val="standardContextual"/>
        </w:rPr>
        <w:t>4.16.1 Segurado em gozo de benefício por incapacidade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segurado que recebe auxílio por incapacidade temporária (antigo auxílio-doença) ou aposentadoria por incapacidade permanente (antiga aposentadoria por invalidez) não precisa contribuir para manter a qualidade de segurado durante o período de gozo. O tempo de benefício é computado como tempo de contribuição (art. 55, II, Lei 8.213/91), sem necessidade de recolhimento.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É preciso, contudo, não confundir três institutos que costumam ser tratados em conjunto: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a) </w:t>
      </w:r>
      <w:r>
        <w:rPr>
          <w:rFonts w:ascii="EB Garamond" w:hAnsi="EB Garamond" w:cs="EB Garamond"/>
          <w:b/>
          <w:i w:val="0"/>
          <w:color w:val="201B16"/>
          <w:sz w:val="21"/>
          <w:lang w:val="pt-BR" w:bidi="ar-SA"/>
          <w:kern w:val="16"/>
          <w14:ligatures w14:val="standardContextual"/>
        </w:rPr>
        <w:t>Período de graça (manutenção da qualidade de segurado):</w:t>
      </w:r>
      <w:r>
        <w:rPr>
          <w:rFonts w:ascii="EB Garamond" w:hAnsi="EB Garamond" w:cs="EB Garamond"/>
          <w:b w:val="0"/>
          <w:i w:val="0"/>
          <w:color w:val="201B16"/>
          <w:sz w:val="21"/>
          <w:lang w:val="pt-BR" w:bidi="ar-SA"/>
          <w:kern w:val="16"/>
          <w14:ligatures w14:val="standardContextual"/>
        </w:rPr>
        <w:t xml:space="preserve"> o art. 15, I, da Lei 8.213/91 mantém, sem limite de prazo, a qualidade de segurado de quem está em gozo de benefício, exceto do auxílio-acidente, independentemente de contribuição. O art. 15, § 1º, por sua vez, </w:t>
      </w:r>
      <w:r>
        <w:rPr>
          <w:rFonts w:ascii="EB Garamond" w:hAnsi="EB Garamond" w:cs="EB Garamond"/>
          <w:b w:val="0"/>
          <w:i/>
          <w:color w:val="201B16"/>
          <w:sz w:val="21"/>
          <w:lang w:val="pt-BR" w:bidi="ar-SA"/>
          <w:kern w:val="16"/>
          <w14:ligatures w14:val="standardContextual"/>
        </w:rPr>
        <w:t>amplia</w:t>
      </w:r>
      <w:r>
        <w:rPr>
          <w:rFonts w:ascii="EB Garamond" w:hAnsi="EB Garamond" w:cs="EB Garamond"/>
          <w:b w:val="0"/>
          <w:i w:val="0"/>
          <w:color w:val="201B16"/>
          <w:sz w:val="21"/>
          <w:lang w:val="pt-BR" w:bidi="ar-SA"/>
          <w:kern w:val="16"/>
          <w14:ligatures w14:val="standardContextual"/>
        </w:rPr>
        <w:t xml:space="preserve"> esse período de graça em mais 12 meses para o segurado que já tiver pago mais de 120 contribuições mensais sem perda da qualidade. O § 1º trata, portanto, de extensão do período de graça — não de carência. A propósito, a TNU fixou no Tema 365 que o período de gozo de benefício por incapacidade intercalado entre contribuições não pode ser computado para integrar essas 120 contribuições exigidas para a prorrogação do período de graça.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b) </w:t>
      </w:r>
      <w:r>
        <w:rPr>
          <w:rFonts w:ascii="EB Garamond" w:hAnsi="EB Garamond" w:cs="EB Garamond"/>
          <w:b/>
          <w:i w:val="0"/>
          <w:color w:val="201B16"/>
          <w:sz w:val="21"/>
          <w:lang w:val="pt-BR" w:bidi="ar-SA"/>
          <w:kern w:val="16"/>
          <w14:ligatures w14:val="standardContextual"/>
        </w:rPr>
        <w:t>Tempo de contribuição:</w:t>
      </w:r>
      <w:r>
        <w:rPr>
          <w:rFonts w:ascii="EB Garamond" w:hAnsi="EB Garamond" w:cs="EB Garamond"/>
          <w:b w:val="0"/>
          <w:i w:val="0"/>
          <w:color w:val="201B16"/>
          <w:sz w:val="21"/>
          <w:lang w:val="pt-BR" w:bidi="ar-SA"/>
          <w:kern w:val="16"/>
          <w14:ligatures w14:val="standardContextual"/>
        </w:rPr>
        <w:t xml:space="preserve"> o período de gozo do benefício por incapacidade conta integralmente como tempo de contribuição (art. 55, II, Lei 8.213/91), sem necessidade de recolhimento.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c) </w:t>
      </w:r>
      <w:r>
        <w:rPr>
          <w:rFonts w:ascii="EB Garamond" w:hAnsi="EB Garamond" w:cs="EB Garamond"/>
          <w:b/>
          <w:i w:val="0"/>
          <w:color w:val="201B16"/>
          <w:sz w:val="21"/>
          <w:lang w:val="pt-BR" w:bidi="ar-SA"/>
          <w:kern w:val="16"/>
          <w14:ligatures w14:val="standardContextual"/>
        </w:rPr>
        <w:t>Carência:</w:t>
      </w:r>
      <w:r>
        <w:rPr>
          <w:rFonts w:ascii="EB Garamond" w:hAnsi="EB Garamond" w:cs="EB Garamond"/>
          <w:b w:val="0"/>
          <w:i w:val="0"/>
          <w:color w:val="201B16"/>
          <w:sz w:val="21"/>
          <w:lang w:val="pt-BR" w:bidi="ar-SA"/>
          <w:kern w:val="16"/>
          <w14:ligatures w14:val="standardContextual"/>
        </w:rPr>
        <w:t xml:space="preserve"> o cômputo do tempo de gozo como carência segue regra própria. Para o segurado empregado, o período de benefício por incapacidade pode contar para carência quando </w:t>
      </w:r>
      <w:r>
        <w:rPr>
          <w:rFonts w:ascii="EB Garamond" w:hAnsi="EB Garamond" w:cs="EB Garamond"/>
          <w:b w:val="0"/>
          <w:i/>
          <w:color w:val="201B16"/>
          <w:sz w:val="21"/>
          <w:lang w:val="pt-BR" w:bidi="ar-SA"/>
          <w:kern w:val="16"/>
          <w14:ligatures w14:val="standardContextual"/>
        </w:rPr>
        <w:t>intercalado</w:t>
      </w:r>
      <w:r>
        <w:rPr>
          <w:rFonts w:ascii="EB Garamond" w:hAnsi="EB Garamond" w:cs="EB Garamond"/>
          <w:b w:val="0"/>
          <w:i w:val="0"/>
          <w:color w:val="201B16"/>
          <w:sz w:val="21"/>
          <w:lang w:val="pt-BR" w:bidi="ar-SA"/>
          <w:kern w:val="16"/>
          <w14:ligatures w14:val="standardContextual"/>
        </w:rPr>
        <w:t xml:space="preserve"> com períodos de atividade ou contribuição, conforme a Súmula 73 da TNU e o Tema 1.125 do STF (RE 1.298.832), examinados no Cap. 3. Fora da hipótese de intercalação, o tempo de gozo, embora seja tempo de contribuição, não é automaticamente computado como carência.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Situação distinta ocorre com o aposentado que retorna ao trabalho: o aposentado por idade ou tempo de contribuição que volta a exercer atividade remunerada é segurado obrigatório e deve contribuir normalmente (art. 12, § 4º, Lei 8.212/91). Contudo, essas contribuições não geram novo benefício (vedação à desaposentação — Tema 503/STF), salvo o salário-família e a reabilitação profissional.</w:t>
      </w:r>
    </w:p>
    <w:p>
      <w:pPr>
        <w:spacing w:before="260" w:after="80" w:line="240" w:lineRule="auto"/>
        <w:jc w:val="left"/>
      </w:pPr>
      <w:r>
        <w:rPr>
          <w:rFonts w:ascii="EB Garamond" w:hAnsi="EB Garamond" w:cs="EB Garamond"/>
          <w:b/>
          <w:i w:val="0"/>
          <w:color w:val="3A3128"/>
          <w:sz w:val="25"/>
          <w:lang w:val="pt-BR" w:bidi="ar-SA"/>
          <w:kern w:val="16"/>
          <w14:ligatures w14:val="standardContextual"/>
        </w:rPr>
        <w:t>4.16.2 Período de gozo de salário-maternidade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D</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urante o salário-maternidade, a segurada não precisa recolher contribuição previdenciária de sua parte. O período é considerado como tempo de contribuição e carência automaticamente. Para a empregada, a empresa paga o salário-maternidade e compensa integralmente com as contribuições devidas (art. 72, § 1º, Lei 8.213/91). Para a segurada especial, o benefício é pago diretamente pelo INSS (1 SM) sem qualquer contribuição.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a contribuinte individual e a facultativa, o INSS paga o salário-maternidade diretamente, e o período conta para carência e tempo de contribuição sem necessidade de recolhimento por GPS durante os 120 dias.</w:t>
      </w:r>
    </w:p>
    <w:p>
      <w:pPr>
        <w:spacing w:before="260" w:after="80" w:line="240" w:lineRule="auto"/>
        <w:jc w:val="left"/>
      </w:pPr>
      <w:r>
        <w:rPr>
          <w:rFonts w:ascii="EB Garamond" w:hAnsi="EB Garamond" w:cs="EB Garamond"/>
          <w:b/>
          <w:i w:val="0"/>
          <w:color w:val="3A3128"/>
          <w:sz w:val="25"/>
          <w:lang w:val="pt-BR" w:bidi="ar-SA"/>
          <w:kern w:val="16"/>
          <w14:ligatures w14:val="standardContextual"/>
        </w:rPr>
        <w:t>4.16.3 Período de serviço militar obrigatório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tempo de serviço militar obrigatório é computado como tempo de contribuição independentemente de qualquer contribuição ao RGPS (art. 55, I, Lei 8.213/91). Não há necessidade de indenização. Basta apresentar o Certificado de Reservista ou documento equivalente expedido pelo Ministério da Defesa.</w:t>
      </w:r>
    </w:p>
    <w:p>
      <w:pPr>
        <w:spacing w:before="260" w:after="80" w:line="240" w:lineRule="auto"/>
        <w:jc w:val="left"/>
      </w:pPr>
      <w:r>
        <w:rPr>
          <w:rFonts w:ascii="EB Garamond" w:hAnsi="EB Garamond" w:cs="EB Garamond"/>
          <w:b/>
          <w:i w:val="0"/>
          <w:color w:val="3A3128"/>
          <w:sz w:val="25"/>
          <w:lang w:val="pt-BR" w:bidi="ar-SA"/>
          <w:kern w:val="16"/>
          <w14:ligatures w14:val="standardContextual"/>
        </w:rPr>
        <w:t>4.16.4 Período de afastamento por acidente de trabalho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segurado afastado por acidente de trabalho ou doença ocupacional mantém a condição de segurado durante todo o período de gozo do benefício acidentário. As contribuições do empregador continuam devidas durante os primeiros 15 dias de afastamento (período de responsabilidade da empresa), incluindo o depósito de FGTS (art. 15, § 5º, Lei 8.036/90).</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partir do 16º dia, quando o INSS assume o pagamento do benefício por incapacidade temporária acidentário (B91), o período é integralmente computado como tempo de contribuição sem necessidade de recolhimento pelo segurado. A empresa mantém a obrigação de depositar o FGTS durante todo o afastamento acidentário — obrigação que não se confunde com a contribuição previdenciária.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Nos JEFs, a questão acidentária repercute no custeio quando o segurado retorna ao trabalho e o INSS não computa corretamente o período de afastamento como tempo de contribuição. A retificação do CNIS para inclusão do período acidentário é demanda frequente, especialmente para segurados com múltiplos afastamentos (recidiva da lesão, reagravamento).</w:t>
      </w:r>
    </w:p>
    <w:p>
      <w:pPr>
        <w:spacing w:before="260" w:after="80" w:line="240" w:lineRule="auto"/>
        <w:jc w:val="left"/>
      </w:pPr>
      <w:r>
        <w:rPr>
          <w:rFonts w:ascii="EB Garamond" w:hAnsi="EB Garamond" w:cs="EB Garamond"/>
          <w:b/>
          <w:i w:val="0"/>
          <w:color w:val="3A3128"/>
          <w:sz w:val="25"/>
          <w:lang w:val="pt-BR" w:bidi="ar-SA"/>
          <w:kern w:val="16"/>
          <w14:ligatures w14:val="standardContextual"/>
        </w:rPr>
        <w:t>4.16.5 Recebimento de seguro-desemprego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período em que o trabalhador recebe seguro-desemprego conta como período de graça (manutenção da qualidade de segurado), mas não gera tempo de contribuição nem carência. Se o desempregado deseja manter a contagem de tempo, pode inscrever-se como segurado facultativo e contribuir voluntariamente.</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Estratégia — Manutenção da carência durante desemprego: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Carlos, 55 anos, foi demitido após 28 anos de CLT. Tem 168 meses de carência contados no CNIS. Precisa de 180 (15 anos) para aposentadoria programada.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Opção 1: Inscrever-se como facultativo (código 1406/1473) e contribuir os 12 meses restantes. - Custo (plano simplificado): 12 x R$ 178,31 = R$ 2.139,72 - Resultado: completa 180 contribuições de carência em 12 meses.</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Opção 2: Aguardar nova colocação e contar o período de emprego futuro. - Risco: se o período de graça expirar antes de nova contribuição, perde a qualidade de segurado e a carência anterior só será aproveitada, nos benefícios por incapacidade e no auxílio-reclusão, depois de cumprida metade da carência a partir da nova filiação (art. 27-A da Lei 8.213/91; v. Cap. 3, seção 3.8).</w:t>
            </w:r>
          </w:p>
          <w:p>
            <w:pPr>
              <w:spacing w:before="0" w:after="60" w:line="247" w:lineRule="auto"/>
              <w:jc w:val="both"/>
            </w:pPr>
            <w:r>
              <w:rPr>
                <w:rFonts w:ascii="EB Garamond" w:hAnsi="EB Garamond" w:cs="EB Garamond"/>
                <w:b/>
                <w:i w:val="0"/>
                <w:color w:val="201B16"/>
                <w:sz w:val="19"/>
                <w:lang w:val="pt-BR" w:bidi="ar-SA"/>
                <w:kern w:val="16"/>
                <w14:ligatures w14:val="standardContextual"/>
              </w:rPr>
              <w:t>Recomendação:</w:t>
            </w:r>
            <w:r>
              <w:rPr>
                <w:rFonts w:ascii="EB Garamond" w:hAnsi="EB Garamond" w:cs="EB Garamond"/>
                <w:b w:val="0"/>
                <w:i w:val="0"/>
                <w:color w:val="201B16"/>
                <w:sz w:val="19"/>
                <w:lang w:val="pt-BR" w:bidi="ar-SA"/>
                <w:kern w:val="16"/>
                <w14:ligatures w14:val="standardContextual"/>
              </w:rPr>
              <w:t xml:space="preserve"> Para segurados próximos de completar carência ou tempo de contribuição, a contribuição como facultativo durante o desemprego é investimento de retorno garantido.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4.17 Compensação previdenciária entre regimes</w:t>
      </w:r>
    </w:p>
    <w:p>
      <w:pPr>
        <w:spacing w:before="260" w:after="80" w:line="240" w:lineRule="auto"/>
        <w:jc w:val="left"/>
      </w:pPr>
      <w:r>
        <w:rPr>
          <w:rFonts w:ascii="EB Garamond" w:hAnsi="EB Garamond" w:cs="EB Garamond"/>
          <w:b/>
          <w:i w:val="0"/>
          <w:color w:val="3A3128"/>
          <w:sz w:val="25"/>
          <w:lang w:val="pt-BR" w:bidi="ar-SA"/>
          <w:kern w:val="16"/>
          <w14:ligatures w14:val="standardContextual"/>
        </w:rPr>
        <w:t>4.17.1 Fundamento legal e finalidade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Lei 9.796/99, regulamentada pelo Decreto 10.188/2019 (que revogou o antigo Decreto 3.112/99), instituiu a compensação financeira entre o RGPS e os Regimes Próprios de Previdência Social (RPPSs). O mecanismo visa equilibrar os fluxos financeiros quando um segurado contribuiu para mais de um regime e obtém benefício em apenas um deles, com cômputo de tempo do outro (contagem recíproca).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art. 201, § 9º, da CF/88 prevê a contagem recíproca entre o RGPS e os RPPSs. Quando um servidor público, por exemplo, averba no RPPS período contributivo ao RGPS (via Certidão de Tempo de Contribuição — CTC), o regime que concede o benefício (instituidor) tem direito a ser compensado pelo regime que recebeu as contribuições (de origem).</w:t>
      </w:r>
    </w:p>
    <w:p>
      <w:pPr>
        <w:spacing w:before="260" w:after="80" w:line="240" w:lineRule="auto"/>
        <w:jc w:val="left"/>
      </w:pPr>
      <w:r>
        <w:rPr>
          <w:rFonts w:ascii="EB Garamond" w:hAnsi="EB Garamond" w:cs="EB Garamond"/>
          <w:b/>
          <w:i w:val="0"/>
          <w:color w:val="3A3128"/>
          <w:sz w:val="25"/>
          <w:lang w:val="pt-BR" w:bidi="ar-SA"/>
          <w:kern w:val="16"/>
          <w14:ligatures w14:val="standardContextual"/>
        </w:rPr>
        <w:t>4.17.2 COMPREV: o sistema de compensação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COMPREV é o sistema informatizado que operacionaliza a compensação previdenciária. Administrado pela Secretaria de Previdência (vinculada ao Ministério da Fazenda), processa os requerimentos de compensação e efetua os cálculos conforme os parâmetros legais. A compensação é devida mensalmente, enquanto perdurar o pagamento do benefício. O tratamento detalhado do COMPREV é feito no Capítulo 5, ao tratar da contagem recíproca e da CTC.</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Exemplo de compensação previdenciária: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Ana trabalhou 15 anos como servidora pública estadual (RPPS) e 20 anos na iniciativa privada (RGPS). Aposenta-se pelo RGPS com contagem recíproca (CTC do RPPS averbada no INSS).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Tempo total: 35 anos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Tempo no RPPS (regime de origem): 15 anos (42,86%)</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Tempo no RGPS: 20 anos (57,14%)</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Benefício mensal: R$ 4.000,00</w:t>
            </w:r>
          </w:p>
          <w:p>
            <w:pPr>
              <w:spacing w:before="0" w:after="60" w:line="247" w:lineRule="auto"/>
              <w:jc w:val="both"/>
            </w:pPr>
            <w:r>
              <w:rPr>
                <w:rFonts w:ascii="EB Garamond" w:hAnsi="EB Garamond" w:cs="EB Garamond"/>
                <w:b/>
                <w:i w:val="0"/>
                <w:color w:val="201B16"/>
                <w:sz w:val="19"/>
                <w:lang w:val="pt-BR" w:bidi="ar-SA"/>
                <w:kern w:val="16"/>
                <w14:ligatures w14:val="standardContextual"/>
              </w:rPr>
              <w:t>Compensação devida pelo RPPS estadual ao INSS:</w:t>
            </w:r>
            <w:r>
              <w:rPr>
                <w:rFonts w:ascii="EB Garamond" w:hAnsi="EB Garamond" w:cs="EB Garamond"/>
                <w:b w:val="0"/>
                <w:i w:val="0"/>
                <w:color w:val="201B16"/>
                <w:sz w:val="19"/>
                <w:lang w:val="pt-BR" w:bidi="ar-SA"/>
                <w:kern w:val="16"/>
                <w14:ligatures w14:val="standardContextual"/>
              </w:rPr>
              <w:t xml:space="preserve"> 42,86% x R$ 4.000,00 = R$ 1.714,40/mês (enquanto perdurar o benefício).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RPPS estadual paga ao INSS essa parcela mensal, pois recebeu contribuições de Ana durante 15 anos e não está pagando nenhum benefício.</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4.17.3 Relevância nos JEFs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N</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os Juizados Especiais Federais, a compensação previdenciária surge em situações específicas: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a) </w:t>
      </w:r>
      <w:r>
        <w:rPr>
          <w:rFonts w:ascii="EB Garamond" w:hAnsi="EB Garamond" w:cs="EB Garamond"/>
          <w:b/>
          <w:i w:val="0"/>
          <w:color w:val="201B16"/>
          <w:sz w:val="21"/>
          <w:lang w:val="pt-BR" w:bidi="ar-SA"/>
          <w:kern w:val="16"/>
          <w14:ligatures w14:val="standardContextual"/>
        </w:rPr>
        <w:t>Aposentadoria com contagem recíproca:</w:t>
      </w:r>
      <w:r>
        <w:rPr>
          <w:rFonts w:ascii="EB Garamond" w:hAnsi="EB Garamond" w:cs="EB Garamond"/>
          <w:b w:val="0"/>
          <w:i w:val="0"/>
          <w:color w:val="201B16"/>
          <w:sz w:val="21"/>
          <w:lang w:val="pt-BR" w:bidi="ar-SA"/>
          <w:kern w:val="16"/>
          <w14:ligatures w14:val="standardContextual"/>
        </w:rPr>
        <w:t xml:space="preserve"> Segurado que trabalhou parte no serviço público (RPPS) e parte na iniciativa privada (RGPS), aposentando-se pelo RGPS com cômputo de CTC. O INSS paga o benefício integral e busca compensação do RPPS.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b) </w:t>
      </w:r>
      <w:r>
        <w:rPr>
          <w:rFonts w:ascii="EB Garamond" w:hAnsi="EB Garamond" w:cs="EB Garamond"/>
          <w:b/>
          <w:i w:val="0"/>
          <w:color w:val="201B16"/>
          <w:sz w:val="21"/>
          <w:lang w:val="pt-BR" w:bidi="ar-SA"/>
          <w:kern w:val="16"/>
          <w14:ligatures w14:val="standardContextual"/>
        </w:rPr>
        <w:t>Impacto indireto:</w:t>
      </w:r>
      <w:r>
        <w:rPr>
          <w:rFonts w:ascii="EB Garamond" w:hAnsi="EB Garamond" w:cs="EB Garamond"/>
          <w:b w:val="0"/>
          <w:i w:val="0"/>
          <w:color w:val="201B16"/>
          <w:sz w:val="21"/>
          <w:lang w:val="pt-BR" w:bidi="ar-SA"/>
          <w:kern w:val="16"/>
          <w14:ligatures w14:val="standardContextual"/>
        </w:rPr>
        <w:t xml:space="preserve"> A compensação não afeta diretamente o valor do benefício do segurado — é relação entre regimes. Entretanto, atrasos na compensação podem gerar resistência administrativa na emissão de CTCs ou na averbação de tempo.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Atenção:</w:t>
            </w:r>
            <w:r>
              <w:rPr>
                <w:rFonts w:ascii="EB Garamond" w:hAnsi="EB Garamond" w:cs="EB Garamond"/>
                <w:b w:val="0"/>
                <w:i w:val="0"/>
                <w:color w:val="201B16"/>
                <w:sz w:val="19"/>
                <w:lang w:val="pt-BR" w:bidi="ar-SA"/>
                <w:kern w:val="16"/>
                <w14:ligatures w14:val="standardContextual"/>
              </w:rPr>
              <w:t xml:space="preserve"> O segurado não é parte na relação de compensação entre regimes. Se o INSS condicionar a concessão de benefício ao acerto financeiro com o RPPS, trata-se de conduta ilegal. O benefício deve ser concedido independentemente da compensação (art. 10, Lei 9.796/99). Havendo resistência, cabe mandado de segurança ou ação ordinária no JEF.</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4.18 Fiscalização, decadência e prescrição tributária previdenciária</w:t>
      </w:r>
    </w:p>
    <w:p>
      <w:pPr>
        <w:spacing w:before="260" w:after="80" w:line="240" w:lineRule="auto"/>
        <w:jc w:val="left"/>
      </w:pPr>
      <w:r>
        <w:rPr>
          <w:rFonts w:ascii="EB Garamond" w:hAnsi="EB Garamond" w:cs="EB Garamond"/>
          <w:b/>
          <w:i w:val="0"/>
          <w:color w:val="3A3128"/>
          <w:sz w:val="25"/>
          <w:lang w:val="pt-BR" w:bidi="ar-SA"/>
          <w:kern w:val="16"/>
          <w14:ligatures w14:val="standardContextual"/>
        </w:rPr>
        <w:t>4.18.1 Competência fiscalizatória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D</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esde a Lei 11.457/2007, a fiscalização e a arrecadação das contribuições previdenciárias são competência da Receita Federal do Brasil (RFB), por meio da Secretaria Especial da Receita Federal. O INSS perdeu a competência para lançar e cobrar contribuições, mantendo apenas a função de analisar e conceder benefícios. Essa separação orgânica entre arrecadação (RFB) e benefícios (INSS) condiciona toda a dinâmica das ações nos JEFs.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o segurado que busca regularizar contribuições em atraso deve lidar com dois órgãos distintos: o INSS (para reconhecimento de atividade e cálculo da indenização) e a RFB (para emissão da guia e processamento do pagamento). A falta de integração entre os sistemas do INSS e da RFB é fonte frequente de problemas: o INSS reconhece a atividade, o segurado paga a indenização, mas o CNIS demora meses para refletir o pagamento — gerando necessidade de ação de retificação no JEF.</w:t>
      </w:r>
    </w:p>
    <w:p>
      <w:pPr>
        <w:spacing w:before="260" w:after="80" w:line="240" w:lineRule="auto"/>
        <w:jc w:val="left"/>
      </w:pPr>
      <w:r>
        <w:rPr>
          <w:rFonts w:ascii="EB Garamond" w:hAnsi="EB Garamond" w:cs="EB Garamond"/>
          <w:b/>
          <w:i w:val="0"/>
          <w:color w:val="3A3128"/>
          <w:sz w:val="25"/>
          <w:lang w:val="pt-BR" w:bidi="ar-SA"/>
          <w:kern w:val="16"/>
          <w14:ligatures w14:val="standardContextual"/>
        </w:rPr>
        <w:t>4.18.2 Decadência do direito de lançar (art. 173 do CTN)</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prazo decadencial para que a RFB constitua o crédito tributário previdenciário é de 5 anos, contados do primeiro dia do exercício seguinte àquele em que o lançamento poderia ter sido efetuado (art. 173, I, do CTN). O art. 45 da Lei 8.212/91, que previa dez anos, foi declarado inconstitucional pelo STF (Súmula Vinculante 8, de 2008) e revogado pela LC 128/2008, de modo que as contribuições previdenciárias seguem, desde então, os prazos gerais do CTN.</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decadência atinge o poder-dever da administração de lançar. Uma vez expirado o prazo, a RFB não pode mais constituir o crédito — e, consequentemente, não pode cobrar a contribuição.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Atenção — A decadência do lançamento NÃO afeta o direito de indenizar:</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fato de a RFB não poder mais cobrar as contribuições de determinado período (decadência) não impede o segurado de voluntariamente indenizar esse período para cômputo de tempo. São relações jurídicas distintas: a cobrança é pretensão do fisco contra o devedor; a indenização é faculdade do segurado que busca ampliar seu tempo de contribuição.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Exemplo prático: contribuições de competência 01/2015. A RFB teria até 01/2021 para lançar (5 anos). Em 2026, a cobrança estaria decaída. Mas o segurado pode, em 2026, voluntariamente indenizar janeiro/2015 para cômputo de tempo, mediante pagamento via GPS.</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4.18.3 Prescrição da ação de cobrança (art. 174 do CTN)</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C</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onstituído o crédito pelo lançamento, a RFB tem 5 anos para ajuizar a execução fiscal (prescrição da pretensão executória). O prazo prescricional corre da data da constituição definitiva do crédito (inscrição em dívida ativa).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o segurado, a prescrição da cobrança tem impacto direto: contribuições devidas e não cobradas dentro do prazo prescricional não podem mais ser exigidas. O segurado não é executado, mas também não tem o período computado como tempo de contribuição (salvo se voluntariamente indenizar).</w:t>
      </w:r>
    </w:p>
    <w:p>
      <w:pPr>
        <w:spacing w:before="260" w:after="80" w:line="240" w:lineRule="auto"/>
        <w:jc w:val="left"/>
      </w:pPr>
      <w:r>
        <w:rPr>
          <w:rFonts w:ascii="EB Garamond" w:hAnsi="EB Garamond" w:cs="EB Garamond"/>
          <w:b/>
          <w:i w:val="0"/>
          <w:color w:val="3A3128"/>
          <w:sz w:val="25"/>
          <w:lang w:val="pt-BR" w:bidi="ar-SA"/>
          <w:kern w:val="16"/>
          <w14:ligatures w14:val="standardContextual"/>
        </w:rPr>
        <w:t>4.18.4 Prazo decadencial para revisão de benefício (art. 103, Lei 8.213/91)</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decadência previdenciária (art. 103, Lei 8.213/91 — prazo de 10 anos para revisão do ato de concessão) não se confunde com a decadência tributária que rege as contribuições. Se o INSS concedeu benefício sem computar corretamente as contribuições, o segurado tem 10 anos para pleitear a revisão. O regime completo da decadência e da prescrição previdenciária é tratado no Capítulo 21.</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Quadro-resumo dos prazos:</w:t>
            </w:r>
          </w:p>
          <w:tbl>
            <w:tblPr>
              <w:tblW w:type="auto" w:w="0"/>
              <w:jc w:val="center"/>
              <w:tblLook w:firstColumn="1" w:firstRow="1" w:lastColumn="0" w:lastRow="0" w:noHBand="0" w:noVBand="1" w:val="04A0"/>
              <w:tblW w:w="5000" w:type="pct"/>
            </w:tblPr>
            <w:tblGrid>
              <w:gridCol w:w="1587"/>
              <w:gridCol w:w="1587"/>
              <w:gridCol w:w="1587"/>
              <w:gridCol w:w="1587"/>
            </w:tblGrid>
            <w:tr>
              <w:trPr>
                <w:tblHeader/>
              </w:trPr>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Prazo</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Objeto</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Fundamento</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Prazo</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Decadência tributária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Lançamento pela RFB</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45, Lei 8.212/91</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5 anos</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Prescrição tributária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Cobrança (execução fiscal)</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46, Lei 8.212/91</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5 anos</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Decadência revisional</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Revisão do ato de concessão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103, Lei 8.213/91</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10 anos</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Prescrição das parcelas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Parcelas de benefício não pagas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103, par. ún.</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5 anos</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Direito de indenizar</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Pagamento voluntário de contribuições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45-A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SEM PRAZO</w:t>
                  </w:r>
                </w:p>
              </w:tc>
            </w:tr>
          </w:tbl>
          <w:p/>
          <w:p>
            <w:pPr>
              <w:spacing w:before="0" w:after="0" w:line="240" w:lineRule="auto"/>
            </w:pP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4.18.5 Auto de infração e procedimento fiscal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Q</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uando a RFB constata irregularidades no recolhimento de contribuições (omissão, subregistro de remuneração, classificação indevida de parcelas como indenizatórias), lavra auto de infração com a constituição do crédito tributário. O empregador pode impugnar administrativamente (Delegacia de Julgamento da RFB — DRJ, com recurso ao CARF) ou judicialmente (ação anulatória).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o segurado, o resultado do procedimento fiscal pode ter impacto positivo: se a RFB obriga o empregador a recolher diferenças de contribuição, o CNIS será retificado para refletir a remuneração correta — elevando o salário de contribuição e, potencialmente, o valor do benefício. Nos JEFs, o segurado pode invocar os autos de infração lavrados contra o empregador como prova da remuneração efetiva em ações de retificação de CNIS.</w:t>
      </w:r>
    </w:p>
    <w:p>
      <w:pPr>
        <w:spacing w:before="260" w:after="80" w:line="240" w:lineRule="auto"/>
        <w:jc w:val="left"/>
      </w:pPr>
      <w:r>
        <w:rPr>
          <w:rFonts w:ascii="EB Garamond" w:hAnsi="EB Garamond" w:cs="EB Garamond"/>
          <w:b/>
          <w:i w:val="0"/>
          <w:color w:val="3A3128"/>
          <w:sz w:val="25"/>
          <w:lang w:val="pt-BR" w:bidi="ar-SA"/>
          <w:kern w:val="16"/>
          <w14:ligatures w14:val="standardContextual"/>
        </w:rPr>
        <w:t>4.18.6 Obrigações acessórias e penalidades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lém do recolhimento das contribuições (obrigação principal), empregadores e segurados estão sujeitos a diversas obrigações acessórias cujo descumprimento gera multas administrativas. As principais obrigações acessórias no âmbito previdenciário são: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a) </w:t>
      </w:r>
      <w:r>
        <w:rPr>
          <w:rFonts w:ascii="EB Garamond" w:hAnsi="EB Garamond" w:cs="EB Garamond"/>
          <w:b/>
          <w:i w:val="0"/>
          <w:color w:val="201B16"/>
          <w:sz w:val="21"/>
          <w:lang w:val="pt-BR" w:bidi="ar-SA"/>
          <w:kern w:val="16"/>
          <w14:ligatures w14:val="standardContextual"/>
        </w:rPr>
        <w:t>eSocial (empregadores):</w:t>
      </w:r>
      <w:r>
        <w:rPr>
          <w:rFonts w:ascii="EB Garamond" w:hAnsi="EB Garamond" w:cs="EB Garamond"/>
          <w:b w:val="0"/>
          <w:i w:val="0"/>
          <w:color w:val="201B16"/>
          <w:sz w:val="21"/>
          <w:lang w:val="pt-BR" w:bidi="ar-SA"/>
          <w:kern w:val="16"/>
          <w14:ligatures w14:val="standardContextual"/>
        </w:rPr>
        <w:t xml:space="preserve"> Envio tempestivo dos eventos de admissão (S-2200, até o dia anterior ao início do trabalho), remuneração (S-1200, mensal), desligamento (S-2299) e condições ambientais (S-2240). Atraso ou omissão gera multa administrativa de R$ 500,00 a R$ 1.500,00 por evento, conforme art. 47, § 2º, Lei 8.212/91.</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b) </w:t>
      </w:r>
      <w:r>
        <w:rPr>
          <w:rFonts w:ascii="EB Garamond" w:hAnsi="EB Garamond" w:cs="EB Garamond"/>
          <w:b/>
          <w:i w:val="0"/>
          <w:color w:val="201B16"/>
          <w:sz w:val="21"/>
          <w:lang w:val="pt-BR" w:bidi="ar-SA"/>
          <w:kern w:val="16"/>
          <w14:ligatures w14:val="standardContextual"/>
        </w:rPr>
        <w:t>GFIP/SEFIP (obrigação residual):</w:t>
      </w:r>
      <w:r>
        <w:rPr>
          <w:rFonts w:ascii="EB Garamond" w:hAnsi="EB Garamond" w:cs="EB Garamond"/>
          <w:b w:val="0"/>
          <w:i w:val="0"/>
          <w:color w:val="201B16"/>
          <w:sz w:val="21"/>
          <w:lang w:val="pt-BR" w:bidi="ar-SA"/>
          <w:kern w:val="16"/>
          <w14:ligatures w14:val="standardContextual"/>
        </w:rPr>
        <w:t xml:space="preserve"> Empresas que ainda não migraram integralmente para o eSocial devem enviar a GFIP mensalmente. A omissão gera multa de 2% ao mês-calendário sobre o montante das contribuições informadas, limitada a 20% (art. 32-A, Lei 8.212/91).</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c) </w:t>
      </w:r>
      <w:r>
        <w:rPr>
          <w:rFonts w:ascii="EB Garamond" w:hAnsi="EB Garamond" w:cs="EB Garamond"/>
          <w:b/>
          <w:i w:val="0"/>
          <w:color w:val="201B16"/>
          <w:sz w:val="21"/>
          <w:lang w:val="pt-BR" w:bidi="ar-SA"/>
          <w:kern w:val="16"/>
          <w14:ligatures w14:val="standardContextual"/>
        </w:rPr>
        <w:t>PPP — Perfil Profissiográfico Previdenciário:</w:t>
      </w:r>
      <w:r>
        <w:rPr>
          <w:rFonts w:ascii="EB Garamond" w:hAnsi="EB Garamond" w:cs="EB Garamond"/>
          <w:b w:val="0"/>
          <w:i w:val="0"/>
          <w:color w:val="201B16"/>
          <w:sz w:val="21"/>
          <w:lang w:val="pt-BR" w:bidi="ar-SA"/>
          <w:kern w:val="16"/>
          <w14:ligatures w14:val="standardContextual"/>
        </w:rPr>
        <w:t xml:space="preserve"> A empresa deve manter e disponibilizar o PPP atualizado de cada empregado exposto a agentes nocivos. O PPP é documento essencial para a concessão de aposentadoria especial, e sua ausência ou incorreção gera multa administrativa e pode prejudicar o segurado (embora a jurisprudência dos JEFs não permita que o segurado seja penalizado por falha da empresa).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d) </w:t>
      </w:r>
      <w:r>
        <w:rPr>
          <w:rFonts w:ascii="EB Garamond" w:hAnsi="EB Garamond" w:cs="EB Garamond"/>
          <w:b/>
          <w:i w:val="0"/>
          <w:color w:val="201B16"/>
          <w:sz w:val="21"/>
          <w:lang w:val="pt-BR" w:bidi="ar-SA"/>
          <w:kern w:val="16"/>
          <w14:ligatures w14:val="standardContextual"/>
        </w:rPr>
        <w:t>Comunicação de Acidente de Trabalho (CAT):</w:t>
      </w:r>
      <w:r>
        <w:rPr>
          <w:rFonts w:ascii="EB Garamond" w:hAnsi="EB Garamond" w:cs="EB Garamond"/>
          <w:b w:val="0"/>
          <w:i w:val="0"/>
          <w:color w:val="201B16"/>
          <w:sz w:val="21"/>
          <w:lang w:val="pt-BR" w:bidi="ar-SA"/>
          <w:kern w:val="16"/>
          <w14:ligatures w14:val="standardContextual"/>
        </w:rPr>
        <w:t xml:space="preserve"> A empresa deve comunicar o acidente de trabalho à Previdência Social até o primeiro dia útil seguinte ao da ocorrência (art. 22, Lei 8.213/91). A omissão na emissão da CAT constitui infração que sujeita a empresa a multa variável entre o limite mínimo e o limite máximo do salário de contribuição. Nos JEFs, a ausência de CAT não impede o reconhecimento do acidente de trabalho, o segurado pode comprovar por outros meios (laudo médico, boletim de ocorrência, testemunhos).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Atenção — Multas do eSocial 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fiscalização das obrigações do eSocial tem se intensificado desde 2023. Empregadores domésticos são os mais afetados: a multa por não registrar o empregado no eSocial doméstico pode chegar a R$ 3.000,00. Para o advogado previdenciarista, o impacto é indireto, empregadores que não registram corretamente prejudicam o CNIS do empregado, gerando lacunas contributivas que só serão sanadas judicialmente. A multa por omissão de informações no eSocial pode, ainda, servir como prova indireta da existência do vínculo quando o empregador é autuado por não registrar empregados.</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4.19 Imunidade e isenção de contribuições previdenciárias</w:t>
      </w:r>
    </w:p>
    <w:p>
      <w:pPr>
        <w:spacing w:before="260" w:after="80" w:line="240" w:lineRule="auto"/>
        <w:jc w:val="left"/>
      </w:pPr>
      <w:r>
        <w:rPr>
          <w:rFonts w:ascii="EB Garamond" w:hAnsi="EB Garamond" w:cs="EB Garamond"/>
          <w:b/>
          <w:i w:val="0"/>
          <w:color w:val="3A3128"/>
          <w:sz w:val="25"/>
          <w:lang w:val="pt-BR" w:bidi="ar-SA"/>
          <w:kern w:val="16"/>
          <w14:ligatures w14:val="standardContextual"/>
        </w:rPr>
        <w:t>4.19.1 Imunidade das entidades beneficentes (art. 195, § 7º, CF/88)</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195, § 7º, da Constituição Federal estabelece que "são isentas de contribuição para a seguridade social as entidades beneficentes de assistência social que atendam às exigências estabelecidas em lei". Apesar da terminologia constitucional ("isentas"), o STF reconhece tratar-se de imunidade tributária, pois prevista na própria Constituição — e, portanto, não pode ser restringida por lei infraconstitucional (RE 566.622, Tema 32, Rel. Min. Marco Aurélio, j. 23/02/2017).</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certificação de entidade beneficente de assistência social (CEBAS), indispensável para o gozo da imunidade, é hoje regida pela Lei Complementar 187/2021, regulamentada pelo Decreto 11.791/2023. A lei complementar revogou a Lei 12.101/2009 (art. 47, II), que disciplinava a matéria por lei ordinária e teve dispositivos questionados no STF justamente por isso (v. O box do Tema 32, adiante). Os principais requisitos são: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a) </w:t>
      </w:r>
      <w:r>
        <w:rPr>
          <w:rFonts w:ascii="EB Garamond" w:hAnsi="EB Garamond" w:cs="EB Garamond"/>
          <w:b/>
          <w:i w:val="0"/>
          <w:color w:val="201B16"/>
          <w:sz w:val="21"/>
          <w:lang w:val="pt-BR" w:bidi="ar-SA"/>
          <w:kern w:val="16"/>
          <w14:ligatures w14:val="standardContextual"/>
        </w:rPr>
        <w:t>Certificação CEBAS vigente:</w:t>
      </w:r>
      <w:r>
        <w:rPr>
          <w:rFonts w:ascii="EB Garamond" w:hAnsi="EB Garamond" w:cs="EB Garamond"/>
          <w:b w:val="0"/>
          <w:i w:val="0"/>
          <w:color w:val="201B16"/>
          <w:sz w:val="21"/>
          <w:lang w:val="pt-BR" w:bidi="ar-SA"/>
          <w:kern w:val="16"/>
          <w14:ligatures w14:val="standardContextual"/>
        </w:rPr>
        <w:t xml:space="preserve"> Concedida pelos Ministérios da Educação (entidades de educação), da Saúde (entidades de saúde) ou do Desenvolvimento Social (entidades de assistência social), com validade de 3 anos, contados da publicação do deferimento, e efeitos tributários retroativos à data do protocolo do requerimento (art. 36 da LC 187/2021).</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b) </w:t>
      </w:r>
      <w:r>
        <w:rPr>
          <w:rFonts w:ascii="EB Garamond" w:hAnsi="EB Garamond" w:cs="EB Garamond"/>
          <w:b/>
          <w:i w:val="0"/>
          <w:color w:val="201B16"/>
          <w:sz w:val="21"/>
          <w:lang w:val="pt-BR" w:bidi="ar-SA"/>
          <w:kern w:val="16"/>
          <w14:ligatures w14:val="standardContextual"/>
        </w:rPr>
        <w:t>Contrapartidas por área de atuação:</w:t>
      </w:r>
      <w:r>
        <w:rPr>
          <w:rFonts w:ascii="EB Garamond" w:hAnsi="EB Garamond" w:cs="EB Garamond"/>
          <w:b w:val="0"/>
          <w:i w:val="0"/>
          <w:color w:val="201B16"/>
          <w:sz w:val="21"/>
          <w:lang w:val="pt-BR" w:bidi="ar-SA"/>
          <w:kern w:val="16"/>
          <w14:ligatures w14:val="standardContextual"/>
        </w:rPr>
        <w:t xml:space="preserve"> Entidades de educação devem conceder, anualmente, 1 bolsa de estudo integral para cada 5 alunos pagantes (art. 20); entidades de saúde devem comprovar a prestação de seus serviços ao SUS no percentual mínimo de 60%, com base nas internações e nos atendimentos ambulatoriais realizados (art. 9º, II).</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c) </w:t>
      </w:r>
      <w:r>
        <w:rPr>
          <w:rFonts w:ascii="EB Garamond" w:hAnsi="EB Garamond" w:cs="EB Garamond"/>
          <w:b/>
          <w:i w:val="0"/>
          <w:color w:val="201B16"/>
          <w:sz w:val="21"/>
          <w:lang w:val="pt-BR" w:bidi="ar-SA"/>
          <w:kern w:val="16"/>
          <w14:ligatures w14:val="standardContextual"/>
        </w:rPr>
        <w:t>Não distribuição de lucros ou excedentes:</w:t>
      </w:r>
      <w:r>
        <w:rPr>
          <w:rFonts w:ascii="EB Garamond" w:hAnsi="EB Garamond" w:cs="EB Garamond"/>
          <w:b w:val="0"/>
          <w:i w:val="0"/>
          <w:color w:val="201B16"/>
          <w:sz w:val="21"/>
          <w:lang w:val="pt-BR" w:bidi="ar-SA"/>
          <w:kern w:val="16"/>
          <w14:ligatures w14:val="standardContextual"/>
        </w:rPr>
        <w:t xml:space="preserve"> A entidade não pode distribuir rendas, lucros ou excedentes operacionais a nenhuma pessoa (diretores, conselheiros, associados, instituidores ou mantenedores).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d) </w:t>
      </w:r>
      <w:r>
        <w:rPr>
          <w:rFonts w:ascii="EB Garamond" w:hAnsi="EB Garamond" w:cs="EB Garamond"/>
          <w:b/>
          <w:i w:val="0"/>
          <w:color w:val="201B16"/>
          <w:sz w:val="21"/>
          <w:lang w:val="pt-BR" w:bidi="ar-SA"/>
          <w:kern w:val="16"/>
          <w14:ligatures w14:val="standardContextual"/>
        </w:rPr>
        <w:t>Aplicação integral das rendas:</w:t>
      </w:r>
      <w:r>
        <w:rPr>
          <w:rFonts w:ascii="EB Garamond" w:hAnsi="EB Garamond" w:cs="EB Garamond"/>
          <w:b w:val="0"/>
          <w:i w:val="0"/>
          <w:color w:val="201B16"/>
          <w:sz w:val="21"/>
          <w:lang w:val="pt-BR" w:bidi="ar-SA"/>
          <w:kern w:val="16"/>
          <w14:ligatures w14:val="standardContextual"/>
        </w:rPr>
        <w:t xml:space="preserve"> Todos os recursos devem ser aplicados na manutenção e desenvolvimento dos objetivos institucionais.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e) </w:t>
      </w:r>
      <w:r>
        <w:rPr>
          <w:rFonts w:ascii="EB Garamond" w:hAnsi="EB Garamond" w:cs="EB Garamond"/>
          <w:b/>
          <w:i w:val="0"/>
          <w:color w:val="201B16"/>
          <w:sz w:val="21"/>
          <w:lang w:val="pt-BR" w:bidi="ar-SA"/>
          <w:kern w:val="16"/>
          <w14:ligatures w14:val="standardContextual"/>
        </w:rPr>
        <w:t>Escrituração contábil regular:</w:t>
      </w:r>
      <w:r>
        <w:rPr>
          <w:rFonts w:ascii="EB Garamond" w:hAnsi="EB Garamond" w:cs="EB Garamond"/>
          <w:b w:val="0"/>
          <w:i w:val="0"/>
          <w:color w:val="201B16"/>
          <w:sz w:val="21"/>
          <w:lang w:val="pt-BR" w:bidi="ar-SA"/>
          <w:kern w:val="16"/>
          <w14:ligatures w14:val="standardContextual"/>
        </w:rPr>
        <w:t xml:space="preserve"> Conforme normas do Conselho Federal de Contabilidade.</w:t>
      </w:r>
    </w:p>
    <w:p>
      <w:pPr>
        <w:spacing w:before="260" w:after="80" w:line="240" w:lineRule="auto"/>
        <w:jc w:val="left"/>
      </w:pPr>
      <w:r>
        <w:rPr>
          <w:rFonts w:ascii="EB Garamond" w:hAnsi="EB Garamond" w:cs="EB Garamond"/>
          <w:b/>
          <w:i w:val="0"/>
          <w:color w:val="3A3128"/>
          <w:sz w:val="25"/>
          <w:lang w:val="pt-BR" w:bidi="ar-SA"/>
          <w:kern w:val="16"/>
          <w14:ligatures w14:val="standardContextual"/>
        </w:rPr>
        <w:t>4.19.2 Alcance da imunidade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imunidade do art. 195, § 7º, CF/88, abrange todas as contribuições para a seguridade social:</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Contribuição patronal sobre a folha (art. 22, Lei 8.212/91)</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COFINS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PIS/PASEP</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CSLL</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RAT/GILRAT</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imunidade NÃO abrange a contribuição do segurado empregado (que é retida na fonte). A entidade beneficente continua obrigada a reter e recolher a contribuição dos seus empregados (alíquotas progressivas), atuando como responsável tributário. O que é imune é a parcela patronal.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STF — Tema 32 (RE 566.622, Rel. Min. Marco Aurélio, j. 23/02/2017)</w:t>
            </w:r>
          </w:p>
          <w:p>
            <w:pPr>
              <w:spacing w:before="0" w:after="60" w:line="247" w:lineRule="auto"/>
              <w:jc w:val="both"/>
            </w:pPr>
            <w:r>
              <w:rPr>
                <w:rFonts w:ascii="EB Garamond" w:hAnsi="EB Garamond" w:cs="EB Garamond"/>
                <w:b/>
                <w:i w:val="0"/>
                <w:color w:val="201B16"/>
                <w:sz w:val="19"/>
                <w:lang w:val="pt-BR" w:bidi="ar-SA"/>
                <w:kern w:val="16"/>
                <w14:ligatures w14:val="standardContextual"/>
              </w:rPr>
              <w:t>Tese fixada (com a redação dada nos embargos de declaração, j. 18/12/2019):</w:t>
            </w:r>
            <w:r>
              <w:rPr>
                <w:rFonts w:ascii="EB Garamond" w:hAnsi="EB Garamond" w:cs="EB Garamond"/>
                <w:b w:val="0"/>
                <w:i w:val="0"/>
                <w:color w:val="201B16"/>
                <w:sz w:val="19"/>
                <w:lang w:val="pt-BR" w:bidi="ar-SA"/>
                <w:kern w:val="16"/>
                <w14:ligatures w14:val="standardContextual"/>
              </w:rPr>
              <w:t xml:space="preserve"> "A lei complementar é forma exigível para a definição do modo beneficente de atuação das entidades de assistência social contempladas pelo art. 195, § 7º, da CF, especialmente no que se refere à instituição de contrapartidas a serem por elas observadas."</w:t>
            </w:r>
          </w:p>
          <w:p>
            <w:pPr>
              <w:spacing w:before="0" w:after="60" w:line="247" w:lineRule="auto"/>
              <w:jc w:val="both"/>
            </w:pPr>
            <w:r>
              <w:rPr>
                <w:rFonts w:ascii="EB Garamond" w:hAnsi="EB Garamond" w:cs="EB Garamond"/>
                <w:b/>
                <w:i w:val="0"/>
                <w:color w:val="201B16"/>
                <w:sz w:val="19"/>
                <w:lang w:val="pt-BR" w:bidi="ar-SA"/>
                <w:kern w:val="16"/>
                <w14:ligatures w14:val="standardContextual"/>
              </w:rPr>
              <w:t>Fundamento:</w:t>
            </w:r>
            <w:r>
              <w:rPr>
                <w:rFonts w:ascii="EB Garamond" w:hAnsi="EB Garamond" w:cs="EB Garamond"/>
                <w:b w:val="0"/>
                <w:i w:val="0"/>
                <w:color w:val="201B16"/>
                <w:sz w:val="19"/>
                <w:lang w:val="pt-BR" w:bidi="ar-SA"/>
                <w:kern w:val="16"/>
                <w14:ligatures w14:val="standardContextual"/>
              </w:rPr>
              <w:t xml:space="preserve"> A imunidade do art. 195, § 7º, CF/88 é limitação constitucional ao poder de tributar, e a definição de seus requisitos materiais cabe a lei complementar (art. 146, II, CF/88). O emprego da expressão "são isentas" no texto constitucional não descaracteriza a natureza de imunidade. O STF distinguiu dois planos: as contrapartidas e o modo beneficente de atuação exigem lei complementar; aspectos procedimentais de certificação, fiscalização e controle administrativo podem ser regulados por lei ordinária.</w:t>
            </w:r>
          </w:p>
          <w:p>
            <w:pPr>
              <w:spacing w:before="0" w:after="60" w:line="247" w:lineRule="auto"/>
              <w:jc w:val="both"/>
            </w:pPr>
            <w:r>
              <w:rPr>
                <w:rFonts w:ascii="EB Garamond" w:hAnsi="EB Garamond" w:cs="EB Garamond"/>
                <w:b/>
                <w:i w:val="0"/>
                <w:color w:val="201B16"/>
                <w:sz w:val="19"/>
                <w:lang w:val="pt-BR" w:bidi="ar-SA"/>
                <w:kern w:val="16"/>
                <w14:ligatures w14:val="standardContextual"/>
              </w:rPr>
              <w:t>Repercussão na prática forense:</w:t>
            </w:r>
            <w:r>
              <w:rPr>
                <w:rFonts w:ascii="EB Garamond" w:hAnsi="EB Garamond" w:cs="EB Garamond"/>
                <w:b w:val="0"/>
                <w:i w:val="0"/>
                <w:color w:val="201B16"/>
                <w:sz w:val="19"/>
                <w:lang w:val="pt-BR" w:bidi="ar-SA"/>
                <w:kern w:val="16"/>
                <w14:ligatures w14:val="standardContextual"/>
              </w:rPr>
              <w:t xml:space="preserve"> A tese levou à edição da LC 187/2021, que passou a reunir em lei complementar os requisitos da imunidade e revogou a Lei 12.101/2009. Para períodos anteriores à LC 187/2021, a discussão sobre a validade das contrapartidas então previstas em lei ordinária permanece relevante nas ações de repetição e nas execuções fiscais; para os períodos posteriores, os parâmetros são os da lei complementar e de seu regulamento.</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4.19.3 Santas casas e hospitais filantrópicos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 Santas Casas de Misericórdia e hospitais filantrópicos são os beneficiários mais emblemáticos da imunidade previdenciária. Com certificação CEBAS na área de saúde, essas entidades ficam dispensadas da contribuição patronal sobre a folha — economia que pode ultrapassar R$ 1 milhão/ano em hospitais de grande porte.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Nos JEFs, a questão surge quando empregados de Santas Casas ou hospitais filantrópicos buscam benefícios previdenciários e o INSS aponta irregularidades no recolhimento. Se a entidade perdeu a certificação CEBAS em determinado período e deixou de recolher a contribuição patronal, o segurado não é prejudicado — o INSS deve reconhecer o tempo de serviço independentemente do recolhimento patronal, pois a obrigação de contribuir era da entidade, não do empregado.</w:t>
      </w:r>
    </w:p>
    <w:p>
      <w:pPr>
        <w:spacing w:before="260" w:after="80" w:line="240" w:lineRule="auto"/>
        <w:jc w:val="left"/>
      </w:pPr>
      <w:r>
        <w:rPr>
          <w:rFonts w:ascii="EB Garamond" w:hAnsi="EB Garamond" w:cs="EB Garamond"/>
          <w:b/>
          <w:i w:val="0"/>
          <w:color w:val="3A3128"/>
          <w:sz w:val="25"/>
          <w:lang w:val="pt-BR" w:bidi="ar-SA"/>
          <w:kern w:val="16"/>
          <w14:ligatures w14:val="standardContextual"/>
        </w:rPr>
        <w:t>4.19.4 Perda e suspensão da certificação CEBAS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perda da certificação CEBAS, por descumprimento dos requisitos legais, irregularidades contábeis, ou não renovação tempestiva, acarreta a perda da imunidade e a obrigação de recolher as contribuições patronais de forma integral. A LC 187/2021 estabelece que os efeitos do cancelamento da imunidade retroagem à data em que houver sido praticada a irregularidade pela entidade (art. 38, § 6º), gerando débito tributário que pode ser lançado pela RFB.</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dos JEFs, a perda da CEBAS pode gerar duas situações distintas: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a) </w:t>
      </w:r>
      <w:r>
        <w:rPr>
          <w:rFonts w:ascii="EB Garamond" w:hAnsi="EB Garamond" w:cs="EB Garamond"/>
          <w:b/>
          <w:i w:val="0"/>
          <w:color w:val="201B16"/>
          <w:sz w:val="21"/>
          <w:lang w:val="pt-BR" w:bidi="ar-SA"/>
          <w:kern w:val="16"/>
          <w14:ligatures w14:val="standardContextual"/>
        </w:rPr>
        <w:t>Empregados da entidade:</w:t>
      </w:r>
      <w:r>
        <w:rPr>
          <w:rFonts w:ascii="EB Garamond" w:hAnsi="EB Garamond" w:cs="EB Garamond"/>
          <w:b w:val="0"/>
          <w:i w:val="0"/>
          <w:color w:val="201B16"/>
          <w:sz w:val="21"/>
          <w:lang w:val="pt-BR" w:bidi="ar-SA"/>
          <w:kern w:val="16"/>
          <w14:ligatures w14:val="standardContextual"/>
        </w:rPr>
        <w:t xml:space="preserve"> Os segurados empregados NÃO são prejudicados pela perda da imunidade do empregador. O vínculo empregatício e as contribuições do segurado (retidas na fonte) são válidas independentemente da situação fiscal da entidade. O INSS não pode negar benefício ao empregado sob o argumento de que o empregador não recolheu a parcela patronal.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b) </w:t>
      </w:r>
      <w:r>
        <w:rPr>
          <w:rFonts w:ascii="EB Garamond" w:hAnsi="EB Garamond" w:cs="EB Garamond"/>
          <w:b/>
          <w:i w:val="0"/>
          <w:color w:val="201B16"/>
          <w:sz w:val="21"/>
          <w:lang w:val="pt-BR" w:bidi="ar-SA"/>
          <w:kern w:val="16"/>
          <w14:ligatures w14:val="standardContextual"/>
        </w:rPr>
        <w:t>A própria entidade:</w:t>
      </w:r>
      <w:r>
        <w:rPr>
          <w:rFonts w:ascii="EB Garamond" w:hAnsi="EB Garamond" w:cs="EB Garamond"/>
          <w:b w:val="0"/>
          <w:i w:val="0"/>
          <w:color w:val="201B16"/>
          <w:sz w:val="21"/>
          <w:lang w:val="pt-BR" w:bidi="ar-SA"/>
          <w:kern w:val="16"/>
          <w14:ligatures w14:val="standardContextual"/>
        </w:rPr>
        <w:t xml:space="preserve"> A RFB pode constituir crédito tributário referente às contribuições patronais não recolhidas durante o período de irregularidade. A cobrança segue o rito da execução fiscal (Lei 6.830/80) perante as Varas Federais, não os JEFs.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Caso prático — Santa Casa que perdeu a CEBAS:</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Santa Casa de Misericórdia de determinado município teve a CEBAS cassada em 2022 por não atingir o percentual mínimo de 60% de atendimento ao SUS. A RFB lançou crédito tributário referente às contribuições patronais de 2020-2022 (período de irregularidade).</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Consequências para os empregados: - Contribuições do empregado (retidas na fonte): válidas e computadas no CNIS - Tempo de serviço: integralmente reconhecido - Benefícios: concedidos normalmente - Responsabilidade pelo débito patronal: exclusiva da Santa Casa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advogado previdenciarista deve orientar empregados de entidades beneficentes a verificar se seus vínculos estão corretamente registrados no CNIS, independentemente da situação fiscal do empregador.</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4.19.5 Isenção de contribuição para entidades religiosas e partidos políticos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D</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istinta da imunidade das entidades beneficentes, a imunidade dos templos de qualquer culto (art. 150, VI, b, CF/88) e a dos partidos políticos, das entidades sindicais dos trabalhadores e das instituições de educação e de assistência social sem fins lucrativos (art. 150, VI, c) referem-se a impostos e não alcançam, por si, as contribuições para a seguridade social. Quanto a estas, a desoneração depende ou do art. 195, § 7º (imunidade das entidades beneficentes certificadas), ou de isenção concedida por lei específica. A partir da EC 132/2023 (Reforma Tributária), o regime de imunidades e isenções de contribuições sociais está em transição, com regulamentação pendente.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o advogado previdenciarista, o ponto relevante é: os empregados dessas entidades são segurados obrigatórios do RGPS e têm os mesmos direitos que qualquer empregado. A isenção é do empregador, não do empregado. Se a entidade não recolhe a contribuição patronal, o segurado mantém seu direito ao benefício.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4.20 Restituição e compensação de contribuições indevidas</w:t>
      </w:r>
    </w:p>
    <w:p>
      <w:pPr>
        <w:spacing w:before="260" w:after="80" w:line="240" w:lineRule="auto"/>
        <w:jc w:val="left"/>
      </w:pPr>
      <w:r>
        <w:rPr>
          <w:rFonts w:ascii="EB Garamond" w:hAnsi="EB Garamond" w:cs="EB Garamond"/>
          <w:b/>
          <w:i w:val="0"/>
          <w:color w:val="3A3128"/>
          <w:sz w:val="25"/>
          <w:lang w:val="pt-BR" w:bidi="ar-SA"/>
          <w:kern w:val="16"/>
          <w14:ligatures w14:val="standardContextual"/>
        </w:rPr>
        <w:t>4.20.1 Direito à restituição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segurado que recolheu contribuições previdenciárias indevidas ou a maior tem direito à restituição, conforme art. 89 da Lei 8.212/91. As hipóteses mais comuns de recolhimento indevido são: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a) </w:t>
      </w:r>
      <w:r>
        <w:rPr>
          <w:rFonts w:ascii="EB Garamond" w:hAnsi="EB Garamond" w:cs="EB Garamond"/>
          <w:b/>
          <w:i w:val="0"/>
          <w:color w:val="201B16"/>
          <w:sz w:val="21"/>
          <w:lang w:val="pt-BR" w:bidi="ar-SA"/>
          <w:kern w:val="16"/>
          <w14:ligatures w14:val="standardContextual"/>
        </w:rPr>
        <w:t>Recolhimento acima do teto:</w:t>
      </w:r>
      <w:r>
        <w:rPr>
          <w:rFonts w:ascii="EB Garamond" w:hAnsi="EB Garamond" w:cs="EB Garamond"/>
          <w:b w:val="0"/>
          <w:i w:val="0"/>
          <w:color w:val="201B16"/>
          <w:sz w:val="21"/>
          <w:lang w:val="pt-BR" w:bidi="ar-SA"/>
          <w:kern w:val="16"/>
          <w14:ligatures w14:val="standardContextual"/>
        </w:rPr>
        <w:t xml:space="preserve"> Segurado com dois vínculos simultâneos cuja soma de remunerações ultrapassa o teto, e ambos os empregadores retiveram a contribuição integral, sem considerar o outro vínculo. O excedente ao teto gera direito à restituição.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b) </w:t>
      </w:r>
      <w:r>
        <w:rPr>
          <w:rFonts w:ascii="EB Garamond" w:hAnsi="EB Garamond" w:cs="EB Garamond"/>
          <w:b/>
          <w:i w:val="0"/>
          <w:color w:val="201B16"/>
          <w:sz w:val="21"/>
          <w:lang w:val="pt-BR" w:bidi="ar-SA"/>
          <w:kern w:val="16"/>
          <w14:ligatures w14:val="standardContextual"/>
        </w:rPr>
        <w:t>Recolhimento em categoria incorreta:</w:t>
      </w:r>
      <w:r>
        <w:rPr>
          <w:rFonts w:ascii="EB Garamond" w:hAnsi="EB Garamond" w:cs="EB Garamond"/>
          <w:b w:val="0"/>
          <w:i w:val="0"/>
          <w:color w:val="201B16"/>
          <w:sz w:val="21"/>
          <w:lang w:val="pt-BR" w:bidi="ar-SA"/>
          <w:kern w:val="16"/>
          <w14:ligatures w14:val="standardContextual"/>
        </w:rPr>
        <w:t xml:space="preserve"> O segurado que era empregado (contribuição retida pelo empregador) mas que, por erro, também recolheu como CI sobre a mesma atividade.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c) </w:t>
      </w:r>
      <w:r>
        <w:rPr>
          <w:rFonts w:ascii="EB Garamond" w:hAnsi="EB Garamond" w:cs="EB Garamond"/>
          <w:b/>
          <w:i w:val="0"/>
          <w:color w:val="201B16"/>
          <w:sz w:val="21"/>
          <w:lang w:val="pt-BR" w:bidi="ar-SA"/>
          <w:kern w:val="16"/>
          <w14:ligatures w14:val="standardContextual"/>
        </w:rPr>
        <w:t>Contribuições após aposentadoria:</w:t>
      </w:r>
      <w:r>
        <w:rPr>
          <w:rFonts w:ascii="EB Garamond" w:hAnsi="EB Garamond" w:cs="EB Garamond"/>
          <w:b w:val="0"/>
          <w:i w:val="0"/>
          <w:color w:val="201B16"/>
          <w:sz w:val="21"/>
          <w:lang w:val="pt-BR" w:bidi="ar-SA"/>
          <w:kern w:val="16"/>
          <w14:ligatures w14:val="standardContextual"/>
        </w:rPr>
        <w:t xml:space="preserve"> O aposentado que retorna ao trabalho contribui obrigatoriamente, mas essas contribuições não geram novo benefício (Tema 503/STF). Se o segurado recolheu voluntariamente como facultativo após a aposentadoria, o recolhimento é indevido e pode ser restituído.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d) </w:t>
      </w:r>
      <w:r>
        <w:rPr>
          <w:rFonts w:ascii="EB Garamond" w:hAnsi="EB Garamond" w:cs="EB Garamond"/>
          <w:b/>
          <w:i w:val="0"/>
          <w:color w:val="201B16"/>
          <w:sz w:val="21"/>
          <w:lang w:val="pt-BR" w:bidi="ar-SA"/>
          <w:kern w:val="16"/>
          <w14:ligatures w14:val="standardContextual"/>
        </w:rPr>
        <w:t>Invalidação de contribuições:</w:t>
      </w:r>
      <w:r>
        <w:rPr>
          <w:rFonts w:ascii="EB Garamond" w:hAnsi="EB Garamond" w:cs="EB Garamond"/>
          <w:b w:val="0"/>
          <w:i w:val="0"/>
          <w:color w:val="201B16"/>
          <w:sz w:val="21"/>
          <w:lang w:val="pt-BR" w:bidi="ar-SA"/>
          <w:kern w:val="16"/>
          <w14:ligatures w14:val="standardContextual"/>
        </w:rPr>
        <w:t xml:space="preserve"> Contribuições recolhidas sob o código de facultativo baixa renda (1929) que são posteriormente invalidadas pelo INSS (Tema 241/TNU). O segurado pode pleitear restituição se não desejar converter para o código 1473 (mediante complementação).</w:t>
      </w:r>
    </w:p>
    <w:p>
      <w:pPr>
        <w:spacing w:before="260" w:after="80" w:line="240" w:lineRule="auto"/>
        <w:jc w:val="left"/>
      </w:pPr>
      <w:r>
        <w:rPr>
          <w:rFonts w:ascii="EB Garamond" w:hAnsi="EB Garamond" w:cs="EB Garamond"/>
          <w:b/>
          <w:i w:val="0"/>
          <w:color w:val="3A3128"/>
          <w:sz w:val="25"/>
          <w:lang w:val="pt-BR" w:bidi="ar-SA"/>
          <w:kern w:val="16"/>
          <w14:ligatures w14:val="standardContextual"/>
        </w:rPr>
        <w:t>4.20.2 Procedimento administrativo e judicial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pedido de restituição é feito à Receita Federal pelo PER/DCOMP (Pedido Eletrônico de Restituição, Ressarcimento ou Reembolso e Declaração de Compensação), disponível no e-CAC. O prazo para requerer a restituição é de 5 anos contados do pagamento indevido (art. 168, I, CTN).</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Se a RFB negar o pedido ou não se manifestar em prazo razoável, o segurado pode ajuizar ação no JEF, desde que o valor não ultrapasse 60 SM (R$ 97.260,00 em 2026). O valor da causa é o montante atualizado das contribuições a restituir.</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Exemplo — Restituição por recolhimento acima do teto: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Fernanda trabalha como empregada na Empresa A (salário R$ 5.000,00) e na Empresa B (salário R$ 4.500,00). Cada empregador, isoladamente, aplica as alíquotas progressivas sobre a sua própria folha, como se aquele fosse o único vínculo da segurada. A retenção, portanto, recomeça em cada empresa pela 1ª faixa (7,5%).</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Contribuição retida pela Empresa A (progressiva sobre R$ 5.000,00) — R$ 501,52:</w:t>
            </w:r>
          </w:p>
          <w:tbl>
            <w:tblPr>
              <w:tblW w:type="auto" w:w="0"/>
              <w:jc w:val="center"/>
              <w:tblLook w:firstColumn="1" w:firstRow="1" w:lastColumn="0" w:lastRow="0" w:noHBand="0" w:noVBand="1" w:val="04A0"/>
              <w:tblW w:w="5000" w:type="pct"/>
            </w:tblPr>
            <w:tblGrid>
              <w:gridCol w:w="1587"/>
              <w:gridCol w:w="1587"/>
              <w:gridCol w:w="1587"/>
              <w:gridCol w:w="1587"/>
            </w:tblGrid>
            <w:tr>
              <w:trPr>
                <w:tblHeader/>
              </w:trPr>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Faixa</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Base</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Alíquota</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Contribuição</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1ª</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R$ 1.621,00</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7,5%</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R$ 121,58</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2ª</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R$ 1.281,84</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9,0%</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R$ 115,37</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3ª</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R$ 1.451,43</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12,0%</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R$ 174,17</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4ª</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R$ 645,73 (5.000,00 − 4.354,27)</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14,0%</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R$ 90,40</w:t>
                  </w:r>
                </w:p>
              </w:tc>
            </w:tr>
          </w:tbl>
          <w:p/>
          <w:p>
            <w:pPr>
              <w:spacing w:before="0" w:after="0" w:line="240" w:lineRule="auto"/>
            </w:pPr>
          </w:p>
          <w:p>
            <w:pPr>
              <w:spacing w:before="0" w:after="60" w:line="247" w:lineRule="auto"/>
              <w:jc w:val="both"/>
            </w:pPr>
            <w:r>
              <w:rPr>
                <w:rFonts w:ascii="EB Garamond" w:hAnsi="EB Garamond" w:cs="EB Garamond"/>
                <w:b w:val="0"/>
                <w:i w:val="0"/>
                <w:color w:val="201B16"/>
                <w:sz w:val="19"/>
                <w:lang w:val="pt-BR" w:bidi="ar-SA"/>
                <w:kern w:val="16"/>
                <w14:ligatures w14:val="standardContextual"/>
              </w:rPr>
              <w:t>Contribuição retida pela Empresa B (progressiva sobre R$ 4.500,00) — R$ 431,52:</w:t>
            </w:r>
          </w:p>
          <w:tbl>
            <w:tblPr>
              <w:tblW w:type="auto" w:w="0"/>
              <w:jc w:val="center"/>
              <w:tblLook w:firstColumn="1" w:firstRow="1" w:lastColumn="0" w:lastRow="0" w:noHBand="0" w:noVBand="1" w:val="04A0"/>
              <w:tblW w:w="5000" w:type="pct"/>
            </w:tblPr>
            <w:tblGrid>
              <w:gridCol w:w="1587"/>
              <w:gridCol w:w="1587"/>
              <w:gridCol w:w="1587"/>
              <w:gridCol w:w="1587"/>
            </w:tblGrid>
            <w:tr>
              <w:trPr>
                <w:tblHeader/>
              </w:trPr>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Faixa</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Base</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Alíquota</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Contribuição</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1ª</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R$ 1.621,00</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7,5%</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R$ 121,58</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2ª</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R$ 1.281,84</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9,0%</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R$ 115,37</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3ª</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R$ 1.451,43</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12,0%</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R$ 174,17</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4ª</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R$ 145,73 (4.500,00 − 4.354,27)</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14,0%</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R$ 20,40</w:t>
                  </w:r>
                </w:p>
              </w:tc>
            </w:tr>
          </w:tbl>
          <w:p/>
          <w:p>
            <w:pPr>
              <w:spacing w:before="0" w:after="0" w:line="240" w:lineRule="auto"/>
            </w:pPr>
          </w:p>
          <w:p>
            <w:pPr>
              <w:spacing w:before="0" w:after="60" w:line="247" w:lineRule="auto"/>
              <w:jc w:val="both"/>
            </w:pPr>
            <w:r>
              <w:rPr>
                <w:rFonts w:ascii="EB Garamond" w:hAnsi="EB Garamond" w:cs="EB Garamond"/>
                <w:b w:val="0"/>
                <w:i w:val="0"/>
                <w:color w:val="201B16"/>
                <w:sz w:val="19"/>
                <w:lang w:val="pt-BR" w:bidi="ar-SA"/>
                <w:kern w:val="16"/>
                <w14:ligatures w14:val="standardContextual"/>
              </w:rPr>
              <w:t>Total retido: R$ 933,04 (R$ 501,52 + R$ 431,52)</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Soma das remunerações: R$ 9.500,00 (acima do teto de R$ 8.475,55) Contribuição devida sobre o teto: ~R$ 988,10</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Neste caso específico, a retenção somada (R$ 933,04) ainda fica abaixo do máximo devido sobre o teto (~R$ 988,10), de modo que não há excesso a restituir. O excesso surge quando a soma das duas retenções, calculadas isoladamente, supera a contribuição-teto. Basta elevar os dois salários: se ambos fossem de R$ 6.000,00, cada vínculo geraria retenção de R$ 641,52, somando R$ 1.283,04 — quase R$ 295,00 acima do teto de ~R$ 988,10, valor integralmente restituível. A distorção decorre de cada empregador reiniciar a progressividade pela 1ª faixa e agrava-se a cada vínculo adicional.</w:t>
            </w:r>
          </w:p>
          <w:p>
            <w:pPr>
              <w:spacing w:before="0" w:after="60" w:line="247" w:lineRule="auto"/>
              <w:jc w:val="both"/>
            </w:pPr>
            <w:r>
              <w:rPr>
                <w:rFonts w:ascii="EB Garamond" w:hAnsi="EB Garamond" w:cs="EB Garamond"/>
                <w:b/>
                <w:i w:val="0"/>
                <w:color w:val="201B16"/>
                <w:sz w:val="19"/>
                <w:lang w:val="pt-BR" w:bidi="ar-SA"/>
                <w:kern w:val="16"/>
                <w14:ligatures w14:val="standardContextual"/>
              </w:rPr>
              <w:t>Procedimento:</w:t>
            </w:r>
            <w:r>
              <w:rPr>
                <w:rFonts w:ascii="EB Garamond" w:hAnsi="EB Garamond" w:cs="EB Garamond"/>
                <w:b w:val="0"/>
                <w:i w:val="0"/>
                <w:color w:val="201B16"/>
                <w:sz w:val="19"/>
                <w:lang w:val="pt-BR" w:bidi="ar-SA"/>
                <w:kern w:val="16"/>
                <w14:ligatures w14:val="standardContextual"/>
              </w:rPr>
              <w:t xml:space="preserve"> 1. Obter extrato detalhado do CNIS com todas as remunerações e contribuições 2. Calcular a contribuição devida sobre o teto (limite máximo) 3. Identificar o excedente retido 4. Requerer restituição via PER/DCOMP na RFB 5. Se indeferido: ação no JEF (valor da causa = excedente atualizado)</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4.20.3 Compensação entre contribuintes (empresas)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compensação tributária, instituto pelo qual o contribuinte abate créditos (valores pagos a maior ou indevidamente) de débitos vincendos, é disciplinada pelo art. 89 da Lei 8.212/91 e pela IN RFB 2.055/2021. No âmbito previdenciário, a compensação segue regras específicas: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a) </w:t>
      </w:r>
      <w:r>
        <w:rPr>
          <w:rFonts w:ascii="EB Garamond" w:hAnsi="EB Garamond" w:cs="EB Garamond"/>
          <w:b/>
          <w:i w:val="0"/>
          <w:color w:val="201B16"/>
          <w:sz w:val="21"/>
          <w:lang w:val="pt-BR" w:bidi="ar-SA"/>
          <w:kern w:val="16"/>
          <w14:ligatures w14:val="standardContextual"/>
        </w:rPr>
        <w:t>Contribuições previdenciárias podem ser compensadas com outros tributos federais</w:t>
      </w:r>
      <w:r>
        <w:rPr>
          <w:rFonts w:ascii="EB Garamond" w:hAnsi="EB Garamond" w:cs="EB Garamond"/>
          <w:b w:val="0"/>
          <w:i w:val="0"/>
          <w:color w:val="201B16"/>
          <w:sz w:val="21"/>
          <w:lang w:val="pt-BR" w:bidi="ar-SA"/>
          <w:kern w:val="16"/>
          <w14:ligatures w14:val="standardContextual"/>
        </w:rPr>
        <w:t xml:space="preserve"> administrados pela RFB (IR, CSLL, PIS, COFINS), desde a Lei 13.670/2018 e conforme a IN RFB 2.055/2021.</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b) </w:t>
      </w:r>
      <w:r>
        <w:rPr>
          <w:rFonts w:ascii="EB Garamond" w:hAnsi="EB Garamond" w:cs="EB Garamond"/>
          <w:b/>
          <w:i w:val="0"/>
          <w:color w:val="201B16"/>
          <w:sz w:val="21"/>
          <w:lang w:val="pt-BR" w:bidi="ar-SA"/>
          <w:kern w:val="16"/>
          <w14:ligatures w14:val="standardContextual"/>
        </w:rPr>
        <w:t>Vedação para contribuições do segurado:</w:t>
      </w:r>
      <w:r>
        <w:rPr>
          <w:rFonts w:ascii="EB Garamond" w:hAnsi="EB Garamond" w:cs="EB Garamond"/>
          <w:b w:val="0"/>
          <w:i w:val="0"/>
          <w:color w:val="201B16"/>
          <w:sz w:val="21"/>
          <w:lang w:val="pt-BR" w:bidi="ar-SA"/>
          <w:kern w:val="16"/>
          <w14:ligatures w14:val="standardContextual"/>
        </w:rPr>
        <w:t xml:space="preserve"> A empresa não pode compensar contribuições retidas dos empregados com outros débitos. A retenção é tributo do empregado, não da empresa — o empregador atua como mero responsável tributário.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c) </w:t>
      </w:r>
      <w:r>
        <w:rPr>
          <w:rFonts w:ascii="EB Garamond" w:hAnsi="EB Garamond" w:cs="EB Garamond"/>
          <w:b/>
          <w:i w:val="0"/>
          <w:color w:val="201B16"/>
          <w:sz w:val="21"/>
          <w:lang w:val="pt-BR" w:bidi="ar-SA"/>
          <w:kern w:val="16"/>
          <w14:ligatures w14:val="standardContextual"/>
        </w:rPr>
        <w:t>Prazo:</w:t>
      </w:r>
      <w:r>
        <w:rPr>
          <w:rFonts w:ascii="EB Garamond" w:hAnsi="EB Garamond" w:cs="EB Garamond"/>
          <w:b w:val="0"/>
          <w:i w:val="0"/>
          <w:color w:val="201B16"/>
          <w:sz w:val="21"/>
          <w:lang w:val="pt-BR" w:bidi="ar-SA"/>
          <w:kern w:val="16"/>
          <w14:ligatures w14:val="standardContextual"/>
        </w:rPr>
        <w:t xml:space="preserve"> 5 anos do pagamento indevido (art. 168, I, CTN).</w:t>
      </w:r>
    </w:p>
    <w:p>
      <w:pPr>
        <w:spacing w:before="260" w:after="80" w:line="240" w:lineRule="auto"/>
        <w:jc w:val="left"/>
      </w:pPr>
      <w:r>
        <w:rPr>
          <w:rFonts w:ascii="EB Garamond" w:hAnsi="EB Garamond" w:cs="EB Garamond"/>
          <w:b/>
          <w:i w:val="0"/>
          <w:color w:val="3A3128"/>
          <w:sz w:val="25"/>
          <w:lang w:val="pt-BR" w:bidi="ar-SA"/>
          <w:kern w:val="16"/>
          <w14:ligatures w14:val="standardContextual"/>
        </w:rPr>
        <w:t>4.20.4 Restituição de contribuições do aposentado que retorna ao trabalho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aposentado que retorna ao trabalho é segurado obrigatório e contribui normalmente (art. 12, § 4º, Lei 8.212/91). Essas contribuições, contudo, não geram direito a novo benefício (vedação à desaposentação, STF Tema 503). A questão da legitimidade dessa cobrança sem contraprestação individual está, hoje, juridicamente pacificada: ao apreciar o Tema 503, o STF considerou-a constitucional, fundamentando que a contribuição previdenciária tem natureza tributária e solidária — o aposentado contribui para o sistema, não para si. De lege lata, portanto, a exigência é válida e as ações que a impugnam estão fadadas ao insucesso. Registramos, de lege ferenda, a crítica de que a cobrança gera situação de desequilíbrio para o aposentado, que contribui compulsoriamente sem qualquer perspectiva de benefício próprio — ressalva que, todavia, não infirma a higidez constitucional já reconhecida pela Suprema Corte.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Há, contudo, uma exceção relevante: o aposentado por incapacidade permanente (antiga invalidez) que retorna ao trabalho tem seu benefício cessado (art. 46, Lei 8.213/91). Nesse caso, as contribuições pós-retorno geram direito a novo período de carência e tempo de contribuição, pois o segurado não está mais aposentado.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dos JEFs, surgem demandas de aposentados que pleiteiam a restituição das contribuições vertidas após a aposentadoria, sob o argumento de que a contribuição sem contraprestação violaria o caráter sinalagmático do sistema. Essas ações são sistematicamente rejeitadas após o Tema 503/STF. Restam ao aposentado apenas os direitos ao salário-família e à reabilitação profissional como contraprestação das contribuições pós-aposentadoria.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Atenção — Desaposentação vedada (STF Tema 503):</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STF, no julgamento do RE 661.256 (Tema 503, j. 26/10/2016, julgado em conjunto com o RE 381.367 e o RE 827.833), fixou que "no âmbito do Regime Geral de Previdência Social — RGPS, somente lei pode criar benefícios e vantagens previdenciárias, não havendo, por ora, previsão legal do direito à 'desaposentação', sendo constitucional a regra do art. 18, § 2º, da Lei n. 8.213/91." Essa decisão encerrou definitivamente a controvérsia sobre a possibilidade de o aposentado renunciar à aposentadoria para obter outra mais vantajosa, computando as contribuições posteriores.</w:t>
            </w:r>
          </w:p>
          <w:p>
            <w:pPr>
              <w:spacing w:before="0" w:after="60" w:line="247" w:lineRule="auto"/>
              <w:jc w:val="both"/>
            </w:pPr>
            <w:r>
              <w:rPr>
                <w:rFonts w:ascii="EB Garamond" w:hAnsi="EB Garamond" w:cs="EB Garamond"/>
                <w:b w:val="0"/>
                <w:i/>
                <w:color w:val="201B16"/>
                <w:sz w:val="19"/>
                <w:lang w:val="pt-BR" w:bidi="ar-SA"/>
                <w:kern w:val="16"/>
                <w14:ligatures w14:val="standardContextual"/>
              </w:rPr>
              <w:t>Nota sobre a relatoria:</w:t>
            </w:r>
            <w:r>
              <w:rPr>
                <w:rFonts w:ascii="EB Garamond" w:hAnsi="EB Garamond" w:cs="EB Garamond"/>
                <w:b w:val="0"/>
                <w:i w:val="0"/>
                <w:color w:val="201B16"/>
                <w:sz w:val="19"/>
                <w:lang w:val="pt-BR" w:bidi="ar-SA"/>
                <w:kern w:val="16"/>
                <w14:ligatures w14:val="standardContextual"/>
              </w:rPr>
              <w:t xml:space="preserve"> o RE 661.256 foi originalmente distribuído ao Min. Roberto Barroso (relator), prevalecendo, contudo, a divergência inaugurada pelo Min. Teori Zavascki; o acórdão foi redigido pelo Min. Dias Toffoli, designado redator para o acórdão. Por isso, é comum a referência ao Tema 503 sob a relatoria do Min. Dias Toffoli, embora a relatoria originária seja do Min. Roberto Barroso.</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4.20.5 Impacto da restituição no benefício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S</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e o segurado obtém restituição de contribuições, o CNIS deve ser ajustado para refletir apenas as contribuições efetivamente devidas. Isso pode impactar o salário de benefício se a restituição alterar a base de cálculo (salário de contribuição) de alguma competência. Na prática, a restituição de excedente acima do teto não afeta o benefício, pois o cálculo já considera o teto como limite.</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4.21 GPS, DARF e eSocial: instrumentos de recolhimento</w:t>
      </w:r>
    </w:p>
    <w:p>
      <w:pPr>
        <w:spacing w:before="260" w:after="80" w:line="240" w:lineRule="auto"/>
        <w:jc w:val="left"/>
      </w:pPr>
      <w:r>
        <w:rPr>
          <w:rFonts w:ascii="EB Garamond" w:hAnsi="EB Garamond" w:cs="EB Garamond"/>
          <w:b/>
          <w:i w:val="0"/>
          <w:color w:val="3A3128"/>
          <w:sz w:val="25"/>
          <w:lang w:val="pt-BR" w:bidi="ar-SA"/>
          <w:kern w:val="16"/>
          <w14:ligatures w14:val="standardContextual"/>
        </w:rPr>
        <w:t>4.21.1 GPS — Guia da previdência social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GPS é o instrumento de pagamento da contribuição previdenciária para contribuintes individuais, facultativos e empregadores domésticos (estes últimos quando não utilizam o eSocial/DAE). Os principais códigos são:</w:t>
      </w:r>
    </w:p>
    <w:tbl>
      <w:tblPr>
        <w:tblW w:type="auto" w:w="0"/>
        <w:jc w:val="center"/>
        <w:tblLook w:firstColumn="1" w:firstRow="1" w:lastColumn="0" w:lastRow="0" w:noHBand="0" w:noVBand="1" w:val="04A0"/>
        <w:tblW w:w="5000" w:type="pct"/>
      </w:tblPr>
      <w:tblGrid>
        <w:gridCol w:w="1587"/>
        <w:gridCol w:w="1587"/>
        <w:gridCol w:w="1587"/>
        <w:gridCol w:w="1587"/>
      </w:tblGrid>
      <w:tr>
        <w:trPr>
          <w:tblHeader/>
        </w:trPr>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Código</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Destinatário</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Alíquota</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Observação</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1007</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CI — plano normal</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Trimestral permitido</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1104</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CI, plano normal (trimestral)</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Trimestral sobre SM</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1163</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CI, plano simplificado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11%</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Apenas sobre SM</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1406</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Facultativo, plano normal</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1473</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Facultativo, simplificado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11%</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Apenas sobre SM</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1929</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Facultativo, baixa renda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CadÚnico obrigatório</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1910</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MEI, complementação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15%</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Para cômputo TC</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1295</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CI, complementação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Simplificado para normal</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1686</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Facultativo, complementação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Simplificado para normal</w:t>
            </w: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Preenchimento da GPS (contribuinte individual, plano normal):</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Campo 1 (Nome/Razão Social): Nome do contribuinte</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Campo 3 (Código de pagamento): 1007</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Campo 4 (Competência): MM/AAAA (ex.: 01/2026)</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Campo 5 (Identificador — NIT/PIS/PASEP): Número de inscrição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Campo 6 (Valor devido INSS): 20% x salário de contribuição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Campo 11 (Total): Igual ao campo 6</w:t>
            </w:r>
          </w:p>
          <w:p>
            <w:pPr>
              <w:spacing w:before="0" w:after="60" w:line="247" w:lineRule="auto"/>
              <w:jc w:val="both"/>
            </w:pPr>
            <w:r>
              <w:rPr>
                <w:rFonts w:ascii="EB Garamond" w:hAnsi="EB Garamond" w:cs="EB Garamond"/>
                <w:b/>
                <w:i w:val="0"/>
                <w:color w:val="201B16"/>
                <w:sz w:val="19"/>
                <w:lang w:val="pt-BR" w:bidi="ar-SA"/>
                <w:kern w:val="16"/>
                <w14:ligatures w14:val="standardContextual"/>
              </w:rPr>
              <w:t>Vencimento:</w:t>
            </w:r>
            <w:r>
              <w:rPr>
                <w:rFonts w:ascii="EB Garamond" w:hAnsi="EB Garamond" w:cs="EB Garamond"/>
                <w:b w:val="0"/>
                <w:i w:val="0"/>
                <w:color w:val="201B16"/>
                <w:sz w:val="19"/>
                <w:lang w:val="pt-BR" w:bidi="ar-SA"/>
                <w:kern w:val="16"/>
                <w14:ligatures w14:val="standardContextual"/>
              </w:rPr>
              <w:t xml:space="preserve"> Dia 15 do mês seguinte à competência. Se cair em feriado/fim de semana, antecipa-se para o dia útil anterior.</w:t>
            </w:r>
          </w:p>
          <w:p>
            <w:pPr>
              <w:spacing w:before="0" w:after="60" w:line="247" w:lineRule="auto"/>
              <w:jc w:val="both"/>
            </w:pPr>
            <w:r>
              <w:rPr>
                <w:rFonts w:ascii="EB Garamond" w:hAnsi="EB Garamond" w:cs="EB Garamond"/>
                <w:b/>
                <w:i w:val="0"/>
                <w:color w:val="201B16"/>
                <w:sz w:val="19"/>
                <w:lang w:val="pt-BR" w:bidi="ar-SA"/>
                <w:kern w:val="16"/>
                <w14:ligatures w14:val="standardContextual"/>
              </w:rPr>
              <w:t>Recolhimento trimestral:</w:t>
            </w:r>
            <w:r>
              <w:rPr>
                <w:rFonts w:ascii="EB Garamond" w:hAnsi="EB Garamond" w:cs="EB Garamond"/>
                <w:b w:val="0"/>
                <w:i w:val="0"/>
                <w:color w:val="201B16"/>
                <w:sz w:val="19"/>
                <w:lang w:val="pt-BR" w:bidi="ar-SA"/>
                <w:kern w:val="16"/>
                <w14:ligatures w14:val="standardContextual"/>
              </w:rPr>
              <w:t xml:space="preserve"> CI e facultativo com contribuição sobre 1 SM podem recolher trimestralmente (vencimento: dia 15 do mês seguinte ao trimestre). Códigos específicos: 1104 (CI), 1457 (facultativo).</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4.21.2 ESocial e DCTF-Web</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eSocial revolucionou a forma de prestação de informações previdenciárias pelas empresas. Desde sua implantação completa (2018-2023, em fases), substituiu a GFIP/SEFIP como instrumento de declaração do empregador. A partir de outubro de 2021, a DCTF-Web passou a ser o único instrumento declaratório para empresas já obrigadas ao eSocial, e o recolhimento patronal migrou da GPS para o DARF previdenciário. Em janeiro de 2025, a IN RFB 2.237/2024 consolidou a DCTF-Web como forma exclusiva de declaração de todas as obrigações previdenciárias federais dos empregadores.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quadro abaixo resume o instrumento de recolhimento por categoria em 2026:</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Contribuinte</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Instrumento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Vencimento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Empresa (empregados)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DARF via DCTF-Web</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Dia 20 do mês seguinte</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Empregador doméstico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DAE (eSocial doméstico)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Dia 7 do mês seguinte</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Contribuinte individual</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GPS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Dia 15 do mês seguinte</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Segurado facultativo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GPS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Dia 15 do mês seguinte</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MEI (próprio)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DAS-MEI</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Dia 20 do mês seguinte</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MEI com empregado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DAE simplificado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Dia 7 do mês seguinte</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P</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ara o advogado previdenciarista que atua nos JEFs, a transição eSocial trouxe consequências práticas relevantes: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a) </w:t>
      </w:r>
      <w:r>
        <w:rPr>
          <w:rFonts w:ascii="EB Garamond" w:hAnsi="EB Garamond" w:cs="EB Garamond"/>
          <w:b/>
          <w:i w:val="0"/>
          <w:color w:val="201B16"/>
          <w:sz w:val="21"/>
          <w:lang w:val="pt-BR" w:bidi="ar-SA"/>
          <w:kern w:val="16"/>
          <w14:ligatures w14:val="standardContextual"/>
        </w:rPr>
        <w:t>CNIS mais preciso:</w:t>
      </w:r>
      <w:r>
        <w:rPr>
          <w:rFonts w:ascii="EB Garamond" w:hAnsi="EB Garamond" w:cs="EB Garamond"/>
          <w:b w:val="0"/>
          <w:i w:val="0"/>
          <w:color w:val="201B16"/>
          <w:sz w:val="21"/>
          <w:lang w:val="pt-BR" w:bidi="ar-SA"/>
          <w:kern w:val="16"/>
          <w14:ligatures w14:val="standardContextual"/>
        </w:rPr>
        <w:t xml:space="preserve"> O eSocial alimenta diretamente o CNIS com informações de remuneração (evento S-1200), admissão (S-2200) e desligamento (S-2299), reduzindo divergências entre remuneração efetiva e valores registrados.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b) </w:t>
      </w:r>
      <w:r>
        <w:rPr>
          <w:rFonts w:ascii="EB Garamond" w:hAnsi="EB Garamond" w:cs="EB Garamond"/>
          <w:b/>
          <w:i w:val="0"/>
          <w:color w:val="201B16"/>
          <w:sz w:val="21"/>
          <w:lang w:val="pt-BR" w:bidi="ar-SA"/>
          <w:kern w:val="16"/>
          <w14:ligatures w14:val="standardContextual"/>
        </w:rPr>
        <w:t>Prova de vínculo fortalecida:</w:t>
      </w:r>
      <w:r>
        <w:rPr>
          <w:rFonts w:ascii="EB Garamond" w:hAnsi="EB Garamond" w:cs="EB Garamond"/>
          <w:b w:val="0"/>
          <w:i w:val="0"/>
          <w:color w:val="201B16"/>
          <w:sz w:val="21"/>
          <w:lang w:val="pt-BR" w:bidi="ar-SA"/>
          <w:kern w:val="16"/>
          <w14:ligatures w14:val="standardContextual"/>
        </w:rPr>
        <w:t xml:space="preserve"> Os eventos do eSocial geram registro automático no CNIS. A tendência é que, nos próximos anos, ações de retificação de CNIS para vínculos posteriores a 2018 se tornem raras.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c) </w:t>
      </w:r>
      <w:r>
        <w:rPr>
          <w:rFonts w:ascii="EB Garamond" w:hAnsi="EB Garamond" w:cs="EB Garamond"/>
          <w:b/>
          <w:i w:val="0"/>
          <w:color w:val="201B16"/>
          <w:sz w:val="21"/>
          <w:lang w:val="pt-BR" w:bidi="ar-SA"/>
          <w:kern w:val="16"/>
          <w14:ligatures w14:val="standardContextual"/>
        </w:rPr>
        <w:t>Problemas de transição:</w:t>
      </w:r>
      <w:r>
        <w:rPr>
          <w:rFonts w:ascii="EB Garamond" w:hAnsi="EB Garamond" w:cs="EB Garamond"/>
          <w:b w:val="0"/>
          <w:i w:val="0"/>
          <w:color w:val="201B16"/>
          <w:sz w:val="21"/>
          <w:lang w:val="pt-BR" w:bidi="ar-SA"/>
          <w:kern w:val="16"/>
          <w14:ligatures w14:val="standardContextual"/>
        </w:rPr>
        <w:t xml:space="preserve"> Empregadores que migraram incorretamente da GFIP para o eSocial podem ter gerado lacunas ou duplicidades no CNIS dos empregados — motivo frequente de ações de retificação no JEF, especialmente para o período de 2018-2021 (fases de implantação).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d) </w:t>
      </w:r>
      <w:r>
        <w:rPr>
          <w:rFonts w:ascii="EB Garamond" w:hAnsi="EB Garamond" w:cs="EB Garamond"/>
          <w:b/>
          <w:i w:val="0"/>
          <w:color w:val="201B16"/>
          <w:sz w:val="21"/>
          <w:lang w:val="pt-BR" w:bidi="ar-SA"/>
          <w:kern w:val="16"/>
          <w14:ligatures w14:val="standardContextual"/>
        </w:rPr>
        <w:t>Empregado doméstico:</w:t>
      </w:r>
      <w:r>
        <w:rPr>
          <w:rFonts w:ascii="EB Garamond" w:hAnsi="EB Garamond" w:cs="EB Garamond"/>
          <w:b w:val="0"/>
          <w:i w:val="0"/>
          <w:color w:val="201B16"/>
          <w:sz w:val="21"/>
          <w:lang w:val="pt-BR" w:bidi="ar-SA"/>
          <w:kern w:val="16"/>
          <w14:ligatures w14:val="standardContextual"/>
        </w:rPr>
        <w:t xml:space="preserve"> Desde 2015, o recolhimento é feito pelo DAE (Documento de Arrecadação do eSocial), que unifica contribuição patronal (8%), FGTS (8%), seguro acidente (0,8%) e contribuição do empregado (progressiva) em guia única.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e) </w:t>
      </w:r>
      <w:r>
        <w:rPr>
          <w:rFonts w:ascii="EB Garamond" w:hAnsi="EB Garamond" w:cs="EB Garamond"/>
          <w:b/>
          <w:i w:val="0"/>
          <w:color w:val="201B16"/>
          <w:sz w:val="21"/>
          <w:lang w:val="pt-BR" w:bidi="ar-SA"/>
          <w:kern w:val="16"/>
          <w14:ligatures w14:val="standardContextual"/>
        </w:rPr>
        <w:t>CPF como identificador universal:</w:t>
      </w:r>
      <w:r>
        <w:rPr>
          <w:rFonts w:ascii="EB Garamond" w:hAnsi="EB Garamond" w:cs="EB Garamond"/>
          <w:b w:val="0"/>
          <w:i w:val="0"/>
          <w:color w:val="201B16"/>
          <w:sz w:val="21"/>
          <w:lang w:val="pt-BR" w:bidi="ar-SA"/>
          <w:kern w:val="16"/>
          <w14:ligatures w14:val="standardContextual"/>
        </w:rPr>
        <w:t xml:space="preserve"> A partir de 2026, o CPF substitui definitivamente o NIT/PIS/PASEP como identificador único no eSocial. As inconsistências cadastrais (NIT duplicado, PIS sem vinculação) estão sendo corrigidas de ofício pela RFB.</w:t>
      </w:r>
    </w:p>
    <w:p>
      <w:pPr>
        <w:spacing w:before="260" w:after="80" w:line="240" w:lineRule="auto"/>
        <w:jc w:val="left"/>
      </w:pPr>
      <w:r>
        <w:rPr>
          <w:rFonts w:ascii="EB Garamond" w:hAnsi="EB Garamond" w:cs="EB Garamond"/>
          <w:b/>
          <w:i w:val="0"/>
          <w:color w:val="3A3128"/>
          <w:sz w:val="25"/>
          <w:lang w:val="pt-BR" w:bidi="ar-SA"/>
          <w:kern w:val="16"/>
          <w14:ligatures w14:val="standardContextual"/>
        </w:rPr>
        <w:t>4.21.3 CNIS como espelho das contribuições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CNIS funciona como espelho das contribuições, consolidando vínculos, remunerações e recolhimentos do segurado, e permitindo ao INSS e ao próprio segurado verificar a regularidade dos recolhimentos. Quando há divergência entre o CNIS e a realidade contributiva, o segurado pode requerer retificação administrativa (via Meu INSS) ou judicial (ação no JEF). Sobre a natureza jurídica do CNIS, sua força probatória (art. 29-A, Lei 8.213/91) e os mecanismos de retificação, v. Capítulo 5, seção 5.2.</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4.22 Aspectos práticos nos juizados especiais federais</w:t>
      </w:r>
    </w:p>
    <w:p>
      <w:pPr>
        <w:spacing w:before="260" w:after="80" w:line="240" w:lineRule="auto"/>
        <w:jc w:val="left"/>
      </w:pPr>
      <w:r>
        <w:rPr>
          <w:rFonts w:ascii="EB Garamond" w:hAnsi="EB Garamond" w:cs="EB Garamond"/>
          <w:b/>
          <w:i w:val="0"/>
          <w:color w:val="3A3128"/>
          <w:sz w:val="25"/>
          <w:lang w:val="pt-BR" w:bidi="ar-SA"/>
          <w:kern w:val="16"/>
          <w14:ligatures w14:val="standardContextual"/>
        </w:rPr>
        <w:t>4.22.1 Competência do JEF para questões de custeio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 JEFs têm competência absoluta para causas de até 60 salários-mínimos contra a União, autarquias e fundações públicas federais (art. 3º, Lei 10.259/2001). Isso abrange as questões de custeio previdenciário em que o INSS é parte, como: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Restituição de contribuições recolhidas indevidamente</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Declaração de inexigibilidade de contribuição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Averbação de período mediante indenização art. 45-A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Retificação de CNIS quanto a valores de contribuição</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competência do JEF não alcança a execução fiscal (cobrança de contribuições pelo INSS ou pela União), que segue rito próprio (Lei 6.830/80) perante as Varas Federais de execução fiscal.</w:t>
      </w:r>
    </w:p>
    <w:p>
      <w:pPr>
        <w:spacing w:before="260" w:after="80" w:line="240" w:lineRule="auto"/>
        <w:jc w:val="left"/>
      </w:pPr>
      <w:r>
        <w:rPr>
          <w:rFonts w:ascii="EB Garamond" w:hAnsi="EB Garamond" w:cs="EB Garamond"/>
          <w:b/>
          <w:i w:val="0"/>
          <w:color w:val="3A3128"/>
          <w:sz w:val="25"/>
          <w:lang w:val="pt-BR" w:bidi="ar-SA"/>
          <w:kern w:val="16"/>
          <w14:ligatures w14:val="standardContextual"/>
        </w:rPr>
        <w:t>4.22.2 Questões de custeio incidentais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N</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 maioria das ações previdenciárias, o custeio aparece como questão incidental, não como objeto principal. O juiz analisa a regularidade contributiva como pressuposto para a concessão do benefício, sem constituir crédito tributário. Exemplos: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a) </w:t>
      </w:r>
      <w:r>
        <w:rPr>
          <w:rFonts w:ascii="EB Garamond" w:hAnsi="EB Garamond" w:cs="EB Garamond"/>
          <w:b/>
          <w:i w:val="0"/>
          <w:color w:val="201B16"/>
          <w:sz w:val="21"/>
          <w:lang w:val="pt-BR" w:bidi="ar-SA"/>
          <w:kern w:val="16"/>
          <w14:ligatures w14:val="standardContextual"/>
        </w:rPr>
        <w:t>Aposentadoria:</w:t>
      </w:r>
      <w:r>
        <w:rPr>
          <w:rFonts w:ascii="EB Garamond" w:hAnsi="EB Garamond" w:cs="EB Garamond"/>
          <w:b w:val="0"/>
          <w:i w:val="0"/>
          <w:color w:val="201B16"/>
          <w:sz w:val="21"/>
          <w:lang w:val="pt-BR" w:bidi="ar-SA"/>
          <w:kern w:val="16"/>
          <w14:ligatures w14:val="standardContextual"/>
        </w:rPr>
        <w:t xml:space="preserve"> O INSS alega insuficiência de contribuições para carência. O juiz verifica se há contribuições válidas, se o recolhimento em atraso é admissível e se a carência está preenchida.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b) </w:t>
      </w:r>
      <w:r>
        <w:rPr>
          <w:rFonts w:ascii="EB Garamond" w:hAnsi="EB Garamond" w:cs="EB Garamond"/>
          <w:b/>
          <w:i w:val="0"/>
          <w:color w:val="201B16"/>
          <w:sz w:val="21"/>
          <w:lang w:val="pt-BR" w:bidi="ar-SA"/>
          <w:kern w:val="16"/>
          <w14:ligatures w14:val="standardContextual"/>
        </w:rPr>
        <w:t>Tempo de contribuição:</w:t>
      </w:r>
      <w:r>
        <w:rPr>
          <w:rFonts w:ascii="EB Garamond" w:hAnsi="EB Garamond" w:cs="EB Garamond"/>
          <w:b w:val="0"/>
          <w:i w:val="0"/>
          <w:color w:val="201B16"/>
          <w:sz w:val="21"/>
          <w:lang w:val="pt-BR" w:bidi="ar-SA"/>
          <w:kern w:val="16"/>
          <w14:ligatures w14:val="standardContextual"/>
        </w:rPr>
        <w:t xml:space="preserve"> O segurado pleiteia cômputo de período como CI. O juiz reconhece a atividade e condiciona o cômputo ao pagamento da indenização (se necessário), ou entende que a atividade comprovada basta (segurado especial).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c) </w:t>
      </w:r>
      <w:r>
        <w:rPr>
          <w:rFonts w:ascii="EB Garamond" w:hAnsi="EB Garamond" w:cs="EB Garamond"/>
          <w:b/>
          <w:i w:val="0"/>
          <w:color w:val="201B16"/>
          <w:sz w:val="21"/>
          <w:lang w:val="pt-BR" w:bidi="ar-SA"/>
          <w:kern w:val="16"/>
          <w14:ligatures w14:val="standardContextual"/>
        </w:rPr>
        <w:t>Retificação de CNIS:</w:t>
      </w:r>
      <w:r>
        <w:rPr>
          <w:rFonts w:ascii="EB Garamond" w:hAnsi="EB Garamond" w:cs="EB Garamond"/>
          <w:b w:val="0"/>
          <w:i w:val="0"/>
          <w:color w:val="201B16"/>
          <w:sz w:val="21"/>
          <w:lang w:val="pt-BR" w:bidi="ar-SA"/>
          <w:kern w:val="16"/>
          <w14:ligatures w14:val="standardContextual"/>
        </w:rPr>
        <w:t xml:space="preserve"> Divergência entre remuneração efetiva e valor registrado. O juiz determina a correção e, consequentemente, o recálculo do benefício.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Modelo de pedido — Cômputo de tempo com indenização art. 45-A: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"Requer seja reconhecido o exercício de atividade como contribuinte individual no período de [DATA] a [DATA], determinando-se ao INSS que proceda ao cômputo do referido período como tempo de contribuição, condicionado ao recolhimento da indenização prevista no art. 45-A da Lei 8.212/91, cujo cálculo deverá ser elaborado pela autarquia após o trânsito em julgado, observando-se como base o valor da média dos salários de contribuição do segurado."</w:t>
            </w:r>
          </w:p>
          <w:p>
            <w:pPr>
              <w:spacing w:before="0" w:after="60" w:line="247" w:lineRule="auto"/>
              <w:jc w:val="both"/>
            </w:pPr>
            <w:r>
              <w:rPr>
                <w:rFonts w:ascii="EB Garamond" w:hAnsi="EB Garamond" w:cs="EB Garamond"/>
                <w:b/>
                <w:i w:val="0"/>
                <w:color w:val="201B16"/>
                <w:sz w:val="19"/>
                <w:lang w:val="pt-BR" w:bidi="ar-SA"/>
                <w:kern w:val="16"/>
                <w14:ligatures w14:val="standardContextual"/>
              </w:rPr>
              <w:t>Observação:</w:t>
            </w:r>
            <w:r>
              <w:rPr>
                <w:rFonts w:ascii="EB Garamond" w:hAnsi="EB Garamond" w:cs="EB Garamond"/>
                <w:b w:val="0"/>
                <w:i w:val="0"/>
                <w:color w:val="201B16"/>
                <w:sz w:val="19"/>
                <w:lang w:val="pt-BR" w:bidi="ar-SA"/>
                <w:kern w:val="16"/>
                <w14:ligatures w14:val="standardContextual"/>
              </w:rPr>
              <w:t xml:space="preserve"> O juiz não calcula a indenização na sentença — determina que o INSS o faça na fase de cumprimento. O segurado paga e o INSS averba o tempo. Se o segurado não paga dentro do prazo (geralmente 30-60 dias fixados em sentença), perde o direito ao cômputo.</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4.22.3 Prova do recolhimento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N</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os JEFs, a prova do recolhimento ou da atividade que gera obrigação contributiva assume papel central. O CNIS é prova presumida (art. 29-A, Lei 8.213/91), mas admite prova em contrário — tanto pelo INSS quanto pelo segurado. Os meios de prova mais comuns: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CNIS (extrato previdenciário):</w:t>
      </w:r>
      <w:r>
        <w:rPr>
          <w:rFonts w:ascii="EB Garamond" w:hAnsi="EB Garamond" w:cs="EB Garamond"/>
          <w:b w:val="0"/>
          <w:i w:val="0"/>
          <w:color w:val="201B16"/>
          <w:sz w:val="20"/>
          <w:lang w:val="pt-BR" w:bidi="ar-SA"/>
          <w:kern w:val="16"/>
          <w14:ligatures w14:val="standardContextual"/>
        </w:rPr>
        <w:t xml:space="preserve"> Prova primária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Carnês GPS originais:</w:t>
      </w:r>
      <w:r>
        <w:rPr>
          <w:rFonts w:ascii="EB Garamond" w:hAnsi="EB Garamond" w:cs="EB Garamond"/>
          <w:b w:val="0"/>
          <w:i w:val="0"/>
          <w:color w:val="201B16"/>
          <w:sz w:val="20"/>
          <w:lang w:val="pt-BR" w:bidi="ar-SA"/>
          <w:kern w:val="16"/>
          <w14:ligatures w14:val="standardContextual"/>
        </w:rPr>
        <w:t xml:space="preserve"> Comprovam pagamento efetivo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Microfichas/GFIP:</w:t>
      </w:r>
      <w:r>
        <w:rPr>
          <w:rFonts w:ascii="EB Garamond" w:hAnsi="EB Garamond" w:cs="EB Garamond"/>
          <w:b w:val="0"/>
          <w:i w:val="0"/>
          <w:color w:val="201B16"/>
          <w:sz w:val="20"/>
          <w:lang w:val="pt-BR" w:bidi="ar-SA"/>
          <w:kern w:val="16"/>
          <w14:ligatures w14:val="standardContextual"/>
        </w:rPr>
        <w:t xml:space="preserve"> Períodos anteriores ao CNIS digital</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Declaração IR:</w:t>
      </w:r>
      <w:r>
        <w:rPr>
          <w:rFonts w:ascii="EB Garamond" w:hAnsi="EB Garamond" w:cs="EB Garamond"/>
          <w:b w:val="0"/>
          <w:i w:val="0"/>
          <w:color w:val="201B16"/>
          <w:sz w:val="20"/>
          <w:lang w:val="pt-BR" w:bidi="ar-SA"/>
          <w:kern w:val="16"/>
          <w14:ligatures w14:val="standardContextual"/>
        </w:rPr>
        <w:t xml:space="preserve"> Comprova rendimentos de CI</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Contratos de prestação de serviço:</w:t>
      </w:r>
      <w:r>
        <w:rPr>
          <w:rFonts w:ascii="EB Garamond" w:hAnsi="EB Garamond" w:cs="EB Garamond"/>
          <w:b w:val="0"/>
          <w:i w:val="0"/>
          <w:color w:val="201B16"/>
          <w:sz w:val="20"/>
          <w:lang w:val="pt-BR" w:bidi="ar-SA"/>
          <w:kern w:val="16"/>
          <w14:ligatures w14:val="standardContextual"/>
        </w:rPr>
        <w:t xml:space="preserve"> Comprovam atividade de CI</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Inscrição municipal/alvará:</w:t>
      </w:r>
      <w:r>
        <w:rPr>
          <w:rFonts w:ascii="EB Garamond" w:hAnsi="EB Garamond" w:cs="EB Garamond"/>
          <w:b w:val="0"/>
          <w:i w:val="0"/>
          <w:color w:val="201B16"/>
          <w:sz w:val="20"/>
          <w:lang w:val="pt-BR" w:bidi="ar-SA"/>
          <w:kern w:val="16"/>
          <w14:ligatures w14:val="standardContextual"/>
        </w:rPr>
        <w:t xml:space="preserve"> Comprova atividade empresarial</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Prova testemunhal:</w:t>
      </w:r>
      <w:r>
        <w:rPr>
          <w:rFonts w:ascii="EB Garamond" w:hAnsi="EB Garamond" w:cs="EB Garamond"/>
          <w:b w:val="0"/>
          <w:i w:val="0"/>
          <w:color w:val="201B16"/>
          <w:sz w:val="20"/>
          <w:lang w:val="pt-BR" w:bidi="ar-SA"/>
          <w:kern w:val="16"/>
          <w14:ligatures w14:val="standardContextual"/>
        </w:rPr>
        <w:t xml:space="preserve"> Admitida como prova complementar; sustentamos, porém, que não deve ser meio exclusivo em questões de custeio, dada a natureza tributária da obrigação</w:t>
      </w:r>
    </w:p>
    <w:p>
      <w:pPr>
        <w:spacing w:before="0" w:after="6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4.22.4 Orientação ao segurado: planejamento contributivo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U</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ma dimensão frequentemente negligenciada da atuação previdenciarista nos JEFs é a orientação prospectiva ao segurado. Muitas ações poderiam ser evitadas se o advogado auxiliasse o cliente a regularizar sua situação contributiva antes do requerimento administrativo. O planejamento contributivo envolve: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a) </w:t>
      </w:r>
      <w:r>
        <w:rPr>
          <w:rFonts w:ascii="EB Garamond" w:hAnsi="EB Garamond" w:cs="EB Garamond"/>
          <w:b/>
          <w:i w:val="0"/>
          <w:color w:val="201B16"/>
          <w:sz w:val="21"/>
          <w:lang w:val="pt-BR" w:bidi="ar-SA"/>
          <w:kern w:val="16"/>
          <w14:ligatures w14:val="standardContextual"/>
        </w:rPr>
        <w:t>Análise do CNIS:</w:t>
      </w:r>
      <w:r>
        <w:rPr>
          <w:rFonts w:ascii="EB Garamond" w:hAnsi="EB Garamond" w:cs="EB Garamond"/>
          <w:b w:val="0"/>
          <w:i w:val="0"/>
          <w:color w:val="201B16"/>
          <w:sz w:val="21"/>
          <w:lang w:val="pt-BR" w:bidi="ar-SA"/>
          <w:kern w:val="16"/>
          <w14:ligatures w14:val="standardContextual"/>
        </w:rPr>
        <w:t xml:space="preserve"> Verificar lacunas, valores divergentes, vínculos não registrados. O extrato do CNIS está disponível no Meu INSS (aplicativo ou site) e deve ser o primeiro documento analisado pelo advogado.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b) </w:t>
      </w:r>
      <w:r>
        <w:rPr>
          <w:rFonts w:ascii="EB Garamond" w:hAnsi="EB Garamond" w:cs="EB Garamond"/>
          <w:b/>
          <w:i w:val="0"/>
          <w:color w:val="201B16"/>
          <w:sz w:val="21"/>
          <w:lang w:val="pt-BR" w:bidi="ar-SA"/>
          <w:kern w:val="16"/>
          <w14:ligatures w14:val="standardContextual"/>
        </w:rPr>
        <w:t>Simulação de tempo:</w:t>
      </w:r>
      <w:r>
        <w:rPr>
          <w:rFonts w:ascii="EB Garamond" w:hAnsi="EB Garamond" w:cs="EB Garamond"/>
          <w:b w:val="0"/>
          <w:i w:val="0"/>
          <w:color w:val="201B16"/>
          <w:sz w:val="21"/>
          <w:lang w:val="pt-BR" w:bidi="ar-SA"/>
          <w:kern w:val="16"/>
          <w14:ligatures w14:val="standardContextual"/>
        </w:rPr>
        <w:t xml:space="preserve"> Calcular o tempo de contribuição total, identificando o que falta para cada regra de aposentadoria. O próprio Meu INSS disponibiliza simulador, mas frequentemente desconsidera períodos não registrados.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c) </w:t>
      </w:r>
      <w:r>
        <w:rPr>
          <w:rFonts w:ascii="EB Garamond" w:hAnsi="EB Garamond" w:cs="EB Garamond"/>
          <w:b/>
          <w:i w:val="0"/>
          <w:color w:val="201B16"/>
          <w:sz w:val="21"/>
          <w:lang w:val="pt-BR" w:bidi="ar-SA"/>
          <w:kern w:val="16"/>
          <w14:ligatures w14:val="standardContextual"/>
        </w:rPr>
        <w:t>Estratégia de regularização:</w:t>
      </w:r>
      <w:r>
        <w:rPr>
          <w:rFonts w:ascii="EB Garamond" w:hAnsi="EB Garamond" w:cs="EB Garamond"/>
          <w:b w:val="0"/>
          <w:i w:val="0"/>
          <w:color w:val="201B16"/>
          <w:sz w:val="21"/>
          <w:lang w:val="pt-BR" w:bidi="ar-SA"/>
          <w:kern w:val="16"/>
          <w14:ligatures w14:val="standardContextual"/>
        </w:rPr>
        <w:t xml:space="preserve"> Decidir se convém indenizar (art. 45-A), complementar (plano simplificado para normal), ou simplesmente aguardar (contribuir mês a mês até completar).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d) </w:t>
      </w:r>
      <w:r>
        <w:rPr>
          <w:rFonts w:ascii="EB Garamond" w:hAnsi="EB Garamond" w:cs="EB Garamond"/>
          <w:b/>
          <w:i w:val="0"/>
          <w:color w:val="201B16"/>
          <w:sz w:val="21"/>
          <w:lang w:val="pt-BR" w:bidi="ar-SA"/>
          <w:kern w:val="16"/>
          <w14:ligatures w14:val="standardContextual"/>
        </w:rPr>
        <w:t>Análise de custo-benefício:</w:t>
      </w:r>
      <w:r>
        <w:rPr>
          <w:rFonts w:ascii="EB Garamond" w:hAnsi="EB Garamond" w:cs="EB Garamond"/>
          <w:b w:val="0"/>
          <w:i w:val="0"/>
          <w:color w:val="201B16"/>
          <w:sz w:val="21"/>
          <w:lang w:val="pt-BR" w:bidi="ar-SA"/>
          <w:kern w:val="16"/>
          <w14:ligatures w14:val="standardContextual"/>
        </w:rPr>
        <w:t xml:space="preserve"> Comparar o custo total da regularização com o valor esperado do benefício. Uma indenização de R$ 50.000 pode não justificar se o aumento no benefício for marginal.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Checklist pré-requerimento administrativo: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1. Extrair CNIS atualizado (Meu INSS)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2. Conferir todos os vínculos empregatícios (datas, valores)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3. Identificar lacunas contributivas (meses sem contribuição)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4. Para cada lacuna: determinar se era empregado (responsabilidade do empregador), CI (pode indenizar), ou se estava sem atividade</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5. Verificar se há contribuições como MEI/simplificado que precisam de complementação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6. Calcular carência e tempo de contribuição disponíveis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7. Simular qual regra de aposentadoria é mais vantajosa</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8. Se necessário, providenciar complementações/indenizações ANTES do requerimento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9. Reunir documentos comprobatórios de atividade (para indenização)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10. Protocolar requerimento administrativo com toda a documentação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Atenção:</w:t>
            </w:r>
            <w:r>
              <w:rPr>
                <w:rFonts w:ascii="EB Garamond" w:hAnsi="EB Garamond" w:cs="EB Garamond"/>
                <w:b w:val="0"/>
                <w:i w:val="0"/>
                <w:color w:val="201B16"/>
                <w:sz w:val="19"/>
                <w:lang w:val="pt-BR" w:bidi="ar-SA"/>
                <w:kern w:val="16"/>
                <w14:ligatures w14:val="standardContextual"/>
              </w:rPr>
              <w:t xml:space="preserve"> O requerimento administrativo é obrigatório antes do ajuizamento (Tema 350/STF), salvo exceções. A documentação deve estar completa desde o início para evitar indeferimento por insuficiência probatória.</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4.22.5 Causas mais comuns no JEF envolvendo custeio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C</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om base na experiência forense, as demandas previdenciárias com maior interface com questões de custeio nos JEFs são: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 Reconhecimento de tempo de contribuição como CI informal:</w:t>
      </w:r>
      <w:r>
        <w:rPr>
          <w:rFonts w:ascii="EB Garamond" w:hAnsi="EB Garamond" w:cs="EB Garamond"/>
          <w:b w:val="0"/>
          <w:i w:val="0"/>
          <w:color w:val="201B16"/>
          <w:sz w:val="21"/>
          <w:lang w:val="pt-BR" w:bidi="ar-SA"/>
          <w:kern w:val="16"/>
          <w14:ligatures w14:val="standardContextual"/>
        </w:rPr>
        <w:t xml:space="preserve"> O segurado exerceu atividade autônoma sem registro (pedreiro, costureira, vendedor ambulante) e precisa desse tempo para aposentadoria. O INSS exige indenização. O juiz analisa: houve atividade? Há início de prova material? A indenização é condição ou consequência?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b) Retificação de CNIS por subregistro de remuneração:</w:t>
      </w:r>
      <w:r>
        <w:rPr>
          <w:rFonts w:ascii="EB Garamond" w:hAnsi="EB Garamond" w:cs="EB Garamond"/>
          <w:b w:val="0"/>
          <w:i w:val="0"/>
          <w:color w:val="201B16"/>
          <w:sz w:val="21"/>
          <w:lang w:val="pt-BR" w:bidi="ar-SA"/>
          <w:kern w:val="16"/>
          <w14:ligatures w14:val="standardContextual"/>
        </w:rPr>
        <w:t xml:space="preserve"> O empregador recolheu sobre valor inferior à remuneração efetiva. O segurado comprova (contracheques, IR, recibos) que recebia mais. O juiz determina a retificação, o que eleva o salário de benefício.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 Invalidação de contribuições de baixa renda:</w:t>
      </w:r>
      <w:r>
        <w:rPr>
          <w:rFonts w:ascii="EB Garamond" w:hAnsi="EB Garamond" w:cs="EB Garamond"/>
          <w:b w:val="0"/>
          <w:i w:val="0"/>
          <w:color w:val="201B16"/>
          <w:sz w:val="21"/>
          <w:lang w:val="pt-BR" w:bidi="ar-SA"/>
          <w:kern w:val="16"/>
          <w14:ligatures w14:val="standardContextual"/>
        </w:rPr>
        <w:t xml:space="preserve"> O INSS constata que o segurado facultativo de baixa renda exercia atividade remunerada (Tema 241/TNU). As contribuições são invalidadas, a carência cai, e o benefício é cessado ou negado. O segurado busca no JEF a validação das contribuições ou, subsidiariamente, a conversão para código 1473 mediante complementação.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d) Devolução de contribuições recolhidas indevidamente:</w:t>
      </w:r>
      <w:r>
        <w:rPr>
          <w:rFonts w:ascii="EB Garamond" w:hAnsi="EB Garamond" w:cs="EB Garamond"/>
          <w:b w:val="0"/>
          <w:i w:val="0"/>
          <w:color w:val="201B16"/>
          <w:sz w:val="21"/>
          <w:lang w:val="pt-BR" w:bidi="ar-SA"/>
          <w:kern w:val="16"/>
          <w14:ligatures w14:val="standardContextual"/>
        </w:rPr>
        <w:t xml:space="preserve"> O segurado contribuiu acima do teto (dois vínculos simultâneos) ou recolheu como CI quando era empregado (contribuição indevida). Pleiteia restituição ou compensação.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e) Cômputo de tempo com indenização condicionada:</w:t>
      </w:r>
      <w:r>
        <w:rPr>
          <w:rFonts w:ascii="EB Garamond" w:hAnsi="EB Garamond" w:cs="EB Garamond"/>
          <w:b w:val="0"/>
          <w:i w:val="0"/>
          <w:color w:val="201B16"/>
          <w:sz w:val="21"/>
          <w:lang w:val="pt-BR" w:bidi="ar-SA"/>
          <w:kern w:val="16"/>
          <w14:ligatures w14:val="standardContextual"/>
        </w:rPr>
        <w:t xml:space="preserve"> O JEF reconhece a atividade e determina o cômputo, condicionando-o ao pagamento da indenização. O segurado não paga no prazo. O que ocorre? A sentença perde eficácia quanto ao cômputo, mas o reconhecimento da atividade transita em julgado. O segurado pode, a qualquer tempo, pagar e requerer a averbação.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Atenção — Honorários e custas nas ações de custeio: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Nos JEFs, não há condenação em honorários advocatícios na primeira instância (art. 55, Lei 9.099/95, c/c art. 1º, Lei 10.259/2001). Também não há custas processuais. Essa gratuidade estimula a judicialização de questões de custeio que, no procedimento comum, seriam antieconômicas. O advogado deve ponderar, contudo, se a demanda tem chance razoável de êxito — demandas temerárias podem gerar multa por litigância de má-fé.</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4.22.6 Tutela de urgência em ações de custeio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E</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m ações de custeio nos JEFs, a tutela de urgência (art. 300, CPC, c/c art. 4º, Lei 10.259/2001) pode ser concedida em situações específicas: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a) </w:t>
      </w:r>
      <w:r>
        <w:rPr>
          <w:rFonts w:ascii="EB Garamond" w:hAnsi="EB Garamond" w:cs="EB Garamond"/>
          <w:b/>
          <w:i w:val="0"/>
          <w:color w:val="201B16"/>
          <w:sz w:val="21"/>
          <w:lang w:val="pt-BR" w:bidi="ar-SA"/>
          <w:kern w:val="16"/>
          <w14:ligatures w14:val="standardContextual"/>
        </w:rPr>
        <w:t>Restituição de contribuição indevida com urgência:</w:t>
      </w:r>
      <w:r>
        <w:rPr>
          <w:rFonts w:ascii="EB Garamond" w:hAnsi="EB Garamond" w:cs="EB Garamond"/>
          <w:b w:val="0"/>
          <w:i w:val="0"/>
          <w:color w:val="201B16"/>
          <w:sz w:val="21"/>
          <w:lang w:val="pt-BR" w:bidi="ar-SA"/>
          <w:kern w:val="16"/>
          <w14:ligatures w14:val="standardContextual"/>
        </w:rPr>
        <w:t xml:space="preserve"> Quando o segurado demonstra que o recolhimento indevido compromete sua subsistência (aposentado que teve valores descontados indevidamente, por exemplo), pode obter tutela antecipada para suspender os descontos.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b) </w:t>
      </w:r>
      <w:r>
        <w:rPr>
          <w:rFonts w:ascii="EB Garamond" w:hAnsi="EB Garamond" w:cs="EB Garamond"/>
          <w:b/>
          <w:i w:val="0"/>
          <w:color w:val="201B16"/>
          <w:sz w:val="21"/>
          <w:lang w:val="pt-BR" w:bidi="ar-SA"/>
          <w:kern w:val="16"/>
          <w14:ligatures w14:val="standardContextual"/>
        </w:rPr>
        <w:t>Retificação urgente de CNIS:</w:t>
      </w:r>
      <w:r>
        <w:rPr>
          <w:rFonts w:ascii="EB Garamond" w:hAnsi="EB Garamond" w:cs="EB Garamond"/>
          <w:b w:val="0"/>
          <w:i w:val="0"/>
          <w:color w:val="201B16"/>
          <w:sz w:val="21"/>
          <w:lang w:val="pt-BR" w:bidi="ar-SA"/>
          <w:kern w:val="16"/>
          <w14:ligatures w14:val="standardContextual"/>
        </w:rPr>
        <w:t xml:space="preserve"> Quando a incorreção no CNIS impede a concessão de benefício já requerido administrativamente. O juiz pode determinar, liminarmente, que o INSS proceda à retificação e analise o benefício com base nos dados corrigidos.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c) </w:t>
      </w:r>
      <w:r>
        <w:rPr>
          <w:rFonts w:ascii="EB Garamond" w:hAnsi="EB Garamond" w:cs="EB Garamond"/>
          <w:b/>
          <w:i w:val="0"/>
          <w:color w:val="201B16"/>
          <w:sz w:val="21"/>
          <w:lang w:val="pt-BR" w:bidi="ar-SA"/>
          <w:kern w:val="16"/>
          <w14:ligatures w14:val="standardContextual"/>
        </w:rPr>
        <w:t>Suspensão de cobrança indevida:</w:t>
      </w:r>
      <w:r>
        <w:rPr>
          <w:rFonts w:ascii="EB Garamond" w:hAnsi="EB Garamond" w:cs="EB Garamond"/>
          <w:b w:val="0"/>
          <w:i w:val="0"/>
          <w:color w:val="201B16"/>
          <w:sz w:val="21"/>
          <w:lang w:val="pt-BR" w:bidi="ar-SA"/>
          <w:kern w:val="16"/>
          <w14:ligatures w14:val="standardContextual"/>
        </w:rPr>
        <w:t xml:space="preserve"> Segurado que recebe notificação da RFB para pagamento de contribuições supostamente devidas pode buscar no JEF a declaração de inexigibilidade, com pedido de tutela para suspender a cobrança.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tutela de urgência em matéria de custeio previdenciário exige cautela redobrada: a irreversibilidade da medida (art. 300, § 3º, CPC) é frequentemente arguida pelo INSS, especialmente em pedidos de restituição em dinheiro. Nesses casos, o juiz pode optar pela tutela cautelar (suspensão da cobrança) em vez da satisfativa (restituição imediata).</w:t>
      </w:r>
    </w:p>
    <w:p>
      <w:pPr>
        <w:spacing w:before="260" w:after="80" w:line="240" w:lineRule="auto"/>
        <w:jc w:val="left"/>
      </w:pPr>
      <w:r>
        <w:rPr>
          <w:rFonts w:ascii="EB Garamond" w:hAnsi="EB Garamond" w:cs="EB Garamond"/>
          <w:b/>
          <w:i w:val="0"/>
          <w:color w:val="3A3128"/>
          <w:sz w:val="25"/>
          <w:lang w:val="pt-BR" w:bidi="ar-SA"/>
          <w:kern w:val="16"/>
          <w14:ligatures w14:val="standardContextual"/>
        </w:rPr>
        <w:t>4.22.7 Jurisprudência selecionada: custeio nos JEFs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TNU — Súmula 24</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tempo de serviço do segurado trabalhador rural anterior ao advento da Lei nº 8.213/91, sem o recolhimento de contribuições previdenciárias, pode ser considerado para a concessão de benefício previdenciário do Regime Geral de Previdência Social (RGPS), exceto para efeito de carência, conforme a regra do art. 55, § 2º, da Lei nº 8.213/91".</w:t>
            </w:r>
          </w:p>
          <w:p>
            <w:pPr>
              <w:spacing w:before="0" w:after="60" w:line="247" w:lineRule="auto"/>
              <w:jc w:val="both"/>
            </w:pPr>
            <w:r>
              <w:rPr>
                <w:rFonts w:ascii="EB Garamond" w:hAnsi="EB Garamond" w:cs="EB Garamond"/>
                <w:b/>
                <w:i w:val="0"/>
                <w:color w:val="201B16"/>
                <w:sz w:val="19"/>
                <w:lang w:val="pt-BR" w:bidi="ar-SA"/>
                <w:kern w:val="16"/>
                <w14:ligatures w14:val="standardContextual"/>
              </w:rPr>
              <w:t>Impacto no custeio:</w:t>
            </w:r>
            <w:r>
              <w:rPr>
                <w:rFonts w:ascii="EB Garamond" w:hAnsi="EB Garamond" w:cs="EB Garamond"/>
                <w:b w:val="0"/>
                <w:i w:val="0"/>
                <w:color w:val="201B16"/>
                <w:sz w:val="19"/>
                <w:lang w:val="pt-BR" w:bidi="ar-SA"/>
                <w:kern w:val="16"/>
                <w14:ligatures w14:val="standardContextual"/>
              </w:rPr>
              <w:t xml:space="preserve"> O trabalhador rural que comprova atividade anterior à Lei 8.213/91 tem o tempo computado independentemente de contribuição ou indenização, exceto para efeito de carência (art. 55, § 2º). A súmula é invocada quando o INSS exige indenização para cômputo de período rural antigo. Para o período posterior a novembro de 1991, ao contrário, o segurado especial só computa o tempo para aposentadoria por tempo de contribuição se recolher contribuições facultativas (Súmula 272 do STJ).</w:t>
            </w: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STF — Tema 350 (RE 631.240, j. 03/09/2014)</w:t>
            </w:r>
          </w:p>
          <w:p>
            <w:pPr>
              <w:spacing w:before="0" w:after="60" w:line="247" w:lineRule="auto"/>
              <w:jc w:val="both"/>
            </w:pPr>
            <w:r>
              <w:rPr>
                <w:rFonts w:ascii="EB Garamond" w:hAnsi="EB Garamond" w:cs="EB Garamond"/>
                <w:b/>
                <w:i w:val="0"/>
                <w:color w:val="201B16"/>
                <w:sz w:val="19"/>
                <w:lang w:val="pt-BR" w:bidi="ar-SA"/>
                <w:kern w:val="16"/>
                <w14:ligatures w14:val="standardContextual"/>
              </w:rPr>
              <w:t>Tese (item I):</w:t>
            </w:r>
            <w:r>
              <w:rPr>
                <w:rFonts w:ascii="EB Garamond" w:hAnsi="EB Garamond" w:cs="EB Garamond"/>
                <w:b w:val="0"/>
                <w:i w:val="0"/>
                <w:color w:val="201B16"/>
                <w:sz w:val="19"/>
                <w:lang w:val="pt-BR" w:bidi="ar-SA"/>
                <w:kern w:val="16"/>
                <w14:ligatures w14:val="standardContextual"/>
              </w:rPr>
              <w:t xml:space="preserve"> "A concessão de benefícios previdenciários depende de requerimento do interessado, não se caracterizando ameaça ou lesão a direito antes de sua apreciação e indeferimento pelo INSS, ou se excedido o prazo legal para sua análise. É bem de ver, no entanto, que a exigência de prévio requerimento não se confunde com o exaurimento das vias administrativas." Os itens II e III dispensam o prévio requerimento quando o entendimento da Administração for notória e reiteradamente contrário à postulação e nas pretensões de revisão, restabelecimento ou manutenção de benefício que não dependam de matéria de fato nova (v. Cap. 23, seção 23.8).</w:t>
            </w:r>
          </w:p>
          <w:p>
            <w:pPr>
              <w:spacing w:before="0" w:after="60" w:line="247" w:lineRule="auto"/>
              <w:jc w:val="both"/>
            </w:pPr>
            <w:r>
              <w:rPr>
                <w:rFonts w:ascii="EB Garamond" w:hAnsi="EB Garamond" w:cs="EB Garamond"/>
                <w:b/>
                <w:i w:val="0"/>
                <w:color w:val="201B16"/>
                <w:sz w:val="19"/>
                <w:lang w:val="pt-BR" w:bidi="ar-SA"/>
                <w:kern w:val="16"/>
                <w14:ligatures w14:val="standardContextual"/>
              </w:rPr>
              <w:t>Interface com custeio:</w:t>
            </w:r>
            <w:r>
              <w:rPr>
                <w:rFonts w:ascii="EB Garamond" w:hAnsi="EB Garamond" w:cs="EB Garamond"/>
                <w:b w:val="0"/>
                <w:i w:val="0"/>
                <w:color w:val="201B16"/>
                <w:sz w:val="19"/>
                <w:lang w:val="pt-BR" w:bidi="ar-SA"/>
                <w:kern w:val="16"/>
                <w14:ligatures w14:val="standardContextual"/>
              </w:rPr>
              <w:t xml:space="preserve"> O requerimento administrativo é o momento em que o INSS analisa a situação contributiva do segurado. Se o INSS aponta lacunas ou exige indenização na via administrativa, o segurado fica ciente da necessidade de regularização. Sem requerimento prévio, o juiz não tem como avaliar se a controvérsia é real. Exceção: quando o segurado sequer é atendido (sistema indisponível, agência sem vaga) ou quando o INSS já demonstrou resistência à tese em casos idênticos.</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4.22.8 Cooperativas de trabalho e contribuição previdenciária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 cooperativas de trabalho geram questões específicas de custeio previdenciário. O cooperado que presta serviço por intermédio de cooperativa de trabalho é contribuinte individual (art. 12, V, g, Lei 8.212/91). A contribuição incide sobre a remuneração efetivamente recebida pelo cooperado.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É essencial advertir, de saída, que a contribuição patronal de 15% da empresa tomadora sobre o valor da nota fiscal de cooperativas de trabalho </w:t>
      </w:r>
      <w:r>
        <w:rPr>
          <w:rFonts w:ascii="EB Garamond" w:hAnsi="EB Garamond" w:cs="EB Garamond"/>
          <w:b/>
          <w:i w:val="0"/>
          <w:color w:val="201B16"/>
          <w:sz w:val="21"/>
          <w:lang w:val="pt-BR" w:bidi="ar-SA"/>
          <w:kern w:val="16"/>
          <w14:ligatures w14:val="standardContextual"/>
        </w:rPr>
        <w:t>não está mais em vigor</w:t>
      </w:r>
      <w:r>
        <w:rPr>
          <w:rFonts w:ascii="EB Garamond" w:hAnsi="EB Garamond" w:cs="EB Garamond"/>
          <w:b w:val="0"/>
          <w:i w:val="0"/>
          <w:color w:val="201B16"/>
          <w:sz w:val="21"/>
          <w:lang w:val="pt-BR" w:bidi="ar-SA"/>
          <w:kern w:val="16"/>
          <w14:ligatures w14:val="standardContextual"/>
        </w:rPr>
        <w:t>: o art. 22, IV, da Lei 8.212/91 foi declarado inconstitucional pelo STF no Tema 166 (RE 595.838, j. 23/04/2014), como detalha o box adiante. A descrição que segue tem, pois, valor histórico e serve à compreensão de períodos pretéritos e da ratio do precedente. Antes da declaração de inconstitucionalidade, a empresa tomadora de serviços prestados por cooperativa de trabalho contribuía com 15% sobre o valor bruto da nota fiscal ou fatura de prestação de serviços (art. 22, IV, Lei 8.212/91 — contribuição patronal sobre cooperativa), alíquota que substituía a contribuição patronal de 20% que incidiria se o cooperado fosse contratado como CI diretamente pela empresa.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STF, RE 595.838 (Tema 166, declaração de inconstitucionalidade parcial)</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STF, no julgamento do RE 595.838 (Tema 166, j. 23/04/2014), declarou a inconstitucionalidade do art. 22, IV, da Lei 8.212/91 no tocante às cooperativas de trabalho. A contribuição patronal de 15% sobre o valor bruto da nota fiscal de serviços prestados por cooperativas de trabalho foi considerada incompatível com o art. 195, I, a, da CF/88. Para as demais cooperativas de trabalho, a questão requer análise caso a caso à luz da tese fixada.</w:t>
            </w:r>
          </w:p>
          <w:p>
            <w:pPr>
              <w:spacing w:before="0" w:after="60" w:line="247" w:lineRule="auto"/>
              <w:jc w:val="both"/>
            </w:pPr>
            <w:r>
              <w:rPr>
                <w:rFonts w:ascii="EB Garamond" w:hAnsi="EB Garamond" w:cs="EB Garamond"/>
                <w:b/>
                <w:i w:val="0"/>
                <w:color w:val="201B16"/>
                <w:sz w:val="19"/>
                <w:lang w:val="pt-BR" w:bidi="ar-SA"/>
                <w:kern w:val="16"/>
                <w14:ligatures w14:val="standardContextual"/>
              </w:rPr>
              <w:t>Impacto prático:</w:t>
            </w:r>
            <w:r>
              <w:rPr>
                <w:rFonts w:ascii="EB Garamond" w:hAnsi="EB Garamond" w:cs="EB Garamond"/>
                <w:b w:val="0"/>
                <w:i w:val="0"/>
                <w:color w:val="201B16"/>
                <w:sz w:val="19"/>
                <w:lang w:val="pt-BR" w:bidi="ar-SA"/>
                <w:kern w:val="16"/>
                <w14:ligatures w14:val="standardContextual"/>
              </w:rPr>
              <w:t xml:space="preserve"> A tese fixada pelo STF no Tema 166 alcança as cooperativas de trabalho em geral, não apenas as médicas. A contribuição de 15% sobre a nota fiscal de cooperativas de trabalho foi declarada inconstitucional. A questão remanescente é a aplicação da tese às cooperativas de produção, que têm regime distinto.</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situação do cooperado como segurado é análoga à do CI: deve contribuir com 20% sobre a remuneração (ou 11% pelo plano simplificado, se não presta serviço a empresa). A cooperativa, embora não seja empregadora dos cooperados, pode reter a contribuição dos cooperados e repassar ao INSS, por conveniência operacional, prática prevista no art. 216, § 26-A, do Decreto 3.048/99.</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Nos JEFs, cooperados frequentemente buscam reconhecimento de vínculo empregatício (descaracterização da relação cooperativa), caso em que as contribuições devem ser recalculadas como se fossem de empregado. A questão é primariamente trabalhista (competência da Justiça do Trabalho), mas repercute na esfera previdenciária quando o cooperado/empregado busca benefício no INSS e o CNIS registra contribuições como CI em vez de empregado.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Cooperativa "de fachada": a fraude que descaracteriza o vínculo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Algumas empresas constituem cooperativas fictícias para reduzir o custo previdenciário, em vez de contratar empregados (contribuição patronal de 20% + RAT e encargos trabalhistas), contratam a mão de obra por intermédio de cooperativa. O vínculo de subordinação, habitualidade e pessoalidade descaracteriza a relação cooperativa e configura fraude trabalhista e previdenciária. Nos JEFs, o segurado pode comprovar a fraude e obter o reconhecimento do vínculo empregatício, com reflexos no cálculo do benefício (salário de contribuição mais elevado como empregado do que como cooperado/CI).</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4.23 Síntese e quadro comparativo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Quadro-resumo das contribuições previdenciárias (valores 2026):</w:t>
            </w:r>
          </w:p>
          <w:tbl>
            <w:tblPr>
              <w:tblW w:type="auto" w:w="0"/>
              <w:jc w:val="center"/>
              <w:tblLook w:firstColumn="1" w:firstRow="1" w:lastColumn="0" w:lastRow="0" w:noHBand="0" w:noVBand="1" w:val="04A0"/>
              <w:tblW w:w="5000" w:type="pct"/>
            </w:tblPr>
            <w:tblGrid>
              <w:gridCol w:w="1270"/>
              <w:gridCol w:w="1270"/>
              <w:gridCol w:w="1270"/>
              <w:gridCol w:w="1270"/>
              <w:gridCol w:w="1270"/>
            </w:tblGrid>
            <w:tr>
              <w:trPr>
                <w:tblHeader/>
              </w:trPr>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Categoria</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Alíquota</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Base</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Valor mensal</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Aposent. TC?</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Empregado (1ª faixa)</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7,5%</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Até 1 SM</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Até R$ 121,58</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Sim</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Empregado (teto)</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Efetiva ~11,66%</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Até teto</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~R$ 988,10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Sim</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CI normal</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20%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SM a teto</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R$ 324,20 a R$ 1.695,11</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Sim</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CI simplificado</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11%</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SM</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R$ 178,31</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CI com retenção</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20% (11+9)</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Remuneração</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Variável</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Sim</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Facultativo normal</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20%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SM a teto</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R$ 324,20 a R$ 1.695,11</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Sim</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Facultativo simpl.</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11%</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SM</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R$ 178,31</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Facultativo baixa renda</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5%</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SM</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R$ 81,05</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MEI</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5%</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SM</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R$ 81,05</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MEI caminhoneiro</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12%</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SM</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R$ 194,52</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Patronal (empresa)</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20%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Folha total</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Variável</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Patronal (doméstico)</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8%</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Remuneração</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Variável</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Patronal (MEI c/ empr.)</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3%</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Remuneração</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Variável</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RAT</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 a 3%</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Folha total</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Variável</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Prod. Rural PF</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1,5%</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Receita bruta</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Variável</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Prod. Rural PJ</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2,05%</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Receita bruta</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Variável</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Segurado especial</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1,2% + 0,1% (SAT) = 1,3%</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Comercialização</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Variável</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w:t>
                  </w:r>
                </w:p>
              </w:tc>
            </w:tr>
          </w:tbl>
          <w:p/>
          <w:p>
            <w:pPr>
              <w:spacing w:before="0" w:after="0" w:line="240" w:lineRule="auto"/>
            </w:pPr>
          </w:p>
          <w:p>
            <w:pPr>
              <w:spacing w:before="0" w:after="60" w:line="247" w:lineRule="auto"/>
              <w:jc w:val="both"/>
            </w:pPr>
            <w:r>
              <w:rPr>
                <w:rFonts w:ascii="EB Garamond" w:hAnsi="EB Garamond" w:cs="EB Garamond"/>
                <w:b w:val="0"/>
                <w:i w:val="0"/>
                <w:color w:val="201B16"/>
                <w:sz w:val="19"/>
                <w:lang w:val="pt-BR" w:bidi="ar-SA"/>
                <w:kern w:val="16"/>
                <w14:ligatures w14:val="standardContextual"/>
              </w:rPr>
              <w:t>*MEI caminhoneiro: 12% não dá direito a TC. Complementando 8%, totaliza 20% e passa a contar.</w:t>
            </w:r>
          </w:p>
          <w:p>
            <w:pPr>
              <w:spacing w:before="0" w:after="60" w:line="247" w:lineRule="auto"/>
              <w:jc w:val="both"/>
            </w:pPr>
            <w:r>
              <w:rPr>
                <w:rFonts w:ascii="EB Garamond" w:hAnsi="EB Garamond" w:cs="EB Garamond"/>
                <w:b/>
                <w:i w:val="0"/>
                <w:color w:val="201B16"/>
                <w:sz w:val="19"/>
                <w:lang w:val="pt-BR" w:bidi="ar-SA"/>
                <w:kern w:val="16"/>
                <w14:ligatures w14:val="standardContextual"/>
              </w:rPr>
              <w:t>Observação final:</w:t>
            </w:r>
            <w:r>
              <w:rPr>
                <w:rFonts w:ascii="EB Garamond" w:hAnsi="EB Garamond" w:cs="EB Garamond"/>
                <w:b w:val="0"/>
                <w:i w:val="0"/>
                <w:color w:val="201B16"/>
                <w:sz w:val="19"/>
                <w:lang w:val="pt-BR" w:bidi="ar-SA"/>
                <w:kern w:val="16"/>
                <w14:ligatures w14:val="standardContextual"/>
              </w:rPr>
              <w:t xml:space="preserve"> Este quadro reflete os valores e alíquotas vigentes em 2026 (Portaria Interministerial MPS/MF n. 13, de 09/01/2026). Os limites das faixas e o teto do salário de contribuição são atualizados anualmente. O advogado previdenciarista deve verificar os valores vigentes na data do requerimento administrativo ou da distribuição da ação, pois alterações retroativas são raras, cada competência é regida pela legislação e pelos valores de seu próprio período.</w:t>
            </w: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Quadro-resumo dos prazos de custeio previdenciário:</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Prazo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Descrição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Fundamento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5 anos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Decadência do lançamento (RFB)</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45, Lei 8.212/91</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5 anos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Prescrição da execução fiscal</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46, Lei 8.212/91</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10 anos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Decadência da revisão de benefício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103, Lei 8.213/91</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5 anos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Prescrição parcelas não pagas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103, par. ún.</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5 anos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Restituição de pagamento indevido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168, I, CTN</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Sem prazo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Indenização voluntária (art. 45-A)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Jurisprudência consolidada</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Sem prazo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Complementação (simplificado/MEI)</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21, § 3º, Lei 8.212</w:t>
                  </w:r>
                </w:p>
              </w:tc>
            </w:tr>
          </w:tbl>
          <w:p/>
          <w:p>
            <w:pPr>
              <w:spacing w:before="0" w:after="0" w:line="240" w:lineRule="auto"/>
            </w:pPr>
          </w:p>
        </w:tc>
      </w:tr>
    </w:tbl>
    <w:p>
      <w:pPr>
        <w:spacing w:before="0" w:after="80" w:line="240" w:lineRule="auto"/>
      </w:pPr>
    </w:p>
    <w:p>
      <w:pPr>
        <w:sectPr>
          <w:headerReference w:type="default" r:id="rId75"/>
          <w:headerReference w:type="even" r:id="rId76"/>
          <w:footerReference w:type="default" r:id="rId77"/>
          <w:footerReference w:type="even" r:id="rId78"/>
          <w:headerReference w:type="first" r:id="rId79"/>
          <w:footerReference w:type="first" r:id="rId80"/>
          <w:pgSz w:w="8391" w:h="11906"/>
          <w:pgMar w:top="935" w:right="879" w:bottom="964" w:left="1162" w:header="454" w:footer="425" w:gutter="0" w:mirrorMargins="1"/>
          <w:cols w:space="720"/>
          <w:titlePg/>
          <w:docGrid w:linePitch="360"/>
        </w:sectPr>
      </w:pPr>
    </w:p>
    <w:p>
      <w:pPr>
        <w:spacing w:before="240" w:after="80" w:line="240" w:lineRule="auto"/>
        <w:jc w:val="center"/>
        <w:keepNext/>
      </w:pPr>
      <w:r>
        <w:rPr>
          <w:rFonts w:ascii="Noto Sans" w:hAnsi="Noto Sans" w:cs="Noto Sans"/>
          <w:b/>
          <w:i w:val="0"/>
          <w:caps/>
          <w:color w:val="8A6A2A"/>
          <w:sz w:val="19"/>
          <w:lang w:val="pt-BR" w:bidi="ar-SA"/>
          <w:kern w:val="16"/>
          <w14:ligatures w14:val="standardContextual"/>
        </w:rPr>
        <w:t>CAPÍTULO 5</w:t>
      </w:r>
    </w:p>
    <w:p>
      <w:pPr>
        <w:pStyle w:val="Heading2"/>
        <w:spacing w:before="0" w:after="160" w:line="240" w:lineRule="auto"/>
        <w:jc w:val="center"/>
        <w:keepNext/>
      </w:pPr>
      <w:r>
        <w:rPr>
          <w:rFonts w:ascii="EB Garamond" w:hAnsi="EB Garamond" w:cs="EB Garamond"/>
          <w:b/>
          <w:i w:val="0"/>
          <w:caps/>
          <w:color w:val="2F2923"/>
          <w:sz w:val="40"/>
          <w:lang w:val="pt-BR" w:bidi="ar-SA"/>
          <w:kern w:val="16"/>
          <w14:ligatures w14:val="standardContextual"/>
        </w:rPr>
        <w:t>Reconhecimento, Cômputo e Averbação de Tempo de Contribuição</w:t>
      </w:r>
    </w:p>
    <w:p>
      <w:pPr>
        <w:spacing w:before="0" w:after="240" w:line="240" w:lineRule="auto"/>
        <w:jc w:val="center"/>
      </w:pPr>
      <w:r>
        <w:rPr>
          <w:rFonts w:ascii="EB Garamond" w:hAnsi="EB Garamond" w:cs="EB Garamond"/>
          <w:b w:val="0"/>
          <w:i w:val="0"/>
          <w:color w:val="B78B37"/>
          <w:sz w:val="18"/>
          <w:lang w:val="pt-BR" w:bidi="ar-SA"/>
          <w:kern w:val="16"/>
          <w14:ligatures w14:val="standardContextual"/>
        </w:rPr>
        <w:t>━━━━  ◆  ━━━━</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Introdução: a centralidade do tempo de contribuição no direito previdenciário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tempo de contribuição constitui o eixo gravitacional do sistema previdenciário brasileiro. Sua correta apuração determina não apenas o direito à aposentadoria, mas também o valor do benefício, a aplicação das regras de transição e a possibilidade de acumulação de tempo em regimes distintos. Para o advogado que atua nos Juizados Especiais Federais, compreender os mecanismos de reconhecimento, cômputo e averbação é pressuposto de qualquer estratégia previdenciária eficaz.</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EC 103/2019 elevou a importância do tempo de contribuição ao convertê-lo em requisito cumulativo com a idade mínima para todas as modalidades de aposentadoria programada. Antes da Reforma, a aposentadoria por tempo de contribuição prescindia de idade mínima (exceto pela incidência do fator previdenciário); após a EC 103, o tempo de contribuição opera sempre em conjugação com requisito etário, seja na regra definitiva, seja nas regras de transição. A consequência prática é que cada mês reconhecido pode ser decisivo para o enquadramento do segurado na regra mais favorável.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Neste capítulo, percorreremos o itinerário completo da prova e do cômputo do tempo de contribuição: desde a fonte primária de informações, o Cadastro Nacional de Informações Sociais (CNIS), até situações específicas que exigem tratamento diferenciado, como a atividade rural anterior a novembro de 1991, o serviço militar obrigatório, o tempo de aluno-aprendiz, a contagem recíproca entre regimes, as atividades concomitantes, a vedação ao tempo fictício, a conversão de tempo especial em comum e os acordos internacionais previdenciários.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capítulo segue ordem lógica: inicia pelo CNIS (repositório central de informações) e sua retificação; prossegue com os períodos especiais de cômputo (rural, militar, aluno-aprendiz); examina a contagem recíproca e seu instrumento formal (CTC); analisa as atividades concomitantes e a vedação ao tempo fictício; encerra com a conversão de tempo especial em comum e os acordos internacionais. Os quadros comparativos, exemplos numéricos e boxes de prática forense servem como guia para situações concretas.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Tempo de contribuição não se confunde com carência, conforme demonstrado no Capítulo 3. Enquanto a carência exige contribuições efetivamente recolhidas em competências determinadas, o tempo de contribuição admite períodos computáveis por força de lei mesmo sem recolhimento, como é o caso paradigmático da atividade rural anterior a novembro de 1991. Da mesma forma, contribuições em atraso indenizadas na forma do art. 45-A da Lei 8.212/91 (Capítulo 4) geram tempo de contribuição, mas não contam para carência. Essa distinção permeia todo o capítulo e tem consequências decisivas na concessão de benefícios.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5.2 CNIS: o cadastro nacional de informações sociais</w:t>
      </w:r>
    </w:p>
    <w:p>
      <w:pPr>
        <w:spacing w:before="260" w:after="80" w:line="240" w:lineRule="auto"/>
        <w:jc w:val="left"/>
      </w:pPr>
      <w:r>
        <w:rPr>
          <w:rFonts w:ascii="EB Garamond" w:hAnsi="EB Garamond" w:cs="EB Garamond"/>
          <w:b/>
          <w:i w:val="0"/>
          <w:color w:val="3A3128"/>
          <w:sz w:val="25"/>
          <w:lang w:val="pt-BR" w:bidi="ar-SA"/>
          <w:kern w:val="16"/>
          <w14:ligatures w14:val="standardContextual"/>
        </w:rPr>
        <w:t>5.2.1 Natureza jurídica e força probatória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Cadastro Nacional de Informações Sociais é o repositório eletrônico que concentra os dados relativos a vínculos empregatícios, remunerações, contribuições e filiações dos segurados do RGPS. Instituído pela Lei 8.212/91 e regulamentado pelo Decreto 3.048/99, o CNIS assumiu papel central na administração previdenciária brasileira a partir de 1997, quando passou a ser alimentado sistematicamente pelo sistema de arrecadação.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art. 29-A da Lei 8.213/91 confere ao CNIS a natureza de fonte primária de informações para cálculo e concessão de benefícios. Nos termos do § 5º do mesmo dispositivo, os dados constantes do CNIS valem, para todos os efeitos, como prova de filiação à Previdência Social, tempo de contribuição e salários de contribuição. Trata-se de presunção legal de veracidade, que dispensa o segurado de apresentar documentos adicionais quando os registros do CNIS estiverem completos e regulares.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presunção, contudo, é relativa (juris tantum). O art. 19-B do Decreto 3.048/99 explicita que as informações do CNIS são passíveis de contestação tanto pelo segurado quanto pela Administração. O segurado pode demonstrar que os dados registrados não correspondem à realidade — por exemplo, que o salário de contribuição era superior ao informado pelo empregador, ou que existiu vínculo empregatício não registrado. De sua parte, o INSS pode questionar informações cuja regularidade seja duvidosa, especialmente aquelas inseridas extemporaneamente no sistema.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Dica prática: CNIS como ponto de partida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Antes de qualquer ação previdenciária, o primeiro passo do advogado deve ser a obtenção do extrato do CNIS atualizado (via Meu INSS ou requerimento administrativo). A análise do CNIS revela: (a) vínculos reconhecidos e seus períodos; (b) remunerações registradas; (c) lacunas contributivas; (d) indicadores de extemporaneidade; (e) marcações de pendência. Cada inconsistência identificada no CNIS é potencial fundamento para ação de retificação ou reconhecimento de tempo.</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5.2.2 Alimentação do CNIS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CNIS é alimentado por múltiplas fontes, cuja evolução reflete a modernização da arrecadação previdenciária: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eSocial (a partir de 2018, faseado):</w:t>
      </w:r>
      <w:r>
        <w:rPr>
          <w:rFonts w:ascii="EB Garamond" w:hAnsi="EB Garamond" w:cs="EB Garamond"/>
          <w:b w:val="0"/>
          <w:i w:val="0"/>
          <w:color w:val="201B16"/>
          <w:sz w:val="20"/>
          <w:lang w:val="pt-BR" w:bidi="ar-SA"/>
          <w:kern w:val="16"/>
          <w14:ligatures w14:val="standardContextual"/>
        </w:rPr>
        <w:t xml:space="preserve"> Sistema de escrituração digital das obrigações fiscais, previdenciárias e trabalhistas que substituiu a GFIP/SEFIP para empregadores. Transmite automaticamente ao CNIS as informações de vínculos, remunerações e eventos trabalhistas.</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GFIP/SEFIP (1999 a 2018):</w:t>
      </w:r>
      <w:r>
        <w:rPr>
          <w:rFonts w:ascii="EB Garamond" w:hAnsi="EB Garamond" w:cs="EB Garamond"/>
          <w:b w:val="0"/>
          <w:i w:val="0"/>
          <w:color w:val="201B16"/>
          <w:sz w:val="20"/>
          <w:lang w:val="pt-BR" w:bidi="ar-SA"/>
          <w:kern w:val="16"/>
          <w14:ligatures w14:val="standardContextual"/>
        </w:rPr>
        <w:t xml:space="preserve"> Guia de Recolhimento do FGTS e de Informações à Previdência Social — principal meio de alimentação do CNIS durante quase duas décadas. Ainda existem registros remanescentes desse período no sistema.</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GPS (contribuintes individuais e facultativos):</w:t>
      </w:r>
      <w:r>
        <w:rPr>
          <w:rFonts w:ascii="EB Garamond" w:hAnsi="EB Garamond" w:cs="EB Garamond"/>
          <w:b w:val="0"/>
          <w:i w:val="0"/>
          <w:color w:val="201B16"/>
          <w:sz w:val="20"/>
          <w:lang w:val="pt-BR" w:bidi="ar-SA"/>
          <w:kern w:val="16"/>
          <w14:ligatures w14:val="standardContextual"/>
        </w:rPr>
        <w:t xml:space="preserve"> Guia da Previdência Social — utilizada para recolhimentos avulsos. O pagamento da GPS gera registro no CNIS do período contributivo correspondente.</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RAIS e CAGED (complementação):</w:t>
      </w:r>
      <w:r>
        <w:rPr>
          <w:rFonts w:ascii="EB Garamond" w:hAnsi="EB Garamond" w:cs="EB Garamond"/>
          <w:b w:val="0"/>
          <w:i w:val="0"/>
          <w:color w:val="201B16"/>
          <w:sz w:val="20"/>
          <w:lang w:val="pt-BR" w:bidi="ar-SA"/>
          <w:kern w:val="16"/>
          <w14:ligatures w14:val="standardContextual"/>
        </w:rPr>
        <w:t xml:space="preserve"> Relação Anual de Informações Sociais e Cadastro Geral de Empregados e Desempregados, fontes complementares que alimentam o CNIS com dados de admissões, desligamentos e remunerações.</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CTC e informações de RPPS:</w:t>
      </w:r>
      <w:r>
        <w:rPr>
          <w:rFonts w:ascii="EB Garamond" w:hAnsi="EB Garamond" w:cs="EB Garamond"/>
          <w:b w:val="0"/>
          <w:i w:val="0"/>
          <w:color w:val="201B16"/>
          <w:sz w:val="20"/>
          <w:lang w:val="pt-BR" w:bidi="ar-SA"/>
          <w:kern w:val="16"/>
          <w14:ligatures w14:val="standardContextual"/>
        </w:rPr>
        <w:t xml:space="preserve"> Certidões de Tempo de Contribuição expedidas por regimes próprios alimentam o CNIS quando averbadas no RGPS.</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Informações das Forças Armadas:</w:t>
      </w:r>
      <w:r>
        <w:rPr>
          <w:rFonts w:ascii="EB Garamond" w:hAnsi="EB Garamond" w:cs="EB Garamond"/>
          <w:b w:val="0"/>
          <w:i w:val="0"/>
          <w:color w:val="201B16"/>
          <w:sz w:val="20"/>
          <w:lang w:val="pt-BR" w:bidi="ar-SA"/>
          <w:kern w:val="16"/>
          <w14:ligatures w14:val="standardContextual"/>
        </w:rPr>
        <w:t xml:space="preserve"> Dados do serviço militar transmitidos pelos órgãos militares ao CNIS.</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multiplicidade de fontes gera, inevitavelmente, inconsistências. Vínculos informados pela RAIS podem não coincidir com os registrados na GFIP; remunerações declaradas no eSocial podem divergir de valores constantes da CTPS. Cada inconsistência é potencial foco de controvérsia administrativa ou judicial.</w:t>
      </w:r>
    </w:p>
    <w:p>
      <w:pPr>
        <w:spacing w:before="260" w:after="80" w:line="240" w:lineRule="auto"/>
        <w:jc w:val="left"/>
      </w:pPr>
      <w:r>
        <w:rPr>
          <w:rFonts w:ascii="EB Garamond" w:hAnsi="EB Garamond" w:cs="EB Garamond"/>
          <w:b/>
          <w:i w:val="0"/>
          <w:color w:val="3A3128"/>
          <w:sz w:val="25"/>
          <w:lang w:val="pt-BR" w:bidi="ar-SA"/>
          <w:kern w:val="16"/>
          <w14:ligatures w14:val="standardContextual"/>
        </w:rPr>
        <w:t>5.2.3 Extemporaneidade e indicadores de pendência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Decreto 3.048/99, em seu art. 19-C (incluído pelo Decreto 10.410/2020), trata das informações inseridas extemporaneamente no CNIS. O prazo de referência para configuração da extemporaneidade — 120 dias contados do fato gerador — decorre da regulamentação administrativa (IN INSS/PRES 128/2022). As informações extemporâneas ficam pendentes de confirmação, e o INSS pode exigir documentos comprobatórios adicionais antes de reconhecê-las para efeitos previdenciários.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administrativa, o INSS utiliza indicadores no CNIS para sinalizar potenciais irregularidades: o indicador "PEXT" (pendência de extemporaneidade), o indicador "PREC" (pendência de reclamatória trabalhista), o indicador "PVIN-IRREG" (vínculo irregular) e outros. A presença desses indicadores não significa necessariamente que o vínculo ou a remuneração sejam inválidos, mas impõe ao segurado o ônus de apresentar prova complementar.</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Alerta: Extemporaneidade não invalida automaticamente o vínculo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É frequente o INSS indeferir pedidos de cômputo de tempo exclusivamente com fundamento na extemporaneidade dos dados no CNIS. Essa prática é equivocada. A extemporaneidade gera presunção relativa de irregularidade, mas o segurado pode supri-la mediante apresentação de documentos contemporâneos ao vínculo: CTPS com anotações regulares, contracheques, extratos de FGTS, termos de rescisão contratual, declaração do empregador. A TNU Súmula 75 é expressa: "A Carteira de Trabalho e Previdência Social (CTPS) em relação à qual não se aponta defeito formal que lhe comprometa a fidedignidade goza de presunção relativa de veracidade, formando prova suficiente de tempo de serviço para fins previdenciários, ainda que a anotação de vínculo de emprego não conste no Cadastro Nacional de Informações Sociais (CNIS)."</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5.2.4 CNIS e a inversão do ônus da prova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sistemática do art. 29-A da Lei 8.213/91 opera verdadeira inversão do ônus probatório em matéria previdenciária. Quando os dados do CNIS são completos e regulares, o ônus de demonstrar irregularidade recai sobre o INSS. Quando existem lacunas ou indicadores de pendência, o ônus retorna ao segurado, que deve apresentar documentação comprobatória.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Essa dinâmica tem consequências processuais relevantes nos JEFs. O juiz deve analisar o CNIS como ponto de partida probatório: se o INSS indeferiu o benefício desconsiderando dados regulares do CNIS, há presunção de irregularidade do ato administrativo. Se, ao contrário, o segurado pretende reconhecer período não registrado no CNIS, deve trazer aos autos prova robusta da existência do vínculo ou da atividade.</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TNU Súmula 75 — CTPS e CNIS</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Carteira de Trabalho e Previdência Social em que não conste rasura ou emenda goza de presunção relativa de veracidade, constituindo meio de prova suficiente do tempo de serviço para efeitos previdenciários, mesmo quando as anotações não constem do CNIS." O enunciado reconhece que o CNIS não é exclusivo e que documentos tradicionais, como a CTPS sem defeitos formais, mantêm plena eficácia probatória mesmo quando o sistema informatizado não contempla o vínculo.</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5.2.5 Reclamatória trabalhista e reflexos no CNIS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reflexo das sentenças trabalhistas no CNIS gera controvérsia frequente nos JEFs. Quando o segurado obtém reconhecimento de vínculo empregatício na Justiça do Trabalho, a sentença transitada em julgado deve ser comunicada ao INSS para inclusão no CNIS. Contudo, o INSS frequentemente resiste à averbação de vínculos reconhecidos judicialmente, especialmente quando a sentença trabalhista é proferida sem amplo contraditório previdenciário (o INSS não é parte na reclamatória trabalhista).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jurisprudência dos TRFs e da TNU é consolidada no sentido de que a sentença trabalhista constitui início de prova material do vínculo empregatício, mas não vincula o INSS de forma absoluta quando proferida com base exclusivamente em revelia do empregador ou em acordo judicial homologado sem instrução probatória. Nesses casos, o INSS pode exigir documentos complementares para confirmar a existência efetiva do vínculo.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Esse entendimento foi recentemente consolidado pelo STJ em sede de recursos repetitivos. No julgamento do </w:t>
      </w:r>
      <w:r>
        <w:rPr>
          <w:rFonts w:ascii="EB Garamond" w:hAnsi="EB Garamond" w:cs="EB Garamond"/>
          <w:b/>
          <w:i w:val="0"/>
          <w:color w:val="201B16"/>
          <w:sz w:val="21"/>
          <w:lang w:val="pt-BR" w:bidi="ar-SA"/>
          <w:kern w:val="16"/>
          <w14:ligatures w14:val="standardContextual"/>
        </w:rPr>
        <w:t>Tema 1.188</w:t>
      </w:r>
      <w:r>
        <w:rPr>
          <w:rFonts w:ascii="EB Garamond" w:hAnsi="EB Garamond" w:cs="EB Garamond"/>
          <w:b w:val="0"/>
          <w:i w:val="0"/>
          <w:color w:val="201B16"/>
          <w:sz w:val="21"/>
          <w:lang w:val="pt-BR" w:bidi="ar-SA"/>
          <w:kern w:val="16"/>
          <w14:ligatures w14:val="standardContextual"/>
        </w:rPr>
        <w:t xml:space="preserve"> (REsp 1.938.265, Rel. Min. Benedito Gonçalves, Primeira Seção, j. 11/09/2024), a Corte distinguiu a sentença trabalhista propriamente cognitiva — fruto de instrução probatória — daquela meramente homologatória de acordo, que não examina o mérito do vínculo. Para esta última, exigem-se elementos de prova contemporâneos ao período que se pretende reconhecer.</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STJ Tema 1.188 — Sentença trabalhista homologatória de acordo como início de prova material</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No REsp 1.938.265 (Rel. Min. Benedito Gonçalves, Primeira Seção, j. 11/09/2024), o STJ fixou a seguinte tese: "A sentença trabalhista homologatória de acordo, assim como a anotação na CTPS e demais documentos dela decorrentes, somente será considerada início de prova material válida, conforme o disposto no art. 55, § 3º, da Lei 8.213/91, quando houver nos autos elementos probatórios contemporâneos que comprovem os fatos alegados e sejam aptos a demonstrar o tempo de serviço no período que se pretende reconhecer na ação previdenciária, exceto na hipótese de caso fortuito ou força maior." Na prática, a sentença homologatória de acordo, isoladamente, não basta para o reconhecimento do tempo de serviço perante o INSS: é indispensável que o segurado apresente documentação contemporânea ao vínculo (contracheques, registros funcionais, recolhimentos de FGTS, anotações regulares na CTPS acompanhadas de outros indícios). Ressalva-se a hipótese de caso fortuito ou força maior que tenha impossibilitado a preservação dos documentos da época.</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N</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o CNIS, os vínculos decorrentes de reclamatória trabalhista recebem o indicador "PREC" (pendência de reclamatória), sinalizando que a inclusão foi feita por via judicial e que pode haver necessidade de verificação adicional. O indicador não invalida o vínculo, mas autoriza o INSS a requerer documentação complementar.</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Reclamatória trabalhista como prova no JEF</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Ao instruir ação previdenciária com vínculo reconhecido em reclamatória trabalhista, o advogado deve juntar: (a) cópia integral da sentença trabalhista (não apenas certidão de objeto e pé); (b) provas documentais produzidas no processo trabalhista (contracheques, depoimentos testemunhais); (c) comprovante de recolhimento das contribuições previdenciárias determinado pela sentença trabalhista (ou certidão de que o empregador foi condenado ao recolhimento). Essa documentação robustece o pedido e dificulta a recusa do INSS.</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Q</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uestão correlata, decorrente da rescisão do contrato de trabalho, é a do </w:t>
      </w:r>
      <w:r>
        <w:rPr>
          <w:rFonts w:ascii="EB Garamond" w:hAnsi="EB Garamond" w:cs="EB Garamond"/>
          <w:b/>
          <w:i w:val="0"/>
          <w:color w:val="201B16"/>
          <w:sz w:val="21"/>
          <w:lang w:val="pt-BR" w:bidi="ar-SA"/>
          <w:kern w:val="16"/>
          <w14:ligatures w14:val="standardContextual"/>
        </w:rPr>
        <w:t>aviso prévio indenizado</w:t>
      </w:r>
      <w:r>
        <w:rPr>
          <w:rFonts w:ascii="EB Garamond" w:hAnsi="EB Garamond" w:cs="EB Garamond"/>
          <w:b w:val="0"/>
          <w:i w:val="0"/>
          <w:color w:val="201B16"/>
          <w:sz w:val="21"/>
          <w:lang w:val="pt-BR" w:bidi="ar-SA"/>
          <w:kern w:val="16"/>
          <w14:ligatures w14:val="standardContextual"/>
        </w:rPr>
        <w:t xml:space="preserve">. Não raro o segurado pretende somar ao tempo de contribuição o período correspondente ao aviso prévio que, não trabalhado, foi pago em pecúnia na rescisão. O STJ pacificou a controvérsia, em sentido desfavorável ao segurado, no julgamento do </w:t>
      </w:r>
      <w:r>
        <w:rPr>
          <w:rFonts w:ascii="EB Garamond" w:hAnsi="EB Garamond" w:cs="EB Garamond"/>
          <w:b/>
          <w:i w:val="0"/>
          <w:color w:val="201B16"/>
          <w:sz w:val="21"/>
          <w:lang w:val="pt-BR" w:bidi="ar-SA"/>
          <w:kern w:val="16"/>
          <w14:ligatures w14:val="standardContextual"/>
        </w:rPr>
        <w:t>Tema 1.238</w:t>
      </w:r>
      <w:r>
        <w:rPr>
          <w:rFonts w:ascii="EB Garamond" w:hAnsi="EB Garamond" w:cs="EB Garamond"/>
          <w:b w:val="0"/>
          <w:i w:val="0"/>
          <w:color w:val="201B16"/>
          <w:sz w:val="21"/>
          <w:lang w:val="pt-BR" w:bidi="ar-SA"/>
          <w:kern w:val="16"/>
          <w14:ligatures w14:val="standardContextual"/>
        </w:rPr>
        <w:t xml:space="preserve"> (REsp 2.068.311, Rel. Min. Mauro Campbell Marques, Primeira Seção, j. 06/02/2025), fixando a tese de que "Não é possível o cômputo do período de aviso prévio indenizado como tempo de serviço para fins previdenciários." A razão de decidir reside na natureza indenizatória (e não remuneratória de efetiva prestação de serviço) da parcela: como não houve trabalho nem filiação no interregno correspondente, falta o suporte fático para o reconhecimento do período como tempo de contribuição. Distingue-se, portanto, o aviso prévio </w:t>
      </w:r>
      <w:r>
        <w:rPr>
          <w:rFonts w:ascii="EB Garamond" w:hAnsi="EB Garamond" w:cs="EB Garamond"/>
          <w:b w:val="0"/>
          <w:i/>
          <w:color w:val="201B16"/>
          <w:sz w:val="21"/>
          <w:lang w:val="pt-BR" w:bidi="ar-SA"/>
          <w:kern w:val="16"/>
          <w14:ligatures w14:val="standardContextual"/>
        </w:rPr>
        <w:t>trabalhado</w:t>
      </w:r>
      <w:r>
        <w:rPr>
          <w:rFonts w:ascii="EB Garamond" w:hAnsi="EB Garamond" w:cs="EB Garamond"/>
          <w:b w:val="0"/>
          <w:i w:val="0"/>
          <w:color w:val="201B16"/>
          <w:sz w:val="21"/>
          <w:lang w:val="pt-BR" w:bidi="ar-SA"/>
          <w:kern w:val="16"/>
          <w14:ligatures w14:val="standardContextual"/>
        </w:rPr>
        <w:t xml:space="preserve"> — durante o qual há efetiva prestação de serviço e, consequentemente, tempo computável — do aviso prévio </w:t>
      </w:r>
      <w:r>
        <w:rPr>
          <w:rFonts w:ascii="EB Garamond" w:hAnsi="EB Garamond" w:cs="EB Garamond"/>
          <w:b w:val="0"/>
          <w:i/>
          <w:color w:val="201B16"/>
          <w:sz w:val="21"/>
          <w:lang w:val="pt-BR" w:bidi="ar-SA"/>
          <w:kern w:val="16"/>
          <w14:ligatures w14:val="standardContextual"/>
        </w:rPr>
        <w:t>indenizado</w:t>
      </w:r>
      <w:r>
        <w:rPr>
          <w:rFonts w:ascii="EB Garamond" w:hAnsi="EB Garamond" w:cs="EB Garamond"/>
          <w:b w:val="0"/>
          <w:i w:val="0"/>
          <w:color w:val="201B16"/>
          <w:sz w:val="21"/>
          <w:lang w:val="pt-BR" w:bidi="ar-SA"/>
          <w:kern w:val="16"/>
          <w14:ligatures w14:val="standardContextual"/>
        </w:rPr>
        <w:t>, cujo lapso não se converte em tempo de serviço previdenciário.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STJ Tema 1.238 — Aviso prévio indenizado não é tempo de contribuição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No REsp 2.068.311 (Rel. Min. Mauro Campbell Marques, Primeira Seção, j. 06/02/2025), o STJ firmou que "Não é possível o cômputo do período de aviso prévio indenizado como tempo de serviço para fins previdenciários." A consequência prática é direta: o intervalo de 30 dias (ou mais, na projeção proporcional da Lei 12.506/2011) pago a título de aviso prévio indenizado não estende a data de baixa do vínculo para fins de cômputo de tempo de contribuição. O advogado deve atentar para essa limitação ao calcular o tempo total do segurado, especialmente em situações-limite nas quais poucos dias seriam decisivos para o enquadramento em regra de transição. A tese alcança apenas o aviso prévio indenizado; o aviso prévio efetivamente trabalhado segue computável como qualquer período de atividade.</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5.2.6 O CNIS como instrumento de planejamento previdenciário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P</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ara além de sua função probatória, o CNIS constitui ferramenta indispensável de planejamento previdenciário. A análise do extrato permite identificar: (a) a data provável de implementação dos requisitos para aposentadoria; (b) a regra de transição mais favorável ao segurado; (c) lacunas contributivas que podem ser supridas (mediante recolhimento em atraso ou reconhecimento de tempo); (d) remunerações inconsistentes que impactam negativamente o cálculo do benefício.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advogado previdenciário deve dominar a leitura do CNIS e compreender seus códigos e indicadores. O extrato pode ser obtido gratuitamente pelo portal Meu INSS (www.meu.inss.gov.br) ou pelo aplicativo do INSS. A versão detalhada (CNIS analítico) contém informações sobre remunerações, códigos de afastamento, indicadores de pendência e data de inclusão de cada registro — dados essenciais para identificar inconsistências e planejar a estratégia processual.</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5.3 Retificação de dados do CNIS</w:t>
      </w:r>
    </w:p>
    <w:p>
      <w:pPr>
        <w:spacing w:before="260" w:after="80" w:line="240" w:lineRule="auto"/>
        <w:jc w:val="left"/>
      </w:pPr>
      <w:r>
        <w:rPr>
          <w:rFonts w:ascii="EB Garamond" w:hAnsi="EB Garamond" w:cs="EB Garamond"/>
          <w:b/>
          <w:i w:val="0"/>
          <w:color w:val="3A3128"/>
          <w:sz w:val="25"/>
          <w:lang w:val="pt-BR" w:bidi="ar-SA"/>
          <w:kern w:val="16"/>
          <w14:ligatures w14:val="standardContextual"/>
        </w:rPr>
        <w:t>5.3.1 Via administrativa (INSS)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29-A, § 2º, da Lei 8.213/91 assegura ao segurado o direito de solicitar, a qualquer tempo, a inclusão, exclusão ou retificação de informações constantes do CNIS. O requerimento deve ser dirigido ao INSS, acompanhado dos documentos que demonstrem a divergência entre os dados registrados e a realidade contributiva.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IN INSS/PRES 128/2022 disciplina o procedimento de retificação administrativa em seus arts. 85 a 88. O art. 85 determina que o INSS deve considerar os dados do CNIS independentemente de apresentação de documentos pelo segurado, quando estes estiverem regulares. O art. 86 trata da hipótese de discordância: o segurado apresenta documentos para demonstrar que os dados registrados são incorretos ou incompletos. O art. 87 prevê a retificação de ofício pelo INSS quando este detectar inconsistências nos registros. O art. 88 trata especificamente da análise diferenciada de vínculos inseridos extemporaneamente (após 120 dias do fato gerador).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Os documentos aceitos para retificação incluem, de forma exemplificativa: CTPS com anotações regulares, contracheques ou recibos de pagamento, declaração do empregador em formulário próprio, termos de rescisão contratual homologados, comprovantes de depósito de FGTS, ação trabalhista com sentença transitada em julgado, entre outros. A IN 128/2022 admite cópias simples (em papel ou digitalizadas), dispensando autenticação administrativa, salvo em casos de fundada dúvida quanto à autenticidade.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prazo para decisão administrativa é de 30 dias (art. 41-A, § 5º, Lei 8.213/91), embora na prática o INSS frequentemente exceda esse prazo. O silêncio administrativo após 30 dias caracteriza mora da Administração e autoriza o ajuizamento de ação judicial sem necessidade de aguardar decisão expressa.</w:t>
      </w:r>
    </w:p>
    <w:p>
      <w:pPr>
        <w:spacing w:before="260" w:after="80" w:line="240" w:lineRule="auto"/>
        <w:jc w:val="left"/>
      </w:pPr>
      <w:r>
        <w:rPr>
          <w:rFonts w:ascii="EB Garamond" w:hAnsi="EB Garamond" w:cs="EB Garamond"/>
          <w:b/>
          <w:i w:val="0"/>
          <w:color w:val="3A3128"/>
          <w:sz w:val="25"/>
          <w:lang w:val="pt-BR" w:bidi="ar-SA"/>
          <w:kern w:val="16"/>
          <w14:ligatures w14:val="standardContextual"/>
        </w:rPr>
        <w:t>5.3.2 Via judicial (JEF)</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via judicial é cabível quando o INSS indefere o pedido de retificação administrativa ou quando permanece inerte após o prazo legal. A competência é do Juizado Especial Federal quando o valor da causa (diferença no benefício) não ultrapassar 60 salários-mínimos (R$ 97.260,00 em 2026).</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prévio requerimento administrativo é condição para o ajuizamento. O STF, no RE 631.240 (Tema 350), fixou essa exigência como condição para ação previdenciária. Assim, o segurado deve primeiramente requerer a retificação ao INSS antes de buscar a via judicial. Exceções existem: quando o INSS adota posição notoriamente contrária ao pedido (dispensando a submissão formal), ou quando o segurado comprova que o pedido seria inútil diante da prática administrativa consolidada.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ação judicial de retificação do CNIS, o juiz pode determinar:</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A inclusão de vínculos não registrados, mediante prova documental e testemunhal;</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A correção de remunerações incorretas, com base em documentos contemporâneos;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A exclusão de indicadores de pendência indevidos;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O reconhecimento de períodos contributivos não computados;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A unificação de NIT/PIS quando o segurado possui cadastros duplicados.</w:t>
      </w:r>
    </w:p>
    <w:p>
      <w:pPr>
        <w:spacing w:before="0" w:after="6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Modelo de fundamentação — Retificação de CNIS no JEF</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Em petições iniciais de retificação de CNIS, o advogado deve: (1) individualizar cada período ou dado objeto de retificação; (2) indicar o que consta no CNIS e o que deveria constar; (3) apresentar a documentação comprobatória de cada divergência; (4) explicitar o impacto da retificação no direito ao benefício. A objetividade facilita a instrução e acelera o julgamento. Evite pedidos genéricos ("retificar todo o CNIS") — o juiz precisa saber exatamente o que está sendo pedido e por quê.</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5.3.3 Retificação de remunerações — impacto no cálculo do benefício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lém da retificação de vínculos e períodos, é igualmente relevante a retificação dos valores de remuneração registrados no CNIS. Salários de contribuição incorretos (geralmente inferiores ao efetivamente recebido) impactam diretamente o cálculo do salário de benefício, reduzindo o valor da aposentadoria. Essa situação é especialmente comum em vínculos antigos (décadas de 1980 e 1990), quando o preenchimento da GFIP era manual e sujeito a erros frequentes.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a retificação de remunerações, o segurado deve apresentar documentos que comprovem os valores efetivamente recebidos: contracheques, fichas financeiras, declarações de imposto de renda com rendimentos informados pelo empregador, ou sentença trabalhista que fixou os valores corretos. Na ausência de documentos específicos do período, a jurisprudência admite a utilização de registros de acordos coletivos ou convenções da categoria profissional como parâmetro subsidiário.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Impacto financeiro da retificação de remunerações</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Considere um segurado cujo CNIS registra salário de contribuição de R$ 1.000,00 em determinado período, quando na verdade recebia R$ 2.000,00 (conforme contracheques preservados). Se esse período integra o cálculo do salário de benefício (média dos 80% maiores SC), a retificação pode incrementar significativamente o valor da aposentadoria. Para segurados com poucos anos de contribuição acima do mínimo, a correção de remunerações pode representar diferença de centenas de reais mensais no benefício. A verificação detalhada dos valores registrados no CNIS deve ser etapa obrigatória do planejamento previdenciário.</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5.3.4 Retificação decorrente de sentença trabalhista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Q</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uando o segurado obtém sentença trabalhista reconhecendo diferenças salariais ou verbas não pagas, os valores devem ser refletidos no CNIS para fins previdenciários. O procedimento regular é: (a) na fase de execução trabalhista, são calculadas as contribuições previdenciárias incidentes sobre as diferenças; (b) o empregador é condenado ao recolhimento (GPS judicial); (c) os valores são incluídos no CNIS pelo sistema informatizado da Receita Federal/INSS.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falhas no sistema fazem com que muitos valores de sentenças trabalhistas não sejam refletidos no CNIS. O segurado deve verificar, após a execução trabalhista, se os valores foram efetivamente incluídos. Caso contrário, deve requerer a retificação ao INSS, instruindo o pedido com: certidão de objeto e pé da ação trabalhista, planilha de cálculos judiciais, comprovantes de recolhimento das contribuições previdenciárias (GPS judicial) e sentença/acórdão.</w:t>
      </w:r>
    </w:p>
    <w:p>
      <w:pPr>
        <w:spacing w:before="260" w:after="80" w:line="240" w:lineRule="auto"/>
        <w:jc w:val="left"/>
      </w:pPr>
      <w:r>
        <w:rPr>
          <w:rFonts w:ascii="EB Garamond" w:hAnsi="EB Garamond" w:cs="EB Garamond"/>
          <w:b/>
          <w:i w:val="0"/>
          <w:color w:val="3A3128"/>
          <w:sz w:val="25"/>
          <w:lang w:val="pt-BR" w:bidi="ar-SA"/>
          <w:kern w:val="16"/>
          <w14:ligatures w14:val="standardContextual"/>
        </w:rPr>
        <w:t>5.3.5 Retificação e o prazo decadencial — questão controversa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I</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ndaga-se com frequência se o prazo decadencial de 10 anos do art. 103 da Lei 8.213/91 aplica-se à retificação do CNIS. A resposta depende do contexto: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Retificação para concessão de novo benefício:</w:t>
      </w:r>
      <w:r>
        <w:rPr>
          <w:rFonts w:ascii="EB Garamond" w:hAnsi="EB Garamond" w:cs="EB Garamond"/>
          <w:b w:val="0"/>
          <w:i w:val="0"/>
          <w:color w:val="201B16"/>
          <w:sz w:val="20"/>
          <w:lang w:val="pt-BR" w:bidi="ar-SA"/>
          <w:kern w:val="16"/>
          <w14:ligatures w14:val="standardContextual"/>
        </w:rPr>
        <w:t xml:space="preserve"> Não há decadência, pois o segurado ainda não está aposentado. A retificação é pressuposto da concessão, e o direito de requerer benefício não decai (apenas prescreve).</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Retificação para revisão de benefício já concedido:</w:t>
      </w:r>
      <w:r>
        <w:rPr>
          <w:rFonts w:ascii="EB Garamond" w:hAnsi="EB Garamond" w:cs="EB Garamond"/>
          <w:b w:val="0"/>
          <w:i w:val="0"/>
          <w:color w:val="201B16"/>
          <w:sz w:val="20"/>
          <w:lang w:val="pt-BR" w:bidi="ar-SA"/>
          <w:kern w:val="16"/>
          <w14:ligatures w14:val="standardContextual"/>
        </w:rPr>
        <w:t xml:space="preserve"> Aplica-se o prazo decadencial de 10 anos contados do primeiro pagamento. Se o segurado pretende incluir períodos ou corrigir remunerações para majorar benefício já concedido, deve observar esse prazo.</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Retificação como ação autônoma (sem pedido de benefício):</w:t>
      </w:r>
      <w:r>
        <w:rPr>
          <w:rFonts w:ascii="EB Garamond" w:hAnsi="EB Garamond" w:cs="EB Garamond"/>
          <w:b w:val="0"/>
          <w:i w:val="0"/>
          <w:color w:val="201B16"/>
          <w:sz w:val="20"/>
          <w:lang w:val="pt-BR" w:bidi="ar-SA"/>
          <w:kern w:val="16"/>
          <w14:ligatures w14:val="standardContextual"/>
        </w:rPr>
        <w:t xml:space="preserve"> Há divergência. A corrente majoritária entende que a retificação de dados cadastrais não se sujeita a prazo decadencial, pois não se confunde com "revisão do ato de concessão." O CNIS é registro administrativo cuja correção pode ser requerida a qualquer tempo (art. 29-A, § 2º: "a qualquer tempo").</w:t>
      </w:r>
    </w:p>
    <w:p>
      <w:pPr>
        <w:spacing w:before="0" w:after="6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Retificação de CNIS não se sujeita à decadência do art. 103</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TNU e diversos TRFs consolidaram o entendimento de que o pedido de retificação de dados do CNIS não se confunde com o pedido de revisão do ato de concessão de benefício. O direito de ter seus dados cadastrais corretos é imprescritível e não decai, pois decorre da própria personalidade. Contudo, se a retificação é veículo para obter diferenças financeiras em benefício já concedido, os efeitos financeiros retroativos ficam limitados à prescrição quinquenal e o direito revisional sujeito à decadência decenal.</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5.3.6 Competência e cumulação de pedidos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ação de retificação do CNIS pode ser cumulada com o pedido de concessão ou revisão do benefício na mesma demanda, desde que observado o limite de alçada do JEF. Na prática, a cumulação é a estratégia mais eficiente: o juiz reconhece o tempo, retifica o CNIS e, na mesma sentença, concede ou revisa o benefício. Essa cumulação evita a multiplicação de processos e a necessidade de novo requerimento administrativo após a retificação judicial.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competência para a retificação do CNIS é sempre da Justiça Federal (art. 109, I, CF), por envolver o INSS (autarquia federal). Quando a retificação decorre de sentença trabalhista, o segurado pode apresentá-la administrativamente ao INSS; se este recusar a averbação, a via adequada é o JEF, não a Justiça do Trabalho (que já esgotou sua competência ao julgar a relação de emprego).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5.4 Atividade rural anterior a novembro de 1991</w:t>
      </w:r>
    </w:p>
    <w:p>
      <w:pPr>
        <w:spacing w:before="260" w:after="80" w:line="240" w:lineRule="auto"/>
        <w:jc w:val="left"/>
      </w:pPr>
      <w:r>
        <w:rPr>
          <w:rFonts w:ascii="EB Garamond" w:hAnsi="EB Garamond" w:cs="EB Garamond"/>
          <w:b/>
          <w:i w:val="0"/>
          <w:color w:val="3A3128"/>
          <w:sz w:val="25"/>
          <w:lang w:val="pt-BR" w:bidi="ar-SA"/>
          <w:kern w:val="16"/>
          <w14:ligatures w14:val="standardContextual"/>
        </w:rPr>
        <w:t>5.4.1 Fundamento legal e regra geral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55, § 2º, da Lei 8.213/91, combinado com o art. 143 do mesmo diploma, permite o cômputo de tempo de serviço rural anterior à vigência da Lei (25 de julho de 1991) como tempo de contribuição, independentemente do recolhimento de contribuições previdenciárias. Trata-se de norma de transição que reconheceu a atividade rural exercida em período no qual não existia obrigatoriedade de contribuição para a grande maioria dos trabalhadores rurais.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regra aplica-se ao segurado especial (regime de economia familiar) e ao empregado rural que exerceu atividade antes da Lei 8.213/91. A distinção é relevante: o segurado especial tem seu tempo computado independentemente de contribuição, mesmo para períodos posteriores a 1991, por força do art. 39, I, da Lei 8.213/91 (para aposentadoria por idade rural); já o contribuinte individual rural que exerceu atividade após novembro de 1991 precisa indenizar o período na forma do art. 45-A da Lei 8.212/91 para ter o tempo reconhecido (cf. Capítulo 4).</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Distinção fundamental: efeito do cômputo rural pré-1991</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tempo rural anterior a novembro de 1991 conta como tempo de contribuição, mas NÃO como carência (art. 55, § 2º, parte final, Lei 8.213/91). Isso significa que o segurado pode usar esse período para completar os anos exigidos de tempo de contribuição nas regras de transição, mas não pode utilizá-lo para atingir as 180 contribuições de carência. Exceção: o trabalhador rural com registro em CTPS (empregado rural formal) tem o período contado também para carência, pois a obrigação de recolhimento era do empregador.</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5.4.2 Exigência de início de prova material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comprovação da atividade rural exige início de prova material, nos termos do art. 55, § 3º, da Lei 8.213/91 e da Súmula 149 do STJ: "A prova exclusivamente testemunhal não basta à comprovação da atividade rurícola, para efeito da obtenção de benefício previdenciário." A exigência tem dupla finalidade: prevenir fraudes e assegurar um mínimo de documentação que empreste verossimilhança ao relato do segurado.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jurisprudência consolidada admite como início de prova material uma ampla gama de documentos, desde que contemporâneos à época dos fatos alegados (TNU Súmula 34). São exemplos frequentes: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Certidão de casamento com qualificação do cônjuge como lavrador/agricultor;</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Certidão de nascimento dos filhos com indicação da profissão rural dos pais;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Certificado de reservista com profissão "lavrador" ou "agricultor";</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Título de eleitor com qualificação rural;</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Ficha de inscrição em sindicato rural;</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Documentos do INCRA (certificado de cadastro, DAP/CAF);</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Notas fiscais de produtor rural;</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Contratos de arrendamento ou parceria;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Declaração de aptidão ao PRONAF (DAP) ou Cadastro Nacional da Agricultura Familiar (CAF);</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Comprovante de recebimento de benefício rural por membro da família;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Histórico escolar de escola rural;</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Escritura de imóvel rural;</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Prontuário médico com indicação da profissão rural.</w:t>
      </w:r>
    </w:p>
    <w:p>
      <w:pPr>
        <w:spacing w:before="0" w:after="6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5.4.3 Extensão temporal da prova — Súmula 577/STJ</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Súmula 577 do STJ estabelece que "é possível reconhecer o tempo de serviço rural anterior ao documento mais antigo apresentado, desde que amparado em convincente prova testemunhal colhida sob o contraditório." Essa súmula tem grande impacto prático: o segurado que apresenta como documento mais antigo uma certidão de casamento de 1985 (com qualificação de "lavrador") pode ter reconhecido período rural anterior a 1985, desde que a prova testemunhal seja convincente e coerente.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extensão temporal, contudo, possui limites. A prova testemunhal deve ser robusta, com depoimentos de testemunhas que efetivamente presenciaram o trabalho rural no período anterior ao documento. Testemunhas com conhecimento indireto (ouviram dizer que o segurado trabalhava na roça) não suprem a exigência. Além disso, a extensão deve ser razoável: reconhecer cinco ou seis anos antes do documento mais antigo é admissível; reconhecer décadas sem qualquer referência documental intermediária é temerário.</w:t>
      </w:r>
    </w:p>
    <w:p>
      <w:pPr>
        <w:spacing w:before="260" w:after="80" w:line="240" w:lineRule="auto"/>
        <w:jc w:val="left"/>
      </w:pPr>
      <w:r>
        <w:rPr>
          <w:rFonts w:ascii="EB Garamond" w:hAnsi="EB Garamond" w:cs="EB Garamond"/>
          <w:b/>
          <w:i w:val="0"/>
          <w:color w:val="3A3128"/>
          <w:sz w:val="25"/>
          <w:lang w:val="pt-BR" w:bidi="ar-SA"/>
          <w:kern w:val="16"/>
          <w14:ligatures w14:val="standardContextual"/>
        </w:rPr>
        <w:t>5.4.4 Documentos em nome de terceiros — cônjuge e família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TNU, no Tema 327, firmou o entendimento de que documentação em nome do cônjuge ou companheiro, na condição de empregado rural, constitui início de prova material para fins de concessão de benefício previdenciário ao outro cônjuge. Essa orientação é complementada pela Súmula 6 da TNU ("A certidão de casamento ou outro documento idôneo que evidencie a condição de trabalhador rural do cônjuge constitui início razoável de prova material da atividade rurícola") e pela Súmula 73 do TRF4.</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isso significa que a esposa do trabalhador rural pode utilizar documentos em nome do marido (e vice-versa) como início de prova material de sua própria atividade rural, desde que demonstrada a participação no regime de economia familiar. A mesma lógica aplica-se a filhos que trabalharam na propriedade da família: documentos em nome dos pais servem como ponto de partida para a comprovação.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STJ Tema 629, REsp 1.352.721/SP, Rel. Min. Napoleão Nunes Maia Filho — efeito processual da ausência de prova material</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 xml:space="preserve">A regra de que "o tempo de serviço do segurado trabalhador rural, anterior à data de início de vigência da Lei n. 8.213/91, pode ser computado para fins de aposentadoria no Regime Geral de Previdência Social, independentemente do recolhimento de contribuições, exceto para efeito de carência" decorre do art. 55, § 2º, da Lei 8.213/91 (e da jurisprudência consolidada). A tese efetivamente firmada no </w:t>
            </w:r>
            <w:r>
              <w:rPr>
                <w:rFonts w:ascii="EB Garamond" w:hAnsi="EB Garamond" w:cs="EB Garamond"/>
                <w:b/>
                <w:i w:val="0"/>
                <w:color w:val="201B16"/>
                <w:sz w:val="19"/>
                <w:lang w:val="pt-BR" w:bidi="ar-SA"/>
                <w:kern w:val="16"/>
                <w14:ligatures w14:val="standardContextual"/>
              </w:rPr>
              <w:t>Tema 629/STJ</w:t>
            </w:r>
            <w:r>
              <w:rPr>
                <w:rFonts w:ascii="EB Garamond" w:hAnsi="EB Garamond" w:cs="EB Garamond"/>
                <w:b w:val="0"/>
                <w:i w:val="0"/>
                <w:color w:val="201B16"/>
                <w:sz w:val="19"/>
                <w:lang w:val="pt-BR" w:bidi="ar-SA"/>
                <w:kern w:val="16"/>
                <w14:ligatures w14:val="standardContextual"/>
              </w:rPr>
              <w:t xml:space="preserve">, contudo, é de natureza </w:t>
            </w:r>
            <w:r>
              <w:rPr>
                <w:rFonts w:ascii="EB Garamond" w:hAnsi="EB Garamond" w:cs="EB Garamond"/>
                <w:b/>
                <w:i w:val="0"/>
                <w:color w:val="201B16"/>
                <w:sz w:val="19"/>
                <w:lang w:val="pt-BR" w:bidi="ar-SA"/>
                <w:kern w:val="16"/>
                <w14:ligatures w14:val="standardContextual"/>
              </w:rPr>
              <w:t>processual</w:t>
            </w:r>
            <w:r>
              <w:rPr>
                <w:rFonts w:ascii="EB Garamond" w:hAnsi="EB Garamond" w:cs="EB Garamond"/>
                <w:b w:val="0"/>
                <w:i w:val="0"/>
                <w:color w:val="201B16"/>
                <w:sz w:val="19"/>
                <w:lang w:val="pt-BR" w:bidi="ar-SA"/>
                <w:kern w:val="16"/>
                <w14:ligatures w14:val="standardContextual"/>
              </w:rPr>
              <w:t xml:space="preserve">: quando não há início de prova material suficiente a instruir a inicial, a ação deve ser extinta </w:t>
            </w:r>
            <w:r>
              <w:rPr>
                <w:rFonts w:ascii="EB Garamond" w:hAnsi="EB Garamond" w:cs="EB Garamond"/>
                <w:b/>
                <w:i w:val="0"/>
                <w:color w:val="201B16"/>
                <w:sz w:val="19"/>
                <w:lang w:val="pt-BR" w:bidi="ar-SA"/>
                <w:kern w:val="16"/>
                <w14:ligatures w14:val="standardContextual"/>
              </w:rPr>
              <w:t>sem resolução do mérito</w:t>
            </w:r>
            <w:r>
              <w:rPr>
                <w:rFonts w:ascii="EB Garamond" w:hAnsi="EB Garamond" w:cs="EB Garamond"/>
                <w:b w:val="0"/>
                <w:i w:val="0"/>
                <w:color w:val="201B16"/>
                <w:sz w:val="19"/>
                <w:lang w:val="pt-BR" w:bidi="ar-SA"/>
                <w:kern w:val="16"/>
                <w14:ligatures w14:val="standardContextual"/>
              </w:rPr>
              <w:t xml:space="preserve"> (art. 485, IV, CPC), possibilitando nova propositura com documentação mais robusta. A extinção com mérito (improcedência) forma coisa julgada material e impede nova ação com o mesmo fundamento.</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5.4.5 O limite etário e o trabalho rural na infância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P</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oucos temas suscitam tanta hesitação na instrução das ações rurais quanto a idade mínima para o reconhecimento do trabalho no campo. A Constituição Federal proíbe o trabalho de menores de 16 anos (salvo como aprendiz a partir dos 14 — art. 7º, XXXIII). Contudo, a jurisprudência previdenciária consolidou o entendimento de que a vedação constitucional visa proteger o menor, não prejudicá-lo: se o menor efetivamente trabalhou, o reconhecimento do tempo é direito seu, sob pena de penalizá-lo duplamente (trabalhou irregularmente na infância e ainda se veria privado do cômputo do período).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TNU e os TRFs reconhecem atividade rural a partir dos 12 anos de idade (idade mínima usual na jurisprudência, embora haja precedentes que admitem períodos a partir dos 10 anos em casos excepcionais). Essa posição encontra respaldo na realidade socioeconômica do campo brasileiro, onde o trabalho infantil em regime de economia familiar era, e em muitas regiões ainda é, prática generalizada.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Estratégia processual: comprovação de atividade rural na infância/adolescência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Para períodos rurais na infância (12 a 16 anos), a estratégia probatória deve ser reforçada: (a) documentos da família (pais como proprietários rurais ou empregados rurais); (b) certidão de escola rural demonstrando endereço no campo; (c) testemunhas que presenciaram o trabalho do menor; (d) declarações de sindicato rural. É útil incluir na petição inicial a fundamentação constitucional da tese (proteção do menor que efetivamente trabalhou) e citar a jurisprudência dominante da TNU sobre o tema.</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5.4.6 Descontinuidade da atividade rural e descaracterização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descontinuidade da atividade rural e seus efeitos sobre o reconhecimento do tempo merecem exame à parte. O segurado que intercalou períodos rurais com períodos urbanos pode ter dificuldades em demonstrar a contemporaneidade da prova material e a continuidade do trabalho agrícola.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jurisprudência dos TRFs e da TNU tem sido relativamente flexível nesse aspecto. O STJ, no Tema 1.007, fixou a tese de que "o tempo de serviço rural, ainda que remoto e descontínuo, anterior ao advento da Lei 8.213/1991, pode ser computado para fins da carência necessária à obtenção da aposentadoria híbrida por idade, ainda que não tenha sido efetivado o recolhimento das contribuições, nos termos do art. 48, § 3º, da Lei 8.213/1991, seja qual for a predominância do labor misto exercido no período de carência ou o tipo de trabalho exercido no momento do implemento do requisito etário ou do requerimento administrativo". A orientação aplica-se também ao cômputo de tempo rural para aposentadoria por tempo de contribuição, desde que o período específico esteja adequadamente comprovado.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descaracterização da condição de segurado especial (para período pós-1991) pode decorrer de: (a) exercício de atividade urbana por período superior a 120 dias no ano; (b) aquisição de propriedade com área superior a 4 módulos fiscais (ressalvado o entendimento do STJ Tema 1.115, que admite análise caso a caso); (c) obtenção de renda significativa de fonte não rural; (d) contratação de empregados permanentes (limite de 2 empregados admitido pela Lei 11.718/2008). Cada uma dessas circunstâncias exige análise individualizada pelo juiz.</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Descontinuidade não impede cômputo parcial</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fato de o segurado ter se afastado da atividade rural por determinado período (por exemplo, trabalhou no campo de 1975 a 1985, migrou para a cidade de 1986 a 1990, e retornou ao campo em 1991) não impede o reconhecimento do período efetivamente comprovado (1975-1985). O cômputo é parcial: reconhece-se o que foi demonstrado. A descontinuidade pode fragilizar a prova testemunhal (testemunhas que conheceram o segurado apenas no segundo período rural não podem atestar o primeiro), mas não constitui impedimento legal ao reconhecimento dos períodos documentados.</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5.4.7 Atividade rural e aposentadoria por tempo de contribuição urbana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U</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m dos pedidos mais frequentes nos JEFs é o cômputo de atividade rural (geralmente da infância/adolescência) para somar ao tempo de contribuição urbana e viabilizar aposentadoria por tempo de contribuição ou enquadramento em regra de transição. Nesse cenário, o segurado que trabalhou na roça dos 12 aos 20 anos e depois migrou para a cidade pode agregar até 8 anos de tempo rural ao tempo urbano, potencialmente antecipando em vários anos a data de implementação dos requisitos para aposentadoria.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viabilidade desse pedido depende de prova material adequada (certidão de nascimento com pais rurais, certidão de casamento dos pais, matrícula em escola rural, certificado de reservista com profissão "lavrador", documentos do INCRA da família, etc.) e de prova testemunhal convincente. Para períodos remotos (décadas de 1960 a 1980), a dificuldade probatória é significativa, mas não intransponível.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Exemplo: impacto do reconhecimento de tempo rural na aposentadoria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Maria trabalhou na roça com os pais de 1978 (quando tinha 12 anos) até 1986 (quando migrou para a cidade aos 20 anos). Apresenta: certidão de nascimento com pai qualificado como "lavrador"; matrícula em escola rural (1980-1984); certificado de reservista do irmão com profissão "agricultor"; duas testemunhas que confirmam o trabalho familiar. Se reconhecido, o período rural (8 anos) soma-se aos 27 anos de tempo urbano comprovado, totalizando 35 anos de contribuição — suficiente para enquadramento na regra de transição por pontos (com a pontuação necessária em 2026). Sem o reconhecimento rural, Maria precisaria trabalhar mais 8 anos para atingir o requisito.</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5.4.8 Atividade rural pós-1991: a exigência de contribuição ou indenização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P</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ara períodos posteriores a novembro de 1991, o tratamento varia conforme a categoria do segurado (v. Cap. 2 para o detalhamento de cada categoria):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Segurado especial (art. 11, VII):</w:t>
      </w:r>
      <w:r>
        <w:rPr>
          <w:rFonts w:ascii="EB Garamond" w:hAnsi="EB Garamond" w:cs="EB Garamond"/>
          <w:b w:val="0"/>
          <w:i w:val="0"/>
          <w:color w:val="201B16"/>
          <w:sz w:val="20"/>
          <w:lang w:val="pt-BR" w:bidi="ar-SA"/>
          <w:kern w:val="16"/>
          <w14:ligatures w14:val="standardContextual"/>
        </w:rPr>
        <w:t xml:space="preserve"> Continua com direito à aposentadoria por idade rural (60 anos homem / 55 anos mulher) sem necessidade de contribuição, bastando a comprovação de 180 meses de atividade rural (art. 39, I, Lei 8.213/91). Porém, se pretender aposentadoria por tempo de contribuição, o período pós-1991 somente será computado mediante recolhimento ou indenização.</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Contribuinte individual rural (art. 11, V, "a"):</w:t>
      </w:r>
      <w:r>
        <w:rPr>
          <w:rFonts w:ascii="EB Garamond" w:hAnsi="EB Garamond" w:cs="EB Garamond"/>
          <w:b w:val="0"/>
          <w:i w:val="0"/>
          <w:color w:val="201B16"/>
          <w:sz w:val="20"/>
          <w:lang w:val="pt-BR" w:bidi="ar-SA"/>
          <w:kern w:val="16"/>
          <w14:ligatures w14:val="standardContextual"/>
        </w:rPr>
        <w:t xml:space="preserve"> O período posterior a 1991 exige recolhimento de contribuições ou indenização (art. 45-A, Lei 8.212/91) para cômputo como tempo de contribuição.</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Empregado rural (art. 11, I, "a"):</w:t>
      </w:r>
      <w:r>
        <w:rPr>
          <w:rFonts w:ascii="EB Garamond" w:hAnsi="EB Garamond" w:cs="EB Garamond"/>
          <w:b w:val="0"/>
          <w:i w:val="0"/>
          <w:color w:val="201B16"/>
          <w:sz w:val="20"/>
          <w:lang w:val="pt-BR" w:bidi="ar-SA"/>
          <w:kern w:val="16"/>
          <w14:ligatures w14:val="standardContextual"/>
        </w:rPr>
        <w:t xml:space="preserve"> O recolhimento é obrigação do empregador. Se o empregador não recolheu, o período é reconhecido com base na relação de emprego comprovada, independentemente da efetivação do recolhimento (o empregado não pode ser prejudicado pela inadimplência patronal).</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Súmula 272 do STJ sintetiza a regra quanto ao segurado especial: "O trabalhador rural, na condição de segurado especial, sujeito à contribuição obrigatória sobre a produção rural comercializada, somente faz jus à aposentadoria por tempo de serviço, se recolher contribuições facultativas". A contribuição que o segurado especial recolhe sobre a receita bruta da comercialização da produção (art. 25, Lei 8.212/91) garante os benefícios do art. 39, I, da Lei 8.213/91, mas não o cômputo do período como tempo de contribuição para a aposentadoria programada. A dispensa de recolhimento só existe para o período anterior à Lei 8.213/91, nos termos do art. 55, § 2º, e da Súmula 24 da TNU: "O tempo de serviço do segurado trabalhador rural anterior ao advento da Lei nº 8.213/91, sem o recolhimento de contribuições previdenciárias, pode ser considerado para a concessão de benefício previdenciário do Regime Geral de Previdência Social (RGPS), exceto para efeito de carência, conforme a regra do art. 55, § 2º, da Lei nº 8.213/91".</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5.5 Tempo de serviço militar obrigatório</w:t>
      </w:r>
    </w:p>
    <w:p>
      <w:pPr>
        <w:spacing w:before="260" w:after="80" w:line="240" w:lineRule="auto"/>
        <w:jc w:val="left"/>
      </w:pPr>
      <w:r>
        <w:rPr>
          <w:rFonts w:ascii="EB Garamond" w:hAnsi="EB Garamond" w:cs="EB Garamond"/>
          <w:b/>
          <w:i w:val="0"/>
          <w:color w:val="3A3128"/>
          <w:sz w:val="25"/>
          <w:lang w:val="pt-BR" w:bidi="ar-SA"/>
          <w:kern w:val="16"/>
          <w14:ligatures w14:val="standardContextual"/>
        </w:rPr>
        <w:t>5.5.1 Fundamento legal e natureza do cômputo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55, inciso I, da Lei 8.213/91 assegura o cômputo, como tempo de contribuição, do período de serviço militar, inclusive o obrigatório. Trata-se de disposição expressa que não exige filiação prévia ao RGPS nem recolhimento de contribuição pelo militar durante o período de serviço. O fundamento é constitucional: o art. 143, caput e § 2º, da Constituição Federal estabelece a obrigatoriedade do serviço militar nos termos da lei, cabendo aos brasileiros do sexo masculino a prestação do serviço (Lei 4.375/1964). Essa imposição estatal não pode gerar prejuízo previdenciário ao cidadão.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cômputo abrange tanto o serviço militar obrigatório (conscrito) quanto o serviço militar voluntário (engajamento posterior), e aplica-se a todas as Forças Armadas (Exército, Marinha e Aeronáutica), bem como às Forças Auxiliares (Polícias Militares e Corpos de Bombeiros, quando em serviço federal).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período de serviço militar obrigatório é geralmente de 12 meses, podendo estender-se em situações excepcionais (engajamento, situação de conflito, etc.). Na prática previdenciária, o cômputo desse período é relativamente simples: basta a apresentação do Certificado de Reservista com as datas de incorporação e licenciamento.</w:t>
      </w:r>
    </w:p>
    <w:p>
      <w:pPr>
        <w:spacing w:before="260" w:after="80" w:line="240" w:lineRule="auto"/>
        <w:jc w:val="left"/>
      </w:pPr>
      <w:r>
        <w:rPr>
          <w:rFonts w:ascii="EB Garamond" w:hAnsi="EB Garamond" w:cs="EB Garamond"/>
          <w:b/>
          <w:i w:val="0"/>
          <w:color w:val="3A3128"/>
          <w:sz w:val="25"/>
          <w:lang w:val="pt-BR" w:bidi="ar-SA"/>
          <w:kern w:val="16"/>
          <w14:ligatures w14:val="standardContextual"/>
        </w:rPr>
        <w:t>5.5.2 Documentos comprobatórios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IN INSS/PRES 128/2022, em seu art. 83, especifica os documentos aceitos para comprovação do tempo de serviço militar:</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Certificado de Reservista:</w:t>
      </w:r>
      <w:r>
        <w:rPr>
          <w:rFonts w:ascii="EB Garamond" w:hAnsi="EB Garamond" w:cs="EB Garamond"/>
          <w:b w:val="0"/>
          <w:i w:val="0"/>
          <w:color w:val="201B16"/>
          <w:sz w:val="20"/>
          <w:lang w:val="pt-BR" w:bidi="ar-SA"/>
          <w:kern w:val="16"/>
          <w14:ligatures w14:val="standardContextual"/>
        </w:rPr>
        <w:t xml:space="preserve"> Documento padrão que consigna as datas de incorporação e licenciamento. É o meio de prova mais comum e geralmente suficiente.</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Certidão expedida pelo órgão militar competente:</w:t>
      </w:r>
      <w:r>
        <w:rPr>
          <w:rFonts w:ascii="EB Garamond" w:hAnsi="EB Garamond" w:cs="EB Garamond"/>
          <w:b w:val="0"/>
          <w:i w:val="0"/>
          <w:color w:val="201B16"/>
          <w:sz w:val="20"/>
          <w:lang w:val="pt-BR" w:bidi="ar-SA"/>
          <w:kern w:val="16"/>
          <w14:ligatures w14:val="standardContextual"/>
        </w:rPr>
        <w:t xml:space="preserve"> Documento mais detalhado, emitido pelo Ministério da Defesa ou pela respectiva Força, contendo período exato de serviço, datas e eventuais afastamentos.</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Informação transmitida ao CNIS pelas Forças Armadas:</w:t>
      </w:r>
      <w:r>
        <w:rPr>
          <w:rFonts w:ascii="EB Garamond" w:hAnsi="EB Garamond" w:cs="EB Garamond"/>
          <w:b w:val="0"/>
          <w:i w:val="0"/>
          <w:color w:val="201B16"/>
          <w:sz w:val="20"/>
          <w:lang w:val="pt-BR" w:bidi="ar-SA"/>
          <w:kern w:val="16"/>
          <w14:ligatures w14:val="standardContextual"/>
        </w:rPr>
        <w:t xml:space="preserve"> Dados inseridos diretamente no sistema informatizado, dispensando a apresentação de documento pelo segurado.</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Q</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uando o Certificado de Reservista não contém as datas específicas de incorporação e licenciamento (modelos mais antigos), o segurado deve requerer certidão ao órgão militar. Essa certidão pode ser obtida nas Juntas de Serviço Militar ou diretamente junto à unidade onde serviu.</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Cômputo do serviço militar 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Embora aparentemente simples, o cômputo do serviço militar pode gerar controvérsias em situações específicas: (a) quando o segurado serviu em período anterior à sua primeira filiação ao RGPS, o cômputo é devido mesmo assim; (b) quando o serviço militar coincide parcialmente com outro vínculo, não há concomitância vedada, pois o art. 96 proíbe apenas concomitância entre RGPS e RPPS; (c) quando o Certificado de Reservista foi extraviado — a certidão militar é meio de prova admitido. Na atuação forense dos JEFs, o indeferimento pelo INSS do cômputo de serviço militar é relativamente raro, mas ocorre quando o segurado não possui documentação ou quando há dúvida sobre o período efetivo.</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5.5.3 Efeitos do cômputo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tempo de serviço militar obrigatório, quando computado no RGPS: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Conta como tempo de contribuição para todos os efeitos (aposentadoria, regras de transição, pontuação);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Conta para carência, segundo entendimento consolidado (o segurado não pode ser prejudicado pela imposição estatal);</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Não gera obrigação de indenização ou recolhimento retroativo;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Pode ser certificado via CTC quando o segurado pretende averbá-lo em RPPS.</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questão da contagem para carência merece aprofundamento. Embora o art. 55, § 2º, da Lei 8.213/91 ressalve a carência para a atividade rural, não há ressalva equivalente para o serviço militar. A interpretação dominante nos tribunais é de que o serviço militar conta integralmente, inclusive para carência, dado que a imposição estatal substitui a contribuição que o segurado teria recolhido se estivesse no mercado de trabalho civil.</w:t>
      </w:r>
    </w:p>
    <w:p>
      <w:pPr>
        <w:spacing w:before="260" w:after="80" w:line="240" w:lineRule="auto"/>
        <w:jc w:val="left"/>
      </w:pPr>
      <w:r>
        <w:rPr>
          <w:rFonts w:ascii="EB Garamond" w:hAnsi="EB Garamond" w:cs="EB Garamond"/>
          <w:b/>
          <w:i w:val="0"/>
          <w:color w:val="3A3128"/>
          <w:sz w:val="25"/>
          <w:lang w:val="pt-BR" w:bidi="ar-SA"/>
          <w:kern w:val="16"/>
          <w14:ligatures w14:val="standardContextual"/>
        </w:rPr>
        <w:t>5.5.4 Tiro de guerra e outros serviços auxiliares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M</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erece tratamento específico o Tiro de Guerra — modalidade de serviço militar obrigatório prestado em municípios que não possuem Organização Militar. O período de Tiro de Guerra é geralmente inferior ao serviço militar regular (em torno de 6 a 10 meses), mas é igualmente reconhecido como tempo de contribuição. O documento comprobatório é o Certificado de Reservista de 2ª categoria ou a certidão do Tiro de Guerra.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Outra hipótese é o CPOR (Centro de Preparação de Oficiais da Reserva) e o NPOR (Núcleo de Preparação de Oficiais da Reserva), nos quais o reservista frequenta cursos de formação por período determinado. O tempo de CPOR/NPOR também é computável como tempo de contribuição, mediante certidão específica do órgão militar.</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Dica: consulta ao sistema do Exército para obtenção de certidão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Quando o segurado perdeu o Certificado de Reservista ou quando o documento não contém as datas precisas, a certidão pode ser obtida junto ao Centro de Recrutamento Regional (CRR) da área de alistamento ou pelo portal de serviços das Forças Armadas. Para o Exército: https://www.eb.mil.br (serviços ao cidadão). Para Marinha e Aeronáutica: respectivos portais ou unidades militares. O prazo de emissão varia de 15 a 60 dias. A certidão é gratuita.</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5.6 Tempo de aluno-aprendiz</w:t>
      </w:r>
    </w:p>
    <w:p>
      <w:pPr>
        <w:spacing w:before="260" w:after="80" w:line="240" w:lineRule="auto"/>
        <w:jc w:val="left"/>
      </w:pPr>
      <w:r>
        <w:rPr>
          <w:rFonts w:ascii="EB Garamond" w:hAnsi="EB Garamond" w:cs="EB Garamond"/>
          <w:b/>
          <w:i w:val="0"/>
          <w:color w:val="3A3128"/>
          <w:sz w:val="25"/>
          <w:lang w:val="pt-BR" w:bidi="ar-SA"/>
          <w:kern w:val="16"/>
          <w14:ligatures w14:val="standardContextual"/>
        </w:rPr>
        <w:t>5.6.1 Origem e fundamento — Súmula 96/TCU</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Súmula 96 do Tribunal de Contas da União estabelece: "Conta-se para todos os efeitos, como tempo de serviço público, o período de trabalho prestado, na qualidade de aluno-aprendiz, em Escola Pública Profissional, desde que comprovada a retribuição pecuniária à conta do Orçamento, admitindo-se, como tal, o recebimento de alimentação, fardamento, material escolar e parcela de renda auferida com a execução de encomendas para terceiros."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Embora a Súmula tenha sido editada no contexto do serviço público, sua aplicação estendeu-se ao RGPS por força do Decreto 3.048/99, que inclui o período de aluno-aprendiz em escola técnica entre os períodos computáveis como tempo de contribuição, desde que comprovadas a retribuição à conta do orçamento público (ainda que indireta) e a contraprestação por trabalho efetivamente prestado, nos termos detalhados na seção 5.6.2. A previsão constava originalmente do art. 60, inciso XXII, revogado pelo Decreto 10.410/2020, que a reposicionou no art. 188-G, inciso IX, do mesmo Regulamento — dispositivo vigente.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período típico abrangido situa-se entre as décadas de 1950 e 1990, quando as Escolas Técnicas Federais (ETFs), Escolas Agrotécnicas Federais e instituições como SENAI e SENAC mantinham programas de formação profissional nos quais os alunos executavam trabalhos produtivos para terceiros, com retribuição, em dinheiro, alimentação ou fardamento, custeada pelo orçamento público.</w:t>
      </w:r>
    </w:p>
    <w:p>
      <w:pPr>
        <w:spacing w:before="260" w:after="80" w:line="240" w:lineRule="auto"/>
        <w:jc w:val="left"/>
      </w:pPr>
      <w:r>
        <w:rPr>
          <w:rFonts w:ascii="EB Garamond" w:hAnsi="EB Garamond" w:cs="EB Garamond"/>
          <w:b/>
          <w:i w:val="0"/>
          <w:color w:val="3A3128"/>
          <w:sz w:val="25"/>
          <w:lang w:val="pt-BR" w:bidi="ar-SA"/>
          <w:kern w:val="16"/>
          <w14:ligatures w14:val="standardContextual"/>
        </w:rPr>
        <w:t>5.6.2 Requisitos para o cômputo — TNU Tema 216</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TNU, no Tema 216 (PEDILEF 0525048-76.2017.4.05.8100/CE, julgado em 14/02/2020), fixou critérios mais rigorosos para o cômputo do tempo de aluno-aprendiz, alterando a Súmula 18 da TNU. Os requisitos são cumulativos: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1. </w:t>
      </w:r>
      <w:r>
        <w:rPr>
          <w:rFonts w:ascii="EB Garamond" w:hAnsi="EB Garamond" w:cs="EB Garamond"/>
          <w:b/>
          <w:i w:val="0"/>
          <w:color w:val="201B16"/>
          <w:sz w:val="20"/>
          <w:lang w:val="pt-BR" w:bidi="ar-SA"/>
          <w:kern w:val="16"/>
          <w14:ligatures w14:val="standardContextual"/>
        </w:rPr>
        <w:t>Retribuição consistente em pagamento pecuniário ou assistência material</w:t>
      </w:r>
      <w:r>
        <w:rPr>
          <w:rFonts w:ascii="EB Garamond" w:hAnsi="EB Garamond" w:cs="EB Garamond"/>
          <w:b w:val="0"/>
          <w:i w:val="0"/>
          <w:color w:val="201B16"/>
          <w:sz w:val="20"/>
          <w:lang w:val="pt-BR" w:bidi="ar-SA"/>
          <w:kern w:val="16"/>
          <w14:ligatures w14:val="standardContextual"/>
        </w:rPr>
        <w:t>, o aluno deve ter recebido alguma forma de contraprestação (dinheiro, alimentação, fardamento, material escolar, parcela de renda);</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2. </w:t>
      </w:r>
      <w:r>
        <w:rPr>
          <w:rFonts w:ascii="EB Garamond" w:hAnsi="EB Garamond" w:cs="EB Garamond"/>
          <w:b/>
          <w:i w:val="0"/>
          <w:color w:val="201B16"/>
          <w:sz w:val="20"/>
          <w:lang w:val="pt-BR" w:bidi="ar-SA"/>
          <w:kern w:val="16"/>
          <w14:ligatures w14:val="standardContextual"/>
        </w:rPr>
        <w:t>À conta do Orçamento</w:t>
      </w:r>
      <w:r>
        <w:rPr>
          <w:rFonts w:ascii="EB Garamond" w:hAnsi="EB Garamond" w:cs="EB Garamond"/>
          <w:b w:val="0"/>
          <w:i w:val="0"/>
          <w:color w:val="201B16"/>
          <w:sz w:val="20"/>
          <w:lang w:val="pt-BR" w:bidi="ar-SA"/>
          <w:kern w:val="16"/>
          <w14:ligatures w14:val="standardContextual"/>
        </w:rPr>
        <w:t>, a retribuição deve provir de verba orçamentária pública, não de recursos privados;</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3. </w:t>
      </w:r>
      <w:r>
        <w:rPr>
          <w:rFonts w:ascii="EB Garamond" w:hAnsi="EB Garamond" w:cs="EB Garamond"/>
          <w:b/>
          <w:i w:val="0"/>
          <w:color w:val="201B16"/>
          <w:sz w:val="20"/>
          <w:lang w:val="pt-BR" w:bidi="ar-SA"/>
          <w:kern w:val="16"/>
          <w14:ligatures w14:val="standardContextual"/>
        </w:rPr>
        <w:t>Como contraprestação por labor</w:t>
      </w:r>
      <w:r>
        <w:rPr>
          <w:rFonts w:ascii="EB Garamond" w:hAnsi="EB Garamond" w:cs="EB Garamond"/>
          <w:b w:val="0"/>
          <w:i w:val="0"/>
          <w:color w:val="201B16"/>
          <w:sz w:val="20"/>
          <w:lang w:val="pt-BR" w:bidi="ar-SA"/>
          <w:kern w:val="16"/>
          <w14:ligatures w14:val="standardContextual"/>
        </w:rPr>
        <w:t xml:space="preserve"> — não se trata de mera bolsa de estudo ou assistência estudantil, mas de remuneração por trabalho efetivamente prestado;</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4. </w:t>
      </w:r>
      <w:r>
        <w:rPr>
          <w:rFonts w:ascii="EB Garamond" w:hAnsi="EB Garamond" w:cs="EB Garamond"/>
          <w:b/>
          <w:i w:val="0"/>
          <w:color w:val="201B16"/>
          <w:sz w:val="20"/>
          <w:lang w:val="pt-BR" w:bidi="ar-SA"/>
          <w:kern w:val="16"/>
          <w14:ligatures w14:val="standardContextual"/>
        </w:rPr>
        <w:t>Na execução de bens e serviços destinados a terceiros</w:t>
      </w:r>
      <w:r>
        <w:rPr>
          <w:rFonts w:ascii="EB Garamond" w:hAnsi="EB Garamond" w:cs="EB Garamond"/>
          <w:b w:val="0"/>
          <w:i w:val="0"/>
          <w:color w:val="201B16"/>
          <w:sz w:val="20"/>
          <w:lang w:val="pt-BR" w:bidi="ar-SA"/>
          <w:kern w:val="16"/>
          <w14:ligatures w14:val="standardContextual"/>
        </w:rPr>
        <w:t>, o trabalho deve ter natureza produtiva, com destinação a terceiros (oficinas que produziam peças, serrarias que beneficiavam madeira para clientes, oficinas mecânicas que atendiam o público externo, etc.).</w:t>
      </w:r>
    </w:p>
    <w:p>
      <w:pPr>
        <w:spacing w:before="0" w:after="6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Requisitos cumulativos do TNU Tema 216</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entendimento atual da TNU é mais restritivo que a literalidade da Súmula 96/TCU. Não basta comprovar que o aluno recebia alimentação e fardamento: é necessário demonstrar que a retribuição era contraprestação por labor produtivo destinado a terceiros, não mera atividade didática interna. Assim, o simples fato de frequentar escola técnica federal com auxílio-alimentação não garante o cômputo do tempo — é preciso provar que o aluno efetivamente trabalhou na produção de bens ou serviços para o público externo.</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5.6.3 Prova do tempo de aluno-aprendiz</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comprovação exige documentos emitidos pela instituição de ensino: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Certidão da escola</w:t>
      </w:r>
      <w:r>
        <w:rPr>
          <w:rFonts w:ascii="EB Garamond" w:hAnsi="EB Garamond" w:cs="EB Garamond"/>
          <w:b w:val="0"/>
          <w:i w:val="0"/>
          <w:color w:val="201B16"/>
          <w:sz w:val="20"/>
          <w:lang w:val="pt-BR" w:bidi="ar-SA"/>
          <w:kern w:val="16"/>
          <w14:ligatures w14:val="standardContextual"/>
        </w:rPr>
        <w:t xml:space="preserve"> contendo: período de matrícula, natureza do curso, informação sobre execução de encomendas para terceiros, fonte de retribuição;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Ficha individual do aluno</w:t>
      </w:r>
      <w:r>
        <w:rPr>
          <w:rFonts w:ascii="EB Garamond" w:hAnsi="EB Garamond" w:cs="EB Garamond"/>
          <w:b w:val="0"/>
          <w:i w:val="0"/>
          <w:color w:val="201B16"/>
          <w:sz w:val="20"/>
          <w:lang w:val="pt-BR" w:bidi="ar-SA"/>
          <w:kern w:val="16"/>
          <w14:ligatures w14:val="standardContextual"/>
        </w:rPr>
        <w:t xml:space="preserve"> com registros de pagamento ou assistência material;</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Listas de pagamento</w:t>
      </w:r>
      <w:r>
        <w:rPr>
          <w:rFonts w:ascii="EB Garamond" w:hAnsi="EB Garamond" w:cs="EB Garamond"/>
          <w:b w:val="0"/>
          <w:i w:val="0"/>
          <w:color w:val="201B16"/>
          <w:sz w:val="20"/>
          <w:lang w:val="pt-BR" w:bidi="ar-SA"/>
          <w:kern w:val="16"/>
          <w14:ligatures w14:val="standardContextual"/>
        </w:rPr>
        <w:t xml:space="preserve"> ou planilhas demonstrando retribuição à conta do orçamento;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Documentos comprobatórios da natureza produtiva</w:t>
      </w:r>
      <w:r>
        <w:rPr>
          <w:rFonts w:ascii="EB Garamond" w:hAnsi="EB Garamond" w:cs="EB Garamond"/>
          <w:b w:val="0"/>
          <w:i w:val="0"/>
          <w:color w:val="201B16"/>
          <w:sz w:val="20"/>
          <w:lang w:val="pt-BR" w:bidi="ar-SA"/>
          <w:kern w:val="16"/>
          <w14:ligatures w14:val="standardContextual"/>
        </w:rPr>
        <w:t xml:space="preserve"> — contratos de prestação de serviços a terceiros, notas fiscais de produtos fabricados, registros de oficinas que atendiam público externo.</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dificuldade probatória é agravada pelo tempo decorrido: muitas ETFs foram transformadas em Institutos Federais (IFs) e nem sempre mantiveram acervos completos das décadas de 1960 a 1980. O segurado deve buscar certidões junto às instituições sucessoras e, na impossibilidade, requerer justificação judicial para suprir a ausência documental.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Dica: requerimento de certidão ao Instituto Federal</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Antes de ajuizar ação, o advogado deve requerer formalmente ao Instituto Federal (sucessor da antiga ETF) certidão circunstanciada contendo: (a) período de matrícula do aluno; (b) existência de programa de aprendizagem com produção para terceiros; (c) natureza da retribuição (pecuniária, alimentação, fardamento); (d) origem orçamentária da retribuição. Se a instituição declarar impossibilidade de fornecer tais informações, o documento de recusa serve como prova da dificuldade probatória e justifica a produção de prova testemunhal em juízo.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5.7 Contagem recíproca entre regimes (RGPS/RPPS)</w:t>
      </w:r>
    </w:p>
    <w:p>
      <w:pPr>
        <w:spacing w:before="260" w:after="80" w:line="240" w:lineRule="auto"/>
        <w:jc w:val="left"/>
      </w:pPr>
      <w:r>
        <w:rPr>
          <w:rFonts w:ascii="EB Garamond" w:hAnsi="EB Garamond" w:cs="EB Garamond"/>
          <w:b/>
          <w:i w:val="0"/>
          <w:color w:val="3A3128"/>
          <w:sz w:val="25"/>
          <w:lang w:val="pt-BR" w:bidi="ar-SA"/>
          <w:kern w:val="16"/>
          <w14:ligatures w14:val="standardContextual"/>
        </w:rPr>
        <w:t>5.7.1 Fundamento constitucional e legislativo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contagem recíproca — possibilidade de somar tempo de contribuição cumprido no RGPS com tempo de contribuição cumprido em Regime Próprio de Previdência Social (RPPS), e vice-versa, para efeito de aposentadoria — é instituto amplamente examinado pela doutrina e encontra fundamento no art. 201, § 9º, da Constituição Federal: "Para fins de aposentadoria, será assegurada a contagem recíproca do tempo de contribuição entre o Regime Geral de Previdência Social e os regimes próprios de previdência social, e destes entre si, observada a compensação financeira, de acordo com os critérios estabelecidos em lei."</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dispositivo constitucional consagra três elementos: (a) o direito à contagem recíproca; (b) a obrigatoriedade de compensação financeira entre regimes; (c) a remissão à lei para critérios operacionais. A legislação infraconstitucional que disciplina a matéria inclui a Lei 6.226/75 (primeira a prever contagem recíproca para servidores federais), a Lei 6.864/80 (extensão a estados e municípios), os arts. 94 a 99 da Lei 8.213/91 e a Lei 9.796/99 (compensação previdenciária).</w:t>
      </w:r>
    </w:p>
    <w:p>
      <w:pPr>
        <w:spacing w:before="260" w:after="80" w:line="240" w:lineRule="auto"/>
        <w:jc w:val="left"/>
      </w:pPr>
      <w:r>
        <w:rPr>
          <w:rFonts w:ascii="EB Garamond" w:hAnsi="EB Garamond" w:cs="EB Garamond"/>
          <w:b/>
          <w:i w:val="0"/>
          <w:color w:val="3A3128"/>
          <w:sz w:val="25"/>
          <w:lang w:val="pt-BR" w:bidi="ar-SA"/>
          <w:kern w:val="16"/>
          <w14:ligatures w14:val="standardContextual"/>
        </w:rPr>
        <w:t>5.7.2 Mecanismo da contagem recíproca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mecanismo opera da seguinte forma: o segurado que contribuiu para mais de um regime previdenciário (RGPS e RPPS, ou diferentes RPPSs) pode somar os períodos contributivos para fins de aposentadoria em um único regime. O regime onde o segurado se aposentará é denominado "regime instituidor"; o regime onde as contribuições foram vertidas é o "regime de origem". O instrumento formal dessa soma é a Certidão de Tempo de Contribuição (CTC), emitida pelo regime de origem e averbada no regime instituidor.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compensação financeira opera entre os regimes para evitar enriquecimento sem causa: o regime de origem (que arrecadou as contribuições) compensa financeiramente o regime instituidor (que pagará o benefício) proporcionalmente ao tempo certificado. Esse mecanismo é disciplinado pela Lei 9.796/99 e operacionalizado pelo sistema COMPREV (Compensação Previdenciária).</w:t>
      </w:r>
    </w:p>
    <w:p>
      <w:pPr>
        <w:spacing w:before="260" w:after="80" w:line="240" w:lineRule="auto"/>
        <w:jc w:val="left"/>
      </w:pPr>
      <w:r>
        <w:rPr>
          <w:rFonts w:ascii="EB Garamond" w:hAnsi="EB Garamond" w:cs="EB Garamond"/>
          <w:b/>
          <w:i w:val="0"/>
          <w:color w:val="3A3128"/>
          <w:sz w:val="25"/>
          <w:lang w:val="pt-BR" w:bidi="ar-SA"/>
          <w:kern w:val="16"/>
          <w14:ligatures w14:val="standardContextual"/>
        </w:rPr>
        <w:t>5.7.3 Vedações legais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96 da Lei 8.213/91 estabelece vedações expressas à contagem recíproca. Após as alterações da Lei 13.846/2019 (conversão da MP 871/2019), o dispositivo contém nove incisos (I a IX). Os principais, para a atuação nos JEFs, devem ser distinguidos com precisão: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Contagem simultânea (inciso I):</w:t>
      </w:r>
      <w:r>
        <w:rPr>
          <w:rFonts w:ascii="EB Garamond" w:hAnsi="EB Garamond" w:cs="EB Garamond"/>
          <w:b w:val="0"/>
          <w:i w:val="0"/>
          <w:color w:val="201B16"/>
          <w:sz w:val="20"/>
          <w:lang w:val="pt-BR" w:bidi="ar-SA"/>
          <w:kern w:val="16"/>
          <w14:ligatures w14:val="standardContextual"/>
        </w:rPr>
        <w:t xml:space="preserve"> O mesmo tempo não pode ser computado em mais de um regime simultaneamente. Se o segurado contribuiu para RGPS e RPPS no mesmo período (por exemplo, era servidor municipal e mantinha atividade privada paralela), somente pode usar o período em um dos regimes.</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Dupla aposentadoria com mesmo tempo (inciso II):</w:t>
      </w:r>
      <w:r>
        <w:rPr>
          <w:rFonts w:ascii="EB Garamond" w:hAnsi="EB Garamond" w:cs="EB Garamond"/>
          <w:b w:val="0"/>
          <w:i w:val="0"/>
          <w:color w:val="201B16"/>
          <w:sz w:val="20"/>
          <w:lang w:val="pt-BR" w:bidi="ar-SA"/>
          <w:kern w:val="16"/>
          <w14:ligatures w14:val="standardContextual"/>
        </w:rPr>
        <w:t xml:space="preserve"> Vedado utilizar o mesmo período para obter aposentadoria em dois regimes distintos.</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Exigência de CTC:</w:t>
      </w:r>
      <w:r>
        <w:rPr>
          <w:rFonts w:ascii="EB Garamond" w:hAnsi="EB Garamond" w:cs="EB Garamond"/>
          <w:b w:val="0"/>
          <w:i w:val="0"/>
          <w:color w:val="201B16"/>
          <w:sz w:val="20"/>
          <w:lang w:val="pt-BR" w:bidi="ar-SA"/>
          <w:kern w:val="16"/>
          <w14:ligatures w14:val="standardContextual"/>
        </w:rPr>
        <w:t xml:space="preserve"> A contagem recíproca exige emissão formal de Certidão de Tempo de Contribuição pelo regime de origem. Essa exigência decorre do sistema da contagem recíproca (arts. 94 a 99 da Lei 8.213/91), sendo operacionalizada pelo art. 130 e seguintes do Decreto 3.048/99.</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Vedação de desaverbação de tempo que gerou vantagens (art. 96, VIII, da Lei 8.213/91):</w:t>
      </w:r>
      <w:r>
        <w:rPr>
          <w:rFonts w:ascii="EB Garamond" w:hAnsi="EB Garamond" w:cs="EB Garamond"/>
          <w:b w:val="0"/>
          <w:i w:val="0"/>
          <w:color w:val="201B16"/>
          <w:sz w:val="20"/>
          <w:lang w:val="pt-BR" w:bidi="ar-SA"/>
          <w:kern w:val="16"/>
          <w14:ligatures w14:val="standardContextual"/>
        </w:rPr>
        <w:t xml:space="preserve"> Proibida a desaverbação (retirada) de tempo que tenha sido utilizado para obtenção de vantagens remuneratórias ao servidor em atividade (como anuênios, quinquênios, progressão funcional). Essa vedação foi inserida no inciso VIII do art. 96 da Lei 8.213/91 pela Lei 13.846/2019.</w:t>
      </w:r>
    </w:p>
    <w:p>
      <w:pPr>
        <w:spacing w:before="0" w:after="6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Vedação de desaverbação — armadilha para o segurado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servidor público que utilizou tempo de serviço para obter progressão funcional ou anuênios não pode desaverbar esse tempo para levá-lo ao RGPS (ou a outro RPPS). A vedação do art. 96, VIII, da Lei 8.213/91 é expressa. O advogado deve verificar, antes de requerer CTC, se o tempo pretendido foi utilizado para qualquer vantagem no cargo público. Se foi, o tempo está "comprometido" e não pode ser certificado. Exceção reconhecida pela jurisprudência: tempo excedente, que não impactou a composição de qualquer vantagem, pode ser certificado.</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5.7.4 Situações práticas nos JEFs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N</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os Juizados Especiais Federais, as questões de contagem recíproca surgem em diversos cenários: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Ex-servidor que busca aposentadoria no RGPS:</w:t>
      </w:r>
      <w:r>
        <w:rPr>
          <w:rFonts w:ascii="EB Garamond" w:hAnsi="EB Garamond" w:cs="EB Garamond"/>
          <w:b w:val="0"/>
          <w:i w:val="0"/>
          <w:color w:val="201B16"/>
          <w:sz w:val="20"/>
          <w:lang w:val="pt-BR" w:bidi="ar-SA"/>
          <w:kern w:val="16"/>
          <w14:ligatures w14:val="standardContextual"/>
        </w:rPr>
        <w:t xml:space="preserve"> O segurado que deixou o serviço público sem se aposentar pelo RPPS pode requerer CTC e averbá-la no RGPS, somando o tempo de serviço público ao tempo de atividade privada.</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Servidor que ingressou no serviço público após atividade privada:</w:t>
      </w:r>
      <w:r>
        <w:rPr>
          <w:rFonts w:ascii="EB Garamond" w:hAnsi="EB Garamond" w:cs="EB Garamond"/>
          <w:b w:val="0"/>
          <w:i w:val="0"/>
          <w:color w:val="201B16"/>
          <w:sz w:val="20"/>
          <w:lang w:val="pt-BR" w:bidi="ar-SA"/>
          <w:kern w:val="16"/>
          <w14:ligatures w14:val="standardContextual"/>
        </w:rPr>
        <w:t xml:space="preserve"> Situação inversa — o segurado que trabalhou na iniciativa privada e depois tomou posse em cargo público pode levar o tempo de RGPS para o RPPS (via CTC emitida pelo INSS). Essa hipótese é mais comum na Justiça Estadual ou Federal não-JEF.</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Negativa de emissão de CTC pelo INSS:</w:t>
      </w:r>
      <w:r>
        <w:rPr>
          <w:rFonts w:ascii="EB Garamond" w:hAnsi="EB Garamond" w:cs="EB Garamond"/>
          <w:b w:val="0"/>
          <w:i w:val="0"/>
          <w:color w:val="201B16"/>
          <w:sz w:val="20"/>
          <w:lang w:val="pt-BR" w:bidi="ar-SA"/>
          <w:kern w:val="16"/>
          <w14:ligatures w14:val="standardContextual"/>
        </w:rPr>
        <w:t xml:space="preserve"> Quando o INSS se recusa a emitir CTC (por pendências contributivas, dados inconsistentes no CNIS, etc.), o segurado pode ajuizar ação no JEF para obter a certificação.</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Negativa de averbação de CTC pelo RPPS:</w:t>
      </w:r>
      <w:r>
        <w:rPr>
          <w:rFonts w:ascii="EB Garamond" w:hAnsi="EB Garamond" w:cs="EB Garamond"/>
          <w:b w:val="0"/>
          <w:i w:val="0"/>
          <w:color w:val="201B16"/>
          <w:sz w:val="20"/>
          <w:lang w:val="pt-BR" w:bidi="ar-SA"/>
          <w:kern w:val="16"/>
          <w14:ligatures w14:val="standardContextual"/>
        </w:rPr>
        <w:t xml:space="preserve"> Quando o regime próprio se recusa a averbar CTC emitida pelo INSS, a competência depende do ente: se for RPPS federal (União), a ação vai para a Justiça Federal; se for RPPS estadual ou municipal, para a Justiça Estadual, salvo se o INSS ou a União também integrarem o polo passivo, hipótese em que a causa se desloca para a Justiça Federal (art. 109, I, CF/88).</w:t>
      </w:r>
    </w:p>
    <w:p>
      <w:pPr>
        <w:spacing w:before="0" w:after="6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5.7.5 Compensação previdenciária (COMPREV) — aspectos operacionais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compensação previdenciária entre regimes, disciplinada pela Lei 9.796/99 e operacionalizada pelo Decreto 10.188/2019 (que revogou o Decreto 3.112/99), funciona como mecanismo de acerto financeiro entre o regime de origem e o regime instituidor. Os fundamentos legais, o funcionamento do sistema e os aspectos tributários da compensação são tratados em detalhes no Capítulo 4 (seção 4.17). Nesta seção, examinamos apenas os aspectos operacionais relevantes para a contagem recíproca e a emissão de CTC. Quando um segurado se aposenta em determinado regime utilizando tempo contribuído em outro, o regime de origem deve compensar financeiramente o regime instituidor, proporcionalmente ao tempo certificado.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sistema COMPREV (Compensação Previdenciária) é a plataforma informatizada que operacionaliza essa compensação. Os requisitos para que um RPPS participe do COMPREV incluem: (a) Certificado de Regularidade Previdenciária (CRP) válido; (b) Certidão Negativa de Débito ou CPD-EN em relação às contribuições previdenciárias; (c) cadastro atualizado no sistema.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dos JEFs, a compensação previdenciária raramente é matéria de litígio direto entre o segurado e o INSS. As disputas sobre compensação ocorrem entre os próprios regimes (RGPS × RPPS ou RPPS × RPPS). Contudo, situações podem surgir quando o INSS condiciona a concessão de benefício ao resultado da compensação, ou quando alega que a CTC apresenta irregularidades que impedem o processamento no COMPREV. Em tais casos, o segurado não pode ser prejudicado por questões burocráticas internas entre regimes.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Compensação entre regimes — segurado não é parte</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jurisprudência é firme: o segurado não pode ser prejudicado pela ausência de compensação financeira entre regimes. Se cumpriu os requisitos para a aposentadoria mediante contagem recíproca, o benefício deve ser concedido independentemente da efetivação da compensação no COMPREV. Eventuais pendências financeiras entre os regimes devem ser resolvidas entre eles próprios, sem reflexo na concessão do benefício ao segurado.</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5.7.6 Contagem recíproca e a EC 103/2019</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EC 103/2019 não alterou o direito à contagem recíproca (que permanece assegurado pelo art. 201, § 9º, CF), mas trouxe impacto indireto relevante. O art. 201, § 9º-A, incluído pela EC 103, reitera a obrigatoriedade de compensação e remete à lei a disciplina dos critérios de cálculo. A vedação ao tempo fictício (art. 201, § 14, da CF, com redação da EC 103) tem reflexos na contagem recíproca: períodos de "tempo fictício" reconhecidos por legislações estaduais anteriores à EC 20/1998 não podem ser objeto de CTC para averbação no RGPS (salvo direito adquirido — período anterior a 16/12/1998).</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Outro impacto relevante: o STF, no Tema 942 (RE 1.014.286, Rel. Min. Edson Fachin), reconheceu o direito do </w:t>
      </w:r>
      <w:r>
        <w:rPr>
          <w:rFonts w:ascii="EB Garamond" w:hAnsi="EB Garamond" w:cs="EB Garamond"/>
          <w:b/>
          <w:i w:val="0"/>
          <w:color w:val="201B16"/>
          <w:sz w:val="21"/>
          <w:lang w:val="pt-BR" w:bidi="ar-SA"/>
          <w:kern w:val="16"/>
          <w14:ligatures w14:val="standardContextual"/>
        </w:rPr>
        <w:t>servidor público</w:t>
      </w:r>
      <w:r>
        <w:rPr>
          <w:rFonts w:ascii="EB Garamond" w:hAnsi="EB Garamond" w:cs="EB Garamond"/>
          <w:b w:val="0"/>
          <w:i w:val="0"/>
          <w:color w:val="201B16"/>
          <w:sz w:val="21"/>
          <w:lang w:val="pt-BR" w:bidi="ar-SA"/>
          <w:kern w:val="16"/>
          <w14:ligatures w14:val="standardContextual"/>
        </w:rPr>
        <w:t xml:space="preserve"> à conversão, em tempo comum, do período prestado sob condições especiais que prejudiquem a saúde ou a integridade física (hipótese do então vigente art. 40, § 4º, III, da CF), aplicando-se as normas do Regime Geral de Previdência Social relativas à aposentadoria especial (Lei 8.213/91), até a edição da EC 103/2019. Em termos práticos, esse entendimento alcança o segurado que exerceu atividade especial e a leva, via contagem recíproca, para o regime próprio: o tempo especial pode ser convertido (com o acréscimo do fator de 1,40/1,20) e averbado no RPPS por meio de CTC. Esse direito limita-se a períodos anteriores à EC 103/2019, em razão da vedação à conversão para períodos posteriores.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5.8 Certidão de tempo de contribuição (CTC)</w:t>
      </w:r>
    </w:p>
    <w:p>
      <w:pPr>
        <w:spacing w:before="260" w:after="80" w:line="240" w:lineRule="auto"/>
        <w:jc w:val="left"/>
      </w:pPr>
      <w:r>
        <w:rPr>
          <w:rFonts w:ascii="EB Garamond" w:hAnsi="EB Garamond" w:cs="EB Garamond"/>
          <w:b/>
          <w:i w:val="0"/>
          <w:color w:val="3A3128"/>
          <w:sz w:val="25"/>
          <w:lang w:val="pt-BR" w:bidi="ar-SA"/>
          <w:kern w:val="16"/>
          <w14:ligatures w14:val="standardContextual"/>
        </w:rPr>
        <w:t>5.8.1 Conceito e requisitos formais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Certidão de Tempo de Contribuição é o documento formal que instrumentaliza a contagem recíproca. Disciplinada nos arts. 125 a 134 do Decreto 3.048/99, a CTC deve conter obrigatoriamente:</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Identificação completa do segurado (nome, matrícula, RG, CPF, data de nascimento);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Órgão ou empresa de vínculo, cargo exercido e regime jurídico;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Período certificado (datas de início e fim), com discriminação de eventuais interrupções;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Tempo líquido de efetiva contribuição (em dias, ou anos/meses/dias);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Natureza do vínculo (celetista, estatutário, militar, etc.);</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Valores dos salários de contribuição (quando necessário para cálculo do benefício);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Declaração de que o tempo não foi utilizado para qualquer vantagem no regime de origem;</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Assinatura do responsável pela emissão e do dirigente do órgão.</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CTC é emitida em duas vias: a primeira entregue ao interessado, a segunda arquivada pelo órgão emissor com recibo de entrega. Quando o segurado possui cargos constitucionalmente acumuláveis, admite-se CTC única com destinação para até dois órgãos distintos.</w:t>
      </w:r>
    </w:p>
    <w:p>
      <w:pPr>
        <w:spacing w:before="260" w:after="80" w:line="240" w:lineRule="auto"/>
        <w:jc w:val="left"/>
      </w:pPr>
      <w:r>
        <w:rPr>
          <w:rFonts w:ascii="EB Garamond" w:hAnsi="EB Garamond" w:cs="EB Garamond"/>
          <w:b/>
          <w:i w:val="0"/>
          <w:color w:val="3A3128"/>
          <w:sz w:val="25"/>
          <w:lang w:val="pt-BR" w:bidi="ar-SA"/>
          <w:kern w:val="16"/>
          <w14:ligatures w14:val="standardContextual"/>
        </w:rPr>
        <w:t>5.8.2 Irreversibilidade — vedação de desaverbação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130, § 14, do Decreto 3.048/99 consagra o princípio da irreversibilidade da CTC: uma vez averbada no regime instituidor, o tempo certificado não pode ser "devolvido" ao regime de origem. Essa vedação impede o chamado "turismo previdenciário" — prática pela qual o segurado levava tempo de um regime para outro em busca de condições mais vantajosas, retornando ao regime original se a operação não se mostrasse proveitosa.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irreversibilidade tem consequência prática severa: o segurado deve ponderar cuidadosamente antes de requerer CTC, pois a decisão é definitiva. Se levar o tempo do RGPS para o RPPS e depois se arrepender (por exemplo, porque as regras do RPPS se tornaram menos vantajosas após uma reforma), não poderá recuperar o tempo no RGPS.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Cautela na emissão de CTC — análise de cenários</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advogado deve simular os cenários antes de orientar o cliente a requerer CTC: (1) qual seria a aposentadoria no RGPS sem a contagem recíproca? (2) qual seria a aposentadoria no RPPS com a averbação? (3) há regras de transição mais favoráveis em um dos regimes? (4) o tempo a ser certificado já gerou alguma vantagem funcional no regime de origem? Somente após essa análise comparativa é que se deve requerer a emissão da CTC. A decisão é irreversível.</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5.8.3 Emissão de CTC pelo INSS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Q</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uando o segurado pretende levar tempo do RGPS para RPPS, a CTC é emitida pelo INSS. O requerimento pode ser feito no portal Meu INSS ou presencialmente em agência. O INSS verificará se o período requerido consta no CNIS, se há pendências contributivas e se o tempo não foi utilizado para concessão de benefício no RGPS (não se pode emitir CTC de período que já integra aposentadoria concedida no RGPS).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prazo de análise segue a regra geral de 30 dias (art. 41-A, § 5º, Lei 8.213/91). Se o INSS indefere a emissão ou permanece inerte, cabe ação judicial no JEF.</w:t>
      </w:r>
    </w:p>
    <w:p>
      <w:pPr>
        <w:spacing w:before="260" w:after="80" w:line="240" w:lineRule="auto"/>
        <w:jc w:val="left"/>
      </w:pPr>
      <w:r>
        <w:rPr>
          <w:rFonts w:ascii="EB Garamond" w:hAnsi="EB Garamond" w:cs="EB Garamond"/>
          <w:b/>
          <w:i w:val="0"/>
          <w:color w:val="3A3128"/>
          <w:sz w:val="25"/>
          <w:lang w:val="pt-BR" w:bidi="ar-SA"/>
          <w:kern w:val="16"/>
          <w14:ligatures w14:val="standardContextual"/>
        </w:rPr>
        <w:t>5.8.4 CTC e os novos regimes de previdência complementar</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U</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ma questão contemporânea relevante é a interação entre a CTC e os regimes de previdência complementar dos servidores públicos (FUNPRESP-Exe, FUNPRESP-Jud, FUNPRESP-Leg). Servidores federais que ingressaram após a instituição do regime complementar contribuem para o RPPS apenas até o teto do RGPS, complementando a previdência por regime de capitalização. Quando esses servidores requerem CTC para levar tempo ao RGPS, surge a questão: a CTC certifica apenas o período com base de contribuição até o teto (regime básico) ou inclui os valores complementares?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resposta é que a CTC certifica apenas o tempo e os valores contributivos ao RPPS (regime básico), não incluindo valores da previdência complementar. O segurado que levar esse tempo para o RGPS terá seu benefício calculado com base nos salários de contribuição registrados na CTC, limitados ao teto do RPPS básico — que coincide com o teto do RGPS (R$ 8.475,55 em 2026). Os valores investidos na FUNPRESP permanecem como benefício privado do servidor.</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CTC de servidor com previdência complementar</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Para servidores federais pós-FUNPRESP (ingressados a partir de fev/2013), a CTC reflete apenas o regime básico (contribuição até o teto). Se esse servidor pedir exoneração e quiser aposentar-se no RGPS, seu benefício será necessariamente limitado ao teto do RGPS — não haverá forma de incorporar os valores da previdência complementar ao cálculo do RGPS. Os valores da FUNPRESP serão resgatados ou transformados em benefício complementar privado, conforme o regulamento do plano. O advogado deve alertar o servidor sobre essa limitação antes de orientar a emissão de CTC.</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5.8.5 CTC e a vedação da desaposentação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irreversibilidade da CTC guarda relação com a vedação da desaposentação (STF Tema 503). Assim como não é possível renunciar à aposentadoria para obter nova aposentadoria mais vantajosa (desaposentação), também não é possível "devolver" CTC já averbada. Ambas as vedações decorrem do mesmo princípio: a segurança jurídica e o equilíbrio atuarial dos regimes previdenciários.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5.9 Atividades concomitantes</w:t>
      </w:r>
    </w:p>
    <w:p>
      <w:pPr>
        <w:spacing w:before="260" w:after="80" w:line="240" w:lineRule="auto"/>
        <w:jc w:val="left"/>
      </w:pPr>
      <w:r>
        <w:rPr>
          <w:rFonts w:ascii="EB Garamond" w:hAnsi="EB Garamond" w:cs="EB Garamond"/>
          <w:b/>
          <w:i w:val="0"/>
          <w:color w:val="3A3128"/>
          <w:sz w:val="25"/>
          <w:lang w:val="pt-BR" w:bidi="ar-SA"/>
          <w:kern w:val="16"/>
          <w14:ligatures w14:val="standardContextual"/>
        </w:rPr>
        <w:t>5.9.1 Regime anterior à Lei 13.846/2019</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ntes da alteração legislativa promovida inicialmente pela MP 871, de 18/01/2019, e consolidada pela Lei 13.846, de 18/06/2019 (que converteu a MP), o art. 32 da Lei 8.213/91 estabelecia regime complexo de cálculo para segurados que exerciam atividades concomitantes (simultâneas) vinculadas ao RGPS. O sistema distinguia a "atividade principal" (geralmente a de maior remuneração ou a última exercida) das "atividades secundárias", aplicando cálculo proporcional ao tempo de contribuição em cada atividade.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cálculo proporcional funcionava da seguinte forma: o salário de benefício era composto (a) integralmente pelo salário de contribuição da atividade principal, e (b) proporcionalmente pelos salários de contribuição das atividades secundárias, na proporção do número de meses de contribuição em cada atividade em relação ao número de meses exigidos para a carência do benefício. Na prática, o segurado que exercia duas atividades raramente recebia benefício correspondente à soma integral de ambos os salários.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Esse regime gerava distorções evidentes: o segurado contribuía sobre a totalidade das remunerações (respeitado o teto), mas recebia benefício calculado proporcionalmente, em valor inferior à soma das contribuições. A incongruência era especialmente prejudicial para profissionais que mantinham múltiplos vínculos (professores, médicos, contadores, etc.).</w:t>
      </w:r>
    </w:p>
    <w:p>
      <w:pPr>
        <w:spacing w:before="260" w:after="80" w:line="240" w:lineRule="auto"/>
        <w:jc w:val="left"/>
      </w:pPr>
      <w:r>
        <w:rPr>
          <w:rFonts w:ascii="EB Garamond" w:hAnsi="EB Garamond" w:cs="EB Garamond"/>
          <w:b/>
          <w:i w:val="0"/>
          <w:color w:val="3A3128"/>
          <w:sz w:val="25"/>
          <w:lang w:val="pt-BR" w:bidi="ar-SA"/>
          <w:kern w:val="16"/>
          <w14:ligatures w14:val="standardContextual"/>
        </w:rPr>
        <w:t>5.9.2 Regime atual — Lei 13.846/2019</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MP 871/2019 (18/01/2019), convertida na Lei 13.846/2019 (18/06/2019), ao dar nova redação ao art. 32 da Lei 8.213/91, eliminou o cálculo proporcional. A nova regra é simples e direta: o salário de benefício é calculado com base na soma dos salários de contribuição de todas as atividades exercidas concomitantemente, respeitado o limite máximo do salário de contribuição (teto do RGPS).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redação atual do art. 32, § 1º: "Quando o segurado satisfizer, em relação a cada atividade, as condições do benefício requerido, o salário de benefício será calculado com base na soma dos salários de contribuição das atividades exercidas na data do requerimento ou do óbito, ou no período básico de cálculo, observado o limite máximo desse salário."</w:t>
      </w:r>
    </w:p>
    <w:p>
      <w:pPr>
        <w:spacing w:before="260" w:after="80" w:line="240" w:lineRule="auto"/>
        <w:jc w:val="left"/>
      </w:pPr>
      <w:r>
        <w:rPr>
          <w:rFonts w:ascii="EB Garamond" w:hAnsi="EB Garamond" w:cs="EB Garamond"/>
          <w:b/>
          <w:i w:val="0"/>
          <w:color w:val="3A3128"/>
          <w:sz w:val="25"/>
          <w:lang w:val="pt-BR" w:bidi="ar-SA"/>
          <w:kern w:val="16"/>
          <w14:ligatures w14:val="standardContextual"/>
        </w:rPr>
        <w:t>5.9.3 STJ Tema 1.070 — efeitos retroativos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STJ, no Tema 1.070 (REsp 1.870.793/RS), fixou tese com alcance temporal relevante: "Após o advento da Lei 9.876/99, e para fins de cálculo do benefício de aposentadoria, no caso do exercício de atividades concomitantes pelo segurado, o salário de contribuição deverá ser composto da soma de todas as contribuições previdenciárias por ele vertidas ao sistema, respeitado o teto previdenciário."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tese tem dois efeitos práticos: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1. </w:t>
      </w:r>
      <w:r>
        <w:rPr>
          <w:rFonts w:ascii="EB Garamond" w:hAnsi="EB Garamond" w:cs="EB Garamond"/>
          <w:b/>
          <w:i w:val="0"/>
          <w:color w:val="201B16"/>
          <w:sz w:val="20"/>
          <w:lang w:val="pt-BR" w:bidi="ar-SA"/>
          <w:kern w:val="16"/>
          <w14:ligatures w14:val="standardContextual"/>
        </w:rPr>
        <w:t>Para benefícios concedidos após 18/06/2019 (vigência da Lei 13.846/2019):</w:t>
      </w:r>
      <w:r>
        <w:rPr>
          <w:rFonts w:ascii="EB Garamond" w:hAnsi="EB Garamond" w:cs="EB Garamond"/>
          <w:b w:val="0"/>
          <w:i w:val="0"/>
          <w:color w:val="201B16"/>
          <w:sz w:val="20"/>
          <w:lang w:val="pt-BR" w:bidi="ar-SA"/>
          <w:kern w:val="16"/>
          <w14:ligatures w14:val="standardContextual"/>
        </w:rPr>
        <w:t xml:space="preserve"> A soma já é regra legal, sem controvérsia.</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2. </w:t>
      </w:r>
      <w:r>
        <w:rPr>
          <w:rFonts w:ascii="EB Garamond" w:hAnsi="EB Garamond" w:cs="EB Garamond"/>
          <w:b/>
          <w:i w:val="0"/>
          <w:color w:val="201B16"/>
          <w:sz w:val="20"/>
          <w:lang w:val="pt-BR" w:bidi="ar-SA"/>
          <w:kern w:val="16"/>
          <w14:ligatures w14:val="standardContextual"/>
        </w:rPr>
        <w:t>Para benefícios concedidos entre a Lei 9.876/99 (29/11/1999) e a Lei 13.846/2019 (18/06/2019):</w:t>
      </w:r>
      <w:r>
        <w:rPr>
          <w:rFonts w:ascii="EB Garamond" w:hAnsi="EB Garamond" w:cs="EB Garamond"/>
          <w:b w:val="0"/>
          <w:i w:val="0"/>
          <w:color w:val="201B16"/>
          <w:sz w:val="20"/>
          <w:lang w:val="pt-BR" w:bidi="ar-SA"/>
          <w:kern w:val="16"/>
          <w14:ligatures w14:val="standardContextual"/>
        </w:rPr>
        <w:t xml:space="preserve"> O Tema 1.070 reconhece que mesmo sob a vigência do antigo art. 32, a interpretação correta já era a soma integral, desde a Lei 9.876/99.</w:t>
      </w:r>
    </w:p>
    <w:p>
      <w:pPr>
        <w:spacing w:before="0" w:after="6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STJ Tema 1.070 — Revisão de benefícios por atividades concomitantes</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tese fixada pelo STJ viabiliza a revisão de benefícios concedidos entre 29/11/1999 e 18/06/2019 que foram calculados pelo método proporcional (antigo art. 32). O impacto dessa tese no cálculo do salário de benefício e as implicações para a revisão de benefícios em manutenção são examinados no Capítulo 16, seção 16.10, ao qual se remete o leitor para o detalhamento das fórmulas e cenários de cálculo. O prazo decadencial de 10 anos (art. 103, Lei 8.213/91) conta da data de início do benefício — muitos segurados aposentados antes de 2015 já perderam o prazo revisional.</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5.9.4 Exemplo numérico detalhado: cálculo proporcional vs. Soma integral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P</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ara compreender o impacto da mudança legislativa, considere o seguinte exemplo: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Segurado Pedro</w:t>
      </w:r>
      <w:r>
        <w:rPr>
          <w:rFonts w:ascii="EB Garamond" w:hAnsi="EB Garamond" w:cs="EB Garamond"/>
          <w:b w:val="0"/>
          <w:i w:val="0"/>
          <w:color w:val="201B16"/>
          <w:sz w:val="21"/>
          <w:lang w:val="pt-BR" w:bidi="ar-SA"/>
          <w:kern w:val="16"/>
          <w14:ligatures w14:val="standardContextual"/>
        </w:rPr>
        <w:t xml:space="preserve"> aposentou-se em março de 2018 (antes da Lei 13.846/2019) com dois vínculos concomitantes: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Atividade principal (Professor): salário de contribuição R$ 4.000,00 — 300 contribuições (atividade mais longa, eleita como principal)</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Atividade secundária (Contabilista autônomo): salário de contribuição R$ 3.000,00 — apenas 108 contribuições (nove anos de exercício paralelo)</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P</w:t>
      </w:r>
    </w:p>
    <w:p>
      <w:pPr>
        <w:spacing w:before="0" w:after="70" w:line="259" w:lineRule="auto"/>
        <w:jc w:val="both"/>
      </w:pPr>
      <w:r>
        <w:rPr>
          <w:rFonts w:ascii="EB Garamond" w:hAnsi="EB Garamond" w:cs="EB Garamond"/>
          <w:b/>
          <w:i w:val="0"/>
          <w:color w:val="201B16"/>
          <w:sz w:val="21"/>
          <w:lang w:val="pt-BR" w:bidi="ar-SA"/>
          <w:kern w:val="16"/>
          <w14:ligatures w14:val="standardContextual"/>
        </w:rPr>
        <w:t>elo cálculo proporcional antigo (art. 32, incisos I a III, Lei 8.213/91, redação original):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Na sistemática histórica, o salário de benefício da atividade secundária não entrava integralmente: tomava-se o salário de benefício </w:t>
      </w:r>
      <w:r>
        <w:rPr>
          <w:rFonts w:ascii="EB Garamond" w:hAnsi="EB Garamond" w:cs="EB Garamond"/>
          <w:b w:val="0"/>
          <w:i/>
          <w:color w:val="201B16"/>
          <w:sz w:val="21"/>
          <w:lang w:val="pt-BR" w:bidi="ar-SA"/>
          <w:kern w:val="16"/>
          <w14:ligatures w14:val="standardContextual"/>
        </w:rPr>
        <w:t>daquela</w:t>
      </w:r>
      <w:r>
        <w:rPr>
          <w:rFonts w:ascii="EB Garamond" w:hAnsi="EB Garamond" w:cs="EB Garamond"/>
          <w:b w:val="0"/>
          <w:i w:val="0"/>
          <w:color w:val="201B16"/>
          <w:sz w:val="21"/>
          <w:lang w:val="pt-BR" w:bidi="ar-SA"/>
          <w:kern w:val="16"/>
          <w14:ligatures w14:val="standardContextual"/>
        </w:rPr>
        <w:t xml:space="preserve"> atividade e aplicava-se a proporção entre o número de meses de contribuição na atividade secundária e o número de meses exigidos para a carência do benefício pretendido (no caso, 180 meses para a aposentadoria por tempo de contribuição). Assim:</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Atividade principal: salário de benefício de R$ 4.000,00 (integral, por ser a atividade preponderante)</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Atividade secundária: R$ 3.000,00 × (108/180) = R$ 3.000,00 × 0,60 = R$ 1.800,00</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Salário de benefício total: R$ 4.000,00 + R$ 1.800,00 = R$ 5.800,00</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P</w:t>
      </w:r>
    </w:p>
    <w:p>
      <w:pPr>
        <w:spacing w:before="0" w:after="70" w:line="259" w:lineRule="auto"/>
        <w:jc w:val="both"/>
      </w:pPr>
      <w:r>
        <w:rPr>
          <w:rFonts w:ascii="EB Garamond" w:hAnsi="EB Garamond" w:cs="EB Garamond"/>
          <w:b/>
          <w:i w:val="0"/>
          <w:color w:val="201B16"/>
          <w:sz w:val="21"/>
          <w:lang w:val="pt-BR" w:bidi="ar-SA"/>
          <w:kern w:val="16"/>
          <w14:ligatures w14:val="standardContextual"/>
        </w:rPr>
        <w:t>ela soma integral (entendimento do Tema 1.070/STJ):</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R$ 4.000,00 + R$ 3.000,00 = R$ 7.000,00 (respeitado o teto)</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D</w:t>
      </w:r>
    </w:p>
    <w:p>
      <w:pPr>
        <w:spacing w:before="0" w:after="70" w:line="259" w:lineRule="auto"/>
        <w:jc w:val="both"/>
      </w:pPr>
      <w:r>
        <w:rPr>
          <w:rFonts w:ascii="EB Garamond" w:hAnsi="EB Garamond" w:cs="EB Garamond"/>
          <w:b/>
          <w:i w:val="0"/>
          <w:color w:val="201B16"/>
          <w:sz w:val="21"/>
          <w:lang w:val="pt-BR" w:bidi="ar-SA"/>
          <w:kern w:val="16"/>
          <w14:ligatures w14:val="standardContextual"/>
        </w:rPr>
        <w:t>iferença mensal: R$ 1.200,00.</w:t>
      </w:r>
      <w:r>
        <w:rPr>
          <w:rFonts w:ascii="EB Garamond" w:hAnsi="EB Garamond" w:cs="EB Garamond"/>
          <w:b w:val="0"/>
          <w:i w:val="0"/>
          <w:color w:val="201B16"/>
          <w:sz w:val="21"/>
          <w:lang w:val="pt-BR" w:bidi="ar-SA"/>
          <w:kern w:val="16"/>
          <w14:ligatures w14:val="standardContextual"/>
        </w:rPr>
        <w:t xml:space="preserve"> Como Pedro tinha menos de 180 contribuições na atividade secundária, o cálculo proporcional reduziu o aproveitamento daquele salário a 60% do seu valor, gerando prejuízo direto. Esse é exatamente o efeito distorcivo que o Tema 1.070 corrige: o segurado contribuiu sobre os R$ 3.000,00 integrais, mas via apenas R$ 1.800,00 refletidos no benefício.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Quanto menor o número de contribuições na atividade secundária em relação aos 180 meses de carência, mais severo o prejuízo. Um segurado com apenas 90 contribuições na atividade secundária veria esse salário reduzido à metade (90/180 = 0,50), e um com 36 contribuições, a um quinto (36/180 = 0,20). Essa diferença mensal — que pode alcançar centenas ou milhares de reais — justifica amplamente a ação de revisão baseada no Tema 1.070/STJ, observado o prazo decadencial.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Cálculo da prescrição e decadência na revisão por concomitância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Para ações de revisão pelo Tema 1.070: (a) Decadência do direito de revisão: 10 anos contados do primeiro dia do mês seguinte ao recebimento da primeira prestação (art. 103, Lei 8.213/91); (b) Prescrição das parcelas: 5 anos retroativos contados do ajuizamento da ação. Assim, para um benefício concedido em março de 2015, o prazo decadencial expira em abril de 2025, ação ajuizada após essa data será extinta com mérito (decadência). Para benefício de 2016 em diante, o prazo ainda está aberto em 2026.</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5.9.5 Aspectos práticos da concomitância nos JEFs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N</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o JEF, as questões de atividades concomitantes surgem em dois contextos principais: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Ação de concessão:</w:t>
      </w:r>
      <w:r>
        <w:rPr>
          <w:rFonts w:ascii="EB Garamond" w:hAnsi="EB Garamond" w:cs="EB Garamond"/>
          <w:b w:val="0"/>
          <w:i w:val="0"/>
          <w:color w:val="201B16"/>
          <w:sz w:val="20"/>
          <w:lang w:val="pt-BR" w:bidi="ar-SA"/>
          <w:kern w:val="16"/>
          <w14:ligatures w14:val="standardContextual"/>
        </w:rPr>
        <w:t xml:space="preserve"> O segurado requer aposentadoria com cômputo simultâneo de dois ou mais vínculos. Desde a Lei 13.846/2019, o INSS deve somar integralmente os salários de contribuição. Se o INSS aplicar indevidamente o cálculo proporcional, cabe ação revisional.</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Ação de revisão (Tema 1.070):</w:t>
      </w:r>
      <w:r>
        <w:rPr>
          <w:rFonts w:ascii="EB Garamond" w:hAnsi="EB Garamond" w:cs="EB Garamond"/>
          <w:b w:val="0"/>
          <w:i w:val="0"/>
          <w:color w:val="201B16"/>
          <w:sz w:val="20"/>
          <w:lang w:val="pt-BR" w:bidi="ar-SA"/>
          <w:kern w:val="16"/>
          <w14:ligatures w14:val="standardContextual"/>
        </w:rPr>
        <w:t xml:space="preserve"> O segurado já aposentado requer recálculo do benefício com aplicação da soma integral. A revisão é cabível para benefícios concedidos após 29/11/1999 (Lei 9.876/99), observado o prazo decadencial de 10 anos.</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concomitância deve ser distinguida da pluralidade de vínculos sucessivos: se os vínculos não são simultâneos, não se trata de atividades concomitantes e o cálculo segue a regra geral (média dos salários de contribuição de todo o período contributivo).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Exemplo numérico: impacto da soma integral</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João aposentou-se em 2015 com dois vínculos simultâneos: professor (SC de R$ 3.000) e contador autônomo (SC de R$ 2.000). Pelo cálculo proporcional antigo, seu salário de benefício foi de R$ 3.600 (R$ 3.000 da atividade principal + 60% de R$ 2.000 da secundária). Com a aplicação do Tema 1.070, o correto seria R$ 5.000 (soma integral, abaixo do teto). A diferença mensal de R$ 1.400 justifica ação revisional — se ajuizada dentro do prazo decadencial de 10 anos (até 2025, no caso).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5.10 Tempo fictício: vedação pela EC 103/2019</w:t>
      </w:r>
    </w:p>
    <w:p>
      <w:pPr>
        <w:spacing w:before="260" w:after="80" w:line="240" w:lineRule="auto"/>
        <w:jc w:val="left"/>
      </w:pPr>
      <w:r>
        <w:rPr>
          <w:rFonts w:ascii="EB Garamond" w:hAnsi="EB Garamond" w:cs="EB Garamond"/>
          <w:b/>
          <w:i w:val="0"/>
          <w:color w:val="3A3128"/>
          <w:sz w:val="25"/>
          <w:lang w:val="pt-BR" w:bidi="ar-SA"/>
          <w:kern w:val="16"/>
          <w14:ligatures w14:val="standardContextual"/>
        </w:rPr>
        <w:t>5.10.1 Conceito de tempo fictício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T</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empo fictício é aquele computado para fins de aposentadoria sem que tenha havido efetiva prestação de serviço ou correspondente recolhimento de contribuição previdenciária. Trata-se de um "tempo presumido" por ficção legal, que existia em diversas legislações estaduais e federais anteriores à EC 20/1998.</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Exemplos históricos de tempo fictício: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Licença-prêmio não usufruída contada em dobro para aposentadoria;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Férias não gozadas convertidas em tempo de serviço;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Períodos de afastamento sem contribuição computados como tempo de serviço;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Tempo de residência médica computado em dobro;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"Tempo insalubre" computado com acréscimo sem efetivo exercício em condições especiais.</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tempo fictício era mais comum no âmbito dos Regimes Próprios (RPPSs) estaduais e municipais, onde legislações locais frequentemente criavam mecanismos de majoração artificial do tempo de serviço. No RGPS, o instituto era menos disseminado, embora existissem hipóteses pontuais.</w:t>
      </w:r>
    </w:p>
    <w:p>
      <w:pPr>
        <w:spacing w:before="260" w:after="80" w:line="240" w:lineRule="auto"/>
        <w:jc w:val="left"/>
      </w:pPr>
      <w:r>
        <w:rPr>
          <w:rFonts w:ascii="EB Garamond" w:hAnsi="EB Garamond" w:cs="EB Garamond"/>
          <w:b/>
          <w:i w:val="0"/>
          <w:color w:val="3A3128"/>
          <w:sz w:val="25"/>
          <w:lang w:val="pt-BR" w:bidi="ar-SA"/>
          <w:kern w:val="16"/>
          <w14:ligatures w14:val="standardContextual"/>
        </w:rPr>
        <w:t>5.10.2 Evolução normativa da vedação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vedação ao tempo fictício passou por três marcos normativos: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1. Lei 6.226/75, art. 4º, I:</w:t>
      </w:r>
      <w:r>
        <w:rPr>
          <w:rFonts w:ascii="EB Garamond" w:hAnsi="EB Garamond" w:cs="EB Garamond"/>
          <w:b w:val="0"/>
          <w:i w:val="0"/>
          <w:color w:val="201B16"/>
          <w:sz w:val="21"/>
          <w:lang w:val="pt-BR" w:bidi="ar-SA"/>
          <w:kern w:val="16"/>
          <w14:ligatures w14:val="standardContextual"/>
        </w:rPr>
        <w:t xml:space="preserve"> A primeira lei de contagem recíproca já vedava o cômputo de tempo fictício na transferência de tempo entre regimes. A lógica era evitar que uma ficção legal de um regime onerasse outro regime que não a previu.</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2. EC 20/1998, art. 40, § 10, CF:</w:t>
      </w:r>
      <w:r>
        <w:rPr>
          <w:rFonts w:ascii="EB Garamond" w:hAnsi="EB Garamond" w:cs="EB Garamond"/>
          <w:b w:val="0"/>
          <w:i w:val="0"/>
          <w:color w:val="201B16"/>
          <w:sz w:val="21"/>
          <w:lang w:val="pt-BR" w:bidi="ar-SA"/>
          <w:kern w:val="16"/>
          <w14:ligatures w14:val="standardContextual"/>
        </w:rPr>
        <w:t xml:space="preserve"> Constitucionalizou a vedação: "A lei não poderá estabelecer qualquer forma de contagem de tempo de contribuição fictício." A vedação operava como proibição dirigida ao legislador infraconstitucional, impedindo a criação de novos tempos fictícios. Tempos fictícios já adquiridos antes da EC 20/1998 foram preservados como direito adquirido.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3. EC 103/2019 — constitucionalização da vedação (art. 201, § 14, da CF):</w:t>
      </w:r>
      <w:r>
        <w:rPr>
          <w:rFonts w:ascii="EB Garamond" w:hAnsi="EB Garamond" w:cs="EB Garamond"/>
          <w:b w:val="0"/>
          <w:i w:val="0"/>
          <w:color w:val="201B16"/>
          <w:sz w:val="21"/>
          <w:lang w:val="pt-BR" w:bidi="ar-SA"/>
          <w:kern w:val="16"/>
          <w14:ligatures w14:val="standardContextual"/>
        </w:rPr>
        <w:t xml:space="preserve"> A reforma elevou a vedação ao patamar constitucional, dando a seguinte redação ao art. 201, § 14, da Constituição: "É vedada a contagem de tempo de contribuição fictício para efeito de concessão dos benefícios previdenciários e de contagem recíproca." O art. 25, § 2º, da própria EC 103, por sua vez, cuida de tema distinto — a conversão de tempo especial em comum —, examinado na seção 5.11.3.</w:t>
      </w:r>
    </w:p>
    <w:p>
      <w:pPr>
        <w:spacing w:before="260" w:after="80" w:line="240" w:lineRule="auto"/>
        <w:jc w:val="left"/>
      </w:pPr>
      <w:r>
        <w:rPr>
          <w:rFonts w:ascii="EB Garamond" w:hAnsi="EB Garamond" w:cs="EB Garamond"/>
          <w:b/>
          <w:i w:val="0"/>
          <w:color w:val="3A3128"/>
          <w:sz w:val="25"/>
          <w:lang w:val="pt-BR" w:bidi="ar-SA"/>
          <w:kern w:val="16"/>
          <w14:ligatures w14:val="standardContextual"/>
        </w:rPr>
        <w:t>5.10.3 Exceções mantidas: períodos legalmente equiparados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vedação ao tempo fictício não atinge períodos que a própria lei expressamente equipara a tempo de contribuição, pois nesses casos existe previsão legal específica (não se trata de ficção, mas de equiparação legislativa). São mantidos como válidos: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Atividade rural anterior a 1991</w:t>
      </w:r>
      <w:r>
        <w:rPr>
          <w:rFonts w:ascii="EB Garamond" w:hAnsi="EB Garamond" w:cs="EB Garamond"/>
          <w:b w:val="0"/>
          <w:i w:val="0"/>
          <w:color w:val="201B16"/>
          <w:sz w:val="20"/>
          <w:lang w:val="pt-BR" w:bidi="ar-SA"/>
          <w:kern w:val="16"/>
          <w14:ligatures w14:val="standardContextual"/>
        </w:rPr>
        <w:t xml:space="preserve"> (art. 55, § 2º, Lei 8.213/91): embora não haja recolhimento, existe exercício efetivo de atividade e previsão legal expressa;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Serviço militar obrigatório</w:t>
      </w:r>
      <w:r>
        <w:rPr>
          <w:rFonts w:ascii="EB Garamond" w:hAnsi="EB Garamond" w:cs="EB Garamond"/>
          <w:b w:val="0"/>
          <w:i w:val="0"/>
          <w:color w:val="201B16"/>
          <w:sz w:val="20"/>
          <w:lang w:val="pt-BR" w:bidi="ar-SA"/>
          <w:kern w:val="16"/>
          <w14:ligatures w14:val="standardContextual"/>
        </w:rPr>
        <w:t xml:space="preserve"> (art. 55, I, Lei 8.213/91): a imposição estatal justifica o cômputo;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Aluno-aprendiz</w:t>
      </w:r>
      <w:r>
        <w:rPr>
          <w:rFonts w:ascii="EB Garamond" w:hAnsi="EB Garamond" w:cs="EB Garamond"/>
          <w:b w:val="0"/>
          <w:i w:val="0"/>
          <w:color w:val="201B16"/>
          <w:sz w:val="20"/>
          <w:lang w:val="pt-BR" w:bidi="ar-SA"/>
          <w:kern w:val="16"/>
          <w14:ligatures w14:val="standardContextual"/>
        </w:rPr>
        <w:t xml:space="preserve"> (art. 188-G, IX, Decreto 3.048/99): existe retribuição e previsão normativa;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Gozo de benefício por incapacidade intercalado</w:t>
      </w:r>
      <w:r>
        <w:rPr>
          <w:rFonts w:ascii="EB Garamond" w:hAnsi="EB Garamond" w:cs="EB Garamond"/>
          <w:b w:val="0"/>
          <w:i w:val="0"/>
          <w:color w:val="201B16"/>
          <w:sz w:val="20"/>
          <w:lang w:val="pt-BR" w:bidi="ar-SA"/>
          <w:kern w:val="16"/>
          <w14:ligatures w14:val="standardContextual"/>
        </w:rPr>
        <w:t xml:space="preserve"> (art. 55, § 2º, Lei 8.213/91): o afastamento decorre de contingência social protegida;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Conversão de tempo especial em comum</w:t>
      </w:r>
      <w:r>
        <w:rPr>
          <w:rFonts w:ascii="EB Garamond" w:hAnsi="EB Garamond" w:cs="EB Garamond"/>
          <w:b w:val="0"/>
          <w:i w:val="0"/>
          <w:color w:val="201B16"/>
          <w:sz w:val="20"/>
          <w:lang w:val="pt-BR" w:bidi="ar-SA"/>
          <w:kern w:val="16"/>
          <w14:ligatures w14:val="standardContextual"/>
        </w:rPr>
        <w:t xml:space="preserve"> (para períodos anteriores a 13/11/2019): existe exercício efetivo em condições nocivas que justifica o acréscimo.</w:t>
      </w:r>
    </w:p>
    <w:p>
      <w:pPr>
        <w:spacing w:before="0" w:after="6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Tempo fictício × tempo sem contribuição com previsão legal</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Não se deve confundir tempo fictício (cômputo artificial, sem trabalho nem contribuição) com tempo sem contribuição previsto em lei (cômputo de período efetivamente trabalhado, mas sem recolhimento). O trabalhador rural que laborou de 1975 a 1991 sem recolher contribuição exerceu atividade real — o cômputo não é ficção. O servidor que convertia licença-prêmio não usufruída em tempo de serviço em dobro não trabalhou durante esse "dobro" — isso é tempo fictício. A distinção é conceitual e tem consequências práticas.</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5.10.4 Direito adquirido ao tempo fictício: marco temporal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direito adquirido ao tempo fictício é garantido pelo art. 5º, XXXVI, da Constituição Federal. Períodos de tempo fictício reconhecidos e incorporados ao patrimônio jurídico do servidor antes da vedação constitucional (EC 20/1998) são preservados. Assim:</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Tempo fictício adquirido até 15/12/1998 (véspera da EC 20):</w:t>
      </w:r>
      <w:r>
        <w:rPr>
          <w:rFonts w:ascii="EB Garamond" w:hAnsi="EB Garamond" w:cs="EB Garamond"/>
          <w:b w:val="0"/>
          <w:i w:val="0"/>
          <w:color w:val="201B16"/>
          <w:sz w:val="20"/>
          <w:lang w:val="pt-BR" w:bidi="ar-SA"/>
          <w:kern w:val="16"/>
          <w14:ligatures w14:val="standardContextual"/>
        </w:rPr>
        <w:t xml:space="preserve"> Mantido integralmente, pode ser certificado via CTC e utilizado para aposentadoria no RGPS, desde que a legislação estadual ou municipal vigente à época o permitisse.</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Tempo fictício previsto em legislação estadual/municipal vigente em 15/12/1998, mas cujo período se refere a fatos posteriores:</w:t>
      </w:r>
      <w:r>
        <w:rPr>
          <w:rFonts w:ascii="EB Garamond" w:hAnsi="EB Garamond" w:cs="EB Garamond"/>
          <w:b w:val="0"/>
          <w:i w:val="0"/>
          <w:color w:val="201B16"/>
          <w:sz w:val="20"/>
          <w:lang w:val="pt-BR" w:bidi="ar-SA"/>
          <w:kern w:val="16"/>
          <w14:ligatures w14:val="standardContextual"/>
        </w:rPr>
        <w:t xml:space="preserve"> A questão é controversa. A posição majoritária é que a vedação da EC 20 impede o cômputo de novos períodos fictícios a partir de sua vigência, mesmo que a lei local não tenha sido formalmente revogada. A lei que previa o cômputo perdeu eficácia por incompatibilidade superveniente com a Constituição.</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Licença-prêmio não usufruída:</w:t>
      </w:r>
      <w:r>
        <w:rPr>
          <w:rFonts w:ascii="EB Garamond" w:hAnsi="EB Garamond" w:cs="EB Garamond"/>
          <w:b w:val="0"/>
          <w:i w:val="0"/>
          <w:color w:val="201B16"/>
          <w:sz w:val="20"/>
          <w:lang w:val="pt-BR" w:bidi="ar-SA"/>
          <w:kern w:val="16"/>
          <w14:ligatures w14:val="standardContextual"/>
        </w:rPr>
        <w:t xml:space="preserve"> O exemplo mais frequente. Se o servidor adquiriu o direito à licença-prêmio antes da EC 20/1998 e a legislação local permitia a conversão em dobro para aposentadoria, esse direito é preservado. Se a licença-prêmio foi adquirida após a EC 20, não há direito à contagem em dobro.</w:t>
      </w:r>
    </w:p>
    <w:p>
      <w:pPr>
        <w:spacing w:before="0" w:after="6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STF Tema 840 (RE 683.621) — Vedação ao tempo fictício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 xml:space="preserve">A vedação constitucional ao tempo fictício foi consolidada pelo STF no </w:t>
            </w:r>
            <w:r>
              <w:rPr>
                <w:rFonts w:ascii="EB Garamond" w:hAnsi="EB Garamond" w:cs="EB Garamond"/>
                <w:b/>
                <w:i w:val="0"/>
                <w:color w:val="201B16"/>
                <w:sz w:val="19"/>
                <w:lang w:val="pt-BR" w:bidi="ar-SA"/>
                <w:kern w:val="16"/>
                <w14:ligatures w14:val="standardContextual"/>
              </w:rPr>
              <w:t>Tema 840 de repercussão geral (RE 683.621)</w:t>
            </w:r>
            <w:r>
              <w:rPr>
                <w:rFonts w:ascii="EB Garamond" w:hAnsi="EB Garamond" w:cs="EB Garamond"/>
                <w:b w:val="0"/>
                <w:i w:val="0"/>
                <w:color w:val="201B16"/>
                <w:sz w:val="19"/>
                <w:lang w:val="pt-BR" w:bidi="ar-SA"/>
                <w:kern w:val="16"/>
                <w14:ligatures w14:val="standardContextual"/>
              </w:rPr>
              <w:t>, no qual se firmou a tese de que "a expressão 'serviço efetivo, em qualquer regime jurídico', considerado o disposto no artigo 53 do Ato das Disposições Constitucionais Transitórias, não aproveita tempo ficto". O entendimento reforça que, a partir da EC 20/1998, nenhuma legislação infraconstitucional pode criar novas formas de contagem de tempo sem efetiva contribuição ou exercício de atividade. Por se tratar de tese fixada em repercussão geral, vincula os demais órgãos do Poder Judiciário e a Administração. Para o RGPS, o impacto é indireto: a vedação atinge principalmente os RPPSs, mas reflete-se na contagem recíproca (CTC com tempo fictício é recusada pelo INSS).</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5.10.5 Impacto da vedação no RGPS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N</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o RGPS, o impacto prático da vedação ao tempo fictício é limitado, pois o regime sempre operou predominantemente com base em tempo efetivo. As situações em que a vedação pode ser invocada nos JEFs são: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Tentativa de cômputo de licença-prêmio em dobro por ex-servidor:</w:t>
      </w:r>
      <w:r>
        <w:rPr>
          <w:rFonts w:ascii="EB Garamond" w:hAnsi="EB Garamond" w:cs="EB Garamond"/>
          <w:b w:val="0"/>
          <w:i w:val="0"/>
          <w:color w:val="201B16"/>
          <w:sz w:val="20"/>
          <w:lang w:val="pt-BR" w:bidi="ar-SA"/>
          <w:kern w:val="16"/>
          <w14:ligatures w14:val="standardContextual"/>
        </w:rPr>
        <w:t xml:space="preserve"> Quando o ex-servidor busca aposentadoria no RGPS e pretende levar tempo fictício (licença-prêmio em dobro) via CTC, o INSS pode recusar com fundamento na vedação.</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Conversão de tempo especial pós-EC 103:</w:t>
      </w:r>
      <w:r>
        <w:rPr>
          <w:rFonts w:ascii="EB Garamond" w:hAnsi="EB Garamond" w:cs="EB Garamond"/>
          <w:b w:val="0"/>
          <w:i w:val="0"/>
          <w:color w:val="201B16"/>
          <w:sz w:val="20"/>
          <w:lang w:val="pt-BR" w:bidi="ar-SA"/>
          <w:kern w:val="16"/>
          <w14:ligatures w14:val="standardContextual"/>
        </w:rPr>
        <w:t xml:space="preserve"> A vedação é invocada pelo INSS para negar a conversão de tempo especial em comum para períodos posteriores a 13/11/2019, argumentando que o acréscimo resultante da conversão configura tempo fictício. No julgamento da ADI 6.309 (j. 03/06/2026), o STF manteve a constitucionalidade dessa vedação para períodos posteriores a 13/11/2019 (afastando, no mesmo julgado, a exigência de idade mínima da aposentadoria especial).</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Tempo residência médica:</w:t>
      </w:r>
      <w:r>
        <w:rPr>
          <w:rFonts w:ascii="EB Garamond" w:hAnsi="EB Garamond" w:cs="EB Garamond"/>
          <w:b w:val="0"/>
          <w:i w:val="0"/>
          <w:color w:val="201B16"/>
          <w:sz w:val="20"/>
          <w:lang w:val="pt-BR" w:bidi="ar-SA"/>
          <w:kern w:val="16"/>
          <w14:ligatures w14:val="standardContextual"/>
        </w:rPr>
        <w:t xml:space="preserve"> Algumas legislações estaduais anteriormente computavam a residência médica em dobro. Com a vedação, esse cômputo não é mais admitido em nenhum regime.</w:t>
      </w:r>
    </w:p>
    <w:p>
      <w:pPr>
        <w:spacing w:before="0" w:after="6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5.11 Conversão de tempo especial em comum</w:t>
      </w:r>
    </w:p>
    <w:p>
      <w:pPr>
        <w:spacing w:before="260" w:after="80" w:line="240" w:lineRule="auto"/>
        <w:jc w:val="left"/>
      </w:pPr>
      <w:r>
        <w:rPr>
          <w:rFonts w:ascii="EB Garamond" w:hAnsi="EB Garamond" w:cs="EB Garamond"/>
          <w:b/>
          <w:i w:val="0"/>
          <w:color w:val="3A3128"/>
          <w:sz w:val="25"/>
          <w:lang w:val="pt-BR" w:bidi="ar-SA"/>
          <w:kern w:val="16"/>
          <w14:ligatures w14:val="standardContextual"/>
        </w:rPr>
        <w:t>5.11.1 Mecanismo da conversão e fatores aplicáveis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conversão de tempo especial em comum é o instrumento pelo qual o segurado que exerceu atividade em condições nocivas à saúde ou à integridade física, mas não completou o tempo necessário para aposentadoria especial (15, 20 ou 25 anos), pode transformar o período especial em tempo de contribuição comum mediante aplicação de fator multiplicador. O mecanismo está previsto no art. 57, § 5º, da Lei 8.213/91 e regulamentado pelo art. 70 do Decreto 3.048/99.</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Os fatores de conversão são calculados pela razão entre o tempo máximo de contribuição para aposentadoria comum (35 anos para homem, 30 para mulher) e o tempo exigido para aposentadoria especial:</w:t>
      </w:r>
    </w:p>
    <w:tbl>
      <w:tblPr>
        <w:tblW w:type="auto" w:w="0"/>
        <w:jc w:val="center"/>
        <w:tblLook w:firstColumn="1" w:firstRow="1" w:lastColumn="0" w:lastRow="0" w:noHBand="0" w:noVBand="1" w:val="04A0"/>
        <w:tblW w:w="5000" w:type="pct"/>
      </w:tblPr>
      <w:tblGrid>
        <w:gridCol w:w="1587"/>
        <w:gridCol w:w="1587"/>
        <w:gridCol w:w="1587"/>
        <w:gridCol w:w="1587"/>
      </w:tblGrid>
      <w:tr>
        <w:trPr>
          <w:tblHeader/>
        </w:trPr>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Tempo especial</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Fator (Homem)</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Fator (Mulher)</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Cálculo</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25 anos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1,40</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1,20</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35/25 = 1,40; 30/25 = 1,20</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 anos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1,75</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1,50</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35/20 = 1,75; 30/20 = 1,50</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15 anos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2,33</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2,00</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35/15 = 2,33; 30/15 = 2,00</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aplicação é simples: multiplica-se o tempo de atividade especial pelo fator correspondente. Assim, 10 anos de atividade especial (25 anos) de um segurado homem convertem-se em 14 anos de tempo comum (10 × 1,40 = 14). O segurado "ganha" 4 anos de tempo de contribuição pelo exercício de atividade em condições nocivas.</w:t>
      </w:r>
    </w:p>
    <w:p>
      <w:pPr>
        <w:spacing w:before="260" w:after="80" w:line="240" w:lineRule="auto"/>
        <w:jc w:val="left"/>
      </w:pPr>
      <w:r>
        <w:rPr>
          <w:rFonts w:ascii="EB Garamond" w:hAnsi="EB Garamond" w:cs="EB Garamond"/>
          <w:b/>
          <w:i w:val="0"/>
          <w:color w:val="3A3128"/>
          <w:sz w:val="25"/>
          <w:lang w:val="pt-BR" w:bidi="ar-SA"/>
          <w:kern w:val="16"/>
          <w14:ligatures w14:val="standardContextual"/>
        </w:rPr>
        <w:t>5.11.2 STJ Temas 422, 423 e 546 — direito à conversão e fator aplicável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N</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o julgamento do REsp 1.151.363/MG (Rel. Min. Jorge Mussi), leading case dos </w:t>
      </w:r>
      <w:r>
        <w:rPr>
          <w:rFonts w:ascii="EB Garamond" w:hAnsi="EB Garamond" w:cs="EB Garamond"/>
          <w:b/>
          <w:i w:val="0"/>
          <w:color w:val="201B16"/>
          <w:sz w:val="21"/>
          <w:lang w:val="pt-BR" w:bidi="ar-SA"/>
          <w:kern w:val="16"/>
          <w14:ligatures w14:val="standardContextual"/>
        </w:rPr>
        <w:t>Temas 422 e 423</w:t>
      </w:r>
      <w:r>
        <w:rPr>
          <w:rFonts w:ascii="EB Garamond" w:hAnsi="EB Garamond" w:cs="EB Garamond"/>
          <w:b w:val="0"/>
          <w:i w:val="0"/>
          <w:color w:val="201B16"/>
          <w:sz w:val="21"/>
          <w:lang w:val="pt-BR" w:bidi="ar-SA"/>
          <w:kern w:val="16"/>
          <w14:ligatures w14:val="standardContextual"/>
        </w:rPr>
        <w:t>, o STJ firmou duas proposições essenciais sobre a conversão de tempo especial em comum:</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1. </w:t>
      </w:r>
      <w:r>
        <w:rPr>
          <w:rFonts w:ascii="EB Garamond" w:hAnsi="EB Garamond" w:cs="EB Garamond"/>
          <w:b/>
          <w:i w:val="0"/>
          <w:color w:val="201B16"/>
          <w:sz w:val="20"/>
          <w:lang w:val="pt-BR" w:bidi="ar-SA"/>
          <w:kern w:val="16"/>
          <w14:ligatures w14:val="standardContextual"/>
        </w:rPr>
        <w:t>Permanência do direito à conversão (Tema 422):</w:t>
      </w:r>
      <w:r>
        <w:rPr>
          <w:rFonts w:ascii="EB Garamond" w:hAnsi="EB Garamond" w:cs="EB Garamond"/>
          <w:b w:val="0"/>
          <w:i w:val="0"/>
          <w:color w:val="201B16"/>
          <w:sz w:val="20"/>
          <w:lang w:val="pt-BR" w:bidi="ar-SA"/>
          <w:kern w:val="16"/>
          <w14:ligatures w14:val="standardContextual"/>
        </w:rPr>
        <w:t xml:space="preserve"> A possibilidade de conversão do tempo especial em comum permanece vigente para qualquer período trabalhado, inclusive após 28/05/1998. A controvérsia sobre a supressão do direito decorreu da MP 1.663-10/1998 (e suas reedições), que tentou extinguir a conversão. Porém, a conversão dessa MP na Lei 9.711/1998 não manteve a supressão do § 5º do art. 57 da Lei 8.213/91, preservando o direito.</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2. </w:t>
      </w:r>
      <w:r>
        <w:rPr>
          <w:rFonts w:ascii="EB Garamond" w:hAnsi="EB Garamond" w:cs="EB Garamond"/>
          <w:b/>
          <w:i w:val="0"/>
          <w:color w:val="201B16"/>
          <w:sz w:val="20"/>
          <w:lang w:val="pt-BR" w:bidi="ar-SA"/>
          <w:kern w:val="16"/>
          <w14:ligatures w14:val="standardContextual"/>
        </w:rPr>
        <w:t>Natureza do fator de conversão (Tema 423):</w:t>
      </w:r>
      <w:r>
        <w:rPr>
          <w:rFonts w:ascii="EB Garamond" w:hAnsi="EB Garamond" w:cs="EB Garamond"/>
          <w:b w:val="0"/>
          <w:i w:val="0"/>
          <w:color w:val="201B16"/>
          <w:sz w:val="20"/>
          <w:lang w:val="pt-BR" w:bidi="ar-SA"/>
          <w:kern w:val="16"/>
          <w14:ligatures w14:val="standardContextual"/>
        </w:rPr>
        <w:t xml:space="preserve"> A adoção deste ou daquele fator de conversão (1,40, 1,75 ou 2,33, conforme o caso) não constitui regra previdenciária de direito material, mas mero cálculo matemático: o fator corresponde à proporção entre o tempo total exigido para a aposentadoria integral e o tempo exigido para a aposentadoria especial. É operação aritmética, não escolha discricionária.</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esses dois enunciados soma-se uma terceira diretriz, fixada em julgamento autônomo e frequentemente confundida com o Tema 423: o </w:t>
      </w:r>
      <w:r>
        <w:rPr>
          <w:rFonts w:ascii="EB Garamond" w:hAnsi="EB Garamond" w:cs="EB Garamond"/>
          <w:b/>
          <w:i w:val="0"/>
          <w:color w:val="201B16"/>
          <w:sz w:val="21"/>
          <w:lang w:val="pt-BR" w:bidi="ar-SA"/>
          <w:kern w:val="16"/>
          <w14:ligatures w14:val="standardContextual"/>
        </w:rPr>
        <w:t>Tema 546/STJ</w:t>
      </w:r>
      <w:r>
        <w:rPr>
          <w:rFonts w:ascii="EB Garamond" w:hAnsi="EB Garamond" w:cs="EB Garamond"/>
          <w:b w:val="0"/>
          <w:i w:val="0"/>
          <w:color w:val="201B16"/>
          <w:sz w:val="21"/>
          <w:lang w:val="pt-BR" w:bidi="ar-SA"/>
          <w:kern w:val="16"/>
          <w14:ligatures w14:val="standardContextual"/>
        </w:rPr>
        <w:t xml:space="preserve"> (REsp 1.310.034/PR), segundo o qual "a lei vigente por ocasião da aposentadoria é a aplicável ao direito à conversão entre tempos de serviço especial e comum, independentemente do regime jurídico à época da prestação do serviço". É essa tese — e não a do Tema 423 — que autoriza converter períodos especiais remotos (décadas de 1970/1980) pelos fatores em vigor na data da aposentadoria (1,40/1,20 para 25 anos). A distinção é relevante na peça processual: o advogado deve invocar o Tema 422 para a permanência do direito após 1998, o Tema 423 para a natureza matemática do fator e o Tema 546 para a definição do fator pela legislação vigente na data da concessão.</w:t>
      </w:r>
    </w:p>
    <w:p>
      <w:pPr>
        <w:spacing w:before="260" w:after="80" w:line="240" w:lineRule="auto"/>
        <w:jc w:val="left"/>
      </w:pPr>
      <w:r>
        <w:rPr>
          <w:rFonts w:ascii="EB Garamond" w:hAnsi="EB Garamond" w:cs="EB Garamond"/>
          <w:b/>
          <w:i w:val="0"/>
          <w:color w:val="3A3128"/>
          <w:sz w:val="25"/>
          <w:lang w:val="pt-BR" w:bidi="ar-SA"/>
          <w:kern w:val="16"/>
          <w14:ligatures w14:val="standardContextual"/>
        </w:rPr>
        <w:t>5.11.3 Vedação pela EC 103/2019 — art. 25, § 2º</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25, § 2º, da EC 103/2019 dispõe que será reconhecida a conversão de tempo especial em comum apenas para o trabalho exercido até a data de entrada em vigor da emenda (13/11/2019). Para períodos trabalhados em condições especiais após essa data, a conversão está vedada.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vedação significa que o segurado que trabalha em condições nocivas após 13/11/2019 somente poderá utilizar esse tempo para fins de aposentadoria especial (observado o tempo de exposição exigido), mas não poderá converter o período em tempo comum para aposentadoria programada. A restrição é significativa, especialmente para segurados que não completarão 25 anos de atividade especial e que, sob o regime anterior, poderiam converter os anos especiais trabalhados em tempo comum com acréscimo.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ADI 6.309 — Constitucionalidade da vedação à conversão (confirmada)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 xml:space="preserve">A CNTI (Confederação Nacional dos Trabalhadores na Indústria) ajuizou a ADI 6.309 questionando, entre outros pontos, a constitucionalidade da vedação à conversão de tempo especial em comum pelo art. 25, § 2º, da EC 103/2019. O argumento central era que a conversão constitui compensação pelo exercício de atividade nociva à saúde, tendo natureza indenizatória — sua supressão violaria o princípio da proteção ao trabalhador e a vedação ao retrocesso social. No julgamento de 03/06/2026 (ADI 6.309, Rel. Orig. Min. Luís Roberto Barroso, red. P/ acórdão Min. André Mendonça), o Tribunal Pleno do STF, por 6 votos a 5, </w:t>
            </w:r>
            <w:r>
              <w:rPr>
                <w:rFonts w:ascii="EB Garamond" w:hAnsi="EB Garamond" w:cs="EB Garamond"/>
                <w:b/>
                <w:i w:val="0"/>
                <w:color w:val="201B16"/>
                <w:sz w:val="19"/>
                <w:lang w:val="pt-BR" w:bidi="ar-SA"/>
                <w:kern w:val="16"/>
                <w14:ligatures w14:val="standardContextual"/>
              </w:rPr>
              <w:t>confirmou a constitucionalidade da vedação à conversão</w:t>
            </w:r>
            <w:r>
              <w:rPr>
                <w:rFonts w:ascii="EB Garamond" w:hAnsi="EB Garamond" w:cs="EB Garamond"/>
                <w:b w:val="0"/>
                <w:i w:val="0"/>
                <w:color w:val="201B16"/>
                <w:sz w:val="19"/>
                <w:lang w:val="pt-BR" w:bidi="ar-SA"/>
                <w:kern w:val="16"/>
                <w14:ligatures w14:val="standardContextual"/>
              </w:rPr>
              <w:t xml:space="preserve"> para períodos posteriores a 13/11/2019, não acolhendo, nesse ponto, o argumento de lacuna de proteção. No mesmo julgamento, contudo, o Tribunal </w:t>
            </w:r>
            <w:r>
              <w:rPr>
                <w:rFonts w:ascii="EB Garamond" w:hAnsi="EB Garamond" w:cs="EB Garamond"/>
                <w:b/>
                <w:i w:val="0"/>
                <w:color w:val="201B16"/>
                <w:sz w:val="19"/>
                <w:lang w:val="pt-BR" w:bidi="ar-SA"/>
                <w:kern w:val="16"/>
                <w14:ligatures w14:val="standardContextual"/>
              </w:rPr>
              <w:t>declarou inconstitucional a exigência de idade mínima</w:t>
            </w:r>
            <w:r>
              <w:rPr>
                <w:rFonts w:ascii="EB Garamond" w:hAnsi="EB Garamond" w:cs="EB Garamond"/>
                <w:b w:val="0"/>
                <w:i w:val="0"/>
                <w:color w:val="201B16"/>
                <w:sz w:val="19"/>
                <w:lang w:val="pt-BR" w:bidi="ar-SA"/>
                <w:kern w:val="16"/>
                <w14:ligatures w14:val="standardContextual"/>
              </w:rPr>
              <w:t xml:space="preserve"> da aposentadoria especial, mantendo a nova forma de cálculo. Até o fechamento desta edição, o acórdão não havia sido publicado, de modo que eventual modulação de efeitos deve ser conferida no inteiro teor. Conclusão prática: a vedação à conversão pós-13/11/2019 permanece vigente.</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5.11.4 Direito adquirido e marco temporal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questão do marco temporal é crucial: o segurado que exerceu atividade especial até 13/11/2019 mantém o direito de converter esse período específico em tempo comum, mesmo que requeira a aposentadoria anos depois. A vedação atinge apenas períodos trabalhados após a publicação da EC 103/2019.</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Um segurado que trabalhou em condições especiais de 2000 a 2025, por exemplo, terá duas "parcelas" de tempo especial:</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De 2000 a 13/11/2019</w:t>
      </w:r>
      <w:r>
        <w:rPr>
          <w:rFonts w:ascii="EB Garamond" w:hAnsi="EB Garamond" w:cs="EB Garamond"/>
          <w:b w:val="0"/>
          <w:i w:val="0"/>
          <w:color w:val="201B16"/>
          <w:sz w:val="20"/>
          <w:lang w:val="pt-BR" w:bidi="ar-SA"/>
          <w:kern w:val="16"/>
          <w14:ligatures w14:val="standardContextual"/>
        </w:rPr>
        <w:t xml:space="preserve"> (19 anos e ~10 meses): conversível em tempo comum (× 1,40 para homem = ~27 anos e 9 meses);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De 14/11/2019 a 2025</w:t>
      </w:r>
      <w:r>
        <w:rPr>
          <w:rFonts w:ascii="EB Garamond" w:hAnsi="EB Garamond" w:cs="EB Garamond"/>
          <w:b w:val="0"/>
          <w:i w:val="0"/>
          <w:color w:val="201B16"/>
          <w:sz w:val="20"/>
          <w:lang w:val="pt-BR" w:bidi="ar-SA"/>
          <w:kern w:val="16"/>
          <w14:ligatures w14:val="standardContextual"/>
        </w:rPr>
        <w:t xml:space="preserve"> (~5 anos e 1 mês): não conversível, aproveitável apenas para aposentadoria especial.</w:t>
      </w:r>
    </w:p>
    <w:p>
      <w:pPr>
        <w:spacing w:before="0" w:after="6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Estratégia para período especial misto (antes/depois da EC 103)</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Para segurados com período especial que transpassa 13/11/2019, a melhor estratégia é: (1) converter o período anterior à EC em tempo comum (fator 1,40/1,20); (2) avaliar se o período posterior, somado ao anterior, completará os 25 anos de exposição para aposentadoria especial (afastada a exigência de idade mínima pela ADI 6.309); (3) se não completar, usar o tempo convertido para aposentadoria programada pela regra de transição mais favorável. Essa análise deve considerar a idade atual do segurado e o tempo faltante em cada cenário.</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5.11.5 Exemplos numéricos de conversão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E</w:t>
      </w:r>
    </w:p>
    <w:p>
      <w:pPr>
        <w:spacing w:before="0" w:after="70" w:line="259" w:lineRule="auto"/>
        <w:jc w:val="both"/>
      </w:pPr>
      <w:r>
        <w:rPr>
          <w:rFonts w:ascii="EB Garamond" w:hAnsi="EB Garamond" w:cs="EB Garamond"/>
          <w:b/>
          <w:i w:val="0"/>
          <w:color w:val="201B16"/>
          <w:sz w:val="21"/>
          <w:lang w:val="pt-BR" w:bidi="ar-SA"/>
          <w:kern w:val="16"/>
          <w14:ligatures w14:val="standardContextual"/>
        </w:rPr>
        <w:t>xemplo 1 — Conversão simples (período integral anterior à EC 103):</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Carlos trabalhou como eletricista (atividade especial de 25 anos) em indústria de 1990 a 2015 (25 anos). Em vez de requerer aposentadoria especial (cuja exigência de idade mínima introduzida pela EC 103/2019 foi, posteriormente, declarada inconstitucional pelo STF na ADI 6.309, j. 03/06/2026), Carlos pode converter todo o período: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25 anos × 1,40 = 35 anos de tempo comum</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Com 35 anos de tempo comum, Carlos pode se aposentar pela regra de transição do pedágio 50% (se faltavam menos de 2 anos em 13/11/2019) ou pela regra de pontos.</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E</w:t>
      </w:r>
    </w:p>
    <w:p>
      <w:pPr>
        <w:spacing w:before="0" w:after="70" w:line="259" w:lineRule="auto"/>
        <w:jc w:val="both"/>
      </w:pPr>
      <w:r>
        <w:rPr>
          <w:rFonts w:ascii="EB Garamond" w:hAnsi="EB Garamond" w:cs="EB Garamond"/>
          <w:b/>
          <w:i w:val="0"/>
          <w:color w:val="201B16"/>
          <w:sz w:val="21"/>
          <w:lang w:val="pt-BR" w:bidi="ar-SA"/>
          <w:kern w:val="16"/>
          <w14:ligatures w14:val="standardContextual"/>
        </w:rPr>
        <w:t>xemplo 2 — Conversão parcial (período misto):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Ana trabalhou como enfermeira em UTI hospitalar (atividade especial de 25 anos) de 2005 a 2026 (21 anos). Ela também tem 10 anos de atividade administrativa (não especial) anterior:</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Período especial até 13/11/2019: 14 anos e 10 meses (2005 a 13/11/2019)</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Período especial após 13/11/2019: 6 anos e 2 meses (14/11/2019 a 2026), não conversível</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Conversão do período anterior: 14 anos e 10 meses × 1,20 = 17 anos e 10 meses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Tempo comum administrativo: 10 anos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Total para aposentadoria programada: 27 anos e 10 meses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Período especial total (sem conversão): 21 anos, insuficiente para aposentadoria especial (exige 25 anos de efetiva exposição)</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N</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este cenário, Ana não atinge nem a aposentadoria especial (faltam 4 anos) nem a aposentadoria programada (faltam 2 anos e 2 meses de tempo, mais idade de 62 anos). Porém, a conversão lhe acresceu 3 anos adicionais decorrentes do fator de conversão (17a10m - 14a10m = 3 anos), aproximando-a da aposentadoria — acréscimo que não constitui tempo fictício, pois corresponde a exercício efetivo em condições nocivas (seção 5.10.3).</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Exemplo 3 — Impacto financeiro da conversão na pontuação: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Roberto, 58 anos em 2026, tem 32 anos de tempo comum urbano. Se reconhecidos 5 anos de atividade especial (exposição a ruído) no início da carreira: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Sem conversão: 32 anos de TC + 58 de idade = 90 pontos. A regra de pontos exige 103 pontos em 2026 (art. 15 da EC 103/2019: o patamar era de 96 pontos em 2019 e acresce 1 ponto a cada ano, alcançando 103 para homens e 93 para mulheres em 2026, até o teto de 105 pontos para homens, fixado em 2028). Faltam, portanto, 13 pontos.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Com conversão: 5 anos × 1,40 = 7 anos convertidos. TC total = 32 - 5 + 7 = 34 anos. Pontos = 34 + 58 = 92 — ainda insuficiente em 2026, mas faltam apenas 11. O efeito da conversão é um acréscimo único de 2 pontos de TC (de 90 para 92), e não uma alteração na velocidade de acumulação: tanto com quanto sem conversão, cada ano de trabalho adiante soma 2 pontos (1 de idade e 1 de tempo de contribuição). O ganho está em antecipar o requisito — Roberto parte de um patamar mais alto e, mantendo-se em atividade, cumpre os pontos exigidos um ano antes do que cumpriria sem a conversão.</w:t>
      </w:r>
    </w:p>
    <w:p>
      <w:pPr>
        <w:spacing w:before="0" w:after="6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Tabela de referência rápida, ganho de tempo pela conversão</w:t>
            </w:r>
          </w:p>
          <w:tbl>
            <w:tblPr>
              <w:tblW w:type="auto" w:w="0"/>
              <w:jc w:val="center"/>
              <w:tblLook w:firstColumn="1" w:firstRow="1" w:lastColumn="0" w:lastRow="0" w:noHBand="0" w:noVBand="1" w:val="04A0"/>
              <w:tblW w:w="5000" w:type="pct"/>
            </w:tblPr>
            <w:tblGrid>
              <w:gridCol w:w="1270"/>
              <w:gridCol w:w="1270"/>
              <w:gridCol w:w="1270"/>
              <w:gridCol w:w="1270"/>
              <w:gridCol w:w="1270"/>
            </w:tblGrid>
            <w:tr>
              <w:trPr>
                <w:tblHeader/>
              </w:trPr>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Tempo especial (25 anos)</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Conversão Homem (×1,40)</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Ganho</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Conversão Mulher (×1,20)</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Ganho</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5 anos</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7 anos</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+2 anos</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6 anos</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 ano</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10 anos</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14 anos</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+4 anos</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12 anos</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+2 anos</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15 anos</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21 anos</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+6 anos</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18 anos</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+3 anos</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20 anos</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28 anos</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+8 anos</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24 anos</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+4 anos</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25 anos</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35 anos</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+10 anos</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30 anos</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+5 anos</w:t>
                  </w:r>
                </w:p>
              </w:tc>
            </w:tr>
          </w:tbl>
          <w:p/>
          <w:p>
            <w:pPr>
              <w:spacing w:before="0" w:after="0" w:line="240" w:lineRule="auto"/>
            </w:pPr>
          </w:p>
          <w:p>
            <w:pPr>
              <w:spacing w:before="0" w:after="60" w:line="247" w:lineRule="auto"/>
              <w:jc w:val="both"/>
            </w:pPr>
            <w:r>
              <w:rPr>
                <w:rFonts w:ascii="EB Garamond" w:hAnsi="EB Garamond" w:cs="EB Garamond"/>
                <w:b w:val="0"/>
                <w:i w:val="0"/>
                <w:color w:val="201B16"/>
                <w:sz w:val="19"/>
                <w:lang w:val="pt-BR" w:bidi="ar-SA"/>
                <w:kern w:val="16"/>
                <w14:ligatures w14:val="standardContextual"/>
              </w:rPr>
              <w:t>Para atividades com enquadramento em 20 anos (mineração subterrânea, exposição a asbesto): Homem ×1,75 (ganho de 75%); Mulher ×1,50 (ganho de 50%). Para 15 anos: Homem ×2,33; Mulher ×2,00.</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5.11.6 Enquadramento profissional e períodos especiais antigos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P</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ara períodos anteriores a 29/04/1995 (véspera da Lei 9.032/1995), o reconhecimento da atividade especial pode se dar por enquadramento na categoria profissional, sem necessidade de prova de exposição efetiva a agentes nocivos. Os Decretos 53.831/1964 e 83.080/1979 listavam categorias profissionais presumidamente expostas (médicos, enfermeiros, engenheiros elétricos, motoristas de ônibus, frentistas, etc.).</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períodos entre 29/04/1995 e 05/03/1997, admite-se o enquadramento por categoria profissional ou por comprovação de exposição a agentes nocivos por qualquer meio (inclusive formulários SB-40, DISES-BE 5235, DSS 8030).</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períodos a partir de 06/03/1997 (Decreto 2.172/1997), exige-se laudo técnico — e a partir de 01/01/2004, o PPP (Perfil Profissiográfico Previdenciário) é obrigatório.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Essa evolução temporal repercute diretamente na conversão: períodos especiais antigos (décadas de 1970/1980) podem ser reconhecidos apenas pela categoria profissional, convertidos com o fator 1,40/1,20, e somados ao tempo comum, sem necessidade de laudos técnicos ou PPP.</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Jurisprudência consolidada do STJ — Enquadramento por categoria profissional</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STJ consolidou o entendimento de que, para o período anterior à Lei 9.032/1995, o reconhecimento da atividade especial pode se dar por enquadramento na categoria profissional prevista nos Decretos 53.831/1964 e 83.080/1979. Não se exige laudo técnico ou PPP para esses períodos. A tese beneficia especialmente trabalhadores que exerceram profissões típicas de exposição (vigilantes, telefonistas, motoristas) em épocas nas quais a documentação patronal era precária.</w:t>
            </w:r>
          </w:p>
          <w:p>
            <w:pPr>
              <w:spacing w:before="0" w:after="60" w:line="247" w:lineRule="auto"/>
              <w:jc w:val="both"/>
            </w:pPr>
            <w:r>
              <w:rPr>
                <w:rFonts w:ascii="EB Garamond" w:hAnsi="EB Garamond" w:cs="EB Garamond"/>
                <w:b/>
                <w:i w:val="0"/>
                <w:color w:val="201B16"/>
                <w:sz w:val="19"/>
                <w:lang w:val="pt-BR" w:bidi="ar-SA"/>
                <w:kern w:val="16"/>
                <w14:ligatures w14:val="standardContextual"/>
              </w:rPr>
              <w:t>Ressalva importante:</w:t>
            </w:r>
            <w:r>
              <w:rPr>
                <w:rFonts w:ascii="EB Garamond" w:hAnsi="EB Garamond" w:cs="EB Garamond"/>
                <w:b w:val="0"/>
                <w:i w:val="0"/>
                <w:color w:val="201B16"/>
                <w:sz w:val="19"/>
                <w:lang w:val="pt-BR" w:bidi="ar-SA"/>
                <w:kern w:val="16"/>
                <w14:ligatures w14:val="standardContextual"/>
              </w:rPr>
              <w:t xml:space="preserve"> o enquadramento por categoria profissional até 1995 não dispensa a análise específica de cada agente e de cada atividade — e a matéria comporta nuances que serão aprofundadas no capítulo de aposentadoria especial. O exemplo do vigilante é ilustrativo: o STF, no Tema 1.209 (RE 1.368.225, j. 18/02/2026), firmou que a atividade de vigilante não se caracteriza como especial — com ou sem o uso de arma de fogo — quando fundada apenas na periculosidade (risco de assalto ou de violência); o reconhecimento da especialidade exige a efetiva exposição habitual e permanente a agentes nocivos à saúde, não bastando a periculosidade da função nem a nomenclatura do cargo. Assim, a citação de "vigilantes, telefonistas e motoristas" neste capítulo serve apenas como exemplo histórico de categorias listadas nos decretos da época, não como afirmação de que toda atividade dessas categorias seja automaticamente especial. Remete-se o leitor ao capítulo próprio para o exame de cada agente nocivo e da evolução jurisprudencial respectiva.</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5.11.7 Conversão inversa: tempo comum em especial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70, § 2º, do Decreto 3.048/99 vedou a conversão inversa (tempo comum em tempo especial) a partir de 28/05/1998. Para períodos anteriores a essa data, a conversão inversa era admitida, com fatores invertidos (0,71 para homem, 0,83 para mulher, no caso de 25 anos). Atualmente, a conversão opera exclusivamente em sentido unidirecional: de especial para comum.</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5.12 Acordos internacionais previdenciários</w:t>
      </w:r>
    </w:p>
    <w:p>
      <w:pPr>
        <w:spacing w:before="260" w:after="80" w:line="240" w:lineRule="auto"/>
        <w:jc w:val="left"/>
      </w:pPr>
      <w:r>
        <w:rPr>
          <w:rFonts w:ascii="EB Garamond" w:hAnsi="EB Garamond" w:cs="EB Garamond"/>
          <w:b/>
          <w:i w:val="0"/>
          <w:color w:val="3A3128"/>
          <w:sz w:val="25"/>
          <w:lang w:val="pt-BR" w:bidi="ar-SA"/>
          <w:kern w:val="16"/>
          <w14:ligatures w14:val="standardContextual"/>
        </w:rPr>
        <w:t>5.12.1 Fundamento e natureza jurídica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 acordos internacionais previdenciários são tratados bilaterais ou multilaterais firmados pelo Brasil com outros países, com o objetivo de garantir a proteção previdenciária de trabalhadores que exercem ou exerceram atividade em mais de um país signatário. Esses acordos têm status supralegal no ordenamento brasileiro (abaixo da Constituição, acima da lei ordinária) e são promulgados por decreto presidencial após aprovação legislativa.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Decreto 3.048/99, em seu art. 150-A (incluído pelo Decreto 10.410/2020), disciplina as regras gerais de aplicação dos acordos internacionais no âmbito do RGPS. O INSS é o órgão de ligação brasileiro (liaison body) responsável pela operacionalização dos acordos.</w:t>
      </w:r>
    </w:p>
    <w:p>
      <w:pPr>
        <w:spacing w:before="260" w:after="80" w:line="240" w:lineRule="auto"/>
        <w:jc w:val="left"/>
      </w:pPr>
      <w:r>
        <w:rPr>
          <w:rFonts w:ascii="EB Garamond" w:hAnsi="EB Garamond" w:cs="EB Garamond"/>
          <w:b/>
          <w:i w:val="0"/>
          <w:color w:val="3A3128"/>
          <w:sz w:val="25"/>
          <w:lang w:val="pt-BR" w:bidi="ar-SA"/>
          <w:kern w:val="16"/>
          <w14:ligatures w14:val="standardContextual"/>
        </w:rPr>
        <w:t>5.12.2 Mecanismo de totalização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princípio fundamental dos acordos internacionais previdenciários é a totalização: os períodos de contribuição cumpridos em cada país signatário são somados para que o segurado atinja os requisitos mínimos de aposentadoria (tempo de contribuição e/ou carência) em um dos países.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mecanismo opera da seguinte forma: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1. </w:t>
      </w:r>
      <w:r>
        <w:rPr>
          <w:rFonts w:ascii="EB Garamond" w:hAnsi="EB Garamond" w:cs="EB Garamond"/>
          <w:b w:val="0"/>
          <w:i w:val="0"/>
          <w:color w:val="201B16"/>
          <w:sz w:val="20"/>
          <w:lang w:val="pt-BR" w:bidi="ar-SA"/>
          <w:kern w:val="16"/>
          <w14:ligatures w14:val="standardContextual"/>
        </w:rPr>
        <w:t>O segurado que trabalhou no Brasil e em país signatário solicita aposentadoria ao INSS (ou à instituição previdenciária do outro país);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2. </w:t>
      </w:r>
      <w:r>
        <w:rPr>
          <w:rFonts w:ascii="EB Garamond" w:hAnsi="EB Garamond" w:cs="EB Garamond"/>
          <w:b w:val="0"/>
          <w:i w:val="0"/>
          <w:color w:val="201B16"/>
          <w:sz w:val="20"/>
          <w:lang w:val="pt-BR" w:bidi="ar-SA"/>
          <w:kern w:val="16"/>
          <w14:ligatures w14:val="standardContextual"/>
        </w:rPr>
        <w:t>O órgão de ligação consulta o país contraparte para obter informações sobre os períodos cumpridos naquele território;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3. </w:t>
      </w:r>
      <w:r>
        <w:rPr>
          <w:rFonts w:ascii="EB Garamond" w:hAnsi="EB Garamond" w:cs="EB Garamond"/>
          <w:b w:val="0"/>
          <w:i w:val="0"/>
          <w:color w:val="201B16"/>
          <w:sz w:val="20"/>
          <w:lang w:val="pt-BR" w:bidi="ar-SA"/>
          <w:kern w:val="16"/>
          <w14:ligatures w14:val="standardContextual"/>
        </w:rPr>
        <w:t>Os períodos são somados (totalizados) para verificar se o segurado cumpre os requisitos;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4. </w:t>
      </w:r>
      <w:r>
        <w:rPr>
          <w:rFonts w:ascii="EB Garamond" w:hAnsi="EB Garamond" w:cs="EB Garamond"/>
          <w:b w:val="0"/>
          <w:i w:val="0"/>
          <w:color w:val="201B16"/>
          <w:sz w:val="20"/>
          <w:lang w:val="pt-BR" w:bidi="ar-SA"/>
          <w:kern w:val="16"/>
          <w14:ligatures w14:val="standardContextual"/>
        </w:rPr>
        <w:t>Se o benefício for concedido, cada país paga proporcionalmente ao tempo de contribuição nele cumprido (cálculo pro rata temporis).</w:t>
      </w:r>
    </w:p>
    <w:p>
      <w:pPr>
        <w:spacing w:before="0" w:after="6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5.12.3 Cálculo pro rata temporis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cálculo pro rata temporis determina que cada país paga uma parcela do benefício proporcional ao tempo de contribuição nele cumprido. Exemplo: se o segurado trabalhou 20 anos no Brasil e 10 anos em Portugal, cumprindo os 30 anos exigidos para aposentadoria pelo acordo bilateral:</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Brasil paga 2/3 do benefício (20/30);</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Portugal paga 1/3 do benefício (10/30).</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C</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ada país calcula sua parcela segundo sua própria legislação interna, aplicando os percentuais e critérios locais. O resultado pode variar significativamente conforme as regras previdenciárias de cada país.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Alguns acordos preveem cláusula de benefício integral: quando o segurado cumpre todos os requisitos de um país considerando apenas o tempo cumprido naquele país (sem totalização), ele recebe o benefício integral daquele país, sem necessidade de pro rata.</w:t>
      </w:r>
    </w:p>
    <w:p>
      <w:pPr>
        <w:spacing w:before="260" w:after="80" w:line="240" w:lineRule="auto"/>
        <w:jc w:val="left"/>
      </w:pPr>
      <w:r>
        <w:rPr>
          <w:rFonts w:ascii="EB Garamond" w:hAnsi="EB Garamond" w:cs="EB Garamond"/>
          <w:b/>
          <w:i w:val="0"/>
          <w:color w:val="3A3128"/>
          <w:sz w:val="25"/>
          <w:lang w:val="pt-BR" w:bidi="ar-SA"/>
          <w:kern w:val="16"/>
          <w14:ligatures w14:val="standardContextual"/>
        </w:rPr>
        <w:t>5.12.4 Principais acordos bilaterais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Brasil mantém acordos previdenciários — bilaterais e multilaterais — com diversos países e blocos. Entre os mais relevantes para a prática nos JEFs, destacam-se os seguintes instrumentos:</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País/Bloco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Decreto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Vigência</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Portugal</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Dec. 1.457/1995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1995</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Espanha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Dec. 1.681/1995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1995</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Itália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Dec. 1.576/1995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1995</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Alemanha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Dec. 99.377/1990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1990</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Japão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Dec. 7.702/2012</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2012</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EUA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Dec. 9.422/2018</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2018 (efetivo em 01/10/2018)</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França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Dec. 3.598/2000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2000</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Chile</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Dec. 2.860/1998</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1998</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Coreia do Sul</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Dec. 10.514/2020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2020</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Suíça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Dec. 11.076/2022</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2022</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Índia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Dec. 11.075/2022</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2022</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Luxemburgo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Dec. 11.020/2022</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2022</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Mercosul (multilateral)</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Dec. 5.722/2006</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2006</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Ibero-Americano (multilateral)</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Dec. 8.358/2014</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2014</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5.12.5 Acordo multilateral do Mercosul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Acordo Multilateral de Seguridade Social do Mercosul (Argentina, Brasil, Paraguai e Uruguai), promulgado pelo Decreto 5.722/2006, permite a totalização de períodos cumpridos em qualquer dos países membros. O acordo abrange: aposentadoria por idade, aposentadoria por incapacidade permanente, pensão por morte e, em alguns casos, auxílio por incapacidade temporária.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segurado que trabalhou em dois ou mais países do Mercosul apresenta o requerimento ao organismo de ligação de seu país de residência, que coordena a troca de informações com os demais países. O processamento pode ser demorado (6 meses a 2 anos), dada a necessidade de comunicação entre múltiplos organismos.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Requerimento de totalização — aspectos práticos</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requerimento de benefício com totalização internacional é feito no INSS, mediante formulário específico (requerimento de acordo internacional). O segurado deve informar: país(es) onde trabalhou, períodos aproximados, número de inscrição no sistema previdenciário estrangeiro (se disponível). O INSS encaminha o pedido à Divisão de Acordos Internacionais, que promove a comunicação com o organismo de ligação do outro país. Nos JEFs, ações envolvendo acordos internacionais são admissíveis quando o INSS indefere a totalização ou demora excessivamente na análise. A competência é do JEF quando o valor da causa não ultrapassa 60 SM.</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5.12.6 Acordo Brasil-Japão: particularidades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acordo previdenciário Brasil-Japão (Decreto 7.702/2012) tem especial relevância diante da significativa comunidade nipo-brasileira. O acordo permite:</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Totalização de períodos cumpridos nos dois países;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Isenção de contribuição obrigatória (trabalhador deslocado temporariamente contribui apenas no país de origem);</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Cálculo pro rata temporis para aposentadoria.</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particularidade do acordo japonês é a existência de efeitos retroativos: períodos de contribuição no Japão anteriores à vigência do acordo podem ser totalizados, beneficiando os chamados "dekasseguis" (brasileiros que trabalharam no Japão nas décadas de 1990 e 2000). Essa retroatividade amplia o universo de beneficiários.</w:t>
      </w:r>
    </w:p>
    <w:p>
      <w:pPr>
        <w:spacing w:before="260" w:after="80" w:line="240" w:lineRule="auto"/>
        <w:jc w:val="left"/>
      </w:pPr>
      <w:r>
        <w:rPr>
          <w:rFonts w:ascii="EB Garamond" w:hAnsi="EB Garamond" w:cs="EB Garamond"/>
          <w:b/>
          <w:i w:val="0"/>
          <w:color w:val="3A3128"/>
          <w:sz w:val="25"/>
          <w:lang w:val="pt-BR" w:bidi="ar-SA"/>
          <w:kern w:val="16"/>
          <w14:ligatures w14:val="standardContextual"/>
        </w:rPr>
        <w:t>5.12.7 Acordo Brasil-EUA: aspectos relevantes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acordo previdenciário entre Brasil e Estados Unidos (Decreto 9.422/2018, em vigor desde 01/10/2018) é relativamente recente e tem impacto crescente, dada a significativa comunidade de brasileiros que trabalham ou trabalharam nos EUA. O acordo permite:</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Totalização de períodos:</w:t>
      </w:r>
      <w:r>
        <w:rPr>
          <w:rFonts w:ascii="EB Garamond" w:hAnsi="EB Garamond" w:cs="EB Garamond"/>
          <w:b w:val="0"/>
          <w:i w:val="0"/>
          <w:color w:val="201B16"/>
          <w:sz w:val="20"/>
          <w:lang w:val="pt-BR" w:bidi="ar-SA"/>
          <w:kern w:val="16"/>
          <w14:ligatures w14:val="standardContextual"/>
        </w:rPr>
        <w:t xml:space="preserve"> Contribuições ao Social Security americano podem ser somadas ao tempo brasileiro para cumprimento de requisitos;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Isenção de dupla contribuição:</w:t>
      </w:r>
      <w:r>
        <w:rPr>
          <w:rFonts w:ascii="EB Garamond" w:hAnsi="EB Garamond" w:cs="EB Garamond"/>
          <w:b w:val="0"/>
          <w:i w:val="0"/>
          <w:color w:val="201B16"/>
          <w:sz w:val="20"/>
          <w:lang w:val="pt-BR" w:bidi="ar-SA"/>
          <w:kern w:val="16"/>
          <w14:ligatures w14:val="standardContextual"/>
        </w:rPr>
        <w:t xml:space="preserve"> Trabalhadores deslocados temporariamente (até 5 anos) contribuem apenas no país de origem;</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Benefícios abrangidos:</w:t>
      </w:r>
      <w:r>
        <w:rPr>
          <w:rFonts w:ascii="EB Garamond" w:hAnsi="EB Garamond" w:cs="EB Garamond"/>
          <w:b w:val="0"/>
          <w:i w:val="0"/>
          <w:color w:val="201B16"/>
          <w:sz w:val="20"/>
          <w:lang w:val="pt-BR" w:bidi="ar-SA"/>
          <w:kern w:val="16"/>
          <w14:ligatures w14:val="standardContextual"/>
        </w:rPr>
        <w:t xml:space="preserve"> Aposentadoria por idade, aposentadoria por incapacidade permanente e pensão por morte (survivor benefits). Não abrange Medicare ou Medicaid.</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particularidade do acordo com os EUA é o sistema de "créditos" americano: o Social Security exige 40 créditos (aproximadamente 10 anos de trabalho) para full retirement benefits. Com a totalização, o brasileiro que trabalhou 6 anos nos EUA e 20 anos no Brasil pode usar os 26 anos totais para atingir os requisitos em ambos os países (recebendo parcelas proporcionais de cada).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Dekasseguis e o acordo Brasil-Japão — caso prático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Situação comum nos JEFs: Marcos, brasileiro, trabalhou no Japão de 1995 a 2010 (15 anos) e retornou ao Brasil, onde contribuiu de 2010 a 2026 (16 anos). Sem totalização, Marcos não completa os requisitos em nenhum dos países isoladamente. Com o acordo bilateral (Decreto 7.702/2012): totalização de 31 anos atinge os requisitos no Brasil (regra de transição com 31 anos + idade). O benefício brasileiro será calculado pro rata: 16/31 do valor integral. O Japão pagará sua parcela: 15/31 conforme regras japonesas. Marcos receberá dois pagamentos parciais, um de cada país. O requerimento é feito no INSS, que aciona o organismo japonês.</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5.12.8 Dificuldades práticas na operacionalização dos acordos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experiência nos JEFs revela que o gargalo dos acordos internacionais raramente está no direito material e quase sempre na operacionalização. O obstáculo mais sensível é a demora no processamento: a comunicação entre os organismos de ligação — mediante formulários próprios de cada acordo (BRA/JPN para o Japão, BRA/USA para os Estados Unidos, e assim por diante) — depende da confirmação do país contraparte e pode arrastar-se por meses ou anos. A essa lentidão soma-se a dificuldade de obtenção da documentação estrangeira, agravada nos países sem cooperação administrativa ágil e diante de segurados que, décadas depois, já não conservam os comprovantes do período trabalhado no exterior. Quando os documentos finalmente chegam, surgem entraves adicionais: a conversão de valores entre sistemas previdenciários de bases de cálculo distintas, necessária ao cálculo pro rata, e a exigência de tradução juramentada para a juntada em juízo. O quadro torna-se ainda mais delicado na pensão por morte decorrente de óbito ocorrido no exterior, cuja certificação pelos organismos de ligação costuma ser extremamente morosa.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Diante desse cenário, a orientação prática ao advogado que atua nos JEFs é metódica: verificar, de início, se existe acordo com o país em questão; identificar os formulários específicos daquele instrumento; instruir o requerimento administrativo com toda a documentação disponível do período no exterior; e, havendo indeferimento ou demora injustificada (superior a um ano), ajuizar ação no JEF com pedido de antecipação de tutela para que o INSS processe o requerimento.</w:t>
      </w:r>
    </w:p>
    <w:p>
      <w:pPr>
        <w:spacing w:before="260" w:after="80" w:line="240" w:lineRule="auto"/>
        <w:jc w:val="left"/>
      </w:pPr>
      <w:r>
        <w:rPr>
          <w:rFonts w:ascii="EB Garamond" w:hAnsi="EB Garamond" w:cs="EB Garamond"/>
          <w:b/>
          <w:i w:val="0"/>
          <w:color w:val="3A3128"/>
          <w:sz w:val="25"/>
          <w:lang w:val="pt-BR" w:bidi="ar-SA"/>
          <w:kern w:val="16"/>
          <w14:ligatures w14:val="standardContextual"/>
        </w:rPr>
        <w:t>5.12.9 Competência judicial e questões processuais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ções envolvendo acordos internacionais previdenciários são de competência da Justiça Federal (art. 109, I e III, CF), pois envolvem o INSS e podem implicar aplicação de tratado internacional. A competência do JEF é determinada pelo valor da causa (até 60 SM). Na prática, a maioria das ações de totalização internacional se enquadra na competência dos JEFs, pois o valor em discussão é o próprio benefício mensal multiplicado por 12 (raras vezes ultrapassa o teto de alçada).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As dificuldades processuais são significativas: a obtenção de documentos do exterior pode exigir carta rogatória ou auxílio direto; a comunicação entre os organismos de ligação é lenta; as legislações estrangeiras devem ser provadas pela parte (art. 376, CPC). No cotidiano dos JEFs, os juízes têm admitido a expedição de ofício ao INSS (Divisão de Acordos Internacionais) para obtenção das informações, dispensando o segurado de providenciar diretamente a documentação estrangeira.</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5.13 Aspectos práticos no JEF: estratégias de reconhecimento de tempo</w:t>
      </w:r>
    </w:p>
    <w:p>
      <w:pPr>
        <w:spacing w:before="260" w:after="80" w:line="240" w:lineRule="auto"/>
        <w:jc w:val="left"/>
      </w:pPr>
      <w:r>
        <w:rPr>
          <w:rFonts w:ascii="EB Garamond" w:hAnsi="EB Garamond" w:cs="EB Garamond"/>
          <w:b/>
          <w:i w:val="0"/>
          <w:color w:val="3A3128"/>
          <w:sz w:val="25"/>
          <w:lang w:val="pt-BR" w:bidi="ar-SA"/>
          <w:kern w:val="16"/>
          <w14:ligatures w14:val="standardContextual"/>
        </w:rPr>
        <w:t>5.13.1 Competência e valor da causa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competência do Juizado Especial Federal para ações de reconhecimento de tempo de contribuição é determinada pelo art. 3º da Lei 10.259/2001: causas de até 60 salários-mínimos (R$ 97.260,00 em 2026). O valor da causa corresponde ao benefício econômico pretendido: se o objetivo é a concessão de aposentadoria, o valor é 12 parcelas do benefício estimado mais as prestações vencidas; se é revisão, o valor é a diferença mensal multiplicada por 12 mais as diferenças pretéritas (limitadas a 5 anos).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Importante: a ação de mero reconhecimento de tempo (sem concessão ou revisão de benefício) tem valor inestimável e, segundo a jurisprudência dominante, enquadra-se na competência do JEF por se tratar de obrigação de fazer contra autarquia federal. Essa interpretação é relevante para segurados que pretendem apenas a retificação do CNIS sem pedido imediato de benefício.</w:t>
      </w:r>
    </w:p>
    <w:p>
      <w:pPr>
        <w:spacing w:before="260" w:after="80" w:line="240" w:lineRule="auto"/>
        <w:jc w:val="left"/>
      </w:pPr>
      <w:r>
        <w:rPr>
          <w:rFonts w:ascii="EB Garamond" w:hAnsi="EB Garamond" w:cs="EB Garamond"/>
          <w:b/>
          <w:i w:val="0"/>
          <w:color w:val="3A3128"/>
          <w:sz w:val="25"/>
          <w:lang w:val="pt-BR" w:bidi="ar-SA"/>
          <w:kern w:val="16"/>
          <w14:ligatures w14:val="standardContextual"/>
        </w:rPr>
        <w:t>5.13.2 Prévio requerimento administrativo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STF, no RE 631.240 (Tema 350), fixou a necessidade de prévio requerimento administrativo para ações previdenciárias. Para ações de reconhecimento de tempo de contribuição, o segurado deve primeiramente requerer ao INSS o cômputo do período pretendido. O indeferimento (ou a inércia após 30 dias) configura o interesse processual necessário para o ajuizamento.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Exceção relevante: quando o INSS já indeferiu benefício desconsiderando o período que o segurado pretende reconhecer, o prévio requerimento específico de retificação é dispensável — o indeferimento do benefício evidencia a resistência do INSS ao reconhecimento do tempo.</w:t>
      </w:r>
    </w:p>
    <w:p>
      <w:pPr>
        <w:spacing w:before="260" w:after="80" w:line="240" w:lineRule="auto"/>
        <w:jc w:val="left"/>
      </w:pPr>
      <w:r>
        <w:rPr>
          <w:rFonts w:ascii="EB Garamond" w:hAnsi="EB Garamond" w:cs="EB Garamond"/>
          <w:b/>
          <w:i w:val="0"/>
          <w:color w:val="3A3128"/>
          <w:sz w:val="25"/>
          <w:lang w:val="pt-BR" w:bidi="ar-SA"/>
          <w:kern w:val="16"/>
          <w14:ligatures w14:val="standardContextual"/>
        </w:rPr>
        <w:t>5.13.3 Justificação administrativa e judicial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justificação administrativa (art. 108, Lei 8.213/91, c/c arts. 571 a 578, IN 128/2022) é procedimento para produção de prova testemunhal perante o INSS, utilizada quando o segurado necessita de prova oral para complementar documentos. A justificação administrativa tem caráter meramente probatório — o INSS avalia as declarações e decide discricionariamente sobre o reconhecimento do tempo.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justificação judicial (art. 381, CPC) é procedimento cautelar de produção antecipada de prova, utilizada quando: (a) há risco de perecimento da prova (testemunha idosa ou enferma); (b) o segurado ainda não possui elementos para ajuizar a ação principal mas precisa produzir prova oral. A justificação judicial produz prova perante o juízo, com contraditório (intimação do INSS), e pode ser utilizada tanto no processo principal quanto em novo requerimento administrativo.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Quando usar justificação administrativa vs. Judicial</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justificação administrativa é mais rápida e menos onerosa — deve ser preferida quando o segurado tem documentação razoável e a prova testemunhal é complementar. A justificação judicial é indicada quando: (a) o INSS já indeferiu justificação administrativa anterior; (b) as testemunhas são muito idosas e há urgência; (c) o segurado precisa de prova com valor judicial desde logo (para instruir ação de concessão). Na prática, muitos advogados optam por ajuizar diretamente a ação de concessão com pedido de produção de prova oral em audiência, dispensando a justificação prévia.</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5.13.4 Ônus da prova e regras de experiência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N</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o processo previdenciário nos JEFs, a distribuição do ônus da prova segue regras específicas: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Dados regulares no CNIS:</w:t>
      </w:r>
      <w:r>
        <w:rPr>
          <w:rFonts w:ascii="EB Garamond" w:hAnsi="EB Garamond" w:cs="EB Garamond"/>
          <w:b w:val="0"/>
          <w:i w:val="0"/>
          <w:color w:val="201B16"/>
          <w:sz w:val="20"/>
          <w:lang w:val="pt-BR" w:bidi="ar-SA"/>
          <w:kern w:val="16"/>
          <w14:ligatures w14:val="standardContextual"/>
        </w:rPr>
        <w:t xml:space="preserve"> Presunção a favor do segurado — ônus do INSS demonstrar irregularidade;</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Dados com indicador de pendência:</w:t>
      </w:r>
      <w:r>
        <w:rPr>
          <w:rFonts w:ascii="EB Garamond" w:hAnsi="EB Garamond" w:cs="EB Garamond"/>
          <w:b w:val="0"/>
          <w:i w:val="0"/>
          <w:color w:val="201B16"/>
          <w:sz w:val="20"/>
          <w:lang w:val="pt-BR" w:bidi="ar-SA"/>
          <w:kern w:val="16"/>
          <w14:ligatures w14:val="standardContextual"/>
        </w:rPr>
        <w:t xml:space="preserve"> Ônus do segurado apresentar documentação complementar;</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Período não registrado no CNIS:</w:t>
      </w:r>
      <w:r>
        <w:rPr>
          <w:rFonts w:ascii="EB Garamond" w:hAnsi="EB Garamond" w:cs="EB Garamond"/>
          <w:b w:val="0"/>
          <w:i w:val="0"/>
          <w:color w:val="201B16"/>
          <w:sz w:val="20"/>
          <w:lang w:val="pt-BR" w:bidi="ar-SA"/>
          <w:kern w:val="16"/>
          <w14:ligatures w14:val="standardContextual"/>
        </w:rPr>
        <w:t xml:space="preserve"> Ônus do segurado demonstrar a existência do vínculo ou atividade;</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Atividade rural:</w:t>
      </w:r>
      <w:r>
        <w:rPr>
          <w:rFonts w:ascii="EB Garamond" w:hAnsi="EB Garamond" w:cs="EB Garamond"/>
          <w:b w:val="0"/>
          <w:i w:val="0"/>
          <w:color w:val="201B16"/>
          <w:sz w:val="20"/>
          <w:lang w:val="pt-BR" w:bidi="ar-SA"/>
          <w:kern w:val="16"/>
          <w14:ligatures w14:val="standardContextual"/>
        </w:rPr>
        <w:t xml:space="preserve"> Início de prova material é ônus do segurado; sua adequação e extensão temporal seguem o princípio pro misero.</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juiz pode (e deve) aplicar regras de experiência na valoração da prova: é notório que empregadores rurais de pequeno porte frequentemente não formalizavam vínculos; que empresas extintas não mantinham arquivos; que trabalhadores informais das décadas de 1970/1980 não possuíam documentação. Essas circunstâncias não podem obstar o reconhecimento de direitos previdenciários quando o conjunto probatório, ainda que imperfeito, forma convicção razoável.</w:t>
      </w:r>
    </w:p>
    <w:p>
      <w:pPr>
        <w:spacing w:before="260" w:after="80" w:line="240" w:lineRule="auto"/>
        <w:jc w:val="left"/>
      </w:pPr>
      <w:r>
        <w:rPr>
          <w:rFonts w:ascii="EB Garamond" w:hAnsi="EB Garamond" w:cs="EB Garamond"/>
          <w:b/>
          <w:i w:val="0"/>
          <w:color w:val="3A3128"/>
          <w:sz w:val="25"/>
          <w:lang w:val="pt-BR" w:bidi="ar-SA"/>
          <w:kern w:val="16"/>
          <w14:ligatures w14:val="standardContextual"/>
        </w:rPr>
        <w:t>5.13.5 Tutela provisória em ações de cômputo de tempo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E</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m ações de concessão de aposentadoria que dependem do reconhecimento de tempo, a tutela provisória (antecipação dos efeitos da tutela) pode ser concedida quando presentes a probabilidade do direito e o perigo de dano. A jurisprudência dos JEFs é relativamente generosa na concessão de tutela antecipada em matéria previdenciária, especialmente quando o segurado é idoso ou tem saúde comprometida.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ações de mero reconhecimento de tempo (sem concessão imediata de benefício), a tutela provisória pode determinar a inclusão do período no CNIS, permitindo que o segurado requeira administrativamente o benefício sem aguardar o trânsito em julgado.</w:t>
      </w:r>
    </w:p>
    <w:p>
      <w:pPr>
        <w:spacing w:before="260" w:after="80" w:line="240" w:lineRule="auto"/>
        <w:jc w:val="left"/>
      </w:pPr>
      <w:r>
        <w:rPr>
          <w:rFonts w:ascii="EB Garamond" w:hAnsi="EB Garamond" w:cs="EB Garamond"/>
          <w:b/>
          <w:i w:val="0"/>
          <w:color w:val="3A3128"/>
          <w:sz w:val="25"/>
          <w:lang w:val="pt-BR" w:bidi="ar-SA"/>
          <w:kern w:val="16"/>
          <w14:ligatures w14:val="standardContextual"/>
        </w:rPr>
        <w:t>5.13.6 Audiência de instrução em ações de reconhecimento de tempo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audiência de instrução nos JEFs em ações de reconhecimento de tempo de contribuição (especialmente atividade rural) possui particularidades que o advogado deve conhecer:</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Oitiva de testemunhas:</w:t>
      </w:r>
      <w:r>
        <w:rPr>
          <w:rFonts w:ascii="EB Garamond" w:hAnsi="EB Garamond" w:cs="EB Garamond"/>
          <w:b w:val="0"/>
          <w:i w:val="0"/>
          <w:color w:val="201B16"/>
          <w:sz w:val="21"/>
          <w:lang w:val="pt-BR" w:bidi="ar-SA"/>
          <w:kern w:val="16"/>
          <w14:ligatures w14:val="standardContextual"/>
        </w:rPr>
        <w:t xml:space="preserve"> Geralmente são ouvidas 2 a 3 testemunhas por parte (limite do JEF). As testemunhas devem ter conhecimento direto e contemporâneo da atividade alegada. Perguntas sugestivas (leading questions) são inadmissíveis. O juiz valorará a espontaneidade, a coerência e a riqueza de detalhes dos depoimentos.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Depoimento pessoal do autor:</w:t>
      </w:r>
      <w:r>
        <w:rPr>
          <w:rFonts w:ascii="EB Garamond" w:hAnsi="EB Garamond" w:cs="EB Garamond"/>
          <w:b w:val="0"/>
          <w:i w:val="0"/>
          <w:color w:val="201B16"/>
          <w:sz w:val="21"/>
          <w:lang w:val="pt-BR" w:bidi="ar-SA"/>
          <w:kern w:val="16"/>
          <w14:ligatures w14:val="standardContextual"/>
        </w:rPr>
        <w:t xml:space="preserve"> O juiz frequentemente inquire o próprio segurado sobre as condições do trabalho rural: tipo de cultura, extensão da propriedade, quem mais trabalhava, se havia empregados, qual era a renda da família, quando e por que deixou o campo. Inconsistências entre o depoimento do autor e das testemunhas enfraquecem a credibilidade da prova.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Audiência por videoconferência:</w:t>
      </w:r>
      <w:r>
        <w:rPr>
          <w:rFonts w:ascii="EB Garamond" w:hAnsi="EB Garamond" w:cs="EB Garamond"/>
          <w:b w:val="0"/>
          <w:i w:val="0"/>
          <w:color w:val="201B16"/>
          <w:sz w:val="21"/>
          <w:lang w:val="pt-BR" w:bidi="ar-SA"/>
          <w:kern w:val="16"/>
          <w14:ligatures w14:val="standardContextual"/>
        </w:rPr>
        <w:t xml:space="preserve"> Após a pandemia, os JEFs ampliaram o uso de audiências por videoconferência (art. 12, § 1º, Lei 10.259/2001, c/c Resolução 354/2020 do CNJ). Para testemunhas rurais em localidades remotas, a videoconferência pode ser realizada em agências do INSS, Casas de Cidadania ou unidades de atendimento do JEF itinerante.</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Inspeção judicial in loco:</w:t>
      </w:r>
      <w:r>
        <w:rPr>
          <w:rFonts w:ascii="EB Garamond" w:hAnsi="EB Garamond" w:cs="EB Garamond"/>
          <w:b w:val="0"/>
          <w:i w:val="0"/>
          <w:color w:val="201B16"/>
          <w:sz w:val="21"/>
          <w:lang w:val="pt-BR" w:bidi="ar-SA"/>
          <w:kern w:val="16"/>
          <w14:ligatures w14:val="standardContextual"/>
        </w:rPr>
        <w:t xml:space="preserve"> Em casos excepcionais, o juiz pode determinar inspeção judicial na propriedade rural para verificar vestígios de atividade agrícola (galpões, equipamentos, cercas, plantações). Embora rara, a inspeção é admitida quando a prova documental e testemunhal é insuficiente para formar convicção.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Preparação de testemunhas para audiência de atividade rural</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advogado deve orientar (sem direcionar ou instruir depoimento) suas testemunhas sobre os pontos relevantes que serão abordados: localização da propriedade, período de trabalho, tipo de atividade (agricultura, pecuária, pesca), membros da família que trabalhavam, condições de moradia, se havia escola rural na região. Testemunhas que conhecem o segurado apenas do "bairro" ou da "cidade" não servem para comprovar atividade rural — devem ser pessoas que efetivamente presenciaram o trabalho no campo.</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5.13.7 Prova pericial e inspeção judicial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E</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m determinadas situações, a prova do tempo de contribuição pode exigir medidas instrutórias especiais: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Prova pericial grafotécnica:</w:t>
      </w:r>
      <w:r>
        <w:rPr>
          <w:rFonts w:ascii="EB Garamond" w:hAnsi="EB Garamond" w:cs="EB Garamond"/>
          <w:b w:val="0"/>
          <w:i w:val="0"/>
          <w:color w:val="201B16"/>
          <w:sz w:val="20"/>
          <w:lang w:val="pt-BR" w:bidi="ar-SA"/>
          <w:kern w:val="16"/>
          <w14:ligatures w14:val="standardContextual"/>
        </w:rPr>
        <w:t xml:space="preserve"> Quando há impugnação da autenticidade de documentos (CTPS com suspeita de adulteração, certidões com indícios de falsidade);</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Perícia contábil:</w:t>
      </w:r>
      <w:r>
        <w:rPr>
          <w:rFonts w:ascii="EB Garamond" w:hAnsi="EB Garamond" w:cs="EB Garamond"/>
          <w:b w:val="0"/>
          <w:i w:val="0"/>
          <w:color w:val="201B16"/>
          <w:sz w:val="20"/>
          <w:lang w:val="pt-BR" w:bidi="ar-SA"/>
          <w:kern w:val="16"/>
          <w14:ligatures w14:val="standardContextual"/>
        </w:rPr>
        <w:t xml:space="preserve"> Para verificação de valores de salários de contribuição em casos complexos (múltiplas fontes, divergências entre documentos e CNIS);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Inspeção judicial:</w:t>
      </w:r>
      <w:r>
        <w:rPr>
          <w:rFonts w:ascii="EB Garamond" w:hAnsi="EB Garamond" w:cs="EB Garamond"/>
          <w:b w:val="0"/>
          <w:i w:val="0"/>
          <w:color w:val="201B16"/>
          <w:sz w:val="20"/>
          <w:lang w:val="pt-BR" w:bidi="ar-SA"/>
          <w:kern w:val="16"/>
          <w14:ligatures w14:val="standardContextual"/>
        </w:rPr>
        <w:t xml:space="preserve"> Raramente utilizada, mas cabível quando é necessário verificar in loco a existência de atividade rural (propriedade rural, vestígios de atividade agrícola);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Prova emprestada:</w:t>
      </w:r>
      <w:r>
        <w:rPr>
          <w:rFonts w:ascii="EB Garamond" w:hAnsi="EB Garamond" w:cs="EB Garamond"/>
          <w:b w:val="0"/>
          <w:i w:val="0"/>
          <w:color w:val="201B16"/>
          <w:sz w:val="20"/>
          <w:lang w:val="pt-BR" w:bidi="ar-SA"/>
          <w:kern w:val="16"/>
          <w14:ligatures w14:val="standardContextual"/>
        </w:rPr>
        <w:t xml:space="preserve"> Depoimentos colhidos em outros processos (trabalhista, criminal, etc.) podem ser utilizados como prova emprestada no JEF, desde que garantido o contraditório.</w:t>
      </w:r>
    </w:p>
    <w:p>
      <w:pPr>
        <w:spacing w:before="0" w:after="6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5.13.8 Coisa julgada e possibilidade de nova ação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sentença de improcedência em ação de reconhecimento de tempo forma coisa julgada material, impedindo nova ação com os mesmos fundamentos. Contudo, se surgirem documentos novos (que o segurado desconhecia ou não podia obter quando da primeira ação), é possível ação rescisória ou nova ação com fundamento diverso.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Já a sentença de extinção sem mérito (por ausência de início de prova material, conforme STJ Tema 629) não impede a propositura de nova ação com documentação mais robusta, pois não há coisa julgada sobre o mérito.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Cuidado: fundamentação do pedido de reconhecimento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Ao redigir a petição inicial de reconhecimento de tempo, o advogado deve individualizar cada período e seu respectivo fundamento jurídico. Não basta pedir genericamente "o reconhecimento de todo o tempo de contribuição": é necessário especificar se o período é rural (art. 55, § 2º), militar (art. 55, I), de aluno-aprendiz (Súmula 96/TCU), de atividade especial (art. 57), etc. A individualização evita decisões genéricas e facilita a execução da sentença.</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5.13.9 Cumprimento de sentença e efetivação no CNIS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pós o trânsito em julgado de sentença favorável, o cumprimento se dá mediante comunicação ao INSS para: (a) inclusão dos períodos reconhecidos no CNIS; (b) concessão ou revisão do benefício conforme o caso; (c) pagamento de parcelas vencidas. No JEF, o pagamento de atrasados segue o sistema de RPV (Requisição de Pequeno Valor) quando não ultrapassa 60 SM, dispensando precatório.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resistência do INSS ao cumprimento da sentença previdenciária é, infelizmente, recorrente. Casos de demora no cumprimento, aplicação incorreta dos parâmetros da sentença ou recusa em incluir períodos no CNIS autorizam a imposição de multa (astreintes) e, em casos graves, a responsabilização por crime de desobediência ou improbidade administrativa.</w:t>
      </w:r>
    </w:p>
    <w:p>
      <w:pPr>
        <w:spacing w:before="260" w:after="80" w:line="240" w:lineRule="auto"/>
        <w:jc w:val="left"/>
      </w:pPr>
      <w:r>
        <w:rPr>
          <w:rFonts w:ascii="EB Garamond" w:hAnsi="EB Garamond" w:cs="EB Garamond"/>
          <w:b/>
          <w:i w:val="0"/>
          <w:color w:val="3A3128"/>
          <w:sz w:val="25"/>
          <w:lang w:val="pt-BR" w:bidi="ar-SA"/>
          <w:kern w:val="16"/>
          <w14:ligatures w14:val="standardContextual"/>
        </w:rPr>
        <w:t>5.13.10 Recurso inominado e questões recorrentes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N</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o JEF, o recurso contra a sentença é o recurso inominado, dirigido à Turma Recursal (art. 41, Lei 9.099/95 c/c art. 1º, Lei 10.259/2001). O prazo é de 10 dias, sem efeito suspensivo (salvo decisão expressa do relator). Em matéria de reconhecimento de tempo, as questões recorrentes nos recursos incluem:</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Valoração da prova:</w:t>
      </w:r>
      <w:r>
        <w:rPr>
          <w:rFonts w:ascii="EB Garamond" w:hAnsi="EB Garamond" w:cs="EB Garamond"/>
          <w:b w:val="0"/>
          <w:i w:val="0"/>
          <w:color w:val="201B16"/>
          <w:sz w:val="20"/>
          <w:lang w:val="pt-BR" w:bidi="ar-SA"/>
          <w:kern w:val="16"/>
          <w14:ligatures w14:val="standardContextual"/>
        </w:rPr>
        <w:t xml:space="preserve"> Insurgência contra a análise do conjunto probatório (início de prova material + depoimentos); contudo, a Turma Recursal não deve reexaminar fatos e provas, limitando-se a verificar se a sentença observou os critérios legais e jurisprudenciais;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Extensão temporal da prova rural:</w:t>
      </w:r>
      <w:r>
        <w:rPr>
          <w:rFonts w:ascii="EB Garamond" w:hAnsi="EB Garamond" w:cs="EB Garamond"/>
          <w:b w:val="0"/>
          <w:i w:val="0"/>
          <w:color w:val="201B16"/>
          <w:sz w:val="20"/>
          <w:lang w:val="pt-BR" w:bidi="ar-SA"/>
          <w:kern w:val="16"/>
          <w14:ligatures w14:val="standardContextual"/>
        </w:rPr>
        <w:t xml:space="preserve"> Discussão sobre os limites do reconhecimento anterior ao documento mais antigo (Súmula 577/STJ);</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Enquadramento de atividade especial:</w:t>
      </w:r>
      <w:r>
        <w:rPr>
          <w:rFonts w:ascii="EB Garamond" w:hAnsi="EB Garamond" w:cs="EB Garamond"/>
          <w:b w:val="0"/>
          <w:i w:val="0"/>
          <w:color w:val="201B16"/>
          <w:sz w:val="20"/>
          <w:lang w:val="pt-BR" w:bidi="ar-SA"/>
          <w:kern w:val="16"/>
          <w14:ligatures w14:val="standardContextual"/>
        </w:rPr>
        <w:t xml:space="preserve"> Controvérsia sobre o agente nocivo, a suficiência do PPP, ou a eficácia do EPI;</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Limites do pedido e da sentença:</w:t>
      </w:r>
      <w:r>
        <w:rPr>
          <w:rFonts w:ascii="EB Garamond" w:hAnsi="EB Garamond" w:cs="EB Garamond"/>
          <w:b w:val="0"/>
          <w:i w:val="0"/>
          <w:color w:val="201B16"/>
          <w:sz w:val="20"/>
          <w:lang w:val="pt-BR" w:bidi="ar-SA"/>
          <w:kern w:val="16"/>
          <w14:ligatures w14:val="standardContextual"/>
        </w:rPr>
        <w:t xml:space="preserve"> Eventual julgamento ultra ou extra petita quando o juiz reconhece período não expressamente pleiteado.</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P</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ara uniformização da jurisprudência, cabe Pedido de Uniformização à TNU (art. 14, § 2º, Lei 10.259/2001) quando a sentença da Turma Recursal divergir de súmula ou jurisprudência dominante do STJ, ou de entendimento de outra Turma Recursal.</w:t>
      </w:r>
    </w:p>
    <w:p>
      <w:pPr>
        <w:spacing w:before="260" w:after="80" w:line="240" w:lineRule="auto"/>
        <w:jc w:val="left"/>
      </w:pPr>
      <w:r>
        <w:rPr>
          <w:rFonts w:ascii="EB Garamond" w:hAnsi="EB Garamond" w:cs="EB Garamond"/>
          <w:b/>
          <w:i w:val="0"/>
          <w:color w:val="3A3128"/>
          <w:sz w:val="25"/>
          <w:lang w:val="pt-BR" w:bidi="ar-SA"/>
          <w:kern w:val="16"/>
          <w14:ligatures w14:val="standardContextual"/>
        </w:rPr>
        <w:t>5.13.11 Questões frequentes: perguntas e respostas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P</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ara consolidar os conceitos estudados neste capítulo, apresentamos as questões mais frequentes na prática forense dos JEFs: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 Contribuição em atraso (art. 45-A) conta como carência?</w:t>
      </w:r>
      <w:r>
        <w:rPr>
          <w:rFonts w:ascii="EB Garamond" w:hAnsi="EB Garamond" w:cs="EB Garamond"/>
          <w:b w:val="0"/>
          <w:i w:val="0"/>
          <w:color w:val="201B16"/>
          <w:sz w:val="21"/>
          <w:lang w:val="pt-BR" w:bidi="ar-SA"/>
          <w:kern w:val="16"/>
          <w14:ligatures w14:val="standardContextual"/>
        </w:rPr>
        <w:t xml:space="preserve"> R: Não. A indenização gera tempo de contribuição, mas não carência (Capítulo 4, seção 4.6). O segurado precisa de contribuições tempestivas para atingir a carência exigida.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 Período de gozo de auxílio por incapacidade temporária conta como tempo de contribuição?</w:t>
      </w:r>
      <w:r>
        <w:rPr>
          <w:rFonts w:ascii="EB Garamond" w:hAnsi="EB Garamond" w:cs="EB Garamond"/>
          <w:b w:val="0"/>
          <w:i w:val="0"/>
          <w:color w:val="201B16"/>
          <w:sz w:val="21"/>
          <w:lang w:val="pt-BR" w:bidi="ar-SA"/>
          <w:kern w:val="16"/>
          <w14:ligatures w14:val="standardContextual"/>
        </w:rPr>
        <w:t xml:space="preserve"> R: Sim, quando intercalado entre períodos de atividade (art. 55, § 2º, Lei 8.213/91 e art. 60, III, Decreto 3.048/99). Não conta quando precedido de perda da qualidade de segurado.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 Posso levar tempo do RGPS para o RPPS e depois me arrepender?</w:t>
      </w:r>
      <w:r>
        <w:rPr>
          <w:rFonts w:ascii="EB Garamond" w:hAnsi="EB Garamond" w:cs="EB Garamond"/>
          <w:b w:val="0"/>
          <w:i w:val="0"/>
          <w:color w:val="201B16"/>
          <w:sz w:val="21"/>
          <w:lang w:val="pt-BR" w:bidi="ar-SA"/>
          <w:kern w:val="16"/>
          <w14:ligatures w14:val="standardContextual"/>
        </w:rPr>
        <w:t xml:space="preserve"> R: Não. A CTC é irreversível (art. 130, § 14, Decreto 3.048/99). Uma vez averbada no regime instituidor, o tempo não retorna ao regime de origem.</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 Atividade rural após 1991 como segurado especial exige contribuição?</w:t>
      </w:r>
      <w:r>
        <w:rPr>
          <w:rFonts w:ascii="EB Garamond" w:hAnsi="EB Garamond" w:cs="EB Garamond"/>
          <w:b w:val="0"/>
          <w:i w:val="0"/>
          <w:color w:val="201B16"/>
          <w:sz w:val="21"/>
          <w:lang w:val="pt-BR" w:bidi="ar-SA"/>
          <w:kern w:val="16"/>
          <w14:ligatures w14:val="standardContextual"/>
        </w:rPr>
        <w:t xml:space="preserve"> R: Depende do benefício. Para aposentadoria por idade rural (60 anos homem / 55 anos mulher): não exige. Para aposentadoria por tempo de contribuição ou programada: exige indenização (art. 45-A). Para cômputo como segurado especial em aposentadoria híbrida: não exige (STJ Tema 1.007).</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 A conversão de tempo especial para período anterior à EC 103 pode ser feita a qualquer tempo?</w:t>
      </w:r>
      <w:r>
        <w:rPr>
          <w:rFonts w:ascii="EB Garamond" w:hAnsi="EB Garamond" w:cs="EB Garamond"/>
          <w:b w:val="0"/>
          <w:i w:val="0"/>
          <w:color w:val="201B16"/>
          <w:sz w:val="21"/>
          <w:lang w:val="pt-BR" w:bidi="ar-SA"/>
          <w:kern w:val="16"/>
          <w14:ligatures w14:val="standardContextual"/>
        </w:rPr>
        <w:t xml:space="preserve"> R: Sim. O segurado mantém o direito de converter o período especial anterior a 13/11/2019, mesmo que requeira a aposentadoria anos ou décadas depois. O direito é adquirido na data do exercício da atividade.</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 O acordo internacional garante benefício integral do Brasil?</w:t>
      </w:r>
      <w:r>
        <w:rPr>
          <w:rFonts w:ascii="EB Garamond" w:hAnsi="EB Garamond" w:cs="EB Garamond"/>
          <w:b w:val="0"/>
          <w:i w:val="0"/>
          <w:color w:val="201B16"/>
          <w:sz w:val="21"/>
          <w:lang w:val="pt-BR" w:bidi="ar-SA"/>
          <w:kern w:val="16"/>
          <w14:ligatures w14:val="standardContextual"/>
        </w:rPr>
        <w:t xml:space="preserve"> R: Não necessariamente. Se o segurado cumpre todos os requisitos brasileiros com seu tempo no Brasil (sem totalização), recebe benefício integral. Se precisa totalizar, recebe pro rata — parcela proporcional ao tempo contribuído no Brasil.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Prazo decadencial de 10 anos — ações de revisão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art. 103 da Lei 8.213/91 estabelece prazo decadencial de 10 anos para revisão do ato de concessão de benefício. Esse prazo aplica-se às revisões por atividades concomitantes (Tema 1.070), inclusão de tempo especial não computado, e retificação de salários de contribuição. Contado do primeiro dia do mês seguinte ao primeiro pagamento, o prazo é fatal: uma vez decorrido, extingue-se o direito material de revisão. Não se confunde com a prescrição quinquenal das parcelas (que atinge apenas os valores devidos há mais de 5 anos do ajuizamento). O advogado deve calcular imediatamente se o benefício do cliente ainda está dentro do prazo revisional.</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5.14 Síntese do capítulo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reconhecimento de tempo de contribuição responde pela maioria das ações previdenciárias nos JEFs. Os mecanismos examinados neste capítulo permitem ao advogado: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1. </w:t>
      </w:r>
      <w:r>
        <w:rPr>
          <w:rFonts w:ascii="EB Garamond" w:hAnsi="EB Garamond" w:cs="EB Garamond"/>
          <w:b/>
          <w:i w:val="0"/>
          <w:color w:val="201B16"/>
          <w:sz w:val="20"/>
          <w:lang w:val="pt-BR" w:bidi="ar-SA"/>
          <w:kern w:val="16"/>
          <w14:ligatures w14:val="standardContextual"/>
        </w:rPr>
        <w:t>Utilizar o CNIS estrategicamente:</w:t>
      </w:r>
      <w:r>
        <w:rPr>
          <w:rFonts w:ascii="EB Garamond" w:hAnsi="EB Garamond" w:cs="EB Garamond"/>
          <w:b w:val="0"/>
          <w:i w:val="0"/>
          <w:color w:val="201B16"/>
          <w:sz w:val="20"/>
          <w:lang w:val="pt-BR" w:bidi="ar-SA"/>
          <w:kern w:val="16"/>
          <w14:ligatures w14:val="standardContextual"/>
        </w:rPr>
        <w:t xml:space="preserve"> Identificar inconsistências, fundamentar pedidos de retificação e aproveitar a presunção de veracidade quando favorável ao segurado (art. 29-A, Lei 8.213/91).</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2. </w:t>
      </w:r>
      <w:r>
        <w:rPr>
          <w:rFonts w:ascii="EB Garamond" w:hAnsi="EB Garamond" w:cs="EB Garamond"/>
          <w:b/>
          <w:i w:val="0"/>
          <w:color w:val="201B16"/>
          <w:sz w:val="20"/>
          <w:lang w:val="pt-BR" w:bidi="ar-SA"/>
          <w:kern w:val="16"/>
          <w14:ligatures w14:val="standardContextual"/>
        </w:rPr>
        <w:t>Reconhecer atividade rural:</w:t>
      </w:r>
      <w:r>
        <w:rPr>
          <w:rFonts w:ascii="EB Garamond" w:hAnsi="EB Garamond" w:cs="EB Garamond"/>
          <w:b w:val="0"/>
          <w:i w:val="0"/>
          <w:color w:val="201B16"/>
          <w:sz w:val="20"/>
          <w:lang w:val="pt-BR" w:bidi="ar-SA"/>
          <w:kern w:val="16"/>
          <w14:ligatures w14:val="standardContextual"/>
        </w:rPr>
        <w:t xml:space="preserve"> Montar conjunto probatório adequado (início de prova material + prova testemunhal), observando os limites temporais (pré e pós-1991) e as distinções entre categorias de segurados.</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3. </w:t>
      </w:r>
      <w:r>
        <w:rPr>
          <w:rFonts w:ascii="EB Garamond" w:hAnsi="EB Garamond" w:cs="EB Garamond"/>
          <w:b/>
          <w:i w:val="0"/>
          <w:color w:val="201B16"/>
          <w:sz w:val="20"/>
          <w:lang w:val="pt-BR" w:bidi="ar-SA"/>
          <w:kern w:val="16"/>
          <w14:ligatures w14:val="standardContextual"/>
        </w:rPr>
        <w:t>Aproveitar períodos especiais:</w:t>
      </w:r>
      <w:r>
        <w:rPr>
          <w:rFonts w:ascii="EB Garamond" w:hAnsi="EB Garamond" w:cs="EB Garamond"/>
          <w:b w:val="0"/>
          <w:i w:val="0"/>
          <w:color w:val="201B16"/>
          <w:sz w:val="20"/>
          <w:lang w:val="pt-BR" w:bidi="ar-SA"/>
          <w:kern w:val="16"/>
          <w14:ligatures w14:val="standardContextual"/>
        </w:rPr>
        <w:t xml:space="preserve"> Cômputo de serviço militar (art. 55, I) e aluno-aprendiz (Súmula 96/TCU, com os requisitos restritivos do Tema 216/TNU), agregando tempo frequentemente desconhecido pelo segurado.</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4. </w:t>
      </w:r>
      <w:r>
        <w:rPr>
          <w:rFonts w:ascii="EB Garamond" w:hAnsi="EB Garamond" w:cs="EB Garamond"/>
          <w:b/>
          <w:i w:val="0"/>
          <w:color w:val="201B16"/>
          <w:sz w:val="20"/>
          <w:lang w:val="pt-BR" w:bidi="ar-SA"/>
          <w:kern w:val="16"/>
          <w14:ligatures w14:val="standardContextual"/>
        </w:rPr>
        <w:t>Planejar a contagem recíproca:</w:t>
      </w:r>
      <w:r>
        <w:rPr>
          <w:rFonts w:ascii="EB Garamond" w:hAnsi="EB Garamond" w:cs="EB Garamond"/>
          <w:b w:val="0"/>
          <w:i w:val="0"/>
          <w:color w:val="201B16"/>
          <w:sz w:val="20"/>
          <w:lang w:val="pt-BR" w:bidi="ar-SA"/>
          <w:kern w:val="16"/>
          <w14:ligatures w14:val="standardContextual"/>
        </w:rPr>
        <w:t xml:space="preserve"> Avaliar cenários de CTC com consciência da irreversibilidade, verificando se há impedimentos (tempo que gerou vantagens) e calculando o impacto no benefício de destino.</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5. </w:t>
      </w:r>
      <w:r>
        <w:rPr>
          <w:rFonts w:ascii="EB Garamond" w:hAnsi="EB Garamond" w:cs="EB Garamond"/>
          <w:b/>
          <w:i w:val="0"/>
          <w:color w:val="201B16"/>
          <w:sz w:val="20"/>
          <w:lang w:val="pt-BR" w:bidi="ar-SA"/>
          <w:kern w:val="16"/>
          <w14:ligatures w14:val="standardContextual"/>
        </w:rPr>
        <w:t>Revisar benefícios por concomitância:</w:t>
      </w:r>
      <w:r>
        <w:rPr>
          <w:rFonts w:ascii="EB Garamond" w:hAnsi="EB Garamond" w:cs="EB Garamond"/>
          <w:b w:val="0"/>
          <w:i w:val="0"/>
          <w:color w:val="201B16"/>
          <w:sz w:val="20"/>
          <w:lang w:val="pt-BR" w:bidi="ar-SA"/>
          <w:kern w:val="16"/>
          <w14:ligatures w14:val="standardContextual"/>
        </w:rPr>
        <w:t xml:space="preserve"> Identificar segurados aposentados entre 1999 e 2019 com múltiplos vínculos, verificando se houve aplicação do cálculo proporcional indevido (Tema 1.070/STJ).</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6. </w:t>
      </w:r>
      <w:r>
        <w:rPr>
          <w:rFonts w:ascii="EB Garamond" w:hAnsi="EB Garamond" w:cs="EB Garamond"/>
          <w:b/>
          <w:i w:val="0"/>
          <w:color w:val="201B16"/>
          <w:sz w:val="20"/>
          <w:lang w:val="pt-BR" w:bidi="ar-SA"/>
          <w:kern w:val="16"/>
          <w14:ligatures w14:val="standardContextual"/>
        </w:rPr>
        <w:t>Converter tempo especial com segurança:</w:t>
      </w:r>
      <w:r>
        <w:rPr>
          <w:rFonts w:ascii="EB Garamond" w:hAnsi="EB Garamond" w:cs="EB Garamond"/>
          <w:b w:val="0"/>
          <w:i w:val="0"/>
          <w:color w:val="201B16"/>
          <w:sz w:val="20"/>
          <w:lang w:val="pt-BR" w:bidi="ar-SA"/>
          <w:kern w:val="16"/>
          <w14:ligatures w14:val="standardContextual"/>
        </w:rPr>
        <w:t xml:space="preserve"> Aplicar os fatores corretos (1,40/1,20 para 25 anos) e respeitar o marco temporal da EC 103/2019 (13/11/2019). No julgamento da ADI 6.309 (03/06/2026), o STF manteve a vedação à conversão para períodos posteriores a 13/11/2019 e afastou a exigência de idade mínima da aposentadoria especial.</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7. </w:t>
      </w:r>
      <w:r>
        <w:rPr>
          <w:rFonts w:ascii="EB Garamond" w:hAnsi="EB Garamond" w:cs="EB Garamond"/>
          <w:b/>
          <w:i w:val="0"/>
          <w:color w:val="201B16"/>
          <w:sz w:val="20"/>
          <w:lang w:val="pt-BR" w:bidi="ar-SA"/>
          <w:kern w:val="16"/>
          <w14:ligatures w14:val="standardContextual"/>
        </w:rPr>
        <w:t>Utilizar acordos internacionais:</w:t>
      </w:r>
      <w:r>
        <w:rPr>
          <w:rFonts w:ascii="EB Garamond" w:hAnsi="EB Garamond" w:cs="EB Garamond"/>
          <w:b w:val="0"/>
          <w:i w:val="0"/>
          <w:color w:val="201B16"/>
          <w:sz w:val="20"/>
          <w:lang w:val="pt-BR" w:bidi="ar-SA"/>
          <w:kern w:val="16"/>
          <w14:ligatures w14:val="standardContextual"/>
        </w:rPr>
        <w:t xml:space="preserve"> Orientar brasileiros que trabalharam no exterior sobre a possibilidade de totalização de períodos, maximizando o aproveitamento contributivo em dois ou mais países.</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tabela a seguir sintetiza os períodos computáveis e suas condições:</w:t>
      </w:r>
    </w:p>
    <w:tbl>
      <w:tblPr>
        <w:tblW w:type="auto" w:w="0"/>
        <w:jc w:val="center"/>
        <w:tblLook w:firstColumn="1" w:firstRow="1" w:lastColumn="0" w:lastRow="0" w:noHBand="0" w:noVBand="1" w:val="04A0"/>
        <w:tblW w:w="5000" w:type="pct"/>
      </w:tblPr>
      <w:tblGrid>
        <w:gridCol w:w="1587"/>
        <w:gridCol w:w="1587"/>
        <w:gridCol w:w="1587"/>
        <w:gridCol w:w="1587"/>
      </w:tblGrid>
      <w:tr>
        <w:trPr>
          <w:tblHeader/>
        </w:trPr>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Período</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Fundamento</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Contribuição exigida?</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Conta para carência?</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Rural pré-nov/1991 (segurado especial)</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Art. 55, § 2º, Lei 8.213</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 (exceto CTPS)</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Rural pós-1991 (segurado especial)</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Art. 39, I, Lei 8.213</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 (para aposentadoria por idade rural)</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Sim (para ap. Idade rural)</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Rural pós-1991 (CI rural)</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Art. 45-A, Lei 8.212</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Sim (indenização)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Serviço militar obrigatório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Art. 55, I, Lei 8.213</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Sim</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Aluno-aprendiz</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Art. 188-G, IX, Dec. 3.048/99 + Súmula 96/TCU</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Sim (quando aceito)</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Contagem recíproca (CTC)</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Arts. 94-99, Lei 8.213 + art. 201, § 9º, CF</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Sim (no regime de origem)</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Variável</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Gozo de benefício por incapacidade</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Art. 55, § 2º, Lei 8.213</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Tempo especial convertido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Art. 57, § 5º + art. 70, Dec. 3.048</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Sim (atividade especial)</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Sim</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Período no exterior (acordo)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Art. 150-A, Dec. 3.048 + acordo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Sim (no país estrangeiro)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Sim (totalização)</w:t>
            </w: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Checklist de análise do tempo de contribuição do segurado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Ao atender um cliente previdenciário, verifique sistematicamente: (1) CNIS completo e atualizado; (2) existência de vínculos não registrados; (3) atividade rural na infância/juventude; (4) serviço militar obrigatório; (5) passagem por escola técnica federal; (6) passagem pelo serviço público (RPPS); (7) atividades concomitantes não consideradas; (8) períodos especiais não reconhecidos (conversão); (9) trabalho no exterior com país signatário; (10) períodos intercalados de benefício por incapacidade. Cada um desses itens pode representar meses ou anos adicionais de tempo de contribuição, potencialmente decisivos para o enquadramento em regra de transição ou para a concessão do benefício.</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quadro a seguir sintetiza as principais jurisprudências tratadas neste capítulo:</w:t>
      </w:r>
    </w:p>
    <w:tbl>
      <w:tblPr>
        <w:tblW w:type="auto" w:w="0"/>
        <w:jc w:val="center"/>
        <w:tblLook w:firstColumn="1" w:firstRow="1" w:lastColumn="0" w:lastRow="0" w:noHBand="0" w:noVBand="1" w:val="04A0"/>
        <w:tblW w:w="5000" w:type="pct"/>
      </w:tblPr>
      <w:tblGrid>
        <w:gridCol w:w="1587"/>
        <w:gridCol w:w="1587"/>
        <w:gridCol w:w="1587"/>
        <w:gridCol w:w="1587"/>
      </w:tblGrid>
      <w:tr>
        <w:trPr>
          <w:tblHeader/>
        </w:trPr>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Tema</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Tribunal</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Conteúdo</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Impacto no JEF</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Tema 629/STJ</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STJ</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Ausência de prova material → extinção sem mérito (repropositura)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Pedido mais frequente</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Temas 422 e 423/STJ</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STJ</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Conversão especial → comum permanece após 1998 (422); fator é mero cálculo matemático (423)</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Direito à conversão</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Tema 546/STJ</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STJ</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Lei vigente na data da aposentadoria define o fator de conversão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Aplicação de fatores</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Tema 1.070/STJ</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STJ</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Soma integral de concomitantes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Revisão de benefícios</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Tema 1.188/STJ</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STJ</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Sentença trabalhista homologatória de acordo exige prova contemporânea (art. 55, § 3º)</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Prova de tempo de serviço</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Tema 1.238/STJ</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STJ</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Aviso prévio indenizado não é tempo de serviço previdenciário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Cômputo de tempo</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Jurisprudência consolidada STJ</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STJ</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Enquadramento profissional até 1995</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Período especial antigo</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Tema 216/TNU</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TNU</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Aluno-aprendiz — requisitos restritivos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Cômputo de tempo</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Tema 840/STF (RE 683.621)</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STF</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Vedação ao tempo fictício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CTC e contagem recíproca</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Tema 942/STF (RE 1.014.286)</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STF</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Conversão especial do RGPS para averbação no RPPS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CTC com fator especial</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ADI 6.309/STF</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STF</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Vedação à conversão pós-EC 103</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Julgada (03/06/2026): vedação à conversão mantida; idade mínima da especial afastada</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Súmula 75/TNU</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TNU</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CTPS sem defeito = prova suficiente</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Retificação de CNIS</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Súmula 272/STJ</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STJ</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Rural pós-1991 segurado especial</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Tempo de contribuição só com recolhimento facultativo</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Súmula 149/STJ</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STJ</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Prova exclusivamente testemunhal vedada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Atividade rural</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Súmula 577/STJ</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STJ</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Extensão temporal antes do documento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Amplia reconhecimento</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N</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 prática, parcela expressiva dos indeferimentos administrativos decorre de interpretações restritivas do INSS que não encontram respaldo na jurisprudência consolidada. Cabe ao advogado identificar essas situações e buscar a correção judicial.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Por fim, é importante ressaltar que o reconhecimento de tempo de contribuição possui natureza declaratória: o juiz não "cria" o tempo, mas declara que ele existiu e deve ser computado. Essa natureza declaratória tem consequências processuais relevantes: (a) a sentença retroage à data do fato (exercício da atividade), não à data da decisão; (b) os efeitos financeiros do reconhecimento (quando vinculados a benefício) seguem a regra geral da DIB ou da data do requerimento administrativo; (c) a coisa julgada abrange o período declarado, impedindo nova discussão sobre o mesmo intervalo temporal.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interação entre os diversos temas estudados neste capítulo é frequente na prática: um segurado pode cumular, na mesma ação, pedido de reconhecimento de atividade rural (seção 5.4), cômputo de serviço militar (seção 5.5), conversão de tempo especial (seção 5.11) e retificação de remunerações no CNIS (seção 5.3), obtendo, ao final, tempo suficiente para aposentadoria pela regra de transição mais favorável. A habilidade do advogado previdenciário reside precisamente em identificar todas as possibilidades de aproveitamento de tempo e articulá-las em estratégia processual coerente e objetiva.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capítulo seguinte (Capítulo 6) examinará a aposentadoria por incapacidade permanente, benefício de natureza não programada cuja concessão independe de tempo de contribuição mínimo (exige apenas carência de 12 contribuições ou dispensa de carência quando a incapacidade decorre de acidente ou doença grave listada em regulamento). A interface com o presente capítulo reside na necessidade de demonstrar a qualidade de segurado e a carência como pressupostos do benefício, demonstração que frequentemente exige cômputo prévio de períodos controversos.</w:t>
      </w:r>
    </w:p>
    <w:p>
      <w:pPr>
        <w:sectPr>
          <w:headerReference w:type="default" r:id="rId81"/>
          <w:headerReference w:type="even" r:id="rId82"/>
          <w:footerReference w:type="default" r:id="rId83"/>
          <w:footerReference w:type="even" r:id="rId84"/>
          <w:headerReference w:type="first" r:id="rId85"/>
          <w:footerReference w:type="first" r:id="rId86"/>
          <w:pgSz w:w="8391" w:h="11906"/>
          <w:pgMar w:top="935" w:right="879" w:bottom="964" w:left="1162" w:header="454" w:footer="425" w:gutter="0" w:mirrorMargins="1"/>
          <w:cols w:space="720"/>
          <w:titlePg/>
          <w:docGrid w:linePitch="360"/>
        </w:sectPr>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120" w:line="240" w:lineRule="auto"/>
        <w:jc w:val="center"/>
      </w:pPr>
      <w:r>
        <w:rPr>
          <w:rFonts w:ascii="Noto Sans" w:hAnsi="Noto Sans" w:cs="Noto Sans"/>
          <w:b/>
          <w:i w:val="0"/>
          <w:caps/>
          <w:color w:val="8A6A2A"/>
          <w:sz w:val="20"/>
          <w:lang w:val="pt-BR" w:bidi="ar-SA"/>
          <w:kern w:val="16"/>
          <w14:ligatures w14:val="standardContextual"/>
        </w:rPr>
        <w:t>PARTE II</w:t>
      </w:r>
    </w:p>
    <w:p>
      <w:pPr>
        <w:pStyle w:val="Heading1"/>
        <w:spacing w:before="0" w:after="160" w:line="252" w:lineRule="auto"/>
        <w:jc w:val="center"/>
      </w:pPr>
      <w:r>
        <w:rPr>
          <w:rFonts w:ascii="EB Garamond" w:hAnsi="EB Garamond" w:cs="EB Garamond"/>
          <w:b/>
          <w:i w:val="0"/>
          <w:caps/>
          <w:color w:val="2F2923"/>
          <w:sz w:val="36"/>
          <w:lang w:val="pt-BR" w:bidi="ar-SA"/>
          <w:kern w:val="16"/>
          <w14:ligatures w14:val="standardContextual"/>
        </w:rPr>
        <w:t>Benefícios por Incapacidade</w:t>
      </w:r>
    </w:p>
    <w:p>
      <w:pPr>
        <w:spacing w:before="160" w:after="0" w:line="240" w:lineRule="auto"/>
        <w:jc w:val="center"/>
      </w:pPr>
      <w:r>
        <w:rPr>
          <w:rFonts w:ascii="EB Garamond" w:hAnsi="EB Garamond" w:cs="EB Garamond"/>
          <w:b w:val="0"/>
          <w:i w:val="0"/>
          <w:color w:val="B78B37"/>
          <w:sz w:val="18"/>
          <w:lang w:val="pt-BR" w:bidi="ar-SA"/>
          <w:kern w:val="16"/>
          <w14:ligatures w14:val="standardContextual"/>
        </w:rPr>
        <w:t>━━━━━  ◆  ◆  ◆  ━━━━━</w:t>
      </w:r>
    </w:p>
    <w:p>
      <w:pPr>
        <w:sectPr>
          <w:headerReference w:type="default" r:id="rId87"/>
          <w:headerReference w:type="even" r:id="rId88"/>
          <w:footerReference w:type="default" r:id="rId89"/>
          <w:footerReference w:type="even" r:id="rId90"/>
          <w:headerReference w:type="first" r:id="rId91"/>
          <w:footerReference w:type="first" r:id="rId92"/>
          <w:type w:val="oddPage"/>
          <w:pgSz w:w="8391" w:h="11906"/>
          <w:pgMar w:top="935" w:right="879" w:bottom="964" w:left="1162" w:header="454" w:footer="425" w:gutter="0" w:mirrorMargins="1"/>
          <w:cols w:space="720"/>
          <w:titlePg/>
          <w:docGrid w:linePitch="360"/>
        </w:sectPr>
      </w:pPr>
    </w:p>
    <w:p>
      <w:pPr>
        <w:spacing w:before="240" w:after="80" w:line="240" w:lineRule="auto"/>
        <w:jc w:val="center"/>
        <w:keepNext/>
      </w:pPr>
      <w:r>
        <w:rPr>
          <w:rFonts w:ascii="Noto Sans" w:hAnsi="Noto Sans" w:cs="Noto Sans"/>
          <w:b/>
          <w:i w:val="0"/>
          <w:caps/>
          <w:color w:val="8A6A2A"/>
          <w:sz w:val="19"/>
          <w:lang w:val="pt-BR" w:bidi="ar-SA"/>
          <w:kern w:val="16"/>
          <w14:ligatures w14:val="standardContextual"/>
        </w:rPr>
        <w:t>CAPÍTULO 6</w:t>
      </w:r>
    </w:p>
    <w:p>
      <w:pPr>
        <w:pStyle w:val="Heading2"/>
        <w:spacing w:before="0" w:after="160" w:line="240" w:lineRule="auto"/>
        <w:jc w:val="center"/>
        <w:keepNext/>
      </w:pPr>
      <w:r>
        <w:rPr>
          <w:rFonts w:ascii="EB Garamond" w:hAnsi="EB Garamond" w:cs="EB Garamond"/>
          <w:b/>
          <w:i w:val="0"/>
          <w:caps/>
          <w:color w:val="2F2923"/>
          <w:sz w:val="40"/>
          <w:lang w:val="pt-BR" w:bidi="ar-SA"/>
          <w:kern w:val="16"/>
          <w14:ligatures w14:val="standardContextual"/>
        </w:rPr>
        <w:t>Aposentadoria por Incapacidade Permanente</w:t>
      </w:r>
    </w:p>
    <w:p>
      <w:pPr>
        <w:spacing w:before="0" w:after="240" w:line="240" w:lineRule="auto"/>
        <w:jc w:val="center"/>
      </w:pPr>
      <w:r>
        <w:rPr>
          <w:rFonts w:ascii="EB Garamond" w:hAnsi="EB Garamond" w:cs="EB Garamond"/>
          <w:b w:val="0"/>
          <w:i w:val="0"/>
          <w:color w:val="B78B37"/>
          <w:sz w:val="18"/>
          <w:lang w:val="pt-BR" w:bidi="ar-SA"/>
          <w:kern w:val="16"/>
          <w14:ligatures w14:val="standardContextual"/>
        </w:rPr>
        <w:t>━━━━  ◆  ━━━━</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segurado que perde de forma definitiva a capacidade de prover seu sustento pelo trabalho enfrenta, além da doença, uma sucessão de obstáculos administrativos e processuais. A aposentadoria por incapacidade permanente — denominação conferida pela Emenda Constitucional n. 103, de 12 de novembro de 2019, ao benefício até então conhecido como aposentadoria por invalidez — é a resposta do sistema previdenciário a essa contingência. Trata-se de benefício não programado, cuja concessão pressupõe evento imprevisto que prive o segurado, total e definitivamente, de sua capacidade laborativa. Ao contrário das aposentadorias programadas, que pressupõem planejamento a longo prazo e acumulação de requisitos temporais, a aposentadoria por incapacidade permanente responde a uma contingência específica: a superveniência de doença ou acidente que torne o segurado insusceptível de reabilitação para o exercício de atividade que lhe garanta a subsistência.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proteção constitucional à incapacidade para o trabalho encontra fundamento no art. 201, inciso I, da Constituição Federal, com a redação dada pela EC 103/2019, que assegura a cobertura dos eventos de "incapacidade temporária ou permanente para o trabalho". A legislação infraconstitucional disciplina a matéria nos arts. 42 a 47 da Lei n. 8.213, de 24 de julho de 1991, complementados pelo Decreto 3.048/99 (arts. 43 a 50) e pela regulamentação infralegal do INSS. A EC 103/2019 introduziu alterações substanciais no cálculo do benefício, que serão examinadas em seção própria.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experiência dos Juizados Especiais Federais, as ações de concessão e restabelecimento de aposentadoria por incapacidade permanente representam parcela significativa do acervo. A centralidade da prova pericial, as controvérsias sobre a extensão do conceito de incapacidade, a tensão entre o laudo médico e as condições pessoais do segurado, a fixação da data de início do benefício e o impacto das alterações trazidas pela EC 103/2019 no cálculo da renda mensal constituem questões com as quais o magistrado e o advogado previdenciarista se deparam cotidianamente.</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6.1 Conceito e natureza jurídica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42 da Lei 8.213/91 define a aposentadoria por invalidez (atual aposentadoria por incapacidade permanente) como o benefício devido ao segurado que, "estando ou não em gozo de auxílio-doença (atual auxílio por incapacidade temporária), for considerado incapaz e insusceptível de reabilitação para o exercício de atividade que lhe garanta a subsistência, e ser-lhe-á paga enquanto permanecer nesta condição". A definição legal contém os elementos essenciais do benefício: (i) a incapacidade para o trabalho; (ii) o caráter permanente ou, ao menos, de prognóstico indefinido; (iii) a insusceptibilidade de reabilitação profissional; e (iv) a provisoriedade da concessão, condicionada à manutenção do estado incapacitante.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aposentadoria por incapacidade permanente é benefício de natureza substitutiva e destina-se a substituir a remuneração do segurado que não pode mais obtê-la pelo trabalho. Diferencia-se, nesse aspecto, de benefícios complementares, como o auxílio-acidente, que visam compensar a redução da capacidade laborativa sem substituir a renda integral. O benefício tem caráter alimentar e visa garantir a sobrevivência digna do segurado que se vê impossibilitado de prover o próprio sustento pelo trabalho.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doutrina majoritária qualifica o benefício como provisório, apesar da nomenclatura que sugere permanência. A provisoriedade decorre da possibilidade legal de revisão periódica (art. 101 da Lei 8.213/91) e da cessação quando o segurado recupera a capacidade laborativa. Como observam Castro e Lazzari (2025), o benefício é "provisório no sentido jurídico, embora possa ser definitivo no sentido fático, quando a incapacidade se revela efetivamente irreversível". A Lei 13.457, de 26 de junho de 2017, trouxe nuances a essa provisoriedade ao estabelecer hipóteses de isenção do exame periódico, como se examinará adiante.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evolução legislativa do benefício remonta à Lei Orgânica da Previdência Social (LOPS — Lei n. 3.807, de 26 de agosto de 1960), que disciplinava a "aposentadoria por invalidez" nos arts. 27 a 32. A Consolidação das Leis da Previdência Social (CLPS — Decreto n. 89.312, de 23 de janeiro de 1984) manteve a nomenclatura e a estrutura básica do benefício. A Lei 8.213/91, que rege o atual Plano de Benefícios da Previdência Social, preservou a denominação "aposentadoria por invalidez" e aperfeiçoou os requisitos e procedimentos de concessão. Ao longo de mais de três décadas de vigência, o benefício foi objeto de sucessivas alterações legislativas e regulamentares, entre as quais se destacam a Lei n. 9.032/1995 (que alterou o cálculo do benefício), a Lei n. 9.528/1997 (que modificou regras de acumulação), a Lei n. 13.135/2015 (que, no que toca aos benefícios por incapacidade, deu nova redação ao art. 151 da Lei 8.213/91, atualizando o rol de doenças que dispensam carência) e a Lei n. 13.457/2017 (que disciplinou o "pente-fino" e as hipóteses de isenção da revisão periódica).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EC 103/2019 promoveu a substituição terminológica de "aposentadoria por invalidez" por "aposentadoria por incapacidade permanente". A mudança não é meramente semântica. A expressão "invalidez" carregava conotação estigmatizante, sugerindo inutilidade ou incapacidade absoluta, quando, na realidade, o segurado aposentado pode conservar habilidades em esferas distintas da atividade laborativa. A nova nomenclatura, "incapacidade permanente para o trabalho", é tecnicamente mais precisa, pois delimita o objeto da proteção (o trabalho) e o qualifica temporalmente (permanente). A Lei 8.213/91 ainda não teve sua redação formalmente alterada nos arts. 42 a 47; foi o Decreto 10.410/2020 que adotou a nova terminologia no regulamento, razão pela qual persiste na legislação ordinária a referência a "aposentadoria por invalidez".</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6.2 Requisitos legais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concessão da aposentadoria por incapacidade permanente exige a conjugação de quatro requisitos: (a) qualidade de segurado; (b) carência mínima de doze contribuições mensais, salvo nas hipóteses de dispensa; (c) incapacidade total e permanente para o trabalho; e (d) insusceptibilidade de reabilitação profissional. A verificação desses requisitos, na prática dos JEFs, envolve complexidades que merecem tratamento individualizado.</w:t>
      </w:r>
    </w:p>
    <w:p>
      <w:pPr>
        <w:spacing w:before="260" w:after="80" w:line="240" w:lineRule="auto"/>
        <w:jc w:val="left"/>
      </w:pPr>
      <w:r>
        <w:rPr>
          <w:rFonts w:ascii="EB Garamond" w:hAnsi="EB Garamond" w:cs="EB Garamond"/>
          <w:b/>
          <w:i w:val="0"/>
          <w:color w:val="3A3128"/>
          <w:sz w:val="25"/>
          <w:lang w:val="pt-BR" w:bidi="ar-SA"/>
          <w:kern w:val="16"/>
          <w14:ligatures w14:val="standardContextual"/>
        </w:rPr>
        <w:t>6.2.1 Qualidade de segurado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primeiro requisito é a manutenção da qualidade de segurado na data do início da incapacidade — ou, mais precisamente, na data em que a doença ou lesão incapacitante se manifestou com gravidade suficiente para impedir o trabalho. A matéria foi examinada no Capítulo 3, ao qual se remete o leitor para análise detalhada do período de graça e das hipóteses de prorrogação. A perda da qualidade de segurado anterior ao surgimento da incapacidade impede a concessão do benefício, sem exceção — a dispensa de qualidade de segurado prevista para aposentadorias programadas não se aplica à aposentadoria por incapacidade permanente, que é benefício não programado.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forense, a fixação precisa da Data de Início da Doença (DID) e da Data de Início da Incapacidade (DII) é operação fundamental. A DID corresponde ao momento em que a doença foi diagnosticada ou se manifestou pela primeira vez; a DII, ao momento em que a doença passou a gerar incapacidade efetiva para o trabalho. A distinção é relevante porque uma pessoa pode ser portadora de doença crônica por anos antes de se tornar incapaz. A Súmula 53 da TNU consolida: "Não há direito a auxílio por incapacidade temporária ou a aposentadoria por incapacidade permanente quando a incapacidade para o trabalho é preexistente ao reingresso do segurado no Regime Geral de Previdência Social". A contrario sensu, se a doença era preexistente, mas a incapacidade sobreveio após o reingresso (por progressão ou agravamento), o benefício é devido — tema disciplinado no § 2º do art. 42 e no § 1º do art. 59 da Lei 8.213/91.</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distinção entre DID e DII é crucial para a resolução dos conflitos nos JEFs. O perito judicial deve ser instado a fixar, com a maior precisão possível, ambas as datas. Se o perito fixa a DII em período anterior à filiação ou ao reingresso no RGPS, o benefício será indeferido, salvo se demonstrada a progressão ou agravamento da doença preexistente (§ 2º do art. 42 da Lei 8.213/91). Se o perito fixa a DII em período posterior à perda da qualidade de segurado, igualmente haverá indeferimento. A verificação da qualidade de segurado na DII, e não na data do requerimento administrativo ou da perícia judicial, constitui regra consolidada.</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6.2.2 Carência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aposentadoria por incapacidade permanente exige carência de 12 contribuições mensais (art. 25, I, Lei 8.213/91), dispensada nas hipóteses do art. 26, II (acidente de qualquer natureza, doença profissional, doença do trabalho e doenças graves). O art. 26, II, remete a regulamento infralegal para a definição do rol de doenças que dispensam carência; a norma vigente que materializa essa lista é a Portaria Interministerial MTP/MS n. 22/2022. O regime geral de carência — cômputo, hipóteses de dispensa e rol completo de doenças — é examinado no Capítulo 3, seção 3.4.</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particularidade da incapacidade permanente é o regime bifásico da doença preexistente: doença superveniente à filiação dispensa carência; doença preexistente somente gera benefício se a incapacidade decorrer de progressão ou agravamento, caso em que as 12 contribuições devem estar cumpridas (arts. 26, II, e 42, § 2º, da Lei 8.213/91).</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No cômputo dessas 12 contribuições, questão recorrente é a de saber se o período em que o segurado esteve em gozo de benefício por incapacidade pode ser contado como carência. A regra geral é a de que períodos sem contribuição não integram a carência (art. 27 da Lei 8.213/91), e o tempo de fruição de benefício por incapacidade não configura, em si, contribuição vertida. Contudo, o art. 55, II, da Lei 8.213/91 admite a contagem, como tempo de contribuição, do período de gozo de auxílio por incapacidade temporária ou de aposentadoria por incapacidade permanente quando intercalado com períodos de atividade. O STF, no julgamento do Tema 1.125 (RE 1.298.832), reconheceu a constitucionalidade do cômputo desse período de auxílio-doença também para fins de carência, desde que intercalado com atividade laborativa. A consequência prática é direta: o segurado que alternou períodos de trabalho (com recolhimento) e períodos de benefício por incapacidade pode somar ambos para perfazer a carência exigida. Esse ponto assume relevo específico na aposentadoria por incapacidade permanente. A carência de 12 contribuições, embora frequentemente dispensada, é exigível nas hipóteses de doença preexistente com agravamento (art. 42, § 2º) — e é justamente aí que o cômputo do período de benefício intercalado pode ser decisivo para completá-la. O requisito da intercalação é essencial: o período de benefício deve estar situado entre períodos de efetiva atividade laborativa, não bastando o gozo isolado do benefício ao final do vínculo.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STF, Tema 1.125 (RE 1.298.832, Rel. Min. Luiz Fux — então Presidente, Plenário Virtual, julgamento em 19/02/2021, reafirmação de jurisprudência)</w:t>
            </w:r>
            <w:r>
              <w:rPr>
                <w:rFonts w:ascii="EB Garamond" w:hAnsi="EB Garamond" w:cs="EB Garamond"/>
                <w:b w:val="0"/>
                <w:i w:val="0"/>
                <w:color w:val="201B16"/>
                <w:sz w:val="19"/>
                <w:lang w:val="pt-BR" w:bidi="ar-SA"/>
                <w:kern w:val="16"/>
                <w14:ligatures w14:val="standardContextual"/>
              </w:rPr>
              <w:t>: "É constitucional o cômputo, para fins de carência, do período no qual o segurado esteve em gozo do benefício de auxílio-doença, desde que intercalado com atividade laborativa." A tese, fixada em repercussão geral, harmoniza-se com o art. 55, II, da Lei 8.213/91 e consolida que o tempo de fruição de benefício por incapacidade, quando entremeado por períodos de trabalho, integra a carência — e não apenas o tempo de contribuição.</w:t>
            </w: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 2º do art. 42 da Lei 8.213/91, lido em conjunto com a Súmula 53 da TNU, conduz à seguinte distinção: havendo doença preexistente à filiação, não há direito à concessão de benefício por incapacidade se a incapacidade laborativa também for preexistente, ainda que tenha havido agravamento da doença, se este agravamento não gerou piora da capacidade laborativa. A distinção é sutil, mas fundamental: o agravamento da doença somente justifica a concessão se resultar em agravamento da incapacidade. Se a doença progride clinicamente mas a capacidade de trabalho permanece inalterada, não há direito ao benefício.</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6.2.3 Incapacidade total e permanente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terceiro requisito é a incapacidade total e permanente para o trabalho. A lei exige que o segurado seja "considerado incapaz e insusceptível de reabilitação para o exercício de atividade que lhe garanta a subsistência" (art. 42, caput). A expressão "atividade que lhe garanta a subsistência" indica que a incapacidade deve ser avaliada não apenas em relação à última atividade exercida, mas em perspectiva ampla, considerando todas as atividades que o segurado poderia razoavelmente exercer para prover seu sustento.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doutrina denomina essa exigência de incapacidade omniprofissional — a inaptidão para o exercício de toda e qualquer atividade laborativa que garanta a subsistência. Não basta que o segurado esteja incapaz para a atividade habitual; é necessário que esteja incapaz para qualquer atividade compatível com suas condições pessoais. A incapacidade uniprofissional, restrita à atividade habitual, pode ensejar o auxílio por incapacidade temporária, mas não a aposentadoria por incapacidade permanente, ao menos em tese.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distinção entre incapacidade total e parcial é objeto de intensa litigância nos JEFs. A incapacidade total importa na impossibilidade de exercer qualquer atividade laborativa; a parcial, na redução da capacidade, que permite o exercício de algumas atividades, ainda que com limitações. A incapacidade temporária, por sua vez, distingue-se da permanente pela perspectiva de recuperação: quando há prognóstico favorável de retorno ao trabalho, a hipótese é de auxílio por incapacidade temporária; quando o prognóstico é desfavorável ou indefinido, configura-se a incapacidade permanente. A permanência não se confunde com irreversibilidade — uma incapacidade pode ser permanente no sentido de que não há previsão de recuperação em prazo determinado, embora não seja, em tese, absolutamente irreversível. Como observa Kertzman (2025), "a incapacidade permanente é aquela sem prognóstico de recuperação em prazo previsível, o que não exige demonstração de impossibilidade absoluta de cura".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formulação de quesitos periciais, a distinção entre incapacidade para a atividade habitual e incapacidade para toda e qualquer atividade é essencial. O perito deve ser instado a se pronunciar sobre ambas as dimensões: se o segurado é incapaz para a atividade habitual; se, sendo incapaz para a habitual, pode ser reabilitado para outra atividade; e, em caso negativo, quais os fundamentos clínicos que sustentam a conclusão de inviabilidade da reabilitação. A resposta a essas perguntas permite ao magistrado classificar a incapacidade com precisão e aplicar o enquadramento legal adequado.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Essa distinção teórica, contudo, é mitigada pela jurisprudência. A Súmula 47 da TNU estabelece que, "uma vez reconhecida a incapacidade parcial para o trabalho, o juiz deve analisar as condições pessoais e sociais do segurado para a concessão de aposentadoria por invalidez". A avaliação deve considerar a idade do segurado, seu grau de instrução, sua experiência profissional, as condições do mercado de trabalho na região onde reside e outros fatores que influenciam concretamente sua possibilidade de reinserção laboral.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Segurado de 58 anos, analfabeto, residente em município do interior do Nordeste, que exerceu durante toda a vida a atividade de trabalhador rural braçal e apresenta lesão incapacitante na coluna lombar: embora o laudo pericial possa concluir pela incapacidade parcial (o segurado poderia, em tese, exercer atividade sedentária), a análise das condições pessoais revela que a reinserção no mercado de trabalho é virtualmente impossível. Nessa hipótese, aplica-se a Súmula 47 da TNU: a incapacidade parcial, conjugada com as condições pessoais desfavoráveis, autoriza a concessão da aposentadoria por incapacidade permanente. O magistrado deve fundamentar expressamente a análise das condições pessoais, sob pena de nulidade da sentença.</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6.2.4 Insusceptibilidade de reabilitação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quarto requisito, a insusceptibilidade de reabilitação profissional, é corolário lógico da exigência de incapacidade total. Se o segurado pode ser reabilitado para outra atividade que lhe garanta a subsistência, a hipótese é de auxílio por incapacidade temporária com encaminhamento ao Programa de Reabilitação Profissional (arts. 89 a 93 da Lei 8.213/91), e não de aposentadoria. A aposentadoria por incapacidade permanente é, no desenho legislativo, benefício de última ratio, somente concedida quando esgotadas as possibilidades de reabilitação.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a reabilitação profissional do INSS apresenta limitações estruturais. O Programa frequentemente não dispõe de recursos adequados para oferecer capacitação efetiva, sobretudo em municípios do interior. A jurisprudência tem reconhecido que a mera possibilidade teórica de reabilitação, sem a existência concreta de programa acessível ao segurado, não impede a concessão da aposentadoria. A TNU, em diversos precedentes, tem entendido que cabe ao INSS demonstrar a viabilidade da reabilitação, e não ao segurado provar a inviabilidade.</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6.3 A incapacidade como conceito jurídico-médico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avaliação da incapacidade para o trabalho envolve dimensões que transcendem o campo estritamente médico. O conceito jurídico de incapacidade, para fins previdenciários, não se confunde com o conceito clínico de doença ou deficiência. Uma pessoa pode ser portadora de doença grave e não ser incapaz para o trabalho; inversamente, pode apresentar limitações funcionais que, embora clinicamente modestas, inviabilizam o exercício de qualquer atividade laborativa disponível em seu contexto socioeconômico.</w:t>
      </w:r>
    </w:p>
    <w:p>
      <w:pPr>
        <w:spacing w:before="260" w:after="80" w:line="240" w:lineRule="auto"/>
        <w:jc w:val="left"/>
      </w:pPr>
      <w:r>
        <w:rPr>
          <w:rFonts w:ascii="EB Garamond" w:hAnsi="EB Garamond" w:cs="EB Garamond"/>
          <w:b/>
          <w:i w:val="0"/>
          <w:color w:val="3A3128"/>
          <w:sz w:val="25"/>
          <w:lang w:val="pt-BR" w:bidi="ar-SA"/>
          <w:kern w:val="16"/>
          <w14:ligatures w14:val="standardContextual"/>
        </w:rPr>
        <w:t>6.3.1 Incapacidade omniprofissional e seus limites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exigência legal de incapacidade para "atividade que lhe garanta a subsistência" foi interpretada pela doutrina e jurisprudência como incapacidade omniprofissional — a impossibilidade de exercer qualquer atividade remunerada que assegure o sustento do segurado. Esse conceito sofre temperamentos relevantes na aplicação concreta.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incapacidade omniprofissional não exige a incapacidade para todos os atos da vida civil. O segurado aposentado por incapacidade permanente pode conservar autonomia para atividades da vida diária — alimentar-se, locomover-se, cuidar da higiene pessoal — sem que isso comprometa a percepção do benefício. O que se exige é a impossibilidade de exercer atividade laborativa remunerada de forma habitual e sustentável.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jurisprudência consolidou o entendimento de que a avaliação da incapacidade deve ser contextualizada. Não se trata de verificar se o segurado pode, em abstrato, exercer alguma atividade, mas se pode, concretamente, no contexto socioeconômico em que está inserido, obter e manter trabalho remunerado. A análise abstrata, que desconsidera idade, escolaridade, experiência profissional e condições do mercado de trabalho, é insuficiente e pode conduzir a decisões injustas.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Há situações em que a incapacidade, embora parcial do ponto de vista estritamente médico, equivale funcionalmente à incapacidade total quando conjugada com as condições pessoais do segurado. É o que a doutrina denomina "incapacidade social" — a impossibilidade de reinserção laboral decorrente não apenas da limitação física ou mental, mas da combinação desta com fatores sociais adversos.</w:t>
      </w:r>
    </w:p>
    <w:p>
      <w:pPr>
        <w:spacing w:before="260" w:after="80" w:line="240" w:lineRule="auto"/>
        <w:jc w:val="left"/>
      </w:pPr>
      <w:r>
        <w:rPr>
          <w:rFonts w:ascii="EB Garamond" w:hAnsi="EB Garamond" w:cs="EB Garamond"/>
          <w:b/>
          <w:i w:val="0"/>
          <w:color w:val="3A3128"/>
          <w:sz w:val="25"/>
          <w:lang w:val="pt-BR" w:bidi="ar-SA"/>
          <w:kern w:val="16"/>
          <w14:ligatures w14:val="standardContextual"/>
        </w:rPr>
        <w:t>6.3.2 Condições pessoais e sociais do segurado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análise das condições pessoais e sociais do segurado, para fins de avaliação da incapacidade, está consolidada na jurisprudência da TNU e dos Tribunais Regionais Federais. A Súmula 47 da TNU é o marco normativo fundamental: "Uma vez reconhecida a incapacidade parcial para o trabalho, o juiz deve analisar as condições pessoais e sociais do segurado para a concessão de aposentadoria por invalidez".</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Os fatores que devem ser considerados incluem: (i) a idade do segurado (quanto mais avançada, menores as chances de reinserção no mercado de trabalho); (ii) o grau de instrução (o analfabetismo ou a baixa escolaridade reduzem drasticamente as opções de emprego); (iii) a atividade habitual, pois trabalhadores braçais que perdem a capacidade física enfrentam barreiras quase intransponíveis para migrar a atividades intelectuais; (iv) o histórico profissional, uma vez que a experiência exclusiva em uma única atividade limita as alternativas; (v) as condições do mercado de trabalho na região — em áreas rurais ou em municípios com baixo dinamismo econômico, as oportunidades de emprego são escassas; e (vi) o estigma social associado à doença — determinadas enfermidades geram discriminação que inviabiliza a reinserção profissional independentemente da capacidade funcional residual.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Na elaboração de quesitos para a perícia judicial, o advogado previdenciarista deve formular perguntas que permitam ao magistrado avaliar não apenas a dimensão médica da incapacidade, mas também sua dimensão social. Exemplos de quesitos relevantes: "Considerando a idade, escolaridade e atividade habitual do periciando, é possível sua reabilitação para outra atividade que lhe garanta a subsistência?"; "A doença diagnosticada gera estigma social que dificulta a reinserção profissional?"; "O periciando necessita de assistência permanente de terceiro para os atos da vida diária?". Esses quesitos, quando bem formulados, fornecem ao magistrado elementos para a aplicação da Súmula 47 da TNU.</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6.3.3 Doenças estigmatizantes e o Tema 274 da TNU</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TNU, no Tema 274 (PEDILEF 0512288-77.2017.4.05.8300), estendeu a todas as doenças estigmatizantes a lógica antes restrita ao HIV (Súmula 78/TNU): é possível a concessão de aposentadoria por incapacidade permanente, após análise das condições pessoais, sociais, econômicas e culturais, quando houver incapacidade parcial e permanente combinada com doença que impacte negativamente a funcionalidade social do segurado.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Até o julgamento do Tema 274, a concessão de aposentadoria por incapacidade permanente diante de incapacidade parcial e doença estigmatizante estava consolidada apenas para portadores de HIV (Súmula 78/TNU). O Tema 274 estendeu essa lógica a todas as doenças estigmatizantes — hanseníase, transtornos mentais graves, deformidades físicas visíveis, entre outras.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aplicação do Tema 274 exige do magistrado uma análise multidimensional da incapacidade. Não se trata de presumir a incapacidade total a partir do diagnóstico de doença estigmatizante, mas de avaliar concretamente se o estigma social associado à enfermidade, conjugado com as demais condições pessoais do segurado, inviabiliza sua reinserção no mercado de trabalho. A análise deve ser fundamentada em elementos de prova — relatórios médicos, laudos psicossociais, informações sobre o mercado de trabalho local — e não em presunções genéricas. A aplicação do Tema 274 no contexto do auxílio por incapacidade temporária é examinada no Cap. 7, seção 7.16.</w:t>
      </w:r>
    </w:p>
    <w:p>
      <w:pPr>
        <w:spacing w:before="260" w:after="80" w:line="240" w:lineRule="auto"/>
        <w:jc w:val="left"/>
      </w:pPr>
      <w:r>
        <w:rPr>
          <w:rFonts w:ascii="EB Garamond" w:hAnsi="EB Garamond" w:cs="EB Garamond"/>
          <w:b/>
          <w:i w:val="0"/>
          <w:color w:val="3A3128"/>
          <w:sz w:val="25"/>
          <w:lang w:val="pt-BR" w:bidi="ar-SA"/>
          <w:kern w:val="16"/>
          <w14:ligatures w14:val="standardContextual"/>
        </w:rPr>
        <w:t>6.3.4 Doença preexistente: DID e DII</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questão da doença preexistente à filiação ou ao reingresso no RGPS é disciplinada pelo § 2º do art. 42 da Lei 8.213/91: "A doença ou lesão de que o segurado já era portador ao filiar-se ao Regime Geral de Previdência Social não lhe conferirá direito à aposentadoria por incapacidade permanente, salvo quando a incapacidade sobrevier por motivo de progressão ou agravamento dessa doença ou lesão". A regra visa impedir a fraude — o ingresso no sistema previdenciário por pessoa já incapaz, com o propósito exclusivo de obter benefício — mas comporta exceção relevante: se a doença existia antes da filiação, mas a incapacidade sobreveio após, por progressão ou agravamento, o benefício é devido.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operacionalização dessa regra exige a fixação precisa de duas datas: a Data de Início da Doença (DID) e a Data de Início da Incapacidade (DII). A DID marca o surgimento da enfermidade; a DII, o momento em que a enfermidade passou a gerar incapacidade laborativa. Se ambas as datas são anteriores à filiação, o benefício é negado. Se a DID é anterior à filiação mas a DII é posterior, o benefício pode ser concedido, desde que a incapacidade decorra de progressão ou agravamento e não da mera continuidade do mesmo quadro clínico que já existia.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Súmula 53 da TNU sintetiza: "Não há direito a auxílio por incapacidade temporária ou a aposentadoria por incapacidade permanente quando a incapacidade para o trabalho é preexistente ao reingresso do segurado no Regime Geral de Previdência Social". Essa súmula deve ser lida em conjunto com o § 2º do art. 42: a vedação se aplica quando a incapacidade, e não apenas a doença, é preexistente. Se houve progressão real da doença que gerou nova incapacidade ou agravamento da incapacidade preexistente, o segurado faz jus ao benefício, desde que cumpridos os demais requisitos.</w:t>
      </w:r>
    </w:p>
    <w:p>
      <w:pPr>
        <w:spacing w:before="260" w:after="80" w:line="240" w:lineRule="auto"/>
        <w:jc w:val="left"/>
      </w:pPr>
      <w:r>
        <w:rPr>
          <w:rFonts w:ascii="EB Garamond" w:hAnsi="EB Garamond" w:cs="EB Garamond"/>
          <w:b/>
          <w:i w:val="0"/>
          <w:color w:val="3A3128"/>
          <w:sz w:val="25"/>
          <w:lang w:val="pt-BR" w:bidi="ar-SA"/>
          <w:kern w:val="16"/>
          <w14:ligatures w14:val="standardContextual"/>
        </w:rPr>
        <w:t>6.3.5 O modelo biopsicossocial e a Classificação Internacional de funcionalidade (CIF)</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avaliação da incapacidade para o trabalho no direito previdenciário brasileiro tem sido progressivamente influenciada pelo modelo biopsicossocial, cujo marco normativo internacional é a Classificação Internacional de Funcionalidade, Incapacidade e Saúde (CIF), adotada pela Organização Mundial da Saúde em 2001.</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modelo biomédico tradicional, centrado exclusivamente na doença e na lesão orgânica, avalia a incapacidade como atributo individual do paciente: ou o corpo funciona adequadamente, ou não funciona. O modelo biopsicossocial rompe com essa lógica ao conceber a incapacidade como resultado da interação entre fatores biológicos (a doença ou lesão), fatores pessoais (idade, escolaridade, experiência profissional) e fatores ambientais (barreiras físicas, atitudinais, socioeconômicas e institucionais). A incapacidade, nessa perspectiva, não é propriedade exclusiva do indivíduo, mas produto da relação entre o indivíduo e o seu contexto.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CIF organiza a avaliação da funcionalidade em torno de componentes interconectados: funções e estruturas do corpo (dimensão biológica), atividades e participação (dimensão individual e social) e fatores contextuais (ambientais e pessoais). Uma pessoa com amputação de membro inferior pode ser funcionalmente capaz em um ambiente urbano com acessibilidade adequada e emprego sedentário, e funcionalmente incapaz em ambiente rural sem pavimentação, onde a atividade laborativa disponível é exclusivamente braçal. A CIF permite capturar essa variação contextual, que o modelo biomédico puro ignora.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No direito brasileiro, o modelo biopsicossocial encontra positivação expressa na Lei Brasileira de Inclusão (Lei n. 13.146/2015), cujo art. 2º define pessoa com deficiência como "aquela que tem impedimento de longo prazo de natureza física, mental, intelectual ou sensorial, o qual, em interação com uma ou mais barreiras, pode obstruir sua participação plena e efetiva na sociedade em igualdade de condições com as demais pessoas". A avaliação biopsicossocial da deficiência é realizada por equipe multiprofissional e interdisciplinar, nos termos do Decreto n. 6.214/2007 (regulamento do BPC) e do Decreto 11.063/2022 (que instituiu o modelo unificado de avaliação biopsicossocial), que regulamentam o instrumento de avaliação para fins de BPC. O Índice de Funcionalidade Brasileiro Modificado (IFBr-M) operacionaliza essa avaliação, organizando-a em sete domínios: sensorial, comunicação, mobilidade, cuidados pessoais, vida doméstica, educação/trabalho/vida econômica e socialização/vida comunitária.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Embora o IFBr-M seja formalmente aplicável à avaliação da deficiência para fins de BPC (v. Cap. 18), e não diretamente à avaliação da incapacidade para fins de aposentadoria por incapacidade permanente, a lógica biopsicossocial subjacente irradia efeitos sobre a perícia previdenciária. Sustentamos que a avaliação da incapacidade laborativa, mesmo quando não adota formalmente o instrumento do IFBr-M, deve incorporar a perspectiva biopsicossocial ao considerar fatores ambientais e pessoais — exatamente o que a jurisprudência da TNU já exige, ao determinar a análise das condições pessoais e sociais do segurado (Súmula 47) e ao reconhecer o impacto funcional das doenças estigmatizantes (Tema 274).</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convergência entre a Súmula 47/TNU, o Tema 274/TNU e o modelo biopsicossocial da CIF revela que a jurisprudência previdenciária brasileira já incorporou, na prática, os postulados centrais desse modelo — ainda que a legislação previdenciária stricto sensu não tenha formalizado sua adoção para benefícios por incapacidade. A tendência é de progressiva aproximação, como demonstra a evolução normativa em matéria de BPC e a influência crescente da CIF nos protocolos de avaliação pericial do INSS.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Na formulação de quesitos periciais, o advogado pode incorporar a perspectiva biopsicossocial com perguntas como: "Considerando as barreiras ambientais e sociais no contexto de vida do periciando (especificar: rural/urbano, acessibilidade, oferta de emprego local), as limitações funcionais identificadas comprometem sua participação efetiva no mercado de trabalho?"; "A interação entre as limitações funcionais do periciando e os fatores ambientais de seu contexto (especificar) resulta em restrição de atividade ou de participação social que inviabilize o exercício de atividade laborativa?". Quesitos assim formulados permitem ao perito ir além do diagnóstico clínico e avaliar a funcionalidade no contexto real do segurado — exatamente o que a Súmula 47 da TNU exige do magistrado na sentença.</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6.4 O laudo pericial e sua valoração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prova pericial é o elemento central da instrução processual nas ações de aposentadoria por incapacidade permanente. A verificação da incapacidade depende de conhecimento técnico especializado, o que torna a perícia médica judicial instrumento processual indispensável. O CPC/2015 disciplina a prova pericial nos arts. 464 a 480, aplicáveis subsidiariamente ao procedimento dos JEFs (art. 1º da Lei 9.099/95 c/c art. 1º da Lei 10.259/2001).</w:t>
      </w:r>
    </w:p>
    <w:p>
      <w:pPr>
        <w:spacing w:before="260" w:after="80" w:line="240" w:lineRule="auto"/>
        <w:jc w:val="left"/>
      </w:pPr>
      <w:r>
        <w:rPr>
          <w:rFonts w:ascii="EB Garamond" w:hAnsi="EB Garamond" w:cs="EB Garamond"/>
          <w:b/>
          <w:i w:val="0"/>
          <w:color w:val="3A3128"/>
          <w:sz w:val="25"/>
          <w:lang w:val="pt-BR" w:bidi="ar-SA"/>
          <w:kern w:val="16"/>
          <w14:ligatures w14:val="standardContextual"/>
        </w:rPr>
        <w:t>6.4.1 Perícia médica judicial: natureza e finalidade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perícia médica judicial é meio de prova técnica destinada a auxiliar o juiz na formação de sua convicção sobre questões que demandam conhecimento especializado. A perícia nos feitos previdenciários assume papel central na formação do convencimento judicial, dada a natureza eminentemente técnica da controvérsia sobre a incapacidade. No contexto previdenciário, a perícia tem por finalidade responder a três perguntas fundamentais: (i) o periciando é portador de doença ou lesão? (ii) em caso positivo, essa doença ou lesão gera incapacidade para o trabalho? (iii) a incapacidade é total ou parcial, temporária ou permanente?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Nos JEFs, a perícia médica é realizada por perito único nomeado pelo juiz, nos termos do art. 12, § 1º, da Lei 10.259/2001. Não há assistente técnico das partes no procedimento sumaríssimo, embora o segurado possa apresentar atestados, laudos e exames complementares que integrarão o conjunto probatório. O perito é remunerado pelo Poder Público (art. 12, § 1º), e sua nomeação deve recair preferencialmente sobre profissional habilitado na especialidade médica pertinente à doença ou lesão investigada.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Lei 8.213/91, em seu art. 42, § 1º, prevê que "a concessão de aposentadoria por incapacidade permanente dependerá da verificação da condição de incapacidade mediante exame médico-pericial a cargo da Previdência Social, podendo o segurado, às suas expensas, fazer-se acompanhar de médico de sua confiança". Essa regra refere-se à perícia administrativa do INSS, não à perícia judicial. No âmbito dos JEFs, o perito é nomeado pelo juiz e atua com independência funcional em relação tanto ao INSS quanto ao segurado.</w:t>
      </w:r>
    </w:p>
    <w:p>
      <w:pPr>
        <w:spacing w:before="260" w:after="80" w:line="240" w:lineRule="auto"/>
        <w:jc w:val="left"/>
      </w:pPr>
      <w:r>
        <w:rPr>
          <w:rFonts w:ascii="EB Garamond" w:hAnsi="EB Garamond" w:cs="EB Garamond"/>
          <w:b/>
          <w:i w:val="0"/>
          <w:color w:val="3A3128"/>
          <w:sz w:val="25"/>
          <w:lang w:val="pt-BR" w:bidi="ar-SA"/>
          <w:kern w:val="16"/>
          <w14:ligatures w14:val="standardContextual"/>
        </w:rPr>
        <w:t>6.4.2 Quesitos do juízo e das partes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formulação de quesitos adequados é determinante para a qualidade da prova pericial. Os JEFs tipicamente utilizam quesitos padronizados que abrangem: (i) identificação da doença ou lesão; (ii) data provável de início da doença; (iii) data de início da incapacidade; (iv) grau de incapacidade (total ou parcial); (v) duração provável da incapacidade (temporária ou permanente); (vi) possibilidade de reabilitação para outra atividade; (vii) necessidade de assistência permanente de terceiro.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Os quesitos das partes complementam os do juízo e devem ser direcionados às questões controvertidas do caso concreto. O advogado do segurado deve formular quesitos que explorem: (a) a relação entre a doença e as atividades habitualmente exercidas; (b) o impacto das condições pessoais na possibilidade de reabilitação; (c) a existência de doença estigmatizante; (d) a evolução temporal da doença e da incapacidade (DID/DII); (e) a necessidade de tratamento contínuo e seus efeitos colaterais; e (f) o prognóstico médico.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Modelo de quesitos complementares para o segurado: "1. Qual a doença ou lesão diagnosticada e qual o CID-10 correspondente? 2. A doença é progressiva ou estável? 3. Há necessidade de tratamento contínuo? Em caso positivo, os medicamentos utilizados possuem efeitos colaterais que limitam a atividade laborativa? 4. Considerando a idade do periciando (informar), sua escolaridade (informar) e sua atividade habitual (informar), é viável a reabilitação para outra atividade profissional? 5. A doença diagnosticada encontra-se no rol de doenças que dispensam carência (art. 26, II, da Lei 8.213/91, c/c Portaria Interministerial MTP/MS 22/2022, Anexo II)? 6. A incapacidade é compatível com o exercício de alguma atividade remunerada, ainda que diversa da habitual? 7. O periciando necessita de assistência permanente de outra pessoa para os atos da vida diária?"</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6.4.3 Valor probante do laudo e livre convicção motivada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laudo pericial não vincula o juiz. O princípio da livre convicção motivada (art. 371 do CPC/2015) autoriza o magistrado a acolher total ou parcialmente as conclusões do perito, ou delas divergir com fundamentação adequada. A divergência do laudo pericial exige, porém, motivação robusta — o juiz não pode simplesmente desconsiderar a conclusão do perito sem indicar os elementos de prova que sustentam sua decisão divergente.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dos JEFs, a divergência entre o laudo pericial e a convicção do juiz ocorre tipicamente em três cenários. No primeiro, o perito conclui pela ausência de incapacidade, mas os documentos médicos juntados pelo segurado (atestados, prontuários, exames complementares) indicam quadro clínico incompatível com a conclusão pericial. No segundo, o perito reconhece incapacidade parcial, mas as condições pessoais e sociais do segurado, analisadas à luz da Súmula 47 da TNU, conduzem à conclusão de incapacidade equivalente à total. No terceiro, o perito fixa a DII em data incompatível com a documentação médica constante dos autos.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STJ, no julgamento do Tema 1.246 (REsp 2.082.395/SP, Primeira Seção, j. 13/11/2024), fixou, sob o rito dos recursos repetitivos, a tese de que "é inadmissível recurso especial interposto para rediscutir as conclusões do acórdão recorrido quanto ao preenchimento, em caso concreto em que se controverte quanto a benefício por incapacidade (aposentadoria por invalidez, auxílio-doença ou auxílio-acidente), do requisito legal da incapacidade do segurado para o exercício de atividade laborativa, seja pela vertente de sua existência, de sua extensão (total ou parcial) e/ou de sua duração (temporária ou permanente)". A inadmissibilidade abrange, assim, tanto o reconhecimento da incapacidade em si quanto a sua extensão (total ou parcial) e a sua duração (temporária ou permanente). Trata-se, no fundo, da consolidação do óbice da Súmula 7/STJ em tese vinculante: a valoração da prova pericial fica concentrada nas instâncias ordinárias (JEF e Turma Recursal, ou primeiro e segundo graus na Justiça comum).</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laudo pericial do INSS (perícia administrativa) e o laudo pericial judicial são provas distintas, com naturezas e finalidades diferentes. O laudo administrativo é produzido no âmbito do procedimento de concessão do benefício, por médico perito do INSS, sem contraditório pleno. O laudo judicial é produzido no curso da ação, por perito nomeado pelo juiz, com contraditório assegurado às partes (formulação de quesitos, acesso ao laudo, possibilidade de impugnação). A divergência entre os dois laudos não é incomum e deve ser resolvida pelo juiz à luz do conjunto probatório, com prevalência, em regra, do laudo judicial — produzido com maiores garantias processuais.</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6.4.4 Divergência entre laudos e documentação médica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S</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ituação frequente nos JEFs é a divergência entre o laudo pericial judicial e a documentação médica apresentada pelo segurado. Atestados médicos de tratamento, prontuários hospitalares, exames laboratoriais e de imagem, relatórios de internação e receituários compõem acervo probatório que pode confirmar ou contraditar as conclusões do perito.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TNU tem entendido que o laudo pericial não é prova absoluta e que o juiz deve considerar todo o conjunto probatório, incluindo a documentação médica particular. A TNU já manteve decisões que concederam aposentadoria por incapacidade permanente com base em exames particulares que contradiziam o laudo pericial, entendendo que a prova documental médica, quando robusta e coerente, pode fundamentar a convicção do juiz em sentido diverso da conclusão pericial.</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6.5 Técnica de reação ao laudo adverso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laudo pericial adverso — aquele que conclui pela ausência de incapacidade ou pela incapacidade apenas parcial e temporária — não encerra a instrução probatória nos JEFs. O segurado dispõe de instrumentos processuais para questionar as conclusões periciais e buscar a reversão do resultado desfavorável.</w:t>
      </w:r>
    </w:p>
    <w:p>
      <w:pPr>
        <w:spacing w:before="260" w:after="80" w:line="240" w:lineRule="auto"/>
        <w:jc w:val="left"/>
      </w:pPr>
      <w:r>
        <w:rPr>
          <w:rFonts w:ascii="EB Garamond" w:hAnsi="EB Garamond" w:cs="EB Garamond"/>
          <w:b/>
          <w:i w:val="0"/>
          <w:color w:val="3A3128"/>
          <w:sz w:val="25"/>
          <w:lang w:val="pt-BR" w:bidi="ar-SA"/>
          <w:kern w:val="16"/>
          <w14:ligatures w14:val="standardContextual"/>
        </w:rPr>
        <w:t>6.5.1 Impugnação do laudo pericial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impugnação ao laudo pericial deve ser apresentada no prazo concedido pelo juiz para manifestação das partes, nos termos do art. 477 do CPC/2015, aplicável subsidiariamente. A impugnação deve apontar, fundamentadamente, as deficiências do laudo: contradições internas, incompatibilidade com a documentação médica dos autos, ausência de exame clínico adequado, desatualização do exame em relação ao quadro atual do segurado, incompetência do perito para a especialidade em questão ou omissão na resposta a quesitos relevantes.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impugnação genérica, que se limita a discordar da conclusão pericial sem indicar vícios concretos, é ineficaz e não obriga o juiz a determinar nova perícia. A impugnação específica, ao contrário, que identifica contradições e aponta provas contrárias, pode fundamentar tanto o pedido de esclarecimentos quanto a determinação de nova perícia.</w:t>
      </w:r>
    </w:p>
    <w:p>
      <w:pPr>
        <w:spacing w:before="260" w:after="80" w:line="240" w:lineRule="auto"/>
        <w:jc w:val="left"/>
      </w:pPr>
      <w:r>
        <w:rPr>
          <w:rFonts w:ascii="EB Garamond" w:hAnsi="EB Garamond" w:cs="EB Garamond"/>
          <w:b/>
          <w:i w:val="0"/>
          <w:color w:val="3A3128"/>
          <w:sz w:val="25"/>
          <w:lang w:val="pt-BR" w:bidi="ar-SA"/>
          <w:kern w:val="16"/>
          <w14:ligatures w14:val="standardContextual"/>
        </w:rPr>
        <w:t>6.5.2 Pedido de esclarecimentos e nova perícia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pedido de esclarecimentos ao perito (art. 477, § 2º, do CPC/2015) é instrumento útil quando a impugnação identifica omissões ou contradições no laudo que podem ser sanadas sem a realização de novo exame. O perito é intimado a prestar esclarecimentos por escrito, complementando o laudo original.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nova perícia (art. 480 do CPC/2015) é cabível quando os esclarecimentos não forem suficientes para sanar as deficiências apontadas. No procedimento dos JEFs, a realização de nova perícia depende de decisão fundamentada do juiz, que avaliará a necessidade diante do conjunto probatório. A nova perícia pode ser realizada por profissional de especialidade diversa, quando a natureza da doença assim exigir — por exemplo, quando o laudo foi elaborado por clínico geral e a doença demanda avaliação de especialista (ortopedista, psiquiatra, neurologista).</w:t>
      </w:r>
    </w:p>
    <w:p>
      <w:pPr>
        <w:spacing w:before="260" w:after="80" w:line="240" w:lineRule="auto"/>
        <w:jc w:val="left"/>
      </w:pPr>
      <w:r>
        <w:rPr>
          <w:rFonts w:ascii="EB Garamond" w:hAnsi="EB Garamond" w:cs="EB Garamond"/>
          <w:b/>
          <w:i w:val="0"/>
          <w:color w:val="3A3128"/>
          <w:sz w:val="25"/>
          <w:lang w:val="pt-BR" w:bidi="ar-SA"/>
          <w:kern w:val="16"/>
          <w14:ligatures w14:val="standardContextual"/>
        </w:rPr>
        <w:t>6.5.3 Provas complementares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segurado pode apresentar, a qualquer tempo durante a instrução, documentos médicos que complementem ou contradigam o laudo pericial. Atestados de médicos assistentes, relatórios de internação, resultados de exames laboratoriais e de imagem, receituários de medicamentos, relatórios de acompanhamento psicológico ou psiquiátrico e laudos de outros profissionais de saúde integram o acervo probatório e devem ser valorados pelo juiz.</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jurisprudência dos TRFs e da TNU reconhece que o laudo do médico assistente — aquele que acompanha regularmente o paciente — pode ter valor probante superior ao do laudo pericial em determinadas circunstâncias, quando o médico assistente possui conhecimento longitudinal do paciente (acompanhamento ao longo do tempo), ao passo que o perito judicial realiza exame pontual, em sessão única e geralmente breve.</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Estratégia processual para reação ao laudo adverso nos JEFs: (1) Requerer prazo para impugnação do laudo e, obtendo-o, apresentar impugnação específica e fundamentada, apontando contradições com a documentação médica dos autos. (2) Requerer esclarecimentos do perito sobre pontos omissos ou contraditórios, formulando quesitos suplementares direcionados. (3) Juntar documentação médica atualizada — atestados, exames, relatórios — que demonstre a evolução do quadro clínico desde a perícia. (4) Requerer nova perícia se os esclarecimentos forem insatisfatórios, indicando a especialidade médica adequada. (5) Em audiência de instrução, quando houver, solicitar a oitiva do segurado sobre suas condições pessoais, limitações funcionais e histórico laboral, elementos essenciais para a aplicação da Súmula 47 da TNU. (6) Nas razões finais, articular expressamente a análise das condições pessoais como fundamento autônomo para a concessão, independentemente da conclusão estritamente médica do laudo.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6.6 Data de início do benefício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fixação da Data de Início do Benefício (DIB) nas ações de aposentadoria por incapacidade permanente é questão de grande repercussão prática, pois determina o marco temporal a partir do qual o segurado faz jus ao pagamento de parcelas atrasadas. A matéria é disciplinada pelo art. 43 da Lei 8.213/91 e pela jurisprudência consolidada do STF e do STJ.</w:t>
      </w:r>
    </w:p>
    <w:p>
      <w:pPr>
        <w:spacing w:before="260" w:after="80" w:line="240" w:lineRule="auto"/>
        <w:jc w:val="left"/>
      </w:pPr>
      <w:r>
        <w:rPr>
          <w:rFonts w:ascii="EB Garamond" w:hAnsi="EB Garamond" w:cs="EB Garamond"/>
          <w:b/>
          <w:i w:val="0"/>
          <w:color w:val="3A3128"/>
          <w:sz w:val="25"/>
          <w:lang w:val="pt-BR" w:bidi="ar-SA"/>
          <w:kern w:val="16"/>
          <w14:ligatures w14:val="standardContextual"/>
        </w:rPr>
        <w:t>6.6.1 Regra geral: requerimento administrativo ou cessação do auxílio por incapacidade temporária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43 da Lei 8.213/91 estabelece duas regras para a fixação da DIB conforme a situação do segurado. O inciso I trata da hipótese em que o segurado não está em gozo de auxílio por incapacidade temporária: nesse caso, a aposentadoria será devida a contar da data do requerimento, quando não precedida de auxílio-doença (atual auxílio por incapacidade temporária). O inciso II trata da hipótese inversa: quando o segurado já se encontra em gozo de auxílio por incapacidade temporária, a aposentadoria é devida a contar do dia imediato ao da cessação daquele benefício. A leitura conjunta dos dois incisos revela a lógica do legislador: se há auxílio prévio, a aposentadoria o sucede sem solução de continuidade; se não há, o marco é o requerimento administrativo.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construção jurisprudencial acrescentou uma terceira hipótese, não prevista textualmente no art. 43: quando o segurado ingressa diretamente em juízo sem prévio requerimento administrativo (nas hipóteses em que a jurisprudência admite essa via), a DIB é fixada na data da citação válida do INSS. Essa regra decorre do Tema 626/STJ, e não do texto legal.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art. 62 da Lei 8.213/91 prevê que "o segurado em gozo de auxílio-doença, insusceptível de recuperação para sua atividade habitual, deverá submeter-se a processo de reabilitação profissional para o exercício de outra atividade". Note-se que a redação original do dispositivo emprega o termo "auxílio-doença", pois a Lei 8.213/91 não teve sua redação formalmente alterada pela EC 103/2019. O art. 62 não prevê textualmente a conversão do auxílio em aposentadoria; o que prevê é o encaminhamento à reabilitação profissional. A conversão em aposentadoria por incapacidade permanente é consequência lógica da inviabilidade da reabilitação, construída pela interpretação sistemática da lei e consolidada pela jurisprudência.</w:t>
      </w:r>
    </w:p>
    <w:p>
      <w:pPr>
        <w:spacing w:before="260" w:after="80" w:line="240" w:lineRule="auto"/>
        <w:jc w:val="left"/>
      </w:pPr>
      <w:r>
        <w:rPr>
          <w:rFonts w:ascii="EB Garamond" w:hAnsi="EB Garamond" w:cs="EB Garamond"/>
          <w:b/>
          <w:i w:val="0"/>
          <w:color w:val="3A3128"/>
          <w:sz w:val="25"/>
          <w:lang w:val="pt-BR" w:bidi="ar-SA"/>
          <w:kern w:val="16"/>
          <w14:ligatures w14:val="standardContextual"/>
        </w:rPr>
        <w:t>6.6.2 Prévio requerimento administrativo (Tema 350/STF)</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Supremo Tribunal Federal, no julgamento do RE 631.240 (Tema 350, rel. Min. Roberto Barroso, j. 03/09/2014), fixou a tese de que "a concessão de benefícios previdenciários depende de requerimento do interessado, não se caracterizando ameaça ou lesão a direito antes de sua apreciação e indeferimento pelo INSS, ou se excedido o prazo legal para sua análise". O prévio requerimento administrativo é, em regra, condição para o interesse de agir nas ações previdenciárias.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tese comporta exceções importantes: (i) quando a posição do INSS seja notoriamente contrária ao direito postulado — por exemplo, quando o INSS adota interpretação normativa consolidada contra a pretensão do segurado; (ii) nos pedidos de revisão de benefícios em manutenção, quando a controvérsia é exclusivamente de direito; e (iii) quando o segurado comprova ter comparecido ao INSS e não ter conseguido protocolar o requerimento por razões imputáveis à autarquia.</w:t>
      </w:r>
    </w:p>
    <w:p>
      <w:pPr>
        <w:spacing w:before="260" w:after="80" w:line="240" w:lineRule="auto"/>
        <w:jc w:val="left"/>
      </w:pPr>
      <w:r>
        <w:rPr>
          <w:rFonts w:ascii="EB Garamond" w:hAnsi="EB Garamond" w:cs="EB Garamond"/>
          <w:b/>
          <w:i w:val="0"/>
          <w:color w:val="3A3128"/>
          <w:sz w:val="25"/>
          <w:lang w:val="pt-BR" w:bidi="ar-SA"/>
          <w:kern w:val="16"/>
          <w14:ligatures w14:val="standardContextual"/>
        </w:rPr>
        <w:t>6.6.3 Termo inicial em concessão judicial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fixação do termo inicial dos efeitos financeiros quando o benefício é concedido judicialmente envolve regras distintas conforme tenha havido ou não requerimento administrativo. O STJ, no Tema 626 (REsp 1.369.165/SP, j. 26/02/2014), estabeleceu que, quando ausente postulação administrativa prévia, o termo inicial da aposentadoria por incapacidade permanente concedida judicialmente é a data da citação válida do INSS. Quando houve requerimento administrativo seguido de indeferimento, a DIB retroage à data do requerimento, desde que a incapacidade já existisse naquela data.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STJ aprofundou a matéria no julgamento do Tema 1.124 (REsp 1.913.152, rel. Min. Herman Benjamin, j. 08/10/2025), em que duas questões devem ser tratadas separadamente.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A primeira diz respeito ao </w:t>
      </w:r>
      <w:r>
        <w:rPr>
          <w:rFonts w:ascii="EB Garamond" w:hAnsi="EB Garamond" w:cs="EB Garamond"/>
          <w:b/>
          <w:i w:val="0"/>
          <w:color w:val="201B16"/>
          <w:sz w:val="21"/>
          <w:lang w:val="pt-BR" w:bidi="ar-SA"/>
          <w:kern w:val="16"/>
          <w14:ligatures w14:val="standardContextual"/>
        </w:rPr>
        <w:t>interesse de agir</w:t>
      </w:r>
      <w:r>
        <w:rPr>
          <w:rFonts w:ascii="EB Garamond" w:hAnsi="EB Garamond" w:cs="EB Garamond"/>
          <w:b w:val="0"/>
          <w:i w:val="0"/>
          <w:color w:val="201B16"/>
          <w:sz w:val="21"/>
          <w:lang w:val="pt-BR" w:bidi="ar-SA"/>
          <w:kern w:val="16"/>
          <w14:ligatures w14:val="standardContextual"/>
        </w:rPr>
        <w:t>. O Tribunal exigiu requerimento administrativo apto, instruído com documentação minimamente suficiente, e afastou a configuração do interesse de agir na hipótese de "indeferimento forçado" — aquele provocado por requerimento deliberadamente desacompanhado da prova essencial, com o único propósito de abrir a via judicial.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A segunda questão, superada a primeira, diz respeito ao </w:t>
      </w:r>
      <w:r>
        <w:rPr>
          <w:rFonts w:ascii="EB Garamond" w:hAnsi="EB Garamond" w:cs="EB Garamond"/>
          <w:b/>
          <w:i w:val="0"/>
          <w:color w:val="201B16"/>
          <w:sz w:val="21"/>
          <w:lang w:val="pt-BR" w:bidi="ar-SA"/>
          <w:kern w:val="16"/>
          <w14:ligatures w14:val="standardContextual"/>
        </w:rPr>
        <w:t>termo inicial dos efeitos financeiros</w:t>
      </w:r>
      <w:r>
        <w:rPr>
          <w:rFonts w:ascii="EB Garamond" w:hAnsi="EB Garamond" w:cs="EB Garamond"/>
          <w:b w:val="0"/>
          <w:i w:val="0"/>
          <w:color w:val="201B16"/>
          <w:sz w:val="21"/>
          <w:lang w:val="pt-BR" w:bidi="ar-SA"/>
          <w:kern w:val="16"/>
          <w14:ligatures w14:val="standardContextual"/>
        </w:rPr>
        <w:t xml:space="preserve"> quando a concessão judicial se baseia em prova não submetida ao crivo administrativo do INSS. Conforme a tese fixada, quando a prova é levada a juízo somente após a propositura da ação ou por comprovada impossibilidade material de apresentação na via administrativa, o termo inicial é a data da citação válida — ou data posterior em que preenchidos os requisitos, nos termos do Tema 995/STJ. Quando, ao contrário, o segurado leva a juízo os mesmos fatos e provas apresentados ao INSS, ou quando o INSS deixou de oportunizar a complementação da prova, admite-se a fixação da DIB na data do requerimento administrativo. A questão é relevante nos casos em que o segurado apresenta em juízo documentação médica que não foi analisada na esfera administrativa — exames realizados após o indeferimento, laudos de especialistas não consultados pelo INSS etc.</w:t>
      </w:r>
    </w:p>
    <w:p>
      <w:pPr>
        <w:spacing w:before="260" w:after="80" w:line="240" w:lineRule="auto"/>
        <w:jc w:val="left"/>
      </w:pPr>
      <w:r>
        <w:rPr>
          <w:rFonts w:ascii="EB Garamond" w:hAnsi="EB Garamond" w:cs="EB Garamond"/>
          <w:b/>
          <w:i w:val="0"/>
          <w:color w:val="3A3128"/>
          <w:sz w:val="25"/>
          <w:lang w:val="pt-BR" w:bidi="ar-SA"/>
          <w:kern w:val="16"/>
          <w14:ligatures w14:val="standardContextual"/>
        </w:rPr>
        <w:t>6.6.4 Reafirmação da DER e incapacidade permanente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instituto da reafirmação da DER (Tema 995/STJ) é examinado em profundidade no Capítulo 10, seção 10.7. Nesta seção, interessa sua aplicação específica à aposentadoria por incapacidade permanente.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hipótese mais frequente ocorre quando, na data do requerimento administrativo, a incapacidade era apenas parcial ou temporária, mas, no curso da ação judicial, se agrava e se torna permanente. Diferentemente das aposentadorias programadas — cujos requisitos são objetivos e verificáveis por cálculo —, a reafirmação da DER em sede de incapacidade depende de constatação médico-pericial sobre a evolução temporal do quadro clínico. O perito deve ser instado a fixar com precisão a data em que a incapacidade temporária se converteu em permanente.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jurisprudência dos TRFs admite, nessas hipóteses, a conversão do pedido de auxílio por incapacidade temporária em aposentadoria por incapacidade permanente mediante reafirmação da DER, com fundamento no art. 493 do CPC/2015, desde que observado o contraditório. A DIB será fixada na data em que a incapacidade se tornou permanente, e não na data do requerimento administrativo original.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Cabe, todavia, uma ressalva técnica. O paradigma fixado no Tema 995/STJ tem por objeto a aposentadoria programada, em que o requisito que se completa no curso da ação (tempo de contribuição ou idade) é fato objetivo, verificável por cálculo a partir de elementos documentais incontroversos. A transposição dessa lógica para a incapacidade superveniente não é automática: aqui, o "fato novo" do art. 493 não é o transcurso de um requisito aritmético, mas a evolução de um quadro clínico, cuja data de consolidação depende de juízo médico-pericial e comporta margem de incerteza. Por isso, sustentamos que a reafirmação da DER em sede de incapacidade só é legítima quando a perícia fixar, de modo seguro, a data em que a incapacidade temporária se converteu em permanente — fixando-se a DIB nesse marco, e não na data do requerimento — e desde que franqueado ao INSS o contraditório sobre essa nova realidade fática. Trata-se, a rigor, menos de aplicar diretamente a tese do Tema 995/STJ do que de invocar o regime geral do art. 493 do CPC/2015 quanto ao conhecimento, de ofício ou a requerimento, do fato superveniente capaz de influir no julgamento.</w:t>
      </w:r>
    </w:p>
    <w:p>
      <w:pPr>
        <w:spacing w:before="260" w:after="80" w:line="240" w:lineRule="auto"/>
        <w:jc w:val="left"/>
      </w:pPr>
      <w:r>
        <w:rPr>
          <w:rFonts w:ascii="EB Garamond" w:hAnsi="EB Garamond" w:cs="EB Garamond"/>
          <w:b/>
          <w:i w:val="0"/>
          <w:color w:val="3A3128"/>
          <w:sz w:val="25"/>
          <w:lang w:val="pt-BR" w:bidi="ar-SA"/>
          <w:kern w:val="16"/>
          <w14:ligatures w14:val="standardContextual"/>
        </w:rPr>
        <w:t>6.6.5 Cumulação de salários e benefício retroativo (Tema 1.013/STJ)</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STJ, no julgamento do Tema 1.013 (REsp 1.786.590/SP, Primeira Seção, j. 24/06/2020), fixou tese de grande relevância prática: "No período entre o indeferimento administrativo e a efetiva implantação de auxílio por incapacidade temporária ou de aposentadoria por incapacidade permanente mediante decisão judicial, o segurado do RGPS tem direito ao recebimento conjunto das rendas do trabalho exercido e do benefício previdenciário pago retroativamente".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tese resolve uma situação frequente: o segurado que, tendo seu benefício indeferido pelo INSS, se vê obrigado a trabalhar para sobreviver durante o trâmite da ação judicial. Se a ação é julgada procedente, com DIB retroativa à data do requerimento administrativo, o INSS não pode compensar os valores retroativos com a remuneração auferida no período, pois o segurado não pode ser penalizado por ter buscado a subsistência diante da negativa administrativa. A cumulação é admitida porque a necessidade de trabalhar decorreu da resistência ilegítima da autarquia à concessão do benefício devido.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Tema 1.013/STJ consolidou entendimento que já vinha sendo adotado pela maioria dos TRFs e pela TNU: a cumulação de salários e benefício por incapacidade pago retroativamente é legítima quando o trabalho foi exercido durante a pendência da ação judicial. A Primeira Seção ressalvou que a cumulação não se aplica quando o segurado está em gozo efetivo do benefício e exerce atividade remunerada — nesse caso, incide a regra do art. 46 da Lei 8.213/91, que determina a cessação da aposentadoria por incapacidade permanente quando o segurado retorna voluntariamente à atividade.</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6.7 Cálculo do benefício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 regras gerais de cálculo do salário de benefício e da renda mensal inicial — inclusive a sistemática do período básico de cálculo antes e depois da EC 103/2019 — são examinadas no Capítulo 16 (seções 16.3 a 16.5). Nesta seção, destacam-se as peculiaridades aplicáveis à aposentadoria por incapacidade permanente.</w:t>
      </w:r>
    </w:p>
    <w:p>
      <w:pPr>
        <w:spacing w:before="260" w:after="80" w:line="240" w:lineRule="auto"/>
        <w:jc w:val="left"/>
      </w:pPr>
      <w:r>
        <w:rPr>
          <w:rFonts w:ascii="EB Garamond" w:hAnsi="EB Garamond" w:cs="EB Garamond"/>
          <w:b/>
          <w:i w:val="0"/>
          <w:color w:val="3A3128"/>
          <w:sz w:val="25"/>
          <w:lang w:val="pt-BR" w:bidi="ar-SA"/>
          <w:kern w:val="16"/>
          <w14:ligatures w14:val="standardContextual"/>
        </w:rPr>
        <w:t>6.7.1 Coeficiente e exceções específicas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N</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o regime anterior à EC 103/2019, a renda mensal correspondia a 100% do salário de benefício, sem fator previdenciário (art. 44, I, Lei 8.213/91). Após a EC 103/2019, aplica-se o coeficiente geral de 60% da média de todos os salários de contribuição, acrescido de 2% por ano que exceder 20 (homem) ou 15 (mulher) — conforme o art. 26, § 2º, da EC 103/2019, cuja sistemática escalonada se desdobra nos respectivos incisos (v. Cap. 16, seção 16.5, para a fórmula detalhada e exemplos numéricos, e seção 6.7.3, infra, para a aplicação dessa regra geral às doenças graves após o Tema 1.300/STF).</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exceção ocorre quando a incapacidade decorrer de acidente de trabalho, doença profissional ou doença do trabalho, mantém-se a integralidade de 100% (art. 26, § 3º, II, da EC 103/2019). Portadores de doenças graves, que no regime anterior também faziam jus à integralidade, passaram a se sujeitar à regra geral de 60% + 2%/ano — questão cuja constitucionalidade foi enfrentada no Tema 1.300/STF (v. Seção 6.7.3, infra).</w:t>
      </w:r>
    </w:p>
    <w:p>
      <w:pPr>
        <w:spacing w:before="260" w:after="80" w:line="240" w:lineRule="auto"/>
        <w:jc w:val="left"/>
      </w:pPr>
      <w:r>
        <w:rPr>
          <w:rFonts w:ascii="EB Garamond" w:hAnsi="EB Garamond" w:cs="EB Garamond"/>
          <w:b/>
          <w:i w:val="0"/>
          <w:color w:val="3A3128"/>
          <w:sz w:val="25"/>
          <w:lang w:val="pt-BR" w:bidi="ar-SA"/>
          <w:kern w:val="16"/>
          <w14:ligatures w14:val="standardContextual"/>
        </w:rPr>
        <w:t>6.7.2 Direito intertemporal: a DII como marco temporal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marco temporal para a definição do regime de cálculo aplicável é a DII — Data de Início da Incapacidade, e não a DER. Se a DII é anterior a 13/11/2019 (exclusive), aplica-se integralmente o regime anterior (100% do SB, calculado sobre a média dos 80% maiores salários de contribuição). Se a DII é em 13/11/2019 (inclusive) ou posterior, aplica-se o novo regime, pois a EC 103/2019 entrou em vigor na data de sua publicação (art. 36 da EC 103/2019). A distinção tem gerado contencioso expressivo nos JEFs.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precisão da perícia médica na fixação da DII torna-se, assim, determinante não apenas para a aferição da qualidade de segurado, mas para a definição do regime de cálculo — com impacto financeiro potencialmente expressivo ao longo de toda a vida do benefício. O magistrado e o advogado devem estar atentos à necessidade de quesitos específicos sobre a data precisa de início da incapacidade, especialmente quando a DII situa-se em período próximo a 13/11/2019.</w:t>
      </w:r>
    </w:p>
    <w:p>
      <w:pPr>
        <w:spacing w:before="260" w:after="80" w:line="240" w:lineRule="auto"/>
        <w:jc w:val="left"/>
      </w:pPr>
      <w:r>
        <w:rPr>
          <w:rFonts w:ascii="EB Garamond" w:hAnsi="EB Garamond" w:cs="EB Garamond"/>
          <w:b/>
          <w:i w:val="0"/>
          <w:color w:val="3A3128"/>
          <w:sz w:val="25"/>
          <w:lang w:val="pt-BR" w:bidi="ar-SA"/>
          <w:kern w:val="16"/>
          <w14:ligatures w14:val="standardContextual"/>
        </w:rPr>
        <w:t>6.7.3 Doenças graves e o Tema 1.300 do STF</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constitucionalidade da nova regra de cálculo para portadores de doenças graves foi questionada perante o STF. O Tema 1.300 (RE 1.469.150, rel. Min. Luís Roberto Barroso) submeteu à repercussão geral a seguinte questão: saber se, após a edição da EC 103/2019, o pagamento da aposentadoria por incapacidade permanente decorrente de doença grave deve ser feito de forma integral ou pela regra geral de 60% + 2%.</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STF, em decisão concluída em 18/12/2025, declarou constitucional a regra geral de cálculo do art. 26, § 2º, da EC 103/2019, fixando a tese: "É constitucional o pagamento do benefício de aposentadoria por incapacidade permanente nos termos fixados pelo art. 26, § 2º, III, da EC n. 103/2019 para os casos em que a incapacidade para o trabalho seja constatada posteriormente à Reforma da Previdência". O inciso III do § 2º a que a tese se refere é precisamente a regra geral de 60% + 2%/ano detalhada na seção 6.7.1, supra. Não há, portanto, regime de cálculo diverso para as doenças graves: a EC 103/2019 simplesmente as submeteu à regra geral, suprimindo a integralidade que o regime anterior lhes assegurava. A decisão encerrou a controvérsia, mas gerou críticas doutrinárias relevantes, pois a redução do valor do benefício para portadores de doenças graves compromete o caráter protetivo do sistema previdenciário.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marco temporal para a aplicação do regime de cálculo é a Data de Início da Incapacidade (DII), e não a data do requerimento administrativo ou da concessão judicial. Se a DII é anterior a 13/11/2019 (exclusive), aplica-se o regime anterior (100% do salário de benefício). Se a DII é em 13/11/2019 (inclusive) ou posterior, aplica-se o novo regime (60% + 2% por ano). Nas ações em curso, a fixação da DII pelo perito judicial é determinante para o regime de cálculo aplicável. O advogado deve estar atento a essa questão e, se necessário, requerer esclarecimentos ao perito sobre a data precisa de início da incapacidade.</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6.7.4 Acréscimo de 25% — grande invalidez</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45 da Lei 8.213/91 prevê que "o valor da aposentadoria por incapacidade permanente do segurado que necessitar da assistência permanente de outra pessoa será acrescido de 25% (vinte e cinco por cento)". Esse acréscimo, conhecido como "grande invalidez" ou "auxílio-acompanhante", destina-se a compensar os custos adicionais decorrentes da necessidade de cuidador permanente. O acréscimo pode ser concedido a qualquer tempo, mediante requerimento do segurado e verificação da necessidade por perícia médica.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Anexo I do Decreto 3.048/99 enumera situações que autorizam o acréscimo, incluindo cegueira total, paralisia de dois membros, perda de nove dedos das mãos ou mais, e estados vegetativos. O rol é exemplificativo — qualquer condição que gere dependência permanente de terceiro pode fundamentar o acréscimo, desde que comprovada por perícia.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grande controvérsia sobre o adicional de 25% dizia respeito à possibilidade de sua extensão a outras espécies de aposentadoria. O STJ, no Tema 982 (REsp 1.648.305/RS, Primeira Seção, j. 22/08/2018), fixou tese favorável à extensão: "Comprovadas a invalidez e a necessidade de assistência permanente de terceiro, é devido o acréscimo de 25% (vinte e cinco por cento), previsto no art. 45 da Lei n. 8.213/91, a todos os aposentados pelo RGPS, independentemente da modalidade de aposentadoria". O STF, porém, no julgamento do Tema 1.095 (RE 1.221.446, Rel. Min. Dias Toffoli, Plenário, j. 21/06/2021), reverteu esse entendimento, fixando que "no âmbito do RGPS, somente a lei pode criar ou ampliar benefícios e vantagens previdenciárias, não havendo, por ora, previsão legal de extensão do auxílio da grande invalidez a todas as modalidades de aposentadoria". O entendimento do STF prevalece, restringindo o adicional de 25% exclusivamente à aposentadoria por incapacidade permanente.</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tensão entre o Tema 982/STJ e o Tema 1.095/STF ilustra o diálogo entre cortes no sistema previdenciário brasileiro. O STJ, adotando interpretação extensiva e protetiva, entendeu que a necessidade de assistência permanente, independentemente da modalidade de aposentadoria, justificaria o acréscimo. O STF acolheu argumento de reserva legal: a criação ou ampliação de benefícios previdenciários exige lei formal, nos termos do art. 195, § 5º, da Constituição. A superação do óbice apontado pelo STF depende, portanto, de inovação legislativa — e tramitam no Congresso Nacional proposições que visam positivar a extensão do adicional de 25% a todas as modalidades de aposentadoria. Enquanto não sobrevier lei nesse sentido, o acréscimo permanece restrito à aposentadoria por incapacidade permanente.</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6.8 Conversão, revisão e cessação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aposentadoria por incapacidade permanente não é, como visto, benefício necessariamente definitivo. A legislação prevê mecanismos de conversão (de auxílio por incapacidade temporária em aposentadoria), revisão periódica do estado incapacitante e cessação quando o segurado recupera a capacidade laborativa.</w:t>
      </w:r>
    </w:p>
    <w:p>
      <w:pPr>
        <w:spacing w:before="260" w:after="80" w:line="240" w:lineRule="auto"/>
        <w:jc w:val="left"/>
      </w:pPr>
      <w:r>
        <w:rPr>
          <w:rFonts w:ascii="EB Garamond" w:hAnsi="EB Garamond" w:cs="EB Garamond"/>
          <w:b/>
          <w:i w:val="0"/>
          <w:color w:val="3A3128"/>
          <w:sz w:val="25"/>
          <w:lang w:val="pt-BR" w:bidi="ar-SA"/>
          <w:kern w:val="16"/>
          <w14:ligatures w14:val="standardContextual"/>
        </w:rPr>
        <w:t>6.8.1 Conversão do auxílio por incapacidade temporária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conversão do auxílio por incapacidade temporária em aposentadoria por incapacidade permanente ocorre quando se verifica que a incapacidade, inicialmente temporária, é na verdade permanente e insusceptível de reabilitação. O art. 62 da Lei 8.213/91 prevê que o segurado em gozo de auxílio por incapacidade temporária que for considerado insusceptível de recuperação para sua atividade habitual deverá ser encaminhado ao Programa de Reabilitação Profissional; se a reabilitação não for viável, a conversão em aposentadoria por incapacidade permanente é consequência que se impõe por interpretação sistemática.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administrativa, a conversão depende de conclusão de perícia médica do INSS. Quando o INSS mantém o segurado em auxílio por incapacidade temporária por tempo prolongado sem promover a conversão — situação frequente, especialmente após a implementação do sistema de alta programada —, o segurado pode buscar judicialmente a conversão, demonstrando que a incapacidade preenche os requisitos da aposentadoria.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chamado "limbo previdenciário" — situação em que o INSS cessa o auxílio por incapacidade temporária por considerar o segurado apto, mas o empregador não o readmite por considerá-lo inapto — constitui problema recorrente nos JEFs. O segurado fica sem renda de qualquer fonte: não recebe benefício do INSS e não recebe salário do empregador. Nessa hipótese, a jurisprudência tem admitido o restabelecimento do benefício ou, quando a incapacidade for permanente, a concessão direta da aposentadoria.</w:t>
      </w:r>
    </w:p>
    <w:p>
      <w:pPr>
        <w:spacing w:before="260" w:after="80" w:line="240" w:lineRule="auto"/>
        <w:jc w:val="left"/>
      </w:pPr>
      <w:r>
        <w:rPr>
          <w:rFonts w:ascii="EB Garamond" w:hAnsi="EB Garamond" w:cs="EB Garamond"/>
          <w:b/>
          <w:i w:val="0"/>
          <w:color w:val="3A3128"/>
          <w:sz w:val="25"/>
          <w:lang w:val="pt-BR" w:bidi="ar-SA"/>
          <w:kern w:val="16"/>
          <w14:ligatures w14:val="standardContextual"/>
        </w:rPr>
        <w:t>6.8.2 Revisão periódica (art. 101) e o "pente-fino"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101 da Lei 8.213/91, cuja redação vigente resulta da Lei 13.457/2017 (que converteu a MP 767/2017 e consolidou as alterações supervenientes ao texto originário), impõe ao aposentado por incapacidade permanente a obrigação de submeter-se a exame médico-pericial periódico, sob pena de suspensão do benefício. A finalidade é verificar se persiste a condição de incapacidade que motivou a concessão. A chamada operação "pente-fino" do INSS, programa de revisão em massa de benefícios por incapacidade, fundamenta-se nesse dispositivo.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Lei 13.457/2017 introduziu, no § 1º do art. 101, hipóteses de isenção do exame periódico. Estão dispensados da revisão: (I) o aposentado que tiver completado 55 anos de idade ou mais, quando decorridos quinze anos da data da concessão da aposentadoria por incapacidade permanente ou do auxílio por incapacidade temporária que a precedeu; e (II) o aposentado que tiver completado 60 anos de idade. As isenções não se aplicam, contudo, quando o exame visar: (a) verificar a necessidade de assistência permanente de outra pessoa para fins do acréscimo de 25%; (b) verificar a recuperação da capacidade de trabalho, quando solicitada pelo próprio aposentado; ou (c) subsidiar autoridade judiciária na concessão de curatela.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Se a perícia médica concluir que a incapacidade permanente é irreversível ou irrecuperável, o aposentado ficará isento de exames periódicos. Essa disposição tem aplicação relevante nos casos de doenças degenerativas, amputações, cegueira irreversível e outras condições médicas cuja reversão é cientificamente impossível.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operação "pente-fino", implementada pelo INSS a partir de 2016, resultou na cessação de milhares de benefícios por incapacidade em todo o país. O volume de cessações gerou expressivo aumento de demandas nos JEFs por parte de segurados que tiveram seus benefícios cancelados. A jurisprudência tem sido criteriosa na análise desses casos, exigindo que o INSS demonstre a efetiva recuperação da capacidade laborativa, e não apenas a ausência de comparecimento do segurado à perícia de revisão — que pode decorrer de fatores alheios à sua vontade, como dificuldade de locomoção, desconhecimento da convocação ou impossibilidade de acesso à agência previdenciária.</w:t>
      </w:r>
    </w:p>
    <w:p>
      <w:pPr>
        <w:spacing w:before="260" w:after="80" w:line="240" w:lineRule="auto"/>
        <w:jc w:val="left"/>
      </w:pPr>
      <w:r>
        <w:rPr>
          <w:rFonts w:ascii="EB Garamond" w:hAnsi="EB Garamond" w:cs="EB Garamond"/>
          <w:b/>
          <w:i w:val="0"/>
          <w:color w:val="3A3128"/>
          <w:sz w:val="25"/>
          <w:lang w:val="pt-BR" w:bidi="ar-SA"/>
          <w:kern w:val="16"/>
          <w14:ligatures w14:val="standardContextual"/>
        </w:rPr>
        <w:t>6.8.3 Cessação e retorno ao trabalho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cessação da aposentadoria por incapacidade permanente ocorre quando o segurado recupera a capacidade laborativa, verificada mediante perícia médica (art. 46 da Lei 8.213/91). O legislador, contudo, previu mecanismos de transição para proteger o segurado que retorna ao trabalho.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O art. 47 da Lei 8.213/91 estabelece regras de cessação gradativa estruturadas em dois incisos, conforme o momento e a extensão da recuperação. O inciso I disciplina a recuperação </w:t>
      </w:r>
      <w:r>
        <w:rPr>
          <w:rFonts w:ascii="EB Garamond" w:hAnsi="EB Garamond" w:cs="EB Garamond"/>
          <w:b/>
          <w:i w:val="0"/>
          <w:color w:val="201B16"/>
          <w:sz w:val="21"/>
          <w:lang w:val="pt-BR" w:bidi="ar-SA"/>
          <w:kern w:val="16"/>
          <w14:ligatures w14:val="standardContextual"/>
        </w:rPr>
        <w:t>total</w:t>
      </w:r>
      <w:r>
        <w:rPr>
          <w:rFonts w:ascii="EB Garamond" w:hAnsi="EB Garamond" w:cs="EB Garamond"/>
          <w:b w:val="0"/>
          <w:i w:val="0"/>
          <w:color w:val="201B16"/>
          <w:sz w:val="21"/>
          <w:lang w:val="pt-BR" w:bidi="ar-SA"/>
          <w:kern w:val="16"/>
          <w14:ligatures w14:val="standardContextual"/>
        </w:rPr>
        <w:t xml:space="preserve"> verificada dentro de cinco anos contados do início da aposentadoria por incapacidade permanente (ou do auxílio por incapacidade temporária que a antecedeu sem interrupção): para o segurado empregado com direito a retornar à função que exercia na empresa, o benefício cessa de imediato (alínea "a"); para os demais segurados, o benefício é mantido por tantos meses quantos tenham sido os anos de duração do benefício, observado o limite de um mês de manutenção para cada ano (alínea "b"). O inciso II abrange três situações — recuperação </w:t>
      </w:r>
      <w:r>
        <w:rPr>
          <w:rFonts w:ascii="EB Garamond" w:hAnsi="EB Garamond" w:cs="EB Garamond"/>
          <w:b/>
          <w:i w:val="0"/>
          <w:color w:val="201B16"/>
          <w:sz w:val="21"/>
          <w:lang w:val="pt-BR" w:bidi="ar-SA"/>
          <w:kern w:val="16"/>
          <w14:ligatures w14:val="standardContextual"/>
        </w:rPr>
        <w:t>parcial</w:t>
      </w:r>
      <w:r>
        <w:rPr>
          <w:rFonts w:ascii="EB Garamond" w:hAnsi="EB Garamond" w:cs="EB Garamond"/>
          <w:b w:val="0"/>
          <w:i w:val="0"/>
          <w:color w:val="201B16"/>
          <w:sz w:val="21"/>
          <w:lang w:val="pt-BR" w:bidi="ar-SA"/>
          <w:kern w:val="16"/>
          <w14:ligatures w14:val="standardContextual"/>
        </w:rPr>
        <w:t xml:space="preserve">, recuperação total verificada </w:t>
      </w:r>
      <w:r>
        <w:rPr>
          <w:rFonts w:ascii="EB Garamond" w:hAnsi="EB Garamond" w:cs="EB Garamond"/>
          <w:b/>
          <w:i w:val="0"/>
          <w:color w:val="201B16"/>
          <w:sz w:val="21"/>
          <w:lang w:val="pt-BR" w:bidi="ar-SA"/>
          <w:kern w:val="16"/>
          <w14:ligatures w14:val="standardContextual"/>
        </w:rPr>
        <w:t>após</w:t>
      </w:r>
      <w:r>
        <w:rPr>
          <w:rFonts w:ascii="EB Garamond" w:hAnsi="EB Garamond" w:cs="EB Garamond"/>
          <w:b w:val="0"/>
          <w:i w:val="0"/>
          <w:color w:val="201B16"/>
          <w:sz w:val="21"/>
          <w:lang w:val="pt-BR" w:bidi="ar-SA"/>
          <w:kern w:val="16"/>
          <w14:ligatures w14:val="standardContextual"/>
        </w:rPr>
        <w:t xml:space="preserve"> o quinquênio, ou aptidão para trabalho </w:t>
      </w:r>
      <w:r>
        <w:rPr>
          <w:rFonts w:ascii="EB Garamond" w:hAnsi="EB Garamond" w:cs="EB Garamond"/>
          <w:b/>
          <w:i w:val="0"/>
          <w:color w:val="201B16"/>
          <w:sz w:val="21"/>
          <w:lang w:val="pt-BR" w:bidi="ar-SA"/>
          <w:kern w:val="16"/>
          <w14:ligatures w14:val="standardContextual"/>
        </w:rPr>
        <w:t>diverso</w:t>
      </w:r>
      <w:r>
        <w:rPr>
          <w:rFonts w:ascii="EB Garamond" w:hAnsi="EB Garamond" w:cs="EB Garamond"/>
          <w:b w:val="0"/>
          <w:i w:val="0"/>
          <w:color w:val="201B16"/>
          <w:sz w:val="21"/>
          <w:lang w:val="pt-BR" w:bidi="ar-SA"/>
          <w:kern w:val="16"/>
          <w14:ligatures w14:val="standardContextual"/>
        </w:rPr>
        <w:t xml:space="preserve"> do habitual — e prevê, em todas elas, uma redução escalonada: o benefício é mantido em valor </w:t>
      </w:r>
      <w:r>
        <w:rPr>
          <w:rFonts w:ascii="EB Garamond" w:hAnsi="EB Garamond" w:cs="EB Garamond"/>
          <w:b/>
          <w:i w:val="0"/>
          <w:color w:val="201B16"/>
          <w:sz w:val="21"/>
          <w:lang w:val="pt-BR" w:bidi="ar-SA"/>
          <w:kern w:val="16"/>
          <w14:ligatures w14:val="standardContextual"/>
        </w:rPr>
        <w:t>integral durante seis meses</w:t>
      </w:r>
      <w:r>
        <w:rPr>
          <w:rFonts w:ascii="EB Garamond" w:hAnsi="EB Garamond" w:cs="EB Garamond"/>
          <w:b w:val="0"/>
          <w:i w:val="0"/>
          <w:color w:val="201B16"/>
          <w:sz w:val="21"/>
          <w:lang w:val="pt-BR" w:bidi="ar-SA"/>
          <w:kern w:val="16"/>
          <w14:ligatures w14:val="standardContextual"/>
        </w:rPr>
        <w:t xml:space="preserve"> contados da verificação da recuperação (alínea "a"); reduzido a </w:t>
      </w:r>
      <w:r>
        <w:rPr>
          <w:rFonts w:ascii="EB Garamond" w:hAnsi="EB Garamond" w:cs="EB Garamond"/>
          <w:b/>
          <w:i w:val="0"/>
          <w:color w:val="201B16"/>
          <w:sz w:val="21"/>
          <w:lang w:val="pt-BR" w:bidi="ar-SA"/>
          <w:kern w:val="16"/>
          <w14:ligatures w14:val="standardContextual"/>
        </w:rPr>
        <w:t>50%</w:t>
      </w:r>
      <w:r>
        <w:rPr>
          <w:rFonts w:ascii="EB Garamond" w:hAnsi="EB Garamond" w:cs="EB Garamond"/>
          <w:b w:val="0"/>
          <w:i w:val="0"/>
          <w:color w:val="201B16"/>
          <w:sz w:val="21"/>
          <w:lang w:val="pt-BR" w:bidi="ar-SA"/>
          <w:kern w:val="16"/>
          <w14:ligatures w14:val="standardContextual"/>
        </w:rPr>
        <w:t xml:space="preserve"> pelo período seguinte de </w:t>
      </w:r>
      <w:r>
        <w:rPr>
          <w:rFonts w:ascii="EB Garamond" w:hAnsi="EB Garamond" w:cs="EB Garamond"/>
          <w:b/>
          <w:i w:val="0"/>
          <w:color w:val="201B16"/>
          <w:sz w:val="21"/>
          <w:lang w:val="pt-BR" w:bidi="ar-SA"/>
          <w:kern w:val="16"/>
          <w14:ligatures w14:val="standardContextual"/>
        </w:rPr>
        <w:t>seis meses</w:t>
      </w:r>
      <w:r>
        <w:rPr>
          <w:rFonts w:ascii="EB Garamond" w:hAnsi="EB Garamond" w:cs="EB Garamond"/>
          <w:b w:val="0"/>
          <w:i w:val="0"/>
          <w:color w:val="201B16"/>
          <w:sz w:val="21"/>
          <w:lang w:val="pt-BR" w:bidi="ar-SA"/>
          <w:kern w:val="16"/>
          <w14:ligatures w14:val="standardContextual"/>
        </w:rPr>
        <w:t xml:space="preserve"> (alínea "b"); e reduzido a </w:t>
      </w:r>
      <w:r>
        <w:rPr>
          <w:rFonts w:ascii="EB Garamond" w:hAnsi="EB Garamond" w:cs="EB Garamond"/>
          <w:b/>
          <w:i w:val="0"/>
          <w:color w:val="201B16"/>
          <w:sz w:val="21"/>
          <w:lang w:val="pt-BR" w:bidi="ar-SA"/>
          <w:kern w:val="16"/>
          <w14:ligatures w14:val="standardContextual"/>
        </w:rPr>
        <w:t>25%</w:t>
      </w:r>
      <w:r>
        <w:rPr>
          <w:rFonts w:ascii="EB Garamond" w:hAnsi="EB Garamond" w:cs="EB Garamond"/>
          <w:b w:val="0"/>
          <w:i w:val="0"/>
          <w:color w:val="201B16"/>
          <w:sz w:val="21"/>
          <w:lang w:val="pt-BR" w:bidi="ar-SA"/>
          <w:kern w:val="16"/>
          <w14:ligatures w14:val="standardContextual"/>
        </w:rPr>
        <w:t xml:space="preserve"> — isto é, com corte de 75% do valor — pelos </w:t>
      </w:r>
      <w:r>
        <w:rPr>
          <w:rFonts w:ascii="EB Garamond" w:hAnsi="EB Garamond" w:cs="EB Garamond"/>
          <w:b/>
          <w:i w:val="0"/>
          <w:color w:val="201B16"/>
          <w:sz w:val="21"/>
          <w:lang w:val="pt-BR" w:bidi="ar-SA"/>
          <w:kern w:val="16"/>
          <w14:ligatures w14:val="standardContextual"/>
        </w:rPr>
        <w:t>seis meses</w:t>
      </w:r>
      <w:r>
        <w:rPr>
          <w:rFonts w:ascii="EB Garamond" w:hAnsi="EB Garamond" w:cs="EB Garamond"/>
          <w:b w:val="0"/>
          <w:i w:val="0"/>
          <w:color w:val="201B16"/>
          <w:sz w:val="21"/>
          <w:lang w:val="pt-BR" w:bidi="ar-SA"/>
          <w:kern w:val="16"/>
          <w14:ligatures w14:val="standardContextual"/>
        </w:rPr>
        <w:t xml:space="preserve"> finais, ao término dos quais cessa definitivamente (alínea "c").</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Essas regras de transição visam evitar a cessação abrupta do benefício, reconhecendo que o retorno ao trabalho após período prolongado de afastamento é processo gradual e sujeito a riscos de recaída. Na prática dos JEFs, as ações de restabelecimento de aposentadoria por incapacidade permanente — quando o segurado tem o benefício cessado pelo INSS após perícia de revisão e alega persistência da incapacidade — constituem parcela significativa do contencioso previdenciário.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Note-se que os critérios etários de isenção do exame pericial periódico (55 anos + 15 anos de benefício; ou 60 anos de idade) estão previstos no art. 101, § 1º, da Lei 8.213/91, e não no art. 47, que trata exclusivamente das regras de cessação gradativa.</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6.9 Aposentadoria por incapacidade permanente acidentária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aposentadoria por incapacidade permanente pode ter natureza previdenciária (quando decorrente de doença comum) ou acidentária (quando decorrente de acidente de trabalho, doença profissional ou doença do trabalho). A distinção possui relevância prática em múltiplas dimensões: carência, cálculo do benefício, responsabilidade tributária, estabilidade provisória e competência jurisdicional.</w:t>
      </w:r>
    </w:p>
    <w:p>
      <w:pPr>
        <w:spacing w:before="260" w:after="80" w:line="240" w:lineRule="auto"/>
        <w:jc w:val="left"/>
      </w:pPr>
      <w:r>
        <w:rPr>
          <w:rFonts w:ascii="EB Garamond" w:hAnsi="EB Garamond" w:cs="EB Garamond"/>
          <w:b/>
          <w:i w:val="0"/>
          <w:color w:val="3A3128"/>
          <w:sz w:val="25"/>
          <w:lang w:val="pt-BR" w:bidi="ar-SA"/>
          <w:kern w:val="16"/>
          <w14:ligatures w14:val="standardContextual"/>
        </w:rPr>
        <w:t>6.9.1 Distinção da aposentadoria previdenciária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aposentadoria por incapacidade permanente acidentária difere da previdenciária em aspectos essenciais. A carência é dispensada (art. 26, II, Lei 8.213/91; v. Cap. 3, seção 3.3.2, para o detalhamento das hipóteses de dispensa). O cálculo da renda mensal é mais favorável: a EC 103/2019 manteve a integralidade (100% do salário de benefício) para a aposentadoria por incapacidade permanente decorrente de acidente de trabalho, doença profissional e doença do trabalho (art. 26, § 3º, II, da EC 103/2019). O empregado que sofre acidente de trabalho tem garantida a estabilidade provisória de doze meses após a cessação do auxílio por incapacidade temporária acidentário (art. 118 da Lei 8.213/91).</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a caracterização do benefício como acidentário, é necessário demonstrar o nexo causal entre a incapacidade e o trabalho. O nexo pode ser estabelecido por três vias: (i) a Comunicação de Acidente de Trabalho (CAT), emitida pela empresa; (ii) a investigação pela perícia médica do INSS; ou (iii) o Nexo Técnico Epidemiológico Previdenciário (NTEP).</w:t>
      </w:r>
    </w:p>
    <w:p>
      <w:pPr>
        <w:spacing w:before="260" w:after="80" w:line="240" w:lineRule="auto"/>
        <w:jc w:val="left"/>
      </w:pPr>
      <w:r>
        <w:rPr>
          <w:rFonts w:ascii="EB Garamond" w:hAnsi="EB Garamond" w:cs="EB Garamond"/>
          <w:b/>
          <w:i w:val="0"/>
          <w:color w:val="3A3128"/>
          <w:sz w:val="25"/>
          <w:lang w:val="pt-BR" w:bidi="ar-SA"/>
          <w:kern w:val="16"/>
          <w14:ligatures w14:val="standardContextual"/>
        </w:rPr>
        <w:t>6.9.2 Nexo técnico epidemiológico (NTEP)</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Nexo Técnico Epidemiológico Previdenciário, instituído pela Lei n. 11.430, de 26 de dezembro de 2006, e regulamentado pelo Decreto 6.042/2007, constitui instrumento de presunção relativa do nexo causal entre a doença e o trabalho. O NTEP opera a partir da correlação estatística entre o código da doença (CID-10) e o código da atividade econômica do empregador (CNAE): quando a doença do segurado consta na lista do NTEP como estatisticamente associada à atividade econômica da empresa, presume-se que a incapacidade tem origem ocupacional.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presunção é relativa — admite prova em contrário pela empresa, que pode demonstrar, em procedimento administrativo, a inexistência de nexo causal no caso concreto. O art. 21-A, § 1º, da Lei 8.213/91 prevê que "a empresa poderá requerer a não aplicação do nexo técnico epidemiológico, de cuja decisão caberá recurso, com efeito suspensivo, da empresa ou do segurado, ao Conselho de Recursos da Previdência Social". A inversão do ônus da prova operada pelo NTEP tem relevância processual: nas ações judiciais, cabe à empresa ou ao INSS demonstrar a ausência de nexo causal, e não ao segurado provar a existência do nexo.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STF declarou constitucional o NTEP, reconhecendo que a presunção relativa de nexo causal baseada em dados epidemiológicos é instrumento legítimo de proteção ao trabalhador, compatível com o art. 7º, XXVIII, da Constituição Federal. A lista de correlações entre códigos CID-10 e CNAE é periodicamente atualizada com base em estudos epidemiológicos do Ministério da Previdência Social. Quando a combinação CID-10 x CNAE da empresa do segurado está na lista do NTEP, o sistema informatizado do INSS gera automaticamente a presunção de acidente de trabalho, enquadrando o benefício como acidentário (espécie B91 ou B92) em vez de previdenciário (espécie B31 ou B32). A distinção de espécie impacta diretamente o custeio (SAT/RAT da empresa), a estabilidade provisória do empregado e, após a EC 103/2019, o cálculo da renda mensal.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dos JEFs, a questão do nexo causal assume relevância quando o INSS concede benefício por incapacidade na espécie previdenciária (B31/B32), mas o segurado sustenta que a incapacidade tem origem ocupacional e pleiteia o enquadramento como acidentário (B91/B92). A conversão da espécie beneficiária pode ser pleiteada judicialmente, com impactos retroativos na estabilidade provisória, nos depósitos de FGTS durante o afastamento e, após a EC 103/2019, no cálculo da renda mensal (100% vs. 60% + 2% por ano).</w:t>
      </w:r>
    </w:p>
    <w:p>
      <w:pPr>
        <w:spacing w:before="260" w:after="80" w:line="240" w:lineRule="auto"/>
        <w:jc w:val="left"/>
      </w:pPr>
      <w:r>
        <w:rPr>
          <w:rFonts w:ascii="EB Garamond" w:hAnsi="EB Garamond" w:cs="EB Garamond"/>
          <w:b/>
          <w:i w:val="0"/>
          <w:color w:val="3A3128"/>
          <w:sz w:val="25"/>
          <w:lang w:val="pt-BR" w:bidi="ar-SA"/>
          <w:kern w:val="16"/>
          <w14:ligatures w14:val="standardContextual"/>
        </w:rPr>
        <w:t>6.9.3 Cálculo: integralidade mantida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EC 103/2019, ao alterar o cálculo da aposentadoria por incapacidade permanente previdenciária (de 100% para 60% + 2% por ano), manteve expressamente a integralidade para a aposentadoria por incapacidade permanente acidentária. O art. 26, § 3º, II, da EC 103/2019 dispõe que a aposentadoria por incapacidade permanente "será de 100% quando decorrer de acidente de trabalho, de doença profissional e de doença do trabalho".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Essa distinção de tratamento entre a incapacidade previdenciária e a acidentária reflete a especial proteção constitucional conferida ao trabalhador que sofre infortúnio laboral. O risco profissional, a exposição a perigos inerentes à atividade econômica, justifica regime mais favorável, tanto na dispensa de carência quanto na integralidade do cálculo.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6.10 Questões controvertidas</w:t>
      </w:r>
    </w:p>
    <w:p>
      <w:pPr>
        <w:spacing w:before="260" w:after="80" w:line="240" w:lineRule="auto"/>
        <w:jc w:val="left"/>
      </w:pPr>
      <w:r>
        <w:rPr>
          <w:rFonts w:ascii="EB Garamond" w:hAnsi="EB Garamond" w:cs="EB Garamond"/>
          <w:b/>
          <w:i w:val="0"/>
          <w:color w:val="3A3128"/>
          <w:sz w:val="25"/>
          <w:lang w:val="pt-BR" w:bidi="ar-SA"/>
          <w:kern w:val="16"/>
          <w14:ligatures w14:val="standardContextual"/>
        </w:rPr>
        <w:t>6.10.1 Cumulação com auxílio-acidente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auxílio-acidente (art. 86 da Lei 8.213/91) é benefício de natureza indenizatória, devido ao segurado que, após a consolidação de lesão decorrente de acidente de qualquer natureza, apresente sequela que reduza sua capacidade para o trabalho habitualmente exercido. A questão da cumulação do auxílio-acidente com a aposentadoria por incapacidade permanente é resolvida pelo art. 86, § 2º: o auxílio-acidente é incorporado ao salário de contribuição e, quando da concessão de qualquer aposentadoria, integra o cálculo do salário de benefício. Após a concessão da aposentadoria, o auxílio-acidente cessa.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regra é lógica: se o segurado recebia auxílio-acidente (indenização pela redução de capacidade) e posteriormente se aposenta (por qualquer modalidade), o auxílio-acidente perde a razão de ser — a aposentadoria substitui a remuneração do trabalho, e o auxílio-acidente somente faz sentido enquanto o segurado está em atividade. A incorporação ao salário de contribuição assegura que o período de recebimento do auxílio-acidente não prejudique o cálculo da aposentadoria.</w:t>
      </w:r>
    </w:p>
    <w:p>
      <w:pPr>
        <w:spacing w:before="260" w:after="80" w:line="240" w:lineRule="auto"/>
        <w:jc w:val="left"/>
      </w:pPr>
      <w:r>
        <w:rPr>
          <w:rFonts w:ascii="EB Garamond" w:hAnsi="EB Garamond" w:cs="EB Garamond"/>
          <w:b/>
          <w:i w:val="0"/>
          <w:color w:val="3A3128"/>
          <w:sz w:val="25"/>
          <w:lang w:val="pt-BR" w:bidi="ar-SA"/>
          <w:kern w:val="16"/>
          <w14:ligatures w14:val="standardContextual"/>
        </w:rPr>
        <w:t>6.10.2 Aposentadoria por incapacidade e BPC</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Q</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uando o segurado não preenche os requisitos para a aposentadoria por incapacidade permanente (por falta de qualidade de segurado, carência ou outro motivo), pode fazer jus ao Benefício de Prestação Continuada — BPC (art. 20, Lei 8.742/93). A jurisprudência admite a fungibilidade entre os pedidos (Súmula 77/TNU, em leitura conjunta com a Súmula 47). A Súmula 77 estabelece: "O julgador não é obrigado a analisar as condições pessoais e sociais quando não reconhecer a incapacidade do requerente para a sua atividade habitual". A interpretação conjunta com a Súmula 47 revela que, reconhecida a incapacidade ao menos parcial, o juiz deve analisar as condições pessoais; não reconhecida sequer a incapacidade parcial, não há obrigação de análise socioeconômica para fins de aposentadoria — mas pode haver para fins de BPC.</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fungibilidade opera nas duas direções. Na primeira, o segurado pleiteia aposentadoria por incapacidade permanente, mas o juiz verifica que não há qualidade de segurado ou carência; se as condições de miserabilidade e de deficiência (no conceito ampliado pela Lei Brasileira de Inclusão, Lei n. 13.146/2015) estão presentes, pode conceder o BPC sem necessidade de nova ação. Na segunda, o segurado pleiteia BPC, mas o juiz verifica que possui qualidade de segurado e carência, preenchendo os requisitos para benefício previdenciário mais vantajoso — hipótese em que pode conceder a aposentadoria por incapacidade permanente.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fungibilidade, contudo, encontra limites processuais que o julgador não pode ignorar. Por força do Tema 350/STF, a concessão de benefício previdenciário ou assistencial pressupõe prévio requerimento administrativo da espécie deferida, de modo a configurar o interesse de agir. Daí que a conversão judicial de um pedido de aposentadoria por incapacidade em BPC — ou vice-versa — não dispensa, em rigor, o requerimento administrativo da espécie concedida: pleiteada na via administrativa apenas a aposentadoria, pode faltar interesse de agir quanto ao BPC assistencial, cuja análise socioeconômica (miserabilidade) sequer foi submetida ao INSS. A jurisprudência tem mitigado esse óbice quando o conjunto fático-probatório levado a juízo é substancialmente o mesmo que seria apreciado na via administrativa, ou quando a postura do INSS torna inútil o novo requerimento; fora dessas hipóteses, porém, a fungibilidade não supre a ausência de requerimento administrativo da espécie efetivamente concedida. Cabe ao magistrado, portanto, aferir caso a caso se a pretensão assistencial foi ao menos potencialmente submetida ao crivo administrativo antes de operar a conversão.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distinção prática é relevante: a aposentadoria é contributiva, gera pensão por morte e admite adicional de 25%; o BPC é assistencial, de um salário-mínimo, intransferível. O conceito amplo de deficiência adotado pela Lei 13.146/2015 (modelo biopsicossocial — v. Seção 6.3.5, supra) e a avaliação multiprofissional para fins de BPC são tratados no Capítulo 18.</w:t>
      </w:r>
    </w:p>
    <w:p>
      <w:pPr>
        <w:spacing w:before="260" w:after="80" w:line="240" w:lineRule="auto"/>
        <w:jc w:val="left"/>
      </w:pPr>
      <w:r>
        <w:rPr>
          <w:rFonts w:ascii="EB Garamond" w:hAnsi="EB Garamond" w:cs="EB Garamond"/>
          <w:b/>
          <w:i w:val="0"/>
          <w:color w:val="3A3128"/>
          <w:sz w:val="25"/>
          <w:lang w:val="pt-BR" w:bidi="ar-SA"/>
          <w:kern w:val="16"/>
          <w14:ligatures w14:val="standardContextual"/>
        </w:rPr>
        <w:t>6.10.3 Reabilitação profissional e o benefício de última ratio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aposentadoria por incapacidade permanente é, no desenho legislativo, benefício de última ratio — somente concedida quando esgotadas as possibilidades de reabilitação profissional. O Programa de Reabilitação Profissional do INSS (arts. 89 a 93 da Lei 8.213/91) tem por finalidade proporcionar ao segurado incapaz para o trabalho habitual meios para a readaptação profissional.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o Programa enfrenta limitações estruturais que comprometem sua eficácia: escassez de recursos humanos e materiais, concentração dos centros de reabilitação nos grandes centros urbanos, inadequação dos cursos oferecidos à realidade do mercado de trabalho local e ausência de acompanhamento pós-reabilitação. A TNU tem reiteradamente entendido que a mera inscrição do segurado no Programa, sem oferta concreta e eficaz de capacitação, não impede a concessão da aposentadoria por incapacidade permanente. O ônus de demonstrar a viabilidade da reabilitação recai sobre o INSS — não basta a alegação genérica de que o segurado "pode" ser reabilitado; é necessário demonstrar que existe programa acessível, adequado às condições pessoais do segurado e com perspectiva real de reinserção no mercado de trabalho.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art. 62 da Lei 8.213/91, ao prever que o segurado insusceptível de recuperação para a atividade habitual "deverá submeter-se a processo de reabilitação profissional para o exercício de outra atividade", estabelece uma sequência lógica: primeiro, a tentativa de reabilitação; depois, se frustrada, a concessão da aposentadoria. Na via judicial, essa sequência é frequentemente invertida: o segurado pleiteia diretamente a aposentadoria, e o INSS alega que deveria ter sido submetido à reabilitação antes. A jurisprudência tem admitido a concessão direta quando as condições pessoais do segurado (idade, escolaridade, experiência profissional) evidenciam a inviabilidade da reabilitação, dispensando a submissão formal ao programa.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No cotidiano dos JEFs</w:t>
            </w:r>
            <w:r>
              <w:rPr>
                <w:rFonts w:ascii="EB Garamond" w:hAnsi="EB Garamond" w:cs="EB Garamond"/>
                <w:b w:val="0"/>
                <w:i w:val="0"/>
                <w:color w:val="201B16"/>
                <w:sz w:val="19"/>
                <w:lang w:val="pt-BR" w:bidi="ar-SA"/>
                <w:kern w:val="16"/>
                <w14:ligatures w14:val="standardContextual"/>
              </w:rPr>
              <w:t xml:space="preserve"> Quando o perito judicial conclui pela incapacidade parcial e permanente com possibilidade de reabilitação, o magistrado deve avaliar concretamente a viabilidade da reabilitação à luz das condições pessoais do segurado. Se o segurado tem mais de 50 anos, baixa escolaridade e experiência exclusiva em atividade braçal, a reabilitação para atividade intelectual ou sedentária é, na maioria dos casos, irrealista. Nesses casos, a Súmula 47 da TNU autoriza a concessão da aposentadoria por incapacidade permanente sem exigência de submissão prévia ao programa de reabilitação. Inversamente, se o segurado é jovem, possui escolaridade média ou superior e pode ser readaptado para atividade compatível com suas limitações, o encaminhamento ao Programa de Reabilitação Profissional é medida mais adequada do que a concessão imediata da aposentadoria.</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6.10.4 Alta programada e limbo previdenciário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alta programada — sistema pelo qual o INSS fixa antecipadamente a data de cessação do auxílio por incapacidade temporária, sem nova perícia médica — gerou intenso debate jurídico. A Lei 13.457/2017 (conversão da MP 767/2017) regulamentou o COPES (Cobertura Previdenciária Estimada), sistema que fixa o prazo estimado de recuperação com base em critérios técnicos e estatísticos. O segurado que permanece incapaz na data da alta programada pode requerer prorrogação (pedido de reconsideração), a ser apreciado mediante nova perícia.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sistemática da alta programada foi objeto de questionamentos reiterados na jurisprudência. Os TRFs e a TNU questionaram a legitimidade da cessação automática do benefício sem perícia médica prévia que atestasse a recuperação da capacidade laborativa. A Lei 13.982/2020, no contexto da pandemia de COVID-19, suspendeu temporariamente as altas programadas. A retomada das altas programadas, após o período pandêmico, gerou nova onda de judicialização — segurados que tiveram seus benefícios cessados automaticamente, sem perícia presencial, ingressaram em massa nos JEFs buscando o restabelecimento.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dos JEFs, a contestação da alta programada segue roteiro processual definido. O segurado deve demonstrar que permanecia incapaz na data da cessação do benefício, apresentando documentação médica atualizada. O juiz pode conceder tutela antecipada para restabelecimento imediato do benefício, quando houver elementos que indiquem a persistência da incapacidade. A perícia judicial, quando realizada, deve ser instada a se pronunciar sobre o estado de incapacidade na data da cessação, e não apenas na data do exame pericial.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limbo previdenciário — situação em que o INSS concede alta e o empregador não aceita o retorno do trabalhador — gera consequências que se refletem na aposentadoria por incapacidade permanente. O fenômeno ocorre quando o médico perito do INSS considera o segurado apto ao trabalho e cessa o auxílio por incapacidade temporária, mas o médico do trabalho da empresa considera o empregado inapto e recusa seu retorno às atividades. O segurado, nessa situação, fica desprotegido por ambas as esferas: não recebe benefício previdenciário e não recebe remuneração salarial.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jurisprudência trabalhista e previdenciária tem buscado soluções para o limbo. Na esfera trabalhista, o TST reconhece a responsabilidade do empregador pelo pagamento dos salários durante o período do limbo, quando a empresa não readmite o empregado que teve alta do INSS, com fundamento na teoria do risco da atividade econômica. Na esfera previdenciária, se o segurado demonstra que permanecia incapaz na data da alta, o restabelecimento do benefício é a medida adequada. Se a incapacidade for permanente, a conversão direta em aposentadoria por incapacidade permanente pode ser pleiteada. A cumulação de pedidos — contra o INSS (restabelecimento do benefício) e contra o empregador (pagamento dos salários do período do limbo) — esbarra na competência jurisdicional: a Justiça Federal (JEFs) é competente para o pedido previdenciário, e a Justiça do Trabalho para o pedido trabalhista, o que fragmenta a tutela jurisdicional e impõe ao segurado o ônus de litigar em duas esferas simultâneas.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Em termos operacionais</w:t>
            </w:r>
            <w:r>
              <w:rPr>
                <w:rFonts w:ascii="EB Garamond" w:hAnsi="EB Garamond" w:cs="EB Garamond"/>
                <w:b w:val="0"/>
                <w:i w:val="0"/>
                <w:color w:val="201B16"/>
                <w:sz w:val="19"/>
                <w:lang w:val="pt-BR" w:bidi="ar-SA"/>
                <w:kern w:val="16"/>
                <w14:ligatures w14:val="standardContextual"/>
              </w:rPr>
              <w:t xml:space="preserve"> No limbo previdenciário, o advogado deve adotar estratégia de dupla frente: nos JEFs, requerer o restabelecimento do auxílio por incapacidade temporária ou a concessão da aposentadoria por incapacidade permanente, com pedido de tutela antecipada; na Justiça do Trabalho, pleitear o pagamento dos salários do período em que o empregador recusou o retorno ao trabalho. A documentação médica — laudo do médico do trabalho da empresa atestando a inaptidão, atestados do médico assistente e resultado da perícia judicial — é elemento comum a ambas as demandas e deve ser produzida de forma coordenada.</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Conclusão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EC 103/2019 trouxe alterações substanciais ao benefício: a mudança no cálculo da renda mensal (de 100% para 60% + 2% por ano), a nova nomenclatura e a preservação da integralidade apenas para a incapacidade acidentária. O Tema 1.300 do STF, ao declarar constitucional o novo regime de cálculo para portadores de doenças graves, encerrou uma das principais controvérsias, mas a decisão não elimina as tensões entre a sustentabilidade atuarial e a proteção social.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jurisprudência da TNU — Súmulas 47, 53 e 78 e o Tema 274 — consolidou a necessidade de análise das condições pessoais e sociais do segurado, transformando o conceito de incapacidade de categoria puramente médica em conceito jurídico-social. O modelo biopsicossocial da CIF reforça e fundamenta teoricamente essa evolução jurisprudencial. Essa abordagem é particularmente relevante nos JEFs, onde os segurados atendidos frequentemente apresentam baixa escolaridade, idade avançada e experiência profissional limitada a atividades braçais — fatores que, conjugados com a limitação física ou mental, inviabilizam a reinserção no mercado de trabalho.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Sustentamos que a avaliação da incapacidade para fins previdenciários deve superar definitivamente o modelo biomédico puro e incorporar, de forma sistematizada, os fatores ambientais e pessoais que a CIF identifica e que a jurisprudência da TNU já exige. A convergência entre o direito posto (Súmula 47), a ciência da funcionalidade (CIF/OMS) e a realidade social dos segurados dos JEFs aponta para uma compreensão da incapacidade que é, ao mesmo tempo, mais justa e mais precisa.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domínio da técnica de reação ao laudo adverso, a formulação adequada de quesitos periciais, a articulação entre a prova médica e as condições pessoais do segurado e o conhecimento preciso das regras de fixação da DIB constituem competências indispensáveis para a advocacia previdenciária de qualidade nos Juizados Especiais Federais.</w:t>
      </w:r>
    </w:p>
    <w:p>
      <w:pPr>
        <w:sectPr>
          <w:headerReference w:type="default" r:id="rId93"/>
          <w:headerReference w:type="even" r:id="rId94"/>
          <w:footerReference w:type="default" r:id="rId95"/>
          <w:footerReference w:type="even" r:id="rId96"/>
          <w:headerReference w:type="first" r:id="rId97"/>
          <w:footerReference w:type="first" r:id="rId98"/>
          <w:pgSz w:w="8391" w:h="11906"/>
          <w:pgMar w:top="935" w:right="879" w:bottom="964" w:left="1162" w:header="454" w:footer="425" w:gutter="0" w:mirrorMargins="1"/>
          <w:cols w:space="720"/>
          <w:titlePg/>
          <w:docGrid w:linePitch="360"/>
        </w:sectPr>
      </w:pPr>
    </w:p>
    <w:p>
      <w:pPr>
        <w:spacing w:before="240" w:after="80" w:line="240" w:lineRule="auto"/>
        <w:jc w:val="center"/>
        <w:keepNext/>
      </w:pPr>
      <w:r>
        <w:rPr>
          <w:rFonts w:ascii="Noto Sans" w:hAnsi="Noto Sans" w:cs="Noto Sans"/>
          <w:b/>
          <w:i w:val="0"/>
          <w:caps/>
          <w:color w:val="8A6A2A"/>
          <w:sz w:val="19"/>
          <w:lang w:val="pt-BR" w:bidi="ar-SA"/>
          <w:kern w:val="16"/>
          <w14:ligatures w14:val="standardContextual"/>
        </w:rPr>
        <w:t>CAPÍTULO 7</w:t>
      </w:r>
    </w:p>
    <w:p>
      <w:pPr>
        <w:pStyle w:val="Heading2"/>
        <w:spacing w:before="0" w:after="160" w:line="240" w:lineRule="auto"/>
        <w:jc w:val="center"/>
        <w:keepNext/>
      </w:pPr>
      <w:r>
        <w:rPr>
          <w:rFonts w:ascii="EB Garamond" w:hAnsi="EB Garamond" w:cs="EB Garamond"/>
          <w:b/>
          <w:i w:val="0"/>
          <w:caps/>
          <w:color w:val="2F2923"/>
          <w:sz w:val="40"/>
          <w:lang w:val="pt-BR" w:bidi="ar-SA"/>
          <w:kern w:val="16"/>
          <w14:ligatures w14:val="standardContextual"/>
        </w:rPr>
        <w:t>Auxílio por Incapacidade Temporária</w:t>
      </w:r>
    </w:p>
    <w:p>
      <w:pPr>
        <w:spacing w:before="0" w:after="240" w:line="240" w:lineRule="auto"/>
        <w:jc w:val="center"/>
      </w:pPr>
      <w:r>
        <w:rPr>
          <w:rFonts w:ascii="EB Garamond" w:hAnsi="EB Garamond" w:cs="EB Garamond"/>
          <w:b w:val="0"/>
          <w:i w:val="0"/>
          <w:color w:val="B78B37"/>
          <w:sz w:val="18"/>
          <w:lang w:val="pt-BR" w:bidi="ar-SA"/>
          <w:kern w:val="16"/>
          <w14:ligatures w14:val="standardContextual"/>
        </w:rPr>
        <w:t>━━━━  ◆  ━━━━</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auxílio por incapacidade temporária — denominação atribuída pela Emenda Constitucional n. 103/2019 ao benefício até então conhecido como auxílio-doença — constitui a prestação previdenciária mais demandada perante os Juizados Especiais Federais. Trata-se de benefício não programado, de natureza substitutiva, destinado a proteger o segurado do Regime Geral de Previdência Social que se encontra temporariamente incapacitado para o exercício de sua atividade habitual. Diferentemente da aposentadoria por incapacidade permanente, examinada no capítulo anterior, o auxílio por incapacidade temporária pressupõe prognóstico de recuperação — a incapacidade, embora real e atual, possui caráter transitório, com expectativa de que o segurado retome, em prazo estimável, suas atividades laborativas.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Em termos quantitativos, o auxílio por incapacidade temporária responde pela maior parcela dos benefícios por incapacidade concedidos pelo INSS, superando a aposentadoria por incapacidade permanente em volume de concessões. Opera na interseção entre a proteção previdenciária e a realidade laboral do segurado, envolvendo questões de avaliação médica, fixação de datas, cálculo de renda, cessação administrativa e judicialização.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marco normativo do benefício está em constante transformação. Desde a edição da Lei n. 8.213/91, o benefício foi objeto de sucessivas alterações legislativas — com destaque para as Medidas Provisórias 739/2016 e 767/2017, convertida na Lei n. 13.457/2017, que introduziram o sistema de alta programada (COPES); a EC 103/2019, que modificou a nomenclatura e impactou o cálculo do salário de benefício; a Lei n. 13.846/2019, voltada ao combate a fraudes previdenciárias; e, mais recentemente, a Portaria Conjunta MPS/INSS n. 13, de 21 de março de 2026, que reformulou o sistema Atestmed para análise documental sem perícia presencial. A jurisprudência, por sua vez, consolidou entendimentos fundamentais nos Temas 1.013 e 1.246 do STJ, no Tema 1.196 do STF e nas Súmulas 47, 53, 72 e 78 da TNU, que serão examinados ao longo deste capítulo.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Este capítulo abrange desde os requisitos legais e a distinção entre as espécies previdenciária e acidentária até as questões de cessação, reabilitação profissional e estratégia processual nos JEFs.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7.1 Conceito e natureza jurídica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59 da Lei n. 8.213/91 define o auxílio-doença (atual auxílio por incapacidade temporária) como o benefício devido ao segurado que, havendo cumprido, quando for o caso, o período de carência exigido, ficar incapacitado para o seu trabalho ou para a sua atividade habitual por mais de 15 (quinze) dias consecutivos. A definição legal delineia os contornos essenciais do benefício: (i) a existência de incapacidade laborativa; (ii) a vinculação dessa incapacidade à atividade habitual do segurado, e não a qualquer atividade; (iii) a duração mínima de 15 dias consecutivos de afastamento; e (iv) a observância da carência, quando exigível.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natureza jurídica do auxílio por incapacidade temporária é de benefício previdenciário substitutivo da renda do trabalho. Enquanto perdurar a incapacidade, o benefício substitui a remuneração que o segurado deixou de perceber em razão do afastamento. Diferencia-se, nesse aspecto, do auxílio-acidente (art. 86), que possui natureza indenizatória e complementar — destina-se a compensar a redução da capacidade funcional após a consolidação das lesões, sem substituir integralmente a renda.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benefício possui, ainda, caráter alimentar e irrenunciável. O segurado não pode abrir mão do benefício enquanto permanecer incapacitado, assim como o INSS não pode cessar o pagamento sem a devida avaliação da recuperação da capacidade laborativa. A provisoriedade é nota essencial: o benefício nasce com a expectativa de cessação futura, seja pela recuperação do segurado, seja pela conversão em aposentadoria por incapacidade permanente quando a incapacidade se revelar definitiva.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alteração terminológica promovida pela EC 103/2019, de "auxílio-doença" para "auxílio por incapacidade temporária", não é meramente cosmética. A nomenclatura anterior vinculava o benefício à noção de "doença", quando, na realidade, o fato gerador é a incapacidade para o trabalho, que pode decorrer tanto de doença quanto de acidente (de trabalho ou de qualquer natureza). A nova denominação é tecnicamente superior por duas razões: (a) desloca o foco da causa (doença) para o efeito juridicamente relevante (incapacidade); e (b) qualifica temporalmente a incapacidade, distinguindo-a da permanente. Não obstante, a Lei n. 8.213/91 mantém, em seus arts. 59 a 63, a redação original com a expressão "auxílio-doença", enquanto o Decreto 10.410/2020 adotou a terminologia atualizada no regulamento.</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benefício exerce, ainda, função de ponte entre a incapacidade e a reabilitação. Nos termos do art. 62 da Lei n. 8.213/91, o segurado em gozo de auxílio por incapacidade temporária que estiver insusceptível de recuperação para sua atividade habitual deverá ser submetido a processo de reabilitação profissional para exercício de outra atividade, mantendo-se o benefício até a conclusão do programa ou até a conversão em aposentadoria por incapacidade permanente. Essa função de ponte confere ao benefício dimensão que transcende a mera substituição de renda: o auxílio por incapacidade temporária é instrumento de proteção social que viabiliza a transição do segurado para uma nova atividade produtiva, preservando sua dignidade e sua inserção no mercado de trabalho.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distinção conceitual entre o auxílio por incapacidade temporária e a aposentadoria por incapacidade permanente reduz-se, no plano teórico, a um par de opostos — temporariedade versus permanência —, mas é justamente na aplicação prática que ela revela toda a sua complexidade. A fronteira entre as duas espécies é definida pelo prognóstico de recuperação: se há expectativa razoável de que o segurado retome a capacidade laborativa (com ou sem reabilitação), o benefício correto é o auxílio; se a incapacidade é irreversível e omniprofissional — isto é, para toda e qualquer atividade que garanta a subsistência —, a aposentadoria é devida. Na prática, porém, muitos segurados permanecem em gozo de auxílio por incapacidade temporária por anos consecutivos, em sucessivas prorrogações, sem que o INSS proceda à conversão em aposentadoria ou à efetiva reabilitação — situação que a doutrina denomina "auxílio-doença permanente", paradoxo que evidencia disfuncionalidades pontuais do sistema.</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7.2 Evolução legislativa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proteção previdenciária contra a incapacidade temporária para o trabalho remonta às origens do sistema brasileiro. As Caixas de Aposentadorias e Pensões (CAPs), instituídas a partir da Lei Eloy Chaves (Decreto Legislativo n. 4.682/1923), já previam o "socorro para casos de doença" entre as prestações devidas aos segurados. Os Institutos de Aposentadorias e Pensões (IAPs), criados a partir de 1933, mantiveram a cobertura do risco de incapacidade temporária sob diversas denominações e condições, variáveis conforme a categoria profissional.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Lei Orgânica da Previdência Social (LOPS — Lei n. 3.807/1960), conforme registram Horvath Júnior (2022) e Castro e Lazzari (2025), unificou a legislação e disciplinou o "auxílio-doença" nos arts. 22 a 26, estabelecendo os requisitos básicos que, em linhas gerais, persistem até hoje: incapacidade para o trabalho, carência e qualidade de segurado. A Consolidação das Leis da Previdência Social (CLPS — Decreto n. 89.312/1984) manteve a estrutura fundamental do benefício.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Lei n. 8.213/91, que rege o atual Plano de Benefícios da Previdência Social, disciplina o auxílio por incapacidade temporária nos arts. 59 a 63, com importantes complementações nos arts. 24 a 27-A (carência), art. 15 (período de graça) e arts. 89 a 93 (reabilitação profissional). Desde sua edição, o benefício foi objeto de alterações significativas: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Lei n. 9.032/1995 unificou o coeficiente de cálculo do auxílio-doença (atual auxílio por incapacidade temporária), fixando-o em 91% do salário de benefício para ambas as espécies (previdenciária e acidentária), eliminando a diferença anterior entre os coeficientes. A Lei n. 9.876/1999 alterou a forma de apuração do salário de benefício, introduzindo a média aritmética dos 80% maiores salários de contribuição desde julho de 1994. A Lei n. 10.666/2003 disciplinou aspectos relevantes dos benefícios por incapacidade, incluindo a cessação do auxílio por incapacidade temporária quando o segurado retorna voluntariamente à atividade e a responsabilidade da empresa pelos primeiros 15 dias de afastamento em caso de nova incapacidade dentro de 60 dias.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partir de 2016, o benefício sofreu modificações mais profundas, orientadas pelo objetivo de racionalização administrativa e contenção de despesas. A Medida Provisória n. 739/2016 introduziu o chamado "pente-fino" nos benefícios por incapacidade, autorizando o INSS a convocar segurados para revisão periódica, e previu a cessação automática do benefício quando não houvesse prorrogação dentro do prazo. Essa MP perdeu eficácia sem conversão em lei, mas seus dispositivos foram substancialmente reproduzidos pela Medida Provisória n. 767/2017, que alterou os §§ 8º e 9º do art. 60 da Lei n. 8.213/91 para instituir formalmente o sistema de alta programada. A MP 767/2017 foi convertida na Lei n. 13.457/2017, consolidando o regime da Cobertura Previdenciária Estimada (COPES).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Medida Provisória n. 871/2019, convertida na Lei n. 13.846/2019, introduziu novas regras de combate a fraudes previdenciárias, incluindo a obrigatoriedade de cadastramento biométrico, a possibilidade de auditoria por amostragem nos benefícios por incapacidade e modificações no procedimento administrativo de concessão.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EC 103/2019 alterou a nomenclatura do benefício (de "auxílio-doença" para "auxílio por incapacidade temporária") e impactou o cálculo da renda mensal, ao modificar a base de cálculo do salário de benefício, tema que será examinado na seção 7.8.</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Mais recentemente, sucessivos atos infralegais ampliaram o prazo máximo de concessão do auxílio por incapacidade temporária via análise documental (Atestmed). A Portaria Conjunta MPS/INSS n. 13, de 21 de março de 2026, reformulou integralmente o sistema, elevando o prazo máximo por análise documental para até 90 dias e fixando o limite acumulado de 180 dias sem perícia presencial.</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7.3 Requisitos legais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concessão do auxílio por incapacidade temporária exige a conjugação de quatro requisitos cumulativos: (i) qualidade de segurado; (ii) carência, quando exigível; (iii) incapacidade para o trabalho ou atividade habitual; e (iv) afastamento superior a 15 dias consecutivos (para o segurado empregado) ou incapacidade por mais de 15 dias (para os demais segurados).</w:t>
      </w:r>
    </w:p>
    <w:p>
      <w:pPr>
        <w:spacing w:before="260" w:after="80" w:line="240" w:lineRule="auto"/>
        <w:jc w:val="left"/>
      </w:pPr>
      <w:r>
        <w:rPr>
          <w:rFonts w:ascii="EB Garamond" w:hAnsi="EB Garamond" w:cs="EB Garamond"/>
          <w:b/>
          <w:i w:val="0"/>
          <w:color w:val="3A3128"/>
          <w:sz w:val="25"/>
          <w:lang w:val="pt-BR" w:bidi="ar-SA"/>
          <w:kern w:val="16"/>
          <w14:ligatures w14:val="standardContextual"/>
        </w:rPr>
        <w:t>7.3.1 Qualidade de segurado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primeiro requisito é a manutenção da qualidade de segurado na data do início da incapacidade, e não na data do requerimento administrativo ou da propositura da ação judicial. Conforme examinado no Capítulo 3, a qualidade de segurado mantém-se durante o período de graça (art. 15 da Lei n. 8.213/91), que varia de 12 a 36 meses conforme o número de contribuições anteriores e a situação de desemprego involuntário.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perda da qualidade de segurado não impede a concessão do benefício quando a incapacidade houver se iniciado durante o período de cobertura. A jurisprudência consolidou o entendimento de que o dado relevante é a data de início da incapacidade (DII), e não a data do requerimento. Assim, se a DII é anterior ao término do período de graça, o segurado faz jus ao benefício mesmo que o requerimento administrativo seja formulado após a perda da qualidade.</w:t>
      </w:r>
    </w:p>
    <w:p>
      <w:pPr>
        <w:spacing w:before="260" w:after="80" w:line="240" w:lineRule="auto"/>
        <w:jc w:val="left"/>
      </w:pPr>
      <w:r>
        <w:rPr>
          <w:rFonts w:ascii="EB Garamond" w:hAnsi="EB Garamond" w:cs="EB Garamond"/>
          <w:b/>
          <w:i w:val="0"/>
          <w:color w:val="3A3128"/>
          <w:sz w:val="25"/>
          <w:lang w:val="pt-BR" w:bidi="ar-SA"/>
          <w:kern w:val="16"/>
          <w14:ligatures w14:val="standardContextual"/>
        </w:rPr>
        <w:t>7.3.2 Carência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plica-se ao auxílio por incapacidade temporária o mesmo regime de carência examinado no Capítulo 3, seção 3.4: 12 contribuições mensais (art. 25, I, Lei 8.213/91), com dispensa para acidente de qualquer natureza, doença profissional ou do trabalho, e doenças graves listadas no art. 151 (v. Cap. 3 para o rol completo e a Portaria Interministerial MTP/MS 22/2022). A dispensa pressupõe que a incapacidade decorra diretamente da doença listada — o mero diagnóstico não basta.</w:t>
      </w:r>
    </w:p>
    <w:p>
      <w:pPr>
        <w:spacing w:before="260" w:after="80" w:line="240" w:lineRule="auto"/>
        <w:jc w:val="left"/>
      </w:pPr>
      <w:r>
        <w:rPr>
          <w:rFonts w:ascii="EB Garamond" w:hAnsi="EB Garamond" w:cs="EB Garamond"/>
          <w:b/>
          <w:i w:val="0"/>
          <w:color w:val="3A3128"/>
          <w:sz w:val="25"/>
          <w:lang w:val="pt-BR" w:bidi="ar-SA"/>
          <w:kern w:val="16"/>
          <w14:ligatures w14:val="standardContextual"/>
        </w:rPr>
        <w:t>7.3.3 Regra da metade (art. 27-A)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Q</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uando o segurado perde a qualidade e posteriormente se refilia ao RGPS, aplica-se a regra do art. 27-A da Lei n. 8.213/91 (acrescido pela MP 767/2017, convertida na Lei n. 13.457/2017, com a redação da Lei n. 13.846/2019): exige-se o cumprimento de 6 contribuições mensais (metade da carência) a partir da nova filiação. Para o histórico legislativo completo do art. 27-A e as questões de direito intertemporal decorrentes das cinco alterações normativas entre 2016 e 2019, v. Cap. 3, seção 3.8.4. Aplica-se a regra vigente na DII (tempus regit actum).</w:t>
      </w:r>
    </w:p>
    <w:p>
      <w:pPr>
        <w:spacing w:before="260" w:after="80" w:line="240" w:lineRule="auto"/>
        <w:jc w:val="left"/>
      </w:pPr>
      <w:r>
        <w:rPr>
          <w:rFonts w:ascii="EB Garamond" w:hAnsi="EB Garamond" w:cs="EB Garamond"/>
          <w:b/>
          <w:i w:val="0"/>
          <w:color w:val="3A3128"/>
          <w:sz w:val="25"/>
          <w:lang w:val="pt-BR" w:bidi="ar-SA"/>
          <w:kern w:val="16"/>
          <w14:ligatures w14:val="standardContextual"/>
        </w:rPr>
        <w:t>7.3.4 Incapacidade para o trabalho ou atividade habitual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requisito nuclear do benefício é a incapacidade para o trabalho ou para a atividade habitual do segurado. Diferentemente da aposentadoria por incapacidade permanente, que exige incapacidade omniprofissional, o auxílio por incapacidade temporária exige apenas incapacidade para a atividade habitual, ou seja, aquela efetivamente exercida pelo segurado no momento do surgimento da incapacidade.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Essa distinção possui consequências práticas relevantes. Um pedreiro com fratura no braço está incapacitado para sua atividade habitual (construção civil), ainda que pudesse, em tese, exercer atividade sedentária. Nessa hipótese, faz jus ao auxílio por incapacidade temporária, pois a análise é restrita à atividade habitual. Já para a aposentadoria por incapacidade permanente, seria necessário demonstrar que a incapacidade o impede de exercer qualquer atividade remunerada que lhe garanta o sustento.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definição de "atividade habitual" deve considerar não apenas a profissão formalmente registrada, mas as atividades efetivamente exercidas pelo segurado. Para o contribuinte individual, trabalhador avulso e segurado especial, a atividade habitual é aquela que constitui a fonte principal de renda. Para o empregado, corresponde às funções descritas no contrato de trabalho ou efetivamente desempenhadas.</w:t>
      </w:r>
    </w:p>
    <w:p>
      <w:pPr>
        <w:spacing w:before="260" w:after="80" w:line="240" w:lineRule="auto"/>
        <w:jc w:val="left"/>
      </w:pPr>
      <w:r>
        <w:rPr>
          <w:rFonts w:ascii="EB Garamond" w:hAnsi="EB Garamond" w:cs="EB Garamond"/>
          <w:b/>
          <w:i w:val="0"/>
          <w:color w:val="3A3128"/>
          <w:sz w:val="25"/>
          <w:lang w:val="pt-BR" w:bidi="ar-SA"/>
          <w:kern w:val="16"/>
          <w14:ligatures w14:val="standardContextual"/>
        </w:rPr>
        <w:t>7.3.5 Afastamento superior a 15 dias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59, caput, da Lei n. 8.213/91 exige que a incapacidade perdure por mais de 15 dias consecutivos. Para o segurado empregado, os primeiros 15 dias de afastamento são de responsabilidade do empregador, que deve pagar a remuneração integral (art. 60, § 3º, da Lei n. 8.213/91). O benefício previdenciário é devido a partir do 16º dia de afastamento.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Lei n. 13.457/2017 deu nova redação ao § 4º do art. 60, disciplinando a hipótese de nova incapacidade decorrente da mesma doença. Estabelece o dispositivo que, sobrevindo nova incapacidade pela mesma doença dentro de 60 dias contados da cessação do benefício anterior, a empresa fica desobrigada do pagamento relativo aos 15 primeiros dias de afastamento, prorrogando-se o benefício anteriormente concedido e descontando-se os dias eventualmente trabalhados no intervalo. Não se trata, como por vezes se supõe, de mera soma aritmética de janelas curtas até perfazer 15 dias: o que a norma faz é reabrir ou prorrogar o mesmo benefício, dispensando novo período de carência do segurado e nova responsabilidade patronal pelos 15 dias, sempre que a recidiva ocorra na curta janela de 60 dias e tenha por causa a mesma patologia. A finalidade é evitar que a fragmentação de afastamentos sucessivos pela mesma doença, dentro de período exíguo, gere ônus repetido para a empresa e descontinuidade na proteção do segurado.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Para os demais segurados (contribuinte individual, trabalhador avulso, segurado especial, segurado facultativo), o benefício é devido desde a data do início da incapacidade. Essa regra não decorre do § 1º do art. 60 — que trata especificamente do requerimento após o 30º dia —, mas da própria sistemática do caput do art. 60 conjugada com a inexistência, para esses segurados, da figura do "empregador" responsável pelos primeiros 15 dias de afastamento. Não havendo quem responda pelo período inicial, não há por que aplicar a regra do 16º dia: o benefício começa na DII, observada a data do requerimento administrativo como limite para a retroação dos efeitos financeiros, na forma adiante examinada (seção 7.6.2).</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7.4 Espécies: previdenciário (B31) e acidentário (B91)</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auxílio por incapacidade temporária desdobra-se, conforme a doutrina, em duas espécies conforme a origem da incapacidade: o auxílio por incapacidade temporária previdenciário (espécie B31) e o auxílio por incapacidade temporária acidentário (espécie B91). A linha divisória é, à primeira vista, trivial — o B31 decorre de doença ou acidente comum, enquanto o B91 decorre de acidente do trabalho, doença profissional ou doença do trabalho —, mas dela derivam consequências jurídicas substanciais que justificam tratamento pormenorizado.</w:t>
      </w:r>
    </w:p>
    <w:p>
      <w:pPr>
        <w:spacing w:before="260" w:after="80" w:line="240" w:lineRule="auto"/>
        <w:jc w:val="left"/>
      </w:pPr>
      <w:r>
        <w:rPr>
          <w:rFonts w:ascii="EB Garamond" w:hAnsi="EB Garamond" w:cs="EB Garamond"/>
          <w:b/>
          <w:i w:val="0"/>
          <w:color w:val="3A3128"/>
          <w:sz w:val="25"/>
          <w:lang w:val="pt-BR" w:bidi="ar-SA"/>
          <w:kern w:val="16"/>
          <w14:ligatures w14:val="standardContextual"/>
        </w:rPr>
        <w:t>7.4.1 Diferenças fundamentais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diferença mais imediata concerne à carência. O auxílio acidentário (B91) dispensa carência integralmente (art. 26, II, Lei n. 8.213/91), enquanto o previdenciário (B31) exige, em regra, 12 contribuições mensais, ressalvadas as hipóteses de dispensa já examinadas.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No plano trabalhista, a distinção é igualmente sensível. O segurado empregado que recebe auxílio acidentário (B91) goza de estabilidade provisória no emprego pelo prazo mínimo de 12 meses após a cessação do benefício, nos termos do art. 118 da Lei n. 8.213/91. Essa garantia não se aplica ao beneficiário do B31. Além disso, durante o afastamento por B91, o empregador deve continuar depositando o FGTS na conta vinculada do trabalhador (art. 15, § 5º, da Lei n. 8.036/90), obrigação inexistente no caso do B31.</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Há, ainda, repercussão sobre a competência jurisdicional. As ações relativas a acidente do trabalho contra o INSS são de competência da Justiça Estadual (art. 109, I, da CF/88), enquanto as demandas referentes ao B31 são processadas perante a Justiça Federal (ou os Juizados Especiais Federais, quando o valor da causa não exceder 60 salários-mínimos). Essa regra comporta exceção quando a demanda envolve pretensão de conversão do benefício de B31 para B91: se o pedido principal é a conversão, a competência é da Justiça Estadual; se a conversão é pedido acessório em ação de concessão perante a Justiça Federal, há controvérsia jurisprudencial.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competência da Justiça Estadual para as ações de acidente do trabalho contra o INSS decorre do art. 109, I, da CF/88, que exclui da competência da Justiça Federal "as causas relativas a falências, as de acidentes de trabalho e as sujeitas à Justiça Eleitoral e à Justiça do Trabalho". O STF, na Súmula 501, consolidou que "compete à Justiça Ordinária Estadual o processo e o julgamento, em ambas as instâncias, das causas de acidente do trabalho, ainda que promovidas contra a União, suas autarquias, empresas públicas ou sociedades de economia mista". Não obstante, quando a ação é proposta perante o JEF com pedido de concessão de auxílio por incapacidade temporária e, no curso do processo, a perícia identifica nexo ocupacional, a conversão de espécie (B31 para B91) pode ser determinada pelo próprio juízo federal como questão incidental, sem deslocamento de competência, segundo orientação dominante nos Tribunais Regionais Federais.</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7.4.2 Nexo técnico epidemiológico previdenciário (NTEP)</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identificação da natureza acidentária do benefício foi modificada pela Lei n. 11.430/2006, regulamentada pelo Decreto n. 6.042/2007, que instituiu o Nexo Técnico Epidemiológico Previdenciário (NTEP). Trata-se de instrumento de presunção relativa do nexo causal entre a doença e o trabalho, baseado na correlação estatística entre o código CID-10 da patologia e a atividade econômica da empresa (código CNAE).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Quando o NTEP é aplicado, presume-se que a incapacidade tem origem ocupacional, invertendo-se o ônus da prova: cabe à empresa demonstrar que a doença não possui nexo com o trabalho. Essa inversão deslocou para o empregador o ônus que antes recaía sobre o trabalhador, a quem cabia a difícil tarefa de provar o nexo causal em doenças de natureza multifatorial (como lesões por esforço repetitivo, distúrbios osteomusculares e transtornos mentais relacionados ao trabalho).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empregador que discordar do enquadramento pelo NTEP pode apresentar impugnação administrativa ao INSS, no prazo de 15 dias da ciência da decisão, instruída com documentação técnica que demonstre a inexistência do nexo. A decisão administrativa é passível de recurso ao Conselho de Recursos da Previdência Social (CRPS).</w:t>
      </w:r>
    </w:p>
    <w:p>
      <w:pPr>
        <w:spacing w:before="260" w:after="80" w:line="240" w:lineRule="auto"/>
        <w:jc w:val="left"/>
      </w:pPr>
      <w:r>
        <w:rPr>
          <w:rFonts w:ascii="EB Garamond" w:hAnsi="EB Garamond" w:cs="EB Garamond"/>
          <w:b/>
          <w:i w:val="0"/>
          <w:color w:val="3A3128"/>
          <w:sz w:val="25"/>
          <w:lang w:val="pt-BR" w:bidi="ar-SA"/>
          <w:kern w:val="16"/>
          <w14:ligatures w14:val="standardContextual"/>
        </w:rPr>
        <w:t>7.4.3 Conversão de B31 em B91</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conversão do benefício previdenciário (B31) em acidentário (B91) é pretensão recorrente nos JEFs e na Justiça Estadual. A conversão é admitida quando se demonstra, geralmente por perícia judicial, que a incapacidade possui nexo causal com o trabalho, mas o INSS concedeu o benefício na espécie previdenciária, seja por falha na aplicação do NTEP, seja por inexistência de Comunicação de Acidente de Trabalho (CAT) pelo empregador.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conversão produz efeitos retroativos à data de início do benefício original, gerando consequências patrimoniais relevantes para o segurado: (a) reconhecimento da estabilidade provisória de 12 meses; (b) obrigação do empregador de depositar o FGTS retroativamente ao período de afastamento; e (c) possibilidade de ação regressiva contra o empregador por danos decorrentes do acidente ou doença ocupacional.</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7.5 Incapacidade temporária: avaliação e perícia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avaliação da incapacidade é o cerne do processo de concessão, manutenção e cessação do auxílio por incapacidade temporária. Três dimensões devem ser consideradas: extensão (total ou parcial em relação à atividade habitual), duração (temporária) e origem (comum ou acidentária/ocupacional).</w:t>
      </w:r>
    </w:p>
    <w:p>
      <w:pPr>
        <w:spacing w:before="260" w:after="80" w:line="240" w:lineRule="auto"/>
        <w:jc w:val="left"/>
      </w:pPr>
      <w:r>
        <w:rPr>
          <w:rFonts w:ascii="EB Garamond" w:hAnsi="EB Garamond" w:cs="EB Garamond"/>
          <w:b/>
          <w:i w:val="0"/>
          <w:color w:val="3A3128"/>
          <w:sz w:val="25"/>
          <w:lang w:val="pt-BR" w:bidi="ar-SA"/>
          <w:kern w:val="16"/>
          <w14:ligatures w14:val="standardContextual"/>
        </w:rPr>
        <w:t>7.5.1 Incapacidade para a atividade habitual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C</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onforme já referido, o auxílio por incapacidade temporária exige incapacidade para a atividade habitual do segurado, e não incapacidade omniprofissional. A jurisprudência da TNU consolidou, por meio da Súmula 47, que "uma vez reconhecida a incapacidade parcial para o trabalho, o juiz deve analisar as condições pessoais e sociais do segurado para a concessão de aposentadoria por invalidez" (atual aposentadoria por incapacidade permanente). Embora a Súmula se refira diretamente à aposentadoria por incapacidade permanente, seus fundamentos irradiam para o auxílio por incapacidade temporária: as condições pessoais do segurado (idade, escolaridade, experiência profissional, ambiente socioeconômico) devem ser consideradas na avaliação da extensão prática da incapacidade.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pericial, a distinção entre incapacidade para a atividade habitual e incapacidade omniprofissional frequentemente se apresenta como questão central. O perito pode concluir que o segurado está incapacitado para sua atividade específica (ex.: servente de obra com lombalgia), mas apto para atividades leves. Nesse cenário, o benefício correto é o auxílio por incapacidade temporária (e não a aposentadoria), pois a incapacidade, embora real para a atividade habitual, não é omniprofissional nem permanente. A cessação do benefício, contudo, pressupõe não apenas a recuperação clínica, mas a efetiva possibilidade de reinserção no mercado de trabalho — o que pode exigir reabilitação profissional prévia.</w:t>
      </w:r>
    </w:p>
    <w:p>
      <w:pPr>
        <w:spacing w:before="260" w:after="80" w:line="240" w:lineRule="auto"/>
        <w:jc w:val="left"/>
      </w:pPr>
      <w:r>
        <w:rPr>
          <w:rFonts w:ascii="EB Garamond" w:hAnsi="EB Garamond" w:cs="EB Garamond"/>
          <w:b/>
          <w:i w:val="0"/>
          <w:color w:val="3A3128"/>
          <w:sz w:val="25"/>
          <w:lang w:val="pt-BR" w:bidi="ar-SA"/>
          <w:kern w:val="16"/>
          <w14:ligatures w14:val="standardContextual"/>
        </w:rPr>
        <w:t>7.5.2 Transtornos mentais e a nova epidemiologia da incapacidade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F</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enômeno de crescente relevância nos JEFs é o aumento expressivo dos afastamentos por transtornos mentais e comportamentais. Os dados administrativos do INSS revelam que transtornos depressivos (CID F32-F33), transtornos de ansiedade (CID F41), reações ao estresse grave e transtornos de adaptação (CID F43), incluindo a síndrome de burnout (esgotamento profissional), figuram entre as principais causas de concessão de auxílio por incapacidade temporária na última década. Convém registrar, desde logo, que o sistema previdenciário brasileiro ainda opera com a CID-10, na qual o burnout é codificado como Z73.0; a CID-11, que individualizou a síndrome no código QD85, embora em vigor internacionalmente desde 2022, não foi plenamente adotada pelo INSS para fins de enquadramento.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avaliação da incapacidade por transtornos mentais impõe dificuldades próprias. Diferentemente de patologias ortopédicas ou cardiológicas, em que exames complementares objetivos (radiografias, eletrocardiogramas) podem atestar a limitação funcional, os transtornos mentais dependem preponderantemente de avaliação clínica — anamnese, entrevista psiquiátrica, aplicação de escalas validadas. A subjetividade inerente a essa avaliação gera divergências frequentes entre o perito administrativo (que dispõe de tempo limitado para o exame), o médico assistente (que acompanha o paciente longitudinalmente) e o perito judicial.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especificidade dos transtornos mentais exige adaptação dos critérios tradicionais de avaliação da incapacidade. Não basta verificar se o segurado possui capacidade física para uma atividade laborativa; é necessário avaliar se ele consegue manter concentração, interação social, tomada de decisão e resiliência emocional nas condições reais do ambiente de trabalho. A Classificação Internacional de Funcionalidade (CIF) da OMS oferece arcabouço metodológico adequado, pois considera não apenas a deficiência (alteração da função corporal), mas também as limitações de atividade e as restrições de participação social, à luz dos fatores ambientais e pessoais.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rotina dos Juizados, temos por boa prática a nomeação de perito psiquiatra quando a patologia predominante for de natureza mental, evitando-se a perícia por clínico geral para quadros psiquiátricos complexos. Os quesitos devem contemplar: (a) diagnóstico psiquiátrico segundo a CID-10; (b) grau de comprometimento funcional nas atividades de vida diária e laborativa; (c) prognóstico com e sem tratamento adequado; (d) se o segurado está em acompanhamento psiquiátrico/psicológico e se a adesão ao tratamento é satisfatória; (e) se há risco de agravamento pelo retorno imediato ao trabalho.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síndrome de burnout (esgotamento profissional), reconhecida pela OMS como fenômeno ocupacional, apresenta peculiaridade relevante para o enquadramento do benefício: quando o burnout é a causa da incapacidade, há fundamento defensável, embora controvertido, para a concessão do benefício na espécie acidentária (B91), e não previdenciária (B31), por se sustentar tratar-se de doença relacionada ao trabalho. O enquadramento da espécie repercute diretamente na garantia da estabilidade provisória de 12 meses e do depósito do FGTS durante o afastamento. Na via judicial, a perícia deve investigar o nexo causal entre as condições de trabalho e o desenvolvimento do burnout, podendo-se aplicar o NTEP quando a correlação CID × CNAE assim indicar. Registre-se, porém, que o INSS ainda codifica o quadro pela CID-10 (Z73.0), o que pode dificultar, na esfera administrativa, o reconhecimento automático do nexo ocupacional.</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7.5.3 Perícia médica: procedimento e valoração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perícia médica constitui o principal instrumento de avaliação da incapacidade, tanto na esfera administrativa quanto na judicial. Na esfera administrativa, a perícia é realizada pela Perícia Médica Federal, vinculada ao INSS, e pode ser presencial ou documental (via sistema Atestmed). Na esfera judicial, a perícia é realizada por perito nomeado pelo juiz, nos termos do art. 12 da Lei n. 10.259/2001 (Lei dos JEFs).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No âmbito administrativo, a perícia presencial segue protocolo padronizado: o segurado comparece à Agência da Previdência Social (APS), apresenta documentação médica e é submetido a exame clínico pelo perito do INSS. O perito avalia a existência da incapacidade, sua extensão, duração estimada e eventual nexo com o trabalho. Com base nessa avaliação, o benefício é concedido (com fixação da Data de Cessação do Benefício — DCB) ou indeferido.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No âmbito judicial dos JEFs, a perícia segue o procedimento simplificado do art. 12 da Lei n. 10.259/2001. O juiz nomeia perito, geralmente médico especialista na área da patologia alegada, que elabora laudo respondendo a quesitos formulados pelas partes e pelo juízo. O laudo pericial não vincula o juiz (art. 479 do CPC), que pode formar sua convicção com base em outros elementos probatórios, inclusive laudos de médico assistente, exames complementares e depoimento pessoal da parte.</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formulação de quesitos na perícia judicial dos JEFs é decisiva para a qualidade da prova técnica. Quesitos bem formulados devem abordar, no mínimo: (a) qual a patologia diagnosticada e seu CID-10; (b) se há incapacidade para a atividade habitual e, em caso positivo, desde quando (DII); (c) se a incapacidade é total ou parcial em relação à atividade habitual; (d) se a incapacidade é temporária ou permanente; (e) qual o prognóstico de recuperação e o prazo estimado; (f) se há nexo causal com o trabalho; (g) se a doença é preexistente à filiação e, em caso positivo, se houve progressão ou agravamento; (h) se o segurado é suscetível de reabilitação profissional. Recomenda-se incluir quesito sobre as condições pessoais e sociais que influenciam a capacidade laborativa (idade, escolaridade, limitações funcionais residuais), em consonância com a Súmula 47/TNU.</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7.5.4 O sistema Atestmed</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Atestmed, análise documental para concessão de benefício por incapacidade sem perícia presencial, representa inovação significativa no procedimento administrativo do INSS. Originalmente concebido como medida emergencial durante a pandemia de COVID-19, o sistema foi aperfeiçoado e incorporado definitivamente ao fluxo de concessão.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versão atualizada pela Portaria Conjunta MPS/INSS n. 13, de 21 de março de 2026, o Atestmed permite a concessão do auxílio por incapacidade temporária por até 90 dias em cada análise, com limite acumulado de 180 dias sem perícia presencial. O segurado apresenta atestado médico e documentação clínica pelo sistema Meu INSS, e a decisão (concessão ou indeferimento) é proferida por perito médico federal com base exclusivamente na documentação. Se o prazo de 90 dias for insuficiente, o pedido de prorrogação exige perícia presencial.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Atestmed representou ganho de eficiência na tramitação dos requerimentos, reduzindo filas e prazos de espera que historicamente constituíam obstáculo ao acesso efetivo à proteção previdenciária. Contudo, a análise exclusivamente documental carrega limitações inerentes: o perito não examina fisicamente o segurado, o que pode resultar em subavaliação da incapacidade (especialmente em patologias de difícil objetivação, como dor crônica e transtornos mentais) ou, inversamente, em concessão de prazos incompatíveis com a gravidade real do quadro.</w:t>
      </w:r>
    </w:p>
    <w:p>
      <w:pPr>
        <w:spacing w:before="260" w:after="80" w:line="240" w:lineRule="auto"/>
        <w:jc w:val="left"/>
      </w:pPr>
      <w:r>
        <w:rPr>
          <w:rFonts w:ascii="EB Garamond" w:hAnsi="EB Garamond" w:cs="EB Garamond"/>
          <w:b/>
          <w:i w:val="0"/>
          <w:color w:val="3A3128"/>
          <w:sz w:val="25"/>
          <w:lang w:val="pt-BR" w:bidi="ar-SA"/>
          <w:kern w:val="16"/>
          <w14:ligatures w14:val="standardContextual"/>
        </w:rPr>
        <w:t>7.5.5 Doença preexistente e progressão/agravamento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59, parágrafo único, da Lei n. 8.213/91 (redação original) estabelece que não será devido o auxílio por incapacidade temporária ao segurado que se filiar ao RGPS já portador da doença ou da lesão invocada como causa para o benefício, salvo quando a incapacidade sobrevier por motivo de progressão ou agravamento dessa doença ou lesão. Trata-se de regra análoga à do art. 42, § 2º, da mesma Lei, aplicável à aposentadoria por incapacidade permanente.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norma consagra distinção fundamental, já examinada no Capítulo 3: doença preexistente não se confunde com incapacidade preexistente. O dado juridicamente relevante é o momento em que se iniciou a incapacidade (DII), e não o momento em que a doença foi diagnosticada (DID). Se o segurado já era portador da doença ao filiar-se, mas a incapacidade só sobreveio posteriormente, por progressão natural da patologia ou por agravamento decorrente das condições de trabalho, o benefício é devido.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dos JEFs, a perícia judicial desempenha papel crucial na fixação da DII e na verificação de eventual progressão ou agravamento. O perito deve distinguir com clareza: (a) a data em que a doença foi diagnosticada (DID); (b) a data em que a incapacidade efetivamente se instalou (DII); e (c) se houve progressão ou agravamento após a filiação. A confusão entre essas datas é fonte frequente de indeferimentos administrativos que não resistem à análise judicial.</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7.6 Data de início do benefício (DIB)</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fixação da data de início do benefício (DIB) determina o marco temporal a partir do qual o segurado faz jus ao pagamento das prestações. O art. 60 da Lei n. 8.213/91 estabelece regras distintas conforme a categoria do segurado e a existência ou não de requerimento administrativo prévio.</w:t>
      </w:r>
    </w:p>
    <w:p>
      <w:pPr>
        <w:spacing w:before="260" w:after="80" w:line="240" w:lineRule="auto"/>
        <w:jc w:val="left"/>
      </w:pPr>
      <w:r>
        <w:rPr>
          <w:rFonts w:ascii="EB Garamond" w:hAnsi="EB Garamond" w:cs="EB Garamond"/>
          <w:b/>
          <w:i w:val="0"/>
          <w:color w:val="3A3128"/>
          <w:sz w:val="25"/>
          <w:lang w:val="pt-BR" w:bidi="ar-SA"/>
          <w:kern w:val="16"/>
          <w14:ligatures w14:val="standardContextual"/>
        </w:rPr>
        <w:t>7.6.1 Segurado empregado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P</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ara o segurado empregado, o auxílio por incapacidade temporária é devido a contar do 16º dia do afastamento da atividade (art. 60, caput). Os primeiros 15 dias são de responsabilidade do empregador, que paga a remuneração integral durante esse período. Se o segurado não se afastar do trabalho por mais de 15 dias consecutivos, não há direito ao benefício previdenciário, cabendo ao empregador arcar com o período de afastamento.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Quando o empregado requerer o benefício após o 30º dia do afastamento, a DIB será fixada na data de entrada do requerimento (DER), nos termos do art. 60, § 1º. Essa regra objetiva estimular o requerimento tempestivo, evitando que o segurado se mantenha longos períodos sem proteção e depois pleiteie retroação integral.</w:t>
      </w:r>
    </w:p>
    <w:p>
      <w:pPr>
        <w:spacing w:before="260" w:after="80" w:line="240" w:lineRule="auto"/>
        <w:jc w:val="left"/>
      </w:pPr>
      <w:r>
        <w:rPr>
          <w:rFonts w:ascii="EB Garamond" w:hAnsi="EB Garamond" w:cs="EB Garamond"/>
          <w:b/>
          <w:i w:val="0"/>
          <w:color w:val="3A3128"/>
          <w:sz w:val="25"/>
          <w:lang w:val="pt-BR" w:bidi="ar-SA"/>
          <w:kern w:val="16"/>
          <w14:ligatures w14:val="standardContextual"/>
        </w:rPr>
        <w:t>7.6.2 Demais segurados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C</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onforme examinado na seção 7.3.5, os demais segurados (contribuinte individual, trabalhador avulso, segurado especial e segurado facultativo) recebem o benefício desde a DII — solução que deriva do caput do art. 60 e da ausência de empregador responsável pelos 15 dias iniciais, não de regra autônoma do § 1º. A esse parágrafo reserva-se hipótese diversa: se o requerimento for apresentado após o 30º dia da incapacidade, a DIB será fixada na DER, e não na DII (art. 60, § 1º). O dispositivo opera, assim, como regra de limitação temporal da retroação, e não como fonte do início do benefício na DII.</w:t>
      </w:r>
    </w:p>
    <w:p>
      <w:pPr>
        <w:spacing w:before="260" w:after="80" w:line="240" w:lineRule="auto"/>
        <w:jc w:val="left"/>
      </w:pPr>
      <w:r>
        <w:rPr>
          <w:rFonts w:ascii="EB Garamond" w:hAnsi="EB Garamond" w:cs="EB Garamond"/>
          <w:b/>
          <w:i w:val="0"/>
          <w:color w:val="3A3128"/>
          <w:sz w:val="25"/>
          <w:lang w:val="pt-BR" w:bidi="ar-SA"/>
          <w:kern w:val="16"/>
          <w14:ligatures w14:val="standardContextual"/>
        </w:rPr>
        <w:t>7.6.3 DIB na via judicial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Q</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uando o benefício é concedido judicialmente, a fixação da DIB segue regras construídas pela jurisprudência. A orientação prevalecente é que a DIB deve ser fixada: (a) na data da cessação indevida, quando se trata de restabelecimento de benefício; (b) na data do requerimento administrativo (DER), quando se trata de concessão originária com indeferimento prévio; (c) na data da citação do INSS, quando não houve requerimento administrativo prévio — aplicando-se, por analogia, a regra do art. 43, inciso II, da Lei n. 8.213/91 (aposentadoria por incapacidade permanente).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STJ, no Tema 995 (REsp 1.727.063/SP e REsp 1.727.064/SP, Primeira Seção, j. 22/10/2019), fixou tese relevante para a reafirmação da DER, admitindo que requisitos implementados após o requerimento administrativo ou o ajuizamento da ação sejam considerados para a concessão do benefício. Essa tese tem aplicação ao auxílio por incapacidade temporária quando, por exemplo, a perícia judicial identifica DII posterior ao requerimento administrativo: a DIB pode ser fixada na DII, desde que dentro do período de qualidade de segurado.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STJ, no Tema 1.013 (REsp 1.786.590/SP, Primeira Seção, j. 24/06/2020), admitiu o recebimento conjunto das rendas do trabalho e do benefício por incapacidade pago retroativamente, no período entre o indeferimento administrativo e a implantação judicial. A análise detalhada do Tema 1.013 e suas implicações práticas encontra-se na seção 7.11.2.</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7.7 Duração do benefício e alta programada (COPES)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duração do auxílio por incapacidade temporária é, por definição, variável — depende do tempo necessário para a recuperação da capacidade laborativa do segurado. Não há prazo máximo fixado em lei para a manutenção do benefício; enquanto perdurar a incapacidade, o benefício é devido. Contudo, o sistema de alta programada (COPES — Cobertura Previdenciária Estimada) introduziu mecanismo de fixação administrativa da data de cessação do benefício (DCB), que modificou substancialmente a dinâmica do benefício.</w:t>
      </w:r>
    </w:p>
    <w:p>
      <w:pPr>
        <w:spacing w:before="260" w:after="80" w:line="240" w:lineRule="auto"/>
        <w:jc w:val="left"/>
      </w:pPr>
      <w:r>
        <w:rPr>
          <w:rFonts w:ascii="EB Garamond" w:hAnsi="EB Garamond" w:cs="EB Garamond"/>
          <w:b/>
          <w:i w:val="0"/>
          <w:color w:val="3A3128"/>
          <w:sz w:val="25"/>
          <w:lang w:val="pt-BR" w:bidi="ar-SA"/>
          <w:kern w:val="16"/>
          <w14:ligatures w14:val="standardContextual"/>
        </w:rPr>
        <w:t>7.7.1 Sistema COPES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sistema de alta programada foi instituído pelos §§ 8º e 9º do art. 60 da Lei n. 8.213/91, com redação dada pela MP 767/2017, convertida na Lei n. 13.457/2017. Pela sistemática do COPES, o perito médico do INSS, ao conceder o benefício, fixa previamente a DCB — a data em que o benefício cessará automaticamente, sem necessidade de nova perícia. A DCB é estimada com base nas evidências clínicas iniciais e no prognóstico de recuperação.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segurado que se mantiver incapacitado ao final do prazo estimado pode solicitar prorrogação, mediante pedido formulado nos 15 dias anteriores à DCB. Se a prorrogação for indeferida, o segurado pode apresentar pedido de reconsideração ou recurso ao Conselho de Recursos da Previdência Social (CRPS), no prazo de 30 dias.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sistemática da alta programada conta, ainda, com regra supletiva de aplicação cotidiana nos JEFs. Nos termos do art. 60, § 9º, da Lei n. 8.213/91, na ausência de fixação do prazo de que trata o § 8º — isto é, quando o perito do INSS concede o benefício sem estipular a data de cessação —, o benefício cessa após o prazo de 120 dias, contado da concessão ou da reativação, salvo se o segurado requerer a sua prorrogação. Na prática, examinamos com frequência cessações automáticas operadas com base nesse prazo supletivo: quando a carta de concessão não traz DCB expressa, a verificação da legalidade da cessação passa por confrontar a data de cessação efetivamente lançada no sistema com o termo legal de 120 dias e, sobretudo, por aferir se o segurado foi cientificado e teve oportunidade de requerer a prorrogação. A cessação operada antes de exaurido o prazo supletivo, ou sem ciência adequada ao segurado, é impugnável.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grande controvérsia em torno da alta programada residia em sua constitucionalidade. Argumentava-se que a cessação automática, sem nova avaliação médica, violaria os princípios da dignidade humana e da proteção social, pois submeteria o segurado ao risco de perder o benefício sem que sua capacidade laborativa houvesse sido efetivamente atestada. A questão foi pacificada pelo STF no julgamento do Tema 1.196 da repercussão geral.</w:t>
      </w:r>
    </w:p>
    <w:p>
      <w:pPr>
        <w:spacing w:before="260" w:after="80" w:line="240" w:lineRule="auto"/>
        <w:jc w:val="left"/>
      </w:pPr>
      <w:r>
        <w:rPr>
          <w:rFonts w:ascii="EB Garamond" w:hAnsi="EB Garamond" w:cs="EB Garamond"/>
          <w:b/>
          <w:i w:val="0"/>
          <w:color w:val="3A3128"/>
          <w:sz w:val="25"/>
          <w:lang w:val="pt-BR" w:bidi="ar-SA"/>
          <w:kern w:val="16"/>
          <w14:ligatures w14:val="standardContextual"/>
        </w:rPr>
        <w:t>7.7.2 STF Tema 1.196: constitucionalidade da alta programada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Supremo Tribunal Federal, no julgamento do RE 1.347.526 (Tema 1.196 da repercussão geral), concluído em sessão virtual em 15 de setembro de 2025, declarou, por unanimidade, a constitucionalidade da alta programada. A tese fixada pelo relator, Ministro Cristiano Zanin, foi: "Não viola os artigos 62, caput e § 1º, e 246 da Constituição Federal a estipulação de prazo estimado para a duração de benefício de auxílio-doença, conforme estabelecido nos §§ 8º e 9º do art. 60 da Lei 8.213/1991, com redação dada pelas medidas provisórias 739/2016 e 767/2017, esta última convertida na Lei 13.457/2017."</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STF entendeu que a alta programada constitui opção legislativa legítima voltada à racionalização e à eficiência do sistema previdenciário. O sistema não impede a continuidade da proteção: o segurado que permanece incapacitado pode formular prorrogações sucessivas, sem limite legal de número, mantendo-se o pagamento enquanto a perícia atestar a permanência da incapacidade. Convém não ler nessa abertura uma garantia de manutenção incondicional do benefício — a continuidade do fluxo de pagamentos depende, a cada pedido, de avaliação pericial favorável. A DCB funciona, portanto, como data-limite presumida, e não como cessação definitiva nem como pagamento perpétuo.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Com o julgamento do Tema 1.196/STF, a constitucionalidade da alta programada está pacificada com efeito vinculante. Nos JEFs, não é mais viável a tese de inconstitucionalidade do sistema COPES. A estratégia processual deve focar na inadequação da DCB fixada no caso concreto, demonstrando, por perícia judicial, que o prazo estimado é insuficiente para a recuperação, e não na invalidade abstrata do sistema. Quando a perícia judicial fixar prazo de incapacidade superior à DCB administrativa, o juiz deve determinar a prorrogação até a data indicada pelo perito, sem necessidade de declarar inconstitucionalidade.</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7.7.3 Prorrogação, reconsideração e recurso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segurado cujo benefício está próximo da DCB e que se mantém incapacitado dispõe de três vias administrativas: prorrogação, pedido de reconsideração e recurso.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prorrogação deve ser solicitada nos 15 dias que antecedem a DCB, pelo sistema Meu INSS ou por telefone (135). Enquanto a prorrogação estiver em análise, o pagamento do benefício é mantido. Após a Portaria Conjunta MPS/INSS n. 13, de 21 de março de 2026, se o benefício original foi concedido via Atestmed e o acumulado não ultrapassou 180 dias, a prorrogação pode ser decidida documentalmente; caso contrário, exige-se perícia presencial.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pedido de reconsideração cabe quando o benefício já foi cessado (DCB expirada) e o segurado apresenta fato novo ou documentação médica atualizada que demonstre a continuidade da incapacidade. O prazo é de 30 dias da ciência da cessação.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recurso ao CRPS é cabível quando o segurado discorda da decisão de indeferimento da prorrogação ou da reconsideração. O prazo é de 30 dias da ciência da decisão impugnada. O CRPS funciona em duas instâncias: Juntas de Recursos (primeira instância) e Câmaras de Julgamento (segunda instância).</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7.8 Cálculo do benefício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 regras gerais de apuração do salário de benefício — período básico de cálculo, média dos 80% maiores (pré-EC 103/2019) versus média de 100% (pós-EC 103/2019), atividades concomitantes (art. 32, Lei 8.213/91, com redação da Lei 13.846/2019) e direito intertemporal — são examinadas no Capítulo 16 (seções 16.3 a 16.5). Nesta seção, destacam-se as peculiaridades aplicáveis ao auxílio por incapacidade temporária.</w:t>
      </w:r>
    </w:p>
    <w:p>
      <w:pPr>
        <w:spacing w:before="260" w:after="80" w:line="240" w:lineRule="auto"/>
        <w:jc w:val="left"/>
      </w:pPr>
      <w:r>
        <w:rPr>
          <w:rFonts w:ascii="EB Garamond" w:hAnsi="EB Garamond" w:cs="EB Garamond"/>
          <w:b/>
          <w:i w:val="0"/>
          <w:color w:val="3A3128"/>
          <w:sz w:val="25"/>
          <w:lang w:val="pt-BR" w:bidi="ar-SA"/>
          <w:kern w:val="16"/>
          <w14:ligatures w14:val="standardContextual"/>
        </w:rPr>
        <w:t>7.8.1 Coeficiente de 91%</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renda mensal do auxílio por incapacidade temporária corresponde a 91% do salário de benefício (art. 61, Lei 8.213/91). O coeficiente é fixo — não varia conforme tempo de contribuição ou idade. O valor não pode ser inferior ao salário-mínimo (art. 201, § 2º, CF/88) nem superior ao teto do RGPS (em 2026, R$ 8.475,55).</w:t>
      </w:r>
    </w:p>
    <w:p>
      <w:pPr>
        <w:spacing w:before="260" w:after="80" w:line="240" w:lineRule="auto"/>
        <w:jc w:val="left"/>
      </w:pPr>
      <w:r>
        <w:rPr>
          <w:rFonts w:ascii="EB Garamond" w:hAnsi="EB Garamond" w:cs="EB Garamond"/>
          <w:b/>
          <w:i w:val="0"/>
          <w:color w:val="3A3128"/>
          <w:sz w:val="25"/>
          <w:lang w:val="pt-BR" w:bidi="ar-SA"/>
          <w:kern w:val="16"/>
          <w14:ligatures w14:val="standardContextual"/>
        </w:rPr>
        <w:t>7.8.2 Divergência sobre a aplicabilidade do art. 26 da EC 103/2019</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S</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ubsiste divergência sobre a aplicabilidade do art. 26 da EC 103/2019 ao auxílio por incapacidade temporária. A interpretação restritiva sustenta que o dispositivo se aplica apenas aos benefícios nele expressamente referidos (aposentadorias e pensão por morte), de modo que o auxílio continuaria calculado pela regra dos 80% maiores. A interpretação ampliativa — adotada pelo INSS — entende que o art. 26 alterou a fórmula geral do salário de benefício, aplicável a todas as prestações. Na prática administrativa, o INSS calcula pela média de 100% para benefícios com DII a partir de 13/11/2019.</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regime aplicável é definido pela DII, e não pela DER ou data da decisão judicial (v. Cap. 16, seção 16.6). A fixação precisa da DII pelo perito adquire, assim, dupla relevância: é requisito de concessão e marco temporal para a definição da regra de cálculo.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7.9 Efeitos do auxílio por incapacidade temporária sobre o contrato de trabalho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afastamento do segurado empregado para gozo de auxílio por incapacidade temporária produz efeitos relevantes sobre o contrato de trabalho, que devem ser compreendidos para a adequada tutela dos direitos do segurado nos JEFs.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partir do 16º dia de afastamento, quando se inicia o pagamento do benefício previdenciário, o contrato de trabalho fica suspenso (e não interrompido). A distinção é relevante: na suspensão, cessam as obrigações principais de ambas as partes — o empregado não presta serviços e o empregador não paga salário, ficando o segurado amparado pela prestação previdenciária. Não há contagem do período de suspensão para fins de férias (art. 133, IV, CLT), 13º salário proporcional ao período de afastamento, nem aviso prévio.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exceção ocorre no auxílio acidentário (B91): nessa hipótese, o empregador é obrigado a depositar o FGTS durante todo o período de afastamento (art. 15, § 5º, Lei n. 8.036/90). Além disso, o período de afastamento por acidente do trabalho é computado como tempo de serviço para todos os efeitos legais (art. 4º, parágrafo único, CLT).</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retorno do segurado ao trabalho após a cessação do benefício submete-se a regras específicas conforme a espécie. No B91, o segurado goza de estabilidade provisória de 12 meses (art. 118, Lei n. 8.213/91), durante os quais não pode ser dispensado sem justa causa. No B31, não há estabilidade legal, mas convenções coletivas de diversas categorias preveem estabilidade temporária pós-afastamento, que deve ser verificada caso a caso.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questão da aptidão para o retorno ao trabalho envolve a articulação de três esferas de avaliação: (a) a perícia do INSS (que concede ou cessa o benefício); (b) o exame médico de retorno ao trabalho (realizado pelo médico do trabalho da empresa, conforme NR-7); e (c) eventual perícia judicial, quando o segurado impugna a cessação. A divergência entre essas avaliações é a gênese do limbo previdenciário, tratado na seção 7.17.</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7.10 Cessação do benefício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auxílio por incapacidade temporária cessa nas hipóteses previstas no art. 60 e demais disposições da Lei n. 8.213/91, que podem ser sistematizadas em cinco categorias: recuperação da capacidade laborativa, conversão em outro benefício, aposentadoria, óbito e retorno voluntário ao trabalho.</w:t>
      </w:r>
    </w:p>
    <w:p>
      <w:pPr>
        <w:spacing w:before="260" w:after="80" w:line="240" w:lineRule="auto"/>
        <w:jc w:val="left"/>
      </w:pPr>
      <w:r>
        <w:rPr>
          <w:rFonts w:ascii="EB Garamond" w:hAnsi="EB Garamond" w:cs="EB Garamond"/>
          <w:b/>
          <w:i w:val="0"/>
          <w:color w:val="3A3128"/>
          <w:sz w:val="25"/>
          <w:lang w:val="pt-BR" w:bidi="ar-SA"/>
          <w:kern w:val="16"/>
          <w14:ligatures w14:val="standardContextual"/>
        </w:rPr>
        <w:t>7.10.1 Recuperação da capacidade laborativa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causa principal de cessação é a recuperação da capacidade para o trabalho, atestada por perícia médica (administrativa ou judicial). A recuperação pode ser total (o segurado retoma a atividade habitual sem restrições) ou parcial, com sequelas que reduzam a capacidade funcional. No caso de recuperação parcial, o segurado pode: (a) retornar à atividade habitual com limitações, hipótese em que o auxílio cessa; (b) ser encaminhado a programa de reabilitação profissional, mantendo-se o benefício durante o processo; ou (c) quando a recuperação é parcial e a incapacidade residual é permanente, ter o benefício convertido em aposentadoria por incapacidade permanente.</w:t>
      </w:r>
    </w:p>
    <w:p>
      <w:pPr>
        <w:spacing w:before="260" w:after="80" w:line="240" w:lineRule="auto"/>
        <w:jc w:val="left"/>
      </w:pPr>
      <w:r>
        <w:rPr>
          <w:rFonts w:ascii="EB Garamond" w:hAnsi="EB Garamond" w:cs="EB Garamond"/>
          <w:b/>
          <w:i w:val="0"/>
          <w:color w:val="3A3128"/>
          <w:sz w:val="25"/>
          <w:lang w:val="pt-BR" w:bidi="ar-SA"/>
          <w:kern w:val="16"/>
          <w14:ligatures w14:val="standardContextual"/>
        </w:rPr>
        <w:t>7.10.2 Conversão em aposentadoria por incapacidade permanente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Q</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uando a perícia médica conclui que a incapacidade não é mais temporária, mas definitiva e omniprofissional, o auxílio por incapacidade temporária deve ser convertido em aposentadoria por incapacidade permanente. A conversão depende de conclusão pericial e decisão administrativa do INSS. Na prática, a conversão frequentemente ocorre por via judicial, quando o INSS mantém o segurado em auxílio por incapacidade temporária por período prolongado sem proceder à reavaliação para eventual conversão.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conversão não exige novo requerimento administrativo nem nova carência — os requisitos de qualidade de segurado e carência são verificados na data de início do auxílio por incapacidade temporária original. A renda mensal da aposentadoria por incapacidade permanente, contudo, difere: enquanto o auxílio por incapacidade temporária corresponde a 91% do salário de benefício, a aposentadoria por incapacidade permanente de origem não acidentária, após a EC 103/2019, corresponde a 60% + 2% por ano de contribuição que exceder 20 anos (homens) ou 15 anos (mulheres), sobre a média de 100% dos salários de contribuição, nos termos do art. 26, § 2º, III, c/c § 5º, da EC 103/2019. Na hipótese de incapacidade permanente decorrente de acidente de trabalho, doença profissional ou doença do trabalho, o coeficiente é de 100% da média (art. 26, § 3º, da EC 103/2019).</w:t>
      </w:r>
    </w:p>
    <w:p>
      <w:pPr>
        <w:spacing w:before="260" w:after="80" w:line="240" w:lineRule="auto"/>
        <w:jc w:val="left"/>
      </w:pPr>
      <w:r>
        <w:rPr>
          <w:rFonts w:ascii="EB Garamond" w:hAnsi="EB Garamond" w:cs="EB Garamond"/>
          <w:b/>
          <w:i w:val="0"/>
          <w:color w:val="3A3128"/>
          <w:sz w:val="25"/>
          <w:lang w:val="pt-BR" w:bidi="ar-SA"/>
          <w:kern w:val="16"/>
          <w14:ligatures w14:val="standardContextual"/>
        </w:rPr>
        <w:t>7.10.3 Aposentadoria por idade ou tempo de contribuição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segurado em gozo de auxílio por incapacidade temporária que implementa os requisitos para aposentadoria por idade ou por tempo de contribuição pode optar pelo benefício mais vantajoso. A concessão de aposentadoria definitiva implica a cessação automática do auxílio por incapacidade temporária.</w:t>
      </w:r>
    </w:p>
    <w:p>
      <w:pPr>
        <w:spacing w:before="260" w:after="80" w:line="240" w:lineRule="auto"/>
        <w:jc w:val="left"/>
      </w:pPr>
      <w:r>
        <w:rPr>
          <w:rFonts w:ascii="EB Garamond" w:hAnsi="EB Garamond" w:cs="EB Garamond"/>
          <w:b/>
          <w:i w:val="0"/>
          <w:color w:val="3A3128"/>
          <w:sz w:val="25"/>
          <w:lang w:val="pt-BR" w:bidi="ar-SA"/>
          <w:kern w:val="16"/>
          <w14:ligatures w14:val="standardContextual"/>
        </w:rPr>
        <w:t>7.10.4 Óbito do segurado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óbito do segurado cessa o benefício, gerando, em favor dos dependentes, o direito à pensão por morte (art. 74, Lei n. 8.213/91). A data do óbito é a DCB do auxílio por incapacidade temporária e, simultaneamente, o fato gerador da pensão.</w:t>
      </w:r>
    </w:p>
    <w:p>
      <w:pPr>
        <w:spacing w:before="260" w:after="80" w:line="240" w:lineRule="auto"/>
        <w:jc w:val="left"/>
      </w:pPr>
      <w:r>
        <w:rPr>
          <w:rFonts w:ascii="EB Garamond" w:hAnsi="EB Garamond" w:cs="EB Garamond"/>
          <w:b/>
          <w:i w:val="0"/>
          <w:color w:val="3A3128"/>
          <w:sz w:val="25"/>
          <w:lang w:val="pt-BR" w:bidi="ar-SA"/>
          <w:kern w:val="16"/>
          <w14:ligatures w14:val="standardContextual"/>
        </w:rPr>
        <w:t>7.10.5 Retorno voluntário ao trabalho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retorno voluntário do segurado à atividade laborativa, ainda que a incapacidade persista sob o ponto de vista médico, implica a cessação do benefício, porém, conforme a Súmula 72/TNU, o mero exercício de atividade remunerada não elide retroativamente o direito ao benefício no período em que o segurado estava comprovadamente incapacitado.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7.11 Exercício de atividade remunerada durante o benefício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cumulação entre auxílio por incapacidade temporária e renda do trabalho não configura incompatibilidade absoluta. A jurisprudência definiu critérios precisos para a coexistência.</w:t>
      </w:r>
    </w:p>
    <w:p>
      <w:pPr>
        <w:spacing w:before="260" w:after="80" w:line="240" w:lineRule="auto"/>
        <w:jc w:val="left"/>
      </w:pPr>
      <w:r>
        <w:rPr>
          <w:rFonts w:ascii="EB Garamond" w:hAnsi="EB Garamond" w:cs="EB Garamond"/>
          <w:b/>
          <w:i w:val="0"/>
          <w:color w:val="3A3128"/>
          <w:sz w:val="25"/>
          <w:lang w:val="pt-BR" w:bidi="ar-SA"/>
          <w:kern w:val="16"/>
          <w14:ligatures w14:val="standardContextual"/>
        </w:rPr>
        <w:t>7.11.1 Súmula 72/TNU</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Turma Nacional de Uniformização editou a Súmula 72, segundo a qual "é possível o recebimento de benefício por incapacidade durante período em que houve exercício de atividade remunerada quando comprovado que o segurado estava incapaz para as atividades habituais na época em que trabalhou". O fundamento é que o exercício de atividade laborativa, em muitos casos, decorre de estado de necessidade — o segurado, privado de renda pelo indeferimento ou cessação do benefício, vê-se obrigado a trabalhar para sobreviver, ainda que em condições precárias e com agravamento de seu quadro de saúde.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Súmula consagra a ideia de que o risco social não desaparece pelo simples fato de o segurado ter exercido atividade remunerada. A incapacidade é fenômeno médico-funcional, que deve ser aferido por perícia, e não inferido automaticamente a partir do exercício ou não de trabalho. O segurado pode trabalhar incapacitado, submetendo-se a dor, limitações e risco de agravamento, sem que isso descaracterize juridicamente a incapacidade.</w:t>
      </w:r>
    </w:p>
    <w:p>
      <w:pPr>
        <w:spacing w:before="260" w:after="80" w:line="240" w:lineRule="auto"/>
        <w:jc w:val="left"/>
      </w:pPr>
      <w:r>
        <w:rPr>
          <w:rFonts w:ascii="EB Garamond" w:hAnsi="EB Garamond" w:cs="EB Garamond"/>
          <w:b/>
          <w:i w:val="0"/>
          <w:color w:val="3A3128"/>
          <w:sz w:val="25"/>
          <w:lang w:val="pt-BR" w:bidi="ar-SA"/>
          <w:kern w:val="16"/>
          <w14:ligatures w14:val="standardContextual"/>
        </w:rPr>
        <w:t>7.11.2 STJ Tema 1.013</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STJ, no Tema 1.013, complementou e reforçou o entendimento da TNU, agora com efeito vinculante para todo o Poder Judiciário. A tese fixada dispõe que, no período entre o indeferimento administrativo e a efetiva implantação do benefício por decisão judicial, o segurado tem direito ao recebimento conjunto das rendas do trabalho exercido e do benefício previdenciário pago retroativamente. A decisão é clara: o trabalho exercido durante o período de espera não extingue o direito ao benefício, e a cumulação de rendas nesse intervalo é devida.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Na contestação do INSS em ações de concessão ou restabelecimento de auxílio por incapacidade temporária nos JEFs, é comum a alegação de que o segurado exerceu atividade remunerada durante o período pleiteado, o que descaracterizaria a incapacidade. À luz da Súmula 72/TNU e do Tema 1.013/STJ, essa alegação, isoladamente, não prospera. O juiz deve analisar se a atividade exercida era compatível com as limitações do segurado e se o exercício decorreu de necessidade financeira. A perícia judicial deve ser instada a se pronunciar sobre a compatibilidade entre a atividade exercida e as limitações clínicas, e não simplesmente sobre se o segurado "trabalhou ou não" no período.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7.12 Programa de reabilitação profissional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programa de habilitação e reabilitação profissional é serviço previdenciário obrigatório, disciplinado nos arts. 89 a 93 da Lei n. 8.213/91, que desempenha papel fundamental na transição entre o auxílio por incapacidade temporária e o retorno ao mercado de trabalho.</w:t>
      </w:r>
    </w:p>
    <w:p>
      <w:pPr>
        <w:spacing w:before="260" w:after="80" w:line="240" w:lineRule="auto"/>
        <w:jc w:val="left"/>
      </w:pPr>
      <w:r>
        <w:rPr>
          <w:rFonts w:ascii="EB Garamond" w:hAnsi="EB Garamond" w:cs="EB Garamond"/>
          <w:b/>
          <w:i w:val="0"/>
          <w:color w:val="3A3128"/>
          <w:sz w:val="25"/>
          <w:lang w:val="pt-BR" w:bidi="ar-SA"/>
          <w:kern w:val="16"/>
          <w14:ligatures w14:val="standardContextual"/>
        </w:rPr>
        <w:t>7.12.1 Fundamento legal e objetivos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89 da Lei n. 8.213/91 estabelece que a habilitação e a reabilitação profissional devem proporcionar ao beneficiário incapacitado os meios para participar do mercado de trabalho e do contexto social em que vive. O programa compreende: (a) fornecimento de aparelhos de prótese, órtese e instrumentos de auxílio para locomoção; (b) reparação ou substituição desses equipamentos; (c) transporte do acidentado do trabalho, quando necessário; e (d) cursos e treinamentos para qualificação ou requalificação profissional.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prestação dos serviços de reabilitação é de caráter obrigatório para os segurados, inclusive aposentados por incapacidade permanente cuja capacidade seja parcialmente recuperada. O art. 62 da Lei n. 8.213/91 estabelece que o segurado em gozo de auxílio por incapacidade temporária, insusceptível de recuperação para sua atividade habitual, deverá submeter-se a processo de reabilitação profissional para o exercício de outra atividade. O benefício não cessará até que o segurado seja dado como habilitado para nova atividade ou, quando considerado não recuperável, seja aposentado por incapacidade permanente.</w:t>
      </w:r>
    </w:p>
    <w:p>
      <w:pPr>
        <w:spacing w:before="260" w:after="80" w:line="240" w:lineRule="auto"/>
        <w:jc w:val="left"/>
      </w:pPr>
      <w:r>
        <w:rPr>
          <w:rFonts w:ascii="EB Garamond" w:hAnsi="EB Garamond" w:cs="EB Garamond"/>
          <w:b/>
          <w:i w:val="0"/>
          <w:color w:val="3A3128"/>
          <w:sz w:val="25"/>
          <w:lang w:val="pt-BR" w:bidi="ar-SA"/>
          <w:kern w:val="16"/>
          <w14:ligatures w14:val="standardContextual"/>
        </w:rPr>
        <w:t>7.12.2 Certificado de reabilitação (art. 92)</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C</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oncluído o processo de reabilitação, a Previdência Social emite certificado individual indicando as atividades que poderão ser exercidas pelo beneficiário. Esse certificado possui dupla função: (a) habilita formalmente o segurado para o exercício das novas atividades; e (b) constitui pressuposto para a cessação do auxílio por incapacidade temporária, pois evidencia que o segurado possui capacidade para atividade alternativa à habitual.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emissão do certificado de reabilitação é condição necessária, mas não suficiente, para a cessação do benefício. É indispensável que o segurado tenha efetiva possibilidade de inserção no mercado de trabalho na nova atividade — o certificado não substitui a oferta real de emprego. Nos JEFs, frequentemente se constata que o segurado concluiu formalmente o programa de reabilitação, mas não consegue colocação profissional em razão de idade avançada, baixa escolaridade ou limitações residuais que tornam a reabilitação meramente teórica.</w:t>
      </w:r>
    </w:p>
    <w:p>
      <w:pPr>
        <w:spacing w:before="260" w:after="80" w:line="240" w:lineRule="auto"/>
        <w:jc w:val="left"/>
      </w:pPr>
      <w:r>
        <w:rPr>
          <w:rFonts w:ascii="EB Garamond" w:hAnsi="EB Garamond" w:cs="EB Garamond"/>
          <w:b/>
          <w:i w:val="0"/>
          <w:color w:val="3A3128"/>
          <w:sz w:val="25"/>
          <w:lang w:val="pt-BR" w:bidi="ar-SA"/>
          <w:kern w:val="16"/>
          <w14:ligatures w14:val="standardContextual"/>
        </w:rPr>
        <w:t>7.12.3 Cotas para empresas (art. 93)</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93 da Lei n. 8.213/91 estabelece a obrigação das empresas com 100 ou mais empregados de preencher de 2% a 5% dos seus cargos com beneficiários reabilitados ou pessoas com deficiência habilitadas. Os percentuais são progressivos: até 200 empregados, 2%; de 201 a 500, 3%; de 501 a 1.000, 4%; acima de 1.000, 5%. A norma visa garantir que a reabilitação profissional não seja exercício formal desprovido de resultado prático, assegurando a absorção dos segurados reabilitados pelo mercado de trabalho.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descumprimento da cota sujeita a empresa a multa administrativa, aplicada pela Auditoria-Fiscal do Trabalho. A dispensa de trabalhador reabilitado ou de pessoa com deficiência, ao final de contrato por prazo determinado superior a 90 dias, e a imotivada no contrato por prazo indeterminado, só poderá ocorrer após a contratação de substituto em condição semelhante (art. 93, § 1º).</w:t>
      </w:r>
    </w:p>
    <w:p>
      <w:pPr>
        <w:spacing w:before="260" w:after="80" w:line="240" w:lineRule="auto"/>
        <w:jc w:val="left"/>
      </w:pPr>
      <w:r>
        <w:rPr>
          <w:rFonts w:ascii="EB Garamond" w:hAnsi="EB Garamond" w:cs="EB Garamond"/>
          <w:b/>
          <w:i w:val="0"/>
          <w:color w:val="3A3128"/>
          <w:sz w:val="25"/>
          <w:lang w:val="pt-BR" w:bidi="ar-SA"/>
          <w:kern w:val="16"/>
          <w14:ligatures w14:val="standardContextual"/>
        </w:rPr>
        <w:t>7.12.4 Limitações práticas do programa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N</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ão obstante a previsão legal detalhada, o programa de reabilitação profissional do INSS enfrenta limitações práticas que comprometem sua efetividade. A insuficiência de equipes multidisciplinares nas agências do INSS, a escassez de convênios com instituições de formação profissional e a padronização excessiva dos programas, que frequentemente se limitam a cursos genéricos de informática ou artesanato, desconectados das aptidões e limitações do segurado — são deficiências recorrentemente apontadas pela doutrina e pela jurisprudência.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perfil socioeconômico predominante dos segurados que necessitam de reabilitação, trabalhadores manuais de baixa escolaridade, com idade superior a 40 anos e limitações físicas residuais, exige programas de requalificação adaptados à realidade do mercado de trabalho local. A oferta de curso de informática a um segurado analfabeto funcional, por exemplo, não constitui reabilitação efetiva, pois não proporciona real capacidade de reinserção profissional.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Nos JEFs, a insuficiência do programa de reabilitação frequentemente fundamenta a manutenção do auxílio por incapacidade temporária ou a conversão em aposentadoria por incapacidade permanente. O raciocínio é direto: se o segurado está incapacitado para sua atividade habitual, é suscetível de reabilitação para outra atividade, mas o INSS não oferece o programa adequado, o segurado não pode ser penalizado pela omissão estatal. O benefício deve ser mantido até que a autarquia cumpra sua obrigação legal de oferecer reabilitação efetiva.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avaliação da efetividade da reabilitação deve considerar três dimensões: (a) adequação técnica do programa às limitações e aptidões do segurado; (b) existência de demanda real no mercado de trabalho para a atividade proposta; e (c) viabilidade prática da reinserção, considerando fatores como idade, escolaridade, experiência profissional prévia e condições do mercado local. A emissão do certificado de reabilitação, por si só, não satisfaz essas exigências — o certificado atesta a conclusão formal do programa, não a efetiva capacidade de reinserção.</w:t>
      </w:r>
    </w:p>
    <w:p>
      <w:pPr>
        <w:spacing w:before="260" w:after="80" w:line="240" w:lineRule="auto"/>
        <w:jc w:val="left"/>
      </w:pPr>
      <w:r>
        <w:rPr>
          <w:rFonts w:ascii="EB Garamond" w:hAnsi="EB Garamond" w:cs="EB Garamond"/>
          <w:b/>
          <w:i w:val="0"/>
          <w:color w:val="3A3128"/>
          <w:sz w:val="25"/>
          <w:lang w:val="pt-BR" w:bidi="ar-SA"/>
          <w:kern w:val="16"/>
          <w14:ligatures w14:val="standardContextual"/>
        </w:rPr>
        <w:t>7.12.5 Manutenção do benefício durante a reabilitação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62 da Lei n. 8.213/91 é categórico: o auxílio por incapacidade temporária não cessará enquanto o segurado estiver em processo de reabilitação profissional. Essa regra protege o segurado cuja atividade habitual tornou-se inviável, mas que ainda pode ser readaptado para outra função. O benefício só cessa com a conclusão do programa e a emissão do certificado de reabilitação, ou com a conversão em aposentadoria por incapacidade permanente quando o segurado é considerado irreabilitável. Essa vedação decorre diretamente do dispositivo legal e encontra amparo na jurisprudência consolidada dos Tribunais Regionais Federais, que reconhecem a cessação sem prévio encaminhamento à reabilitação como ato administrativo ilegal.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cessação do auxílio por incapacidade temporária sem que o segurado tenha sido previamente submetido a programa de reabilitação profissional, quando a perícia reconhece incapacidade para a atividade habitual com possibilidade de exercício de outra atividade, constitui cessação irregular. Nessa hipótese, o benefício deve ser restabelecido até a conclusão efetiva do programa de reabilitação. A jurisprudência dos JEFs é firme nesse sentido, reconhecendo que a obrigação de reabilitação é do INSS, e o segurado não pode ser prejudicado pela omissão da autarquia em oferecer o serviço.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7.13 Auxílio por incapacidade temporária e auxílio-acidente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auxílio-acidente (art. 86, Lei n. 8.213/91) é benefício de natureza indenizatória, concedido ao segurado quando, após a consolidação das lesões decorrentes de acidente de qualquer natureza, resultam sequelas que impliquem redução da capacidade para o trabalho que habitualmente exercia. A relação entre o auxílio por incapacidade temporária e o auxílio-acidente é de precedência temporal: o auxílio-acidente pressupõe a cessação do auxílio por incapacidade temporária e a existência de sequela incapacitante residual.</w:t>
      </w:r>
    </w:p>
    <w:p>
      <w:pPr>
        <w:spacing w:before="260" w:after="80" w:line="240" w:lineRule="auto"/>
        <w:jc w:val="left"/>
      </w:pPr>
      <w:r>
        <w:rPr>
          <w:rFonts w:ascii="EB Garamond" w:hAnsi="EB Garamond" w:cs="EB Garamond"/>
          <w:b/>
          <w:i w:val="0"/>
          <w:color w:val="3A3128"/>
          <w:sz w:val="25"/>
          <w:lang w:val="pt-BR" w:bidi="ar-SA"/>
          <w:kern w:val="16"/>
          <w14:ligatures w14:val="standardContextual"/>
        </w:rPr>
        <w:t>7.13.1 Relação de precedência: Tema 862/STJ</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STJ, no julgamento do Tema 862 (REsp 1.729.555/SP, Primeira Seção, j. 09/06/2021), fixou tese que esclarece a relação temporal entre os dois benefícios: "O termo inicial do auxílio-acidente deve recair no dia seguinte ao da cessação do auxílio-doença que lhe deu origem, conforme determina o art. 86, § 2º, da Lei 8.213/91, observando-se a prescrição quinquenal da Súmula 85/STJ". A tese resolve controvérsia recorrente sobre o termo inicial do auxílio-acidente, que não pode coexistir temporalmente com o auxílio por incapacidade temporária.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hipótese de o segurado não ter recebido auxílio por incapacidade temporária previamente (porque a lesão não gerou afastamento superior a 15 dias, mas resultou em sequelas), o auxílio-acidente é devido desde a data do requerimento administrativo. Se nem requerimento houve, o termo inicial é a data da citação do INSS.</w:t>
      </w:r>
    </w:p>
    <w:p>
      <w:pPr>
        <w:spacing w:before="260" w:after="80" w:line="240" w:lineRule="auto"/>
        <w:jc w:val="left"/>
      </w:pPr>
      <w:r>
        <w:rPr>
          <w:rFonts w:ascii="EB Garamond" w:hAnsi="EB Garamond" w:cs="EB Garamond"/>
          <w:b/>
          <w:i w:val="0"/>
          <w:color w:val="3A3128"/>
          <w:sz w:val="25"/>
          <w:lang w:val="pt-BR" w:bidi="ar-SA"/>
          <w:kern w:val="16"/>
          <w14:ligatures w14:val="standardContextual"/>
        </w:rPr>
        <w:t>7.13.2 Inacumulabilidade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vedação de acumulação entre o auxílio por incapacidade temporária e o auxílio-acidente, quando este se referir à mesma lesão que originou o afastamento, decorre da conjugação do art. 124, caput e parágrafo único, da Lei n. 8.213/91 (que veda, como regra, o recebimento conjunto de mais de um benefício à conta do RGPS, ressalvadas as hipóteses de cumulação previstas em lei) com o art. 86, § 2º, da mesma Lei, na redação dada pela Lei n. 9.528/1997, segundo o qual o auxílio-acidente é devido a partir do dia seguinte ao da cessação do auxílio-doença que lhe deu origem. Preferimos ancorar a inacumulabilidade nesses dispositivos, e não em inciso isolado do art. 124, porque a impossibilidade de coexistência temporal entre as duas prestações é, antes de tudo, consequência da própria sistemática indenizatória do auxílio-acidente: ele pressupõe a consolidação das lesões e a cessação do benefício por incapacidade que lhe é anterior. A inacumulabilidade, portanto, é específica: se o auxílio-acidente decorrer de lesão anterior e consolidada, e o auxílio por incapacidade temporária referir-se a patologia distinta e superveniente, a acumulação é possível, pois não há a mesma lesão a unificar as prestações.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Quanto à acumulação do auxílio-acidente com aposentadoria, a Lei n. 9.528/1997 introduziu a vedação por meio do art. 86, § 2º e § 3º, da Lei n. 8.213/91, c/c o art. 124, parágrafo único, impedindo o recebimento conjunto para os auxílios-acidente cujo fato gerador seja posterior à sua vigência. Para os anteriores, a acumulação permanece, observada a regra de transição reconhecida pela jurisprudência (que toma por marco a data do acidente ou da consolidação das lesões, e não a do requerimento).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7.14 Questões processuais nos JEFs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litigiosidade em torno do auxílio por incapacidade temporária gera especificidades processuais relevantes para a prática nos Juizados Especiais Federais.</w:t>
      </w:r>
    </w:p>
    <w:p>
      <w:pPr>
        <w:spacing w:before="260" w:after="80" w:line="240" w:lineRule="auto"/>
        <w:jc w:val="left"/>
      </w:pPr>
      <w:r>
        <w:rPr>
          <w:rFonts w:ascii="EB Garamond" w:hAnsi="EB Garamond" w:cs="EB Garamond"/>
          <w:b/>
          <w:i w:val="0"/>
          <w:color w:val="3A3128"/>
          <w:sz w:val="25"/>
          <w:lang w:val="pt-BR" w:bidi="ar-SA"/>
          <w:kern w:val="16"/>
          <w14:ligatures w14:val="standardContextual"/>
        </w:rPr>
        <w:t>7.14.1 Tutela provisória de urgência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N</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as ações de concessão ou restabelecimento do auxílio por incapacidade temporária, a tutela provisória de urgência (art. 300 do CPC c/c art. 4º da Lei n. 10.259/2001) é frequentemente deferida quando a prova pericial ou documental demonstra a plausibilidade da incapacidade e o risco de dano irreparável ao segurado privado de renda. A natureza alimentar do benefício e a situação de vulnerabilidade do segurado incapacitado fundamentam a urgência.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juiz do JEF pode deferir a tutela provisória na própria audiência de instrução, após a apresentação do laudo pericial, determinando a implantação imediata do benefício. A reversibilidade dos efeitos (devolução dos valores em caso de improcedência) é relativizada pela jurisprudência, que reconhece a natureza alimentar das parcelas como obstáculo à restituição.</w:t>
      </w:r>
    </w:p>
    <w:p>
      <w:pPr>
        <w:spacing w:before="260" w:after="80" w:line="240" w:lineRule="auto"/>
        <w:jc w:val="left"/>
      </w:pPr>
      <w:r>
        <w:rPr>
          <w:rFonts w:ascii="EB Garamond" w:hAnsi="EB Garamond" w:cs="EB Garamond"/>
          <w:b/>
          <w:i w:val="0"/>
          <w:color w:val="3A3128"/>
          <w:sz w:val="25"/>
          <w:lang w:val="pt-BR" w:bidi="ar-SA"/>
          <w:kern w:val="16"/>
          <w14:ligatures w14:val="standardContextual"/>
        </w:rPr>
        <w:t>7.14.2 Perícia judicial e livre convencimento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perícia judicial é a prova central nas ações envolvendo auxílio por incapacidade temporária. Nos JEFs, o juiz designa perito único, que elabora laudo respondendo aos quesitos das partes e do juízo (art. 12, Lei n. 10.259/2001). O laudo não vincula o juiz — o princípio do livre convencimento motivado (art. 371, CPC) permite que o magistrado forme sua convicção com base em outros elementos, desde que fundamente adequadamente.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a divergência entre o laudo pericial e a avaliação do médico assistente do segurado é situação recorrente. O juiz deve, nessas hipóteses, ponderar os fundamentos de cada avaliação: a perícia judicial é realizada por profissional equidistante das partes, mas pode não captar a integralidade do quadro clínico em um único exame; o relatório do médico assistente reflete acompanhamento longitudinal, mas pode carecer de imparcialidade. A análise conjunta dos elementos – perícia, relatórios médicos, exames complementares, condições pessoais – é o que confere legitimidade à decisão.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STJ, no Tema 1.246 (REsp 2.082.395/SP, Primeira Seção, j. 13/11/2024), fixou tese de que "é inadmissível recurso especial interposto para rediscutir as conclusões do acórdão recorrido quanto ao preenchimento, em caso concreto em que se controverte quanto a benefício por incapacidade (aposentadoria por invalidez, auxílio-doença ou auxílio-acidente), do requisito legal da incapacidade do segurado para o exercício de atividade laborativa, seja pela vertente de sua existência, de sua extensão (total ou parcial) e/ou de sua duração (temporária ou permanente)". A decisão reforça que a aferição da incapacidade é questão fático-probatória, insuscetível de reexame em recurso especial (Súmula 7/STJ), conferindo estabilidade às decisões dos JEFs e das Turmas Recursais sobre a matéria.</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7.14.3 Fungibilidade entre benefícios por incapacidade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fungibilidade entre benefícios por incapacidade é princípio consolidado nos JEFs. Quando o segurado pleiteia auxílio por incapacidade temporária, mas a perícia judicial conclui pela incapacidade permanente, o juiz pode conceder a aposentadoria por incapacidade permanente, e vice-versa. A fungibilidade decorre da identidade de causa de pedir (incapacidade laborativa) e do dever de adequação da tutela jurisdicional à situação fática demonstrada. A fungibilidade bidirecional com o BPC/LOAS (art. 20, Lei n. 8.742/93), aplicável quando o segurado não preenche os requisitos previdenciários mas demonstra incapacidade de longa duração e miserabilidade, é examinada em detalhe no Cap. 6, seção 6.10.2.</w:t>
      </w:r>
    </w:p>
    <w:p>
      <w:pPr>
        <w:spacing w:before="260" w:after="80" w:line="240" w:lineRule="auto"/>
        <w:jc w:val="left"/>
      </w:pPr>
      <w:r>
        <w:rPr>
          <w:rFonts w:ascii="EB Garamond" w:hAnsi="EB Garamond" w:cs="EB Garamond"/>
          <w:b/>
          <w:i w:val="0"/>
          <w:color w:val="3A3128"/>
          <w:sz w:val="25"/>
          <w:lang w:val="pt-BR" w:bidi="ar-SA"/>
          <w:kern w:val="16"/>
          <w14:ligatures w14:val="standardContextual"/>
        </w:rPr>
        <w:t>7.14.4 Honorários periciais e sucumbência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N</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o microssistema dos Juizados, não há condenação em honorários advocatícios quando a sentença é favorável ao segurado (art. 55, caput, da Lei n. 9.099/95 c/c art. 1º da Lei n. 10.259/2001). Os honorários periciais são pagos pela Justiça Federal, nos termos da Resolução CJF n. 558/2024 (que atualizou os valores e procedimentos anteriormente previstos na Resolução 305/2014), quando a parte autora é beneficiária da justiça gratuita — o que é a regra nas ações previdenciárias. Quando a sentença é desfavorável ao segurado, incide a condenação em honorários advocatícios e custas, ficando a execução suspensa enquanto o beneficiário mantiver a condição de hipossuficiente (art. 98, § 3º, CPC).</w:t>
      </w:r>
    </w:p>
    <w:p>
      <w:pPr>
        <w:spacing w:before="260" w:after="80" w:line="240" w:lineRule="auto"/>
        <w:jc w:val="left"/>
      </w:pPr>
      <w:r>
        <w:rPr>
          <w:rFonts w:ascii="EB Garamond" w:hAnsi="EB Garamond" w:cs="EB Garamond"/>
          <w:b/>
          <w:i w:val="0"/>
          <w:color w:val="3A3128"/>
          <w:sz w:val="25"/>
          <w:lang w:val="pt-BR" w:bidi="ar-SA"/>
          <w:kern w:val="16"/>
          <w14:ligatures w14:val="standardContextual"/>
        </w:rPr>
        <w:t>7.14.5 Efeitos da sentença e implantação do benefício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sentença que concede o auxílio por incapacidade temporária nos JEFs tem eficácia imediata (art. 3º da Lei n. 10.259/2001), podendo o juiz determinar a implantação do benefício independentemente de trânsito em julgado. A implantação compreende: (a) o cadastramento do benefício no sistema do INSS; (b) o pagamento das parcelas vincendas; e (c) a expedição de Requisição de Pequeno Valor (RPV) ou precatório para as parcelas vencidas (retroativas).</w:t>
      </w:r>
    </w:p>
    <w:p>
      <w:pPr>
        <w:spacing w:before="260" w:after="80" w:line="240" w:lineRule="auto"/>
        <w:jc w:val="left"/>
      </w:pPr>
      <w:r>
        <w:rPr>
          <w:rFonts w:ascii="EB Garamond" w:hAnsi="EB Garamond" w:cs="EB Garamond"/>
          <w:b/>
          <w:i w:val="0"/>
          <w:color w:val="3A3128"/>
          <w:sz w:val="25"/>
          <w:lang w:val="pt-BR" w:bidi="ar-SA"/>
          <w:kern w:val="16"/>
          <w14:ligatures w14:val="standardContextual"/>
        </w:rPr>
        <w:t>7.14.6 Prescrição e decadência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regime geral de prescrição e decadência em matéria previdenciária, incluindo a Súmula 85/STJ e a imprescritibilidade do fundo de direito, é examinado no Cap. 21. No auxílio por incapacidade temporária, duas especificidades se destacam: (a) não se aplica o prazo decadencial de 10 anos do art. 103 da Lei n. 8.213/91, que pressupõe revisão de benefício já concedido, e não concessão originária ou restabelecimento; (b) nos casos de restabelecimento, a prescrição quinquenal das parcelas conta da data da cessação indevida, e o benefício é restabelecido desde essa data para efeito de contagem de tempo, ainda que as parcelas retroativas estejam limitadas ao quinquênio anterior ao ajuizamento.</w:t>
      </w:r>
    </w:p>
    <w:p>
      <w:pPr>
        <w:spacing w:before="260" w:after="80" w:line="240" w:lineRule="auto"/>
        <w:jc w:val="left"/>
      </w:pPr>
      <w:r>
        <w:rPr>
          <w:rFonts w:ascii="EB Garamond" w:hAnsi="EB Garamond" w:cs="EB Garamond"/>
          <w:b/>
          <w:i w:val="0"/>
          <w:color w:val="3A3128"/>
          <w:sz w:val="25"/>
          <w:lang w:val="pt-BR" w:bidi="ar-SA"/>
          <w:kern w:val="16"/>
          <w14:ligatures w14:val="standardContextual"/>
        </w:rPr>
        <w:t>7.14.7 Competência delegada e justiça estadual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N</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as localidades onde não funcionar Vara Federal, os juízes estaduais são competentes para processar e julgar as ações previdenciárias contra o INSS, incluindo as de concessão de auxílio por incapacidade temporária (art. 109, § 3º, CF/88). A competência delegada aplica-se quando o município do domicílio do segurado não é sede de Vara Federal nem de Juizado Especial Federal. Nessa hipótese, a ação tramita perante a Justiça Estadual, com recursos para o TRF da respectiva região.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Lei n. 10.259/2001, ao instituir os JEFs, não revogou a competência delegada para causas de valor superior a 60 salários-mínimos. Assim, ações previdenciárias de valor acima desse limite podem ser propostas perante a Justiça Estadual na comarca de domicílio do segurado, quando esta não coincide com sede de Vara Federal. Para as causas até 60 salários-mínimos, a competência é do JEF mais próximo ou, na ausência de JEF, do Juizado Especial Federal Adjunto na localidade.</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7.15 Doença preexistente à filiação e a Súmula 53/TNU</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Súmula 53 da TNU dispõe que "não há direito a auxílio por incapacidade temporária ou a aposentadoria por incapacidade permanente quando a incapacidade para o trabalho é preexistente ao reingresso do segurado no Regime Geral de Previdência Social". O enunciado reflete a regra do art. 59, parágrafo único, da Lei n. 8.213/91, mas sua aplicação exige cautela.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Súmula não impede a concessão quando há progressão ou agravamento da doença após a filiação. A doença pode ser preexistente; a incapacidade, não. A perícia deve distinguir: se o segurado já era incapaz quando se filiou (reentrando no sistema exclusivamente para obter benefício), a Súmula 53 aplica-se; se o segurado, embora portador da doença, era capaz quando se filiou e a incapacidade sobreveio posteriormente (por evolução natural da doença ou por agravamento), o benefício é devido.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Na instrução de ações em que o INSS invoca a Súmula 53/TNU, o quesito-chave para o perito judicial é: "O segurado era capaz para o exercício de atividade laborativa na data de sua filiação (ou refiliação) ao RGPS? Em caso positivo, a incapacidade atual decorreu de progressão ou agravamento da doença preexistente?" A resposta afirmativa à segunda pergunta afasta a incidência da Súmula e viabiliza a concessão do benefício. O autor deve, também, apresentar prova de que o segurado efetivamente exerceu atividade laborativa após a filiação, demonstrando que possuía capacidade funcional naquele momento.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7.16 Doenças estigmatizantes e incapacidade social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Súmula 78/TNU consagra a análise ampliada da incapacidade para doenças de elevada estigmatização social (HIV, hanseníase, transtornos mentais graves, epilepsia, entre outras). O tratamento aprofundado da matéria, incluindo o Tema 274 da TNU e os critérios da CIF, encontra-se no Cap. 6, seção 6.3.3.</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No auxílio por incapacidade temporária, a aplicação prática da Súmula 78 se dá quando a incapacidade decorre preponderantemente do impacto social da doença, mesmo que as limitações físicas sejam parciais. O segurado portador de HIV assintomático, por exemplo, pode ser clinicamente apto mas enfrentar discriminação que inviabiliza sua contratação. Nesses casos, a perícia judicial deve ser complementada pela análise das condições pessoais e sociais, e o juiz pode reconhecer a incapacidade em sentido amplo, inclusive para fins de conversão do auxílio temporário em aposentadoria por incapacidade permanente quando os fatores sociais tornam a incapacidade definitiva.</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7.17 Limbo previdenciário e o auxílio por incapacidade temporária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limbo previdenciário — situação em que o INSS cessa o benefício por incapacidade (considerando o segurado apto), mas o empregador recusa o retorno ao trabalho (considerando-o inapto pelo médico do trabalho) — é fenômeno recorrente, amplamente debatido pela doutrina, que afeta predominantemente os beneficiários do auxílio por incapacidade temporária.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segurado em limbo previdenciário fica sem qualquer fonte de renda: não recebe benefício do INSS e não recebe salário do empregador. A situação se agrava quando a perícia administrativa do INSS diverge da avaliação do médico do trabalho da empresa, sem que o segurado tenha meios de resolver o impasse.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jurisprudência da TNU (Tema 300) e dos Tribunais Regionais Federais desenvolveu orientação protetiva: enquanto persistir a divergência entre o INSS e o empregador, o segurado mantém a qualidade de segurado e faz jus ao restabelecimento do benefício, pois a cessação administrativa, desacompanhada de efetivo retorno ao trabalho, não satisfaz a finalidade da alta médica.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esfera trabalhista, a orientação prevalecente é que, cessado o benefício previdenciário, o contrato de trabalho retoma seus efeitos e o empregador deve permitir o retorno ou, se mantiver a avaliação de inaptidão, arcar com a remuneração integral do período, pois a responsabilidade pelo afastamento, a partir da alta do INSS, transfere-se do sistema previdenciário para a relação de emprego.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TNU, no julgamento do Tema 300, firmou entendimento de que a qualidade de segurado é mantida durante o limbo previdenciário até a efetiva rescisão contratual. Essa orientação possui desdobramento direto para o auxílio por incapacidade temporária: se o segurado é dado como apto pelo INSS mas não retorna ao trabalho por recusa do empregador, e posteriormente agrava seu quadro clínico ou apresenta nova incapacidade, a concessão de novo benefício não pode ser obstada por suposta perda da qualidade de segurado, pois esta se manteve durante todo o período de limbo.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7.18 Inacumulabilidade com outros benefícios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124 da Lei n. 8.213/91 veda a acumulação de determinados benefícios. O auxílio por incapacidade temporária não pode ser acumulado com: (a) outro auxílio por incapacidade temporária (salvo se oriundos de regimes distintos); (b) aposentadoria de qualquer espécie; (c) auxílio-acidente referente à mesma lesão; (d) salário-maternidade.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Quanto à acumulação com o seguro-desemprego, a TNU firmou entendimento de que os benefícios são inacumuláveis, pois ambos visam substituir a renda do segurado em contingências distintas (incapacidade e desemprego involuntário), e a percepção simultânea configuraria bis in idem protetivo.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Admite-se, contudo, a acumulação do auxílio por incapacidade temporária com: (a) pensão por morte (de outro segurado), desde que observada a regra de cumulação do art. 24 da EC 103/2019; (b) salário-família; (c) auxílio-acidente oriundo de lesão anterior distinta.</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7.19 Quadro sinótico: auxílio por incapacidade temporária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Quadro comparativo: B31 vs B91</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Aspecto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B31 (Previdenciário)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B91 (Acidentário)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Causa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Doença ou acidente comum</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Acidente do trabalho, doença profissional/do trabalho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Carência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12 contribuições (regra geral)</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Dispensada</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Estabilidade</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 há</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12 meses após cessação (art. 118)</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FGTS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Sem depósito durante afastamento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Empregador deposita (art. 15, § 5º, Lei 8.036/90)</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Competência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Justiça Federal / JEFs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Justiça Estadual (art. 109, I, CF)</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NTEP</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 se aplica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Presunção relativa de nexo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Renda mensal</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91% do SB</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91% do SB</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DIB (empregado)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16º dia de afastamento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16º dia de afastamento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CAT</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 exigida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Obrigatória pelo empregador</w:t>
                  </w:r>
                </w:p>
              </w:tc>
            </w:tr>
          </w:tbl>
          <w:p/>
          <w:p>
            <w:pPr>
              <w:spacing w:before="0" w:after="0" w:line="240" w:lineRule="auto"/>
            </w:pPr>
          </w:p>
          <w:p>
            <w:pPr>
              <w:spacing w:before="0" w:after="60" w:line="247" w:lineRule="auto"/>
              <w:jc w:val="both"/>
            </w:pPr>
            <w:r>
              <w:rPr>
                <w:rFonts w:ascii="EB Garamond" w:hAnsi="EB Garamond" w:cs="EB Garamond"/>
                <w:b/>
                <w:i w:val="0"/>
                <w:color w:val="201B16"/>
                <w:sz w:val="19"/>
                <w:lang w:val="pt-BR" w:bidi="ar-SA"/>
                <w:kern w:val="16"/>
                <w14:ligatures w14:val="standardContextual"/>
              </w:rPr>
              <w:t>Principais prazos:</w:t>
            </w:r>
            <w:r>
              <w:rPr>
                <w:rFonts w:ascii="EB Garamond" w:hAnsi="EB Garamond" w:cs="EB Garamond"/>
                <w:b w:val="0"/>
                <w:i w:val="0"/>
                <w:color w:val="201B16"/>
                <w:sz w:val="19"/>
                <w:lang w:val="pt-BR" w:bidi="ar-SA"/>
                <w:kern w:val="16"/>
                <w14:ligatures w14:val="standardContextual"/>
              </w:rPr>
              <w:t xml:space="preserve"> - Prorrogação: solicitar nos 15 dias antes da DCB - Recurso ao CRPS: 30 dias da ciência da decisão - Prescrição: 5 anos (parcelas), fundo de direito imprescritível - Atestmed: até 90 dias por análise; 180 dias acumulados - Regra da metade (art. 27-A): 6 contribuições após perda e refiliação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Fórmula de cálculo:</w:t>
            </w:r>
            <w:r>
              <w:rPr>
                <w:rFonts w:ascii="EB Garamond" w:hAnsi="EB Garamond" w:cs="EB Garamond"/>
                <w:b w:val="0"/>
                <w:i w:val="0"/>
                <w:color w:val="201B16"/>
                <w:sz w:val="19"/>
                <w:lang w:val="pt-BR" w:bidi="ar-SA"/>
                <w:kern w:val="16"/>
                <w14:ligatures w14:val="standardContextual"/>
              </w:rPr>
              <w:t xml:space="preserve"> - DII antes de 13/11/2019: Média dos 80% maiores SC × 91% - DII a partir de 13/11/2019: Média de 100% dos SC × 91% - Teto 2026: R$ 8.475,55 | Piso: salário-mínimo (R$ 1.621,00)</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7.20 Aspectos práticos da concessão administrativa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 irregularidades do procedimento administrativo de concessão constituem, na prática, o principal fundamento das ações judiciais nos JEFs. O advogado que conhece o fluxo administrativo identifica com mais precisão os vícios impugnáveis.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requerimento do auxílio por incapacidade temporária é formulado pelo sistema Meu INSS (plataforma digital) ou pela Central 135 (atendimento telefônico). O segurado empregado pode ter o requerimento formulado diretamente pela empresa, por meio do sistema e-Social, quando o afastamento for superior a 15 dias. O empregador que deixar de comunicar o afastamento ao INSS assume a responsabilidade pelo pagamento da remuneração do empregado durante o período de atraso.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concessão via Atestmed, o segurado anexa atestado médico e documentação clínica ao requerimento digital. O perito médico federal analisa a documentação e decide pela concessão (com fixação da DCB) ou pelo indeferimento, fundamentando tecnicamente sua decisão. A concessão via Atestmed está limitada a 90 dias por análise e 180 dias acumulados — após esse limite, qualquer prorrogação exige perícia presencial.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concessão via perícia presencial, o segurado comparece à APS na data agendada, portando documentação pessoal, carteira de trabalho, atestados médicos, exames complementares e relatórios de acompanhamento. O perito realiza exame clínico e elabora conclusão pericial. A conclusão pode ser: (a) concessão do benefício com fixação da DCB; (b) indeferimento por ausência de incapacidade; (c) indeferimento por doença ou incapacidade preexistente; ou (d) encaminhamento para reabilitação profissional.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indeferimento administrativo deve ser fundamentado tecnicamente, indicando os motivos que levaram o perito a concluir pela ausência de incapacidade. Indeferimentos genéricos, como "segurado apto para o trabalho" sem especificação dos fundamentos médicos, são impugnáveis judicialmente. Nos JEFs, o INSS é intimado a juntar o laudo pericial administrativo, que serve como elemento de comparação com a perícia judicial. Divergências significativas entre os laudos administrativo e judicial devem ser enfrentadas na fundamentação da sentença.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prazo médio entre o requerimento e a realização da perícia presencial é variável conforme a região e o volume de demanda. Em períodos de alta demanda, o prazo pode chegar a vários meses — circunstância que fundamenta pedidos de tutela provisória nos JEFs, especialmente quando o segurado demonstra urgência na obtenção da renda substitutiva. A implementação do Atestmed teve como objetivo principal a redução desses prazos, viabilizando decisão mais célere para casos de menor complexidade clínica.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segurado que tiver seu benefício indeferido administrativamente deve observar os prazos para impugnação: (a) pedido de reconsideração: 30 dias da ciência da decisão; (b) recurso ao CRPS: 30 dias da ciência da decisão de reconsideração. O recurso ao CRPS tem efeito suspensivo quando a decisão recorrida é de cessação (art. 126, § 3º, do Decreto 3.048/99, redação dada pelo Decreto 10.410/2020), mas não quando é de indeferimento originário. A utilização da via administrativa não é, em regra, condição para o ajuizamento de ação nos JEFs, conforme entendimento do STF no RE 631.240 (Tema 350), que exige o requerimento administrativo prévio, mas não o esgotamento das vias recursais.</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Conclusão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auxílio por incapacidade temporária responde à contingência mais comum do trabalhador brasileiro e concentra a maior parcela do contencioso previdenciário nos JEFs. A legislação dos últimos anos alterou o cálculo (EC 103/2019), a duração (alta programada/COPES, constitucionalizada pelo STF no Tema 1.196) e o procedimento de concessão (Atestmed), exigindo do operador do direito atualização permanente.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Observamos, na prática forense, que a distinção entre as espécies previdenciária (B31) e acidentária (B91) é negligenciada com mais frequência do que deveria. As consequências em matéria de carência, estabilidade, FGTS e competência jurisdicional são relevantes demais para ficarem em segundo plano. O nexo técnico epidemiológico previdenciário (NTEP) representou avanço na identificação da natureza ocupacional das doenças, embora sua aplicação ainda enfrente resistências e impugnações.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programa de reabilitação profissional (arts. 89 a 93, Lei n. 8.213/91) é, ao mesmo tempo, elo essencial e calcanhar de Aquiles do sistema. O modelo legal prevê programa individualizado, multidisciplinar e articulado com o mercado de trabalho. A prática do INSS, porém, frequentemente se limita a cursos genéricos e certificação pro forma. O resultado, como temos visto reiteradamente no julgamento desses feitos, é um segurado reabilitado no papel e inempregável na vida. A superação dessa distância exige investimento em recursos humanos, parcerias interinstitucionais e adaptação dos programas à realidade socioeconômica regional — desafio que transcende o âmbito judicial, mas que impacta diretamente a atuação dos JEFs.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Os Temas 862, 995, 1.013 e 1.246 do STJ, o Tema 1.196 do STF e as Súmulas 47, 53, 72 e 78 da TNU formam arcabouço jurisprudencial sólido, que vai da fixação da DIB e da cumulação de rendas do trabalho com benefício retroativo até a inadmissibilidade de recurso especial para rediscussão da incapacidade.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incapacidade transcende a dimensão clínico-funcional. A Súmula 78/TNU e a adoção crescente da CIF como paradigma avaliativo reconhecem que fatores sociais, econômicos e culturais condicionam a real possibilidade de inserção no mercado de trabalho. A perícia que ignora essas dimensões produz resultado incompleto.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constitucionalidade do COPES, declarada pelo STF, não elimina a responsabilidade do magistrado de verificar, caso a caso, se a DCB administrativa é compatível com o estado de saúde do segurado. A pergunta que orienta o julgador permanece a mesma: o segurado recuperou a capacidade para sua atividade habitual? Se a resposta é negativa, o benefício deve ser mantido, independentemente de data programada de cessação (art. 201, I, CF/88).</w:t>
      </w:r>
    </w:p>
    <w:p>
      <w:pPr>
        <w:sectPr>
          <w:headerReference w:type="default" r:id="rId99"/>
          <w:headerReference w:type="even" r:id="rId100"/>
          <w:footerReference w:type="default" r:id="rId101"/>
          <w:footerReference w:type="even" r:id="rId102"/>
          <w:headerReference w:type="first" r:id="rId103"/>
          <w:footerReference w:type="first" r:id="rId104"/>
          <w:pgSz w:w="8391" w:h="11906"/>
          <w:pgMar w:top="935" w:right="879" w:bottom="964" w:left="1162" w:header="454" w:footer="425" w:gutter="0" w:mirrorMargins="1"/>
          <w:cols w:space="720"/>
          <w:titlePg/>
          <w:docGrid w:linePitch="360"/>
        </w:sectPr>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120" w:line="240" w:lineRule="auto"/>
        <w:jc w:val="center"/>
      </w:pPr>
      <w:r>
        <w:rPr>
          <w:rFonts w:ascii="Noto Sans" w:hAnsi="Noto Sans" w:cs="Noto Sans"/>
          <w:b/>
          <w:i w:val="0"/>
          <w:caps/>
          <w:color w:val="8A6A2A"/>
          <w:sz w:val="20"/>
          <w:lang w:val="pt-BR" w:bidi="ar-SA"/>
          <w:kern w:val="16"/>
          <w14:ligatures w14:val="standardContextual"/>
        </w:rPr>
        <w:t>PARTE III</w:t>
      </w:r>
    </w:p>
    <w:p>
      <w:pPr>
        <w:pStyle w:val="Heading1"/>
        <w:spacing w:before="0" w:after="160" w:line="252" w:lineRule="auto"/>
        <w:jc w:val="center"/>
      </w:pPr>
      <w:r>
        <w:rPr>
          <w:rFonts w:ascii="EB Garamond" w:hAnsi="EB Garamond" w:cs="EB Garamond"/>
          <w:b/>
          <w:i w:val="0"/>
          <w:caps/>
          <w:color w:val="2F2923"/>
          <w:sz w:val="36"/>
          <w:lang w:val="pt-BR" w:bidi="ar-SA"/>
          <w:kern w:val="16"/>
          <w14:ligatures w14:val="standardContextual"/>
        </w:rPr>
        <w:t>Aposentadorias Programadas</w:t>
      </w:r>
    </w:p>
    <w:p>
      <w:pPr>
        <w:spacing w:before="160" w:after="0" w:line="240" w:lineRule="auto"/>
        <w:jc w:val="center"/>
      </w:pPr>
      <w:r>
        <w:rPr>
          <w:rFonts w:ascii="EB Garamond" w:hAnsi="EB Garamond" w:cs="EB Garamond"/>
          <w:b w:val="0"/>
          <w:i w:val="0"/>
          <w:color w:val="B78B37"/>
          <w:sz w:val="18"/>
          <w:lang w:val="pt-BR" w:bidi="ar-SA"/>
          <w:kern w:val="16"/>
          <w14:ligatures w14:val="standardContextual"/>
        </w:rPr>
        <w:t>━━━━━  ◆  ◆  ◆  ━━━━━</w:t>
      </w:r>
    </w:p>
    <w:p>
      <w:pPr>
        <w:sectPr>
          <w:headerReference w:type="default" r:id="rId105"/>
          <w:headerReference w:type="even" r:id="rId106"/>
          <w:footerReference w:type="default" r:id="rId107"/>
          <w:footerReference w:type="even" r:id="rId108"/>
          <w:headerReference w:type="first" r:id="rId109"/>
          <w:footerReference w:type="first" r:id="rId110"/>
          <w:type w:val="oddPage"/>
          <w:pgSz w:w="8391" w:h="11906"/>
          <w:pgMar w:top="935" w:right="879" w:bottom="964" w:left="1162" w:header="454" w:footer="425" w:gutter="0" w:mirrorMargins="1"/>
          <w:cols w:space="720"/>
          <w:titlePg/>
          <w:docGrid w:linePitch="360"/>
        </w:sectPr>
      </w:pPr>
    </w:p>
    <w:p>
      <w:pPr>
        <w:spacing w:before="240" w:after="80" w:line="240" w:lineRule="auto"/>
        <w:jc w:val="center"/>
        <w:keepNext/>
      </w:pPr>
      <w:r>
        <w:rPr>
          <w:rFonts w:ascii="Noto Sans" w:hAnsi="Noto Sans" w:cs="Noto Sans"/>
          <w:b/>
          <w:i w:val="0"/>
          <w:caps/>
          <w:color w:val="8A6A2A"/>
          <w:sz w:val="19"/>
          <w:lang w:val="pt-BR" w:bidi="ar-SA"/>
          <w:kern w:val="16"/>
          <w14:ligatures w14:val="standardContextual"/>
        </w:rPr>
        <w:t>CAPÍTULO 8</w:t>
      </w:r>
    </w:p>
    <w:p>
      <w:pPr>
        <w:pStyle w:val="Heading2"/>
        <w:spacing w:before="0" w:after="160" w:line="240" w:lineRule="auto"/>
        <w:jc w:val="center"/>
        <w:keepNext/>
      </w:pPr>
      <w:r>
        <w:rPr>
          <w:rFonts w:ascii="EB Garamond" w:hAnsi="EB Garamond" w:cs="EB Garamond"/>
          <w:b/>
          <w:i w:val="0"/>
          <w:caps/>
          <w:color w:val="2F2923"/>
          <w:sz w:val="40"/>
          <w:lang w:val="pt-BR" w:bidi="ar-SA"/>
          <w:kern w:val="16"/>
          <w14:ligatures w14:val="standardContextual"/>
        </w:rPr>
        <w:t>Aposentadoria Especial</w:t>
      </w:r>
    </w:p>
    <w:p>
      <w:pPr>
        <w:spacing w:before="0" w:after="240" w:line="240" w:lineRule="auto"/>
        <w:jc w:val="center"/>
      </w:pPr>
      <w:r>
        <w:rPr>
          <w:rFonts w:ascii="EB Garamond" w:hAnsi="EB Garamond" w:cs="EB Garamond"/>
          <w:b w:val="0"/>
          <w:i w:val="0"/>
          <w:color w:val="B78B37"/>
          <w:sz w:val="18"/>
          <w:lang w:val="pt-BR" w:bidi="ar-SA"/>
          <w:kern w:val="16"/>
          <w14:ligatures w14:val="standardContextual"/>
        </w:rPr>
        <w:t>━━━━  ◆  ━━━━</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8.1 Conceito e natureza jurídica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eletricista que trabalhou 24 anos exposto a alta tensão requer aposentadoria especial. O INSS indefere porque o PPP indica EPI eficaz. O segurado ajuíza ação no JEF, e o juiz precisa decidir se a indicação de EPI no PPP afasta a nocividade, se a eletricidade ainda é agente nocivo após o Decreto 2.172/1997, e se o tempo é suficiente para a concessão. Questões como essa compõem o cotidiano dos Juizados em matéria de aposentadoria especial.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Disciplinada nos arts. 57 e 58 da Lei n. 8.213/91, a aposentadoria especial é devida ao segurado que exerce atividade em condições prejudiciais à saúde ou à integridade física durante 15, 20 ou 25 anos, conforme o grau de nocividade do agente. A lógica do benefício é compensatória: determinadas atividades impõem desgaste orgânico superior ao ordinário, e a antecipação da inatividade permite ao segurado cessar a exposição antes que os danos se tornem irreversíveis.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natureza jurídica da aposentadoria especial é controvertida na doutrina. A posição predominante identifica-a como benefício de natureza híbrida: possui caráter programado (pois depende do implemento de requisitos temporais definidos em lei, diferentemente dos benefícios por incapacidade), mas também apresenta dimensão preventiva (pois visa evitar a consolidação de danos à saúde do trabalhador). Essa dupla natureza explica, por exemplo, a vedação ao exercício de atividade em condições especiais após a concessão do benefício — tema que será examinado na seção 8.11.</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EC 103/2019 alterou substancialmente o regime jurídico da aposentadoria especial, introduzindo requisito etário mínimo até então inexistente e modificando o cálculo do benefício. A constitucionalidade dessas alterações foi objeto da ADI 6.309, julgada parcialmente procedente pelo STF em 03/06/2026: o Tribunal declarou inconstitucional a exigência de idade mínima — de modo que, atualmente, a aposentadoria especial não exige idade mínima —, mas manteve a constitucionalidade da nova forma de cálculo e da vedação à conversão de tempo especial em comum. Essas modificações serão detalhadamente examinadas nas seções seguintes.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8.2 Evolução legislativa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proteção previdenciária diferenciada para trabalhadores expostos a condições nocivas tem raízes na legislação anterior à unificação do sistema. Os Institutos de Aposentadorias e Pensões (IAPs) já previam regras especiais para determinadas categorias profissionais, embora sem a sistematização que viria a ser adotada pela legislação posterior.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marco normativo fundamental foi a Lei n. 3.807/1960 (Lei Orgânica da Previdência Social — LOPS), que instituiu formalmente a aposentadoria especial em seu art. 31. O benefício era concedido ao segurado que trabalhasse durante 15, 20 ou 25 anos em serviços considerados penosos, insalubres ou perigosos, nos termos do regulamento.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regulamentação veio com o Decreto n. 53.831/1964 e, posteriormente, com o Decreto n. 83.080/1979, que estabeleceram os quadros anexos contendo as relações de atividades profissionais e agentes nocivos ensejadores do direito à aposentadoria especial. Nessa fase, o enquadramento era feito por dois critérios: (a) por categoria profissional — bastava o exercício de determinada profissão ou ocupação, independentemente de prova de exposição efetiva; e (b) por agente nocivo, exigia-se a comprovação da exposição a determinado agente prejudicial à saúde.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Lei n. 9.032/1995 aboliu o enquadramento por categoria profissional para períodos a partir de 29/04/1995, exigindo, desde então, a comprovação efetiva da exposição a agentes nocivos (seção 8.5.2). Ibrahim, Bragança e Folmann (2025) qualificam a alteração como verdadeira mudança de paradigma no modelo de proteção previdenciária.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Medida Provisória n. 1.523/1996, após sucessivas reedições, resultou na Lei n. 9.528/1997, que estabeleceu a exigência de formulário com base em laudo técnico de condições ambientais do trabalho, expedido por médico do trabalho ou engenheiro de segurança do trabalho, como instrumento de comprovação da efetiva exposição a agentes nocivos. A denominação "Perfil Profissiográfico Previdenciário" (PPP) veio com regulamentação posterior, mas a base normativa para a exigência de documentação técnica remonta a essa lei.</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Decreto n. 2.172/1997 substituiu os quadros anexos dos Decretos n. 53.831/1964 e 83.080/1979, atualizando a relação de agentes nocivos. O Decreto n. 3.048/1999 (Regulamento da Previdência Social) consolidou a disciplina da aposentadoria especial nos arts. 64 a 70, com o Anexo IV contendo a relação de agentes nocivos atualmente vigente.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Decreto n. 4.882/2003 promoveu importante alteração no Anexo IV do Decreto n. 3.048/1999, modificando, entre outros, o limite de tolerância ao ruído de 90 dB(A) para 85 dB(A), harmonizando a norma previdenciária com os parâmetros internacionais de proteção auditiva.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EC 103/2019 representou a mais profunda transformação no regime jurídico da aposentadoria especial desde sua criação. As alterações abrangeram: (a) a introdução de requisito de idade mínima (55, 58 ou 60 anos conforme o grau de nocividade), depois declarado inconstitucional pelo STF na ADI 6.309 (v. Seção 8.4.1); (b) a criação de sistema de pontos na regra de transição (art. 21); (c) a modificação do cálculo do benefício, com aplicação do coeficiente de 60% + 2% por ano excedente; e (d) a limitação temporal da conversão de tempo especial em comum, reconhecida pelo art. 25, § 2º, apenas para períodos até a data de entrada em vigor da Emenda — o que, na prática, opera como vedação à conversão para períodos posteriores. A constitucionalidade dessas modificações foi questionada na ADI 6.309, julgada parcialmente procedente pelo STF em 03/06/2026 (idade mínima declarada inconstitucional; cálculo e vedação à conversão mantidos).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8.3 Requisitos: regime anterior à EC 103/2019</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P</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ara o segurado que completou os requisitos antes de 13 de novembro de 2019 (data da promulgação da EC 103/2019), aplica-se o regime anterior, por força do direito adquirido (art. 3º da EC 103/2019).</w:t>
      </w:r>
    </w:p>
    <w:p>
      <w:pPr>
        <w:spacing w:before="260" w:after="80" w:line="240" w:lineRule="auto"/>
        <w:jc w:val="left"/>
      </w:pPr>
      <w:r>
        <w:rPr>
          <w:rFonts w:ascii="EB Garamond" w:hAnsi="EB Garamond" w:cs="EB Garamond"/>
          <w:b/>
          <w:i w:val="0"/>
          <w:color w:val="3A3128"/>
          <w:sz w:val="25"/>
          <w:lang w:val="pt-BR" w:bidi="ar-SA"/>
          <w:kern w:val="16"/>
          <w14:ligatures w14:val="standardContextual"/>
        </w:rPr>
        <w:t>8.3.1 Qualidade de segurado e carência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aposentadoria especial exige carência de 180 contribuições mensais (art. 25, II, da Lei n. 8.213/91), observadas as regras gerais examinadas no Cap. 3. A particularidade é que a carência é aferida com base no número total de recolhimentos ao RGPS, independentemente de se tratar de período de atividade especial ou comum. Contribuições vertidas em período de atividade comum integram a contagem de carência, embora não sejam computadas como tempo de atividade especial — o tempo mínimo de exposição (15, 20 ou 25 anos) é requisito distinto.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Quanto à qualidade de segurado, aplica-se a regra geral: a perda não prejudica o direito adquirido quando já preenchidos todos os requisitos (art. 102, § 1º, da Lei n. 8.213/91; v. Cap. 3, seção 3.8.1).</w:t>
      </w:r>
    </w:p>
    <w:p>
      <w:pPr>
        <w:spacing w:before="260" w:after="80" w:line="240" w:lineRule="auto"/>
        <w:jc w:val="left"/>
      </w:pPr>
      <w:r>
        <w:rPr>
          <w:rFonts w:ascii="EB Garamond" w:hAnsi="EB Garamond" w:cs="EB Garamond"/>
          <w:b/>
          <w:i w:val="0"/>
          <w:color w:val="3A3128"/>
          <w:sz w:val="25"/>
          <w:lang w:val="pt-BR" w:bidi="ar-SA"/>
          <w:kern w:val="16"/>
          <w14:ligatures w14:val="standardContextual"/>
        </w:rPr>
        <w:t>8.3.2 Exposição a agentes nocivos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requisito essencial da aposentadoria especial é a comprovação de exposição a agentes nocivos prejudiciais à saúde ou à integridade física, de forma habitual e permanente, não ocasional nem intermitente (art. 57, § 3º, da Lei n. 8.213/91). A exposição deve ocorrer durante a jornada de trabalho, podendo ser a agentes físicos, químicos ou biológicos, conforme a classificação do Anexo IV do Decreto n. 3.048/1999.</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habitualidade e permanência não exigem exposição contínua durante toda a jornada. A jurisprudência consolidou o entendimento de que a exposição intermitente, inerente à atividade habitual do segurado, não descaracteriza o tempo especial. Os limites de tolerância ao ruído para fins de enquadramento especial são: superior a 80 dB(A) até 05/03/1997; superior a 90 dB(A) de 06/03/1997 a 18/11/2003; e superior a 85 dB(A) a partir de 19/11/2003 — entendimento que prevaleceu após a edição e posterior cancelamento da Súmula 32 da TNU (em 09/10/2013), mantendo-se como posição pacífica nos TRFs e no STJ. A Súmula 68 da TNU, por sua vez, permanece vigente e dispõe que "o laudo pericial não contemporâneo ao período trabalhado é apto à comprovação da atividade especial do segurado".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habitualidade da exposição deve ser avaliada em relação à atividade efetivamente exercida pelo segurado, e não à jornada integral. Um eletricista que se expõe a tensão elétrica superior a 250 volts durante parte da jornada, em atividades de manutenção e reparo, exerce atividade especial ainda que, durante outra parte da jornada, realize atividades administrativas. O critério é a habitualidade da exposição como inerente à função, não a permanência ininterrupta durante toda a jornada.</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8.3.3 Tempo mínimo de exposição: 15, 20 ou 25 anos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tempo mínimo de exposição varia conforme o grau de nocividade do agente, definido no Anexo IV do Decreto n. 3.048/1999:</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15 anos: atividades em mineração subterrânea, em frentes de produção, com exposição à associação de agentes nocivos; (b) 20 anos: atividades em mineração subterrânea, afastadas das frentes de produção, e atividades com exposição ao asbesto (amianto); (c) 25 anos: demais atividades com exposição a agentes nocivos físicos, químicos ou biológicos.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regra geral é o tempo de 25 anos, sendo os períodos de 15 e 20 anos reservados a atividades de excepcional nocividade, taxativamente previstas na legislação.</w:t>
      </w:r>
    </w:p>
    <w:p>
      <w:pPr>
        <w:spacing w:before="260" w:after="80" w:line="240" w:lineRule="auto"/>
        <w:jc w:val="left"/>
      </w:pPr>
      <w:r>
        <w:rPr>
          <w:rFonts w:ascii="EB Garamond" w:hAnsi="EB Garamond" w:cs="EB Garamond"/>
          <w:b/>
          <w:i w:val="0"/>
          <w:color w:val="3A3128"/>
          <w:sz w:val="25"/>
          <w:lang w:val="pt-BR" w:bidi="ar-SA"/>
          <w:kern w:val="16"/>
          <w14:ligatures w14:val="standardContextual"/>
        </w:rPr>
        <w:t>8.3.4 Cálculo no regime anterior</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N</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o regime anterior, a RMI correspondia a 100% do salário de benefício, sem aplicação do fator previdenciário (art. 57, § 1º, c/c art. 29, II, da Lei n. 8.213/91). O detalhamento do cálculo é examinado na seção 8.10.1.</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8.4 Requisitos Pós-EC 103/2019</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EC 103/2019 criou dois regimes distintos para a aposentadoria especial: a regra de transição (art. 21), aplicável aos segurados que já eram filiados antes de 13/11/2019 e ainda não haviam completado os requisitos, e a regra permanente (art. 19, § 1º), aplicável residualmente — tanto aos novos filiados quanto a quem, já filiado, optar por ela em vez da regra de transição.</w:t>
      </w:r>
    </w:p>
    <w:p>
      <w:pPr>
        <w:spacing w:before="260" w:after="80" w:line="240" w:lineRule="auto"/>
        <w:jc w:val="left"/>
      </w:pPr>
      <w:r>
        <w:rPr>
          <w:rFonts w:ascii="EB Garamond" w:hAnsi="EB Garamond" w:cs="EB Garamond"/>
          <w:b/>
          <w:i w:val="0"/>
          <w:color w:val="3A3128"/>
          <w:sz w:val="25"/>
          <w:lang w:val="pt-BR" w:bidi="ar-SA"/>
          <w:kern w:val="16"/>
          <w14:ligatures w14:val="standardContextual"/>
        </w:rPr>
        <w:t>8.4.1 Regra permanente (art. 19, § 1º, I a III)</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19, § 1º, incisos I, II e III, da EC 103/2019 estabelece que a aposentadoria especial será concedida ao segurado que cumprir cumulativamente: (a) tempo mínimo de efetiva exposição a agentes nocivos (15, 20 ou 25 anos); e (b) idade mínima correspondente: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55 anos de idade para atividades com exposição de 15 anos; — 58 anos de idade para atividades com exposição de 20 anos; — 60 anos de idade para atividades com exposição de 25 anos.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introdução do requisito etário representou ruptura fundamental com o regime anterior, no qual a aposentadoria especial era concedida exclusivamente com base no tempo de exposição, sem qualquer exigência de idade mínima. A medida foi justificada pelo legislador reformador como necessária para compatibilizar o benefício com o equilíbrio financeiro e atuarial do sistema, mas é criticada pela doutrina por contrariar a própria finalidade do benefício, proteger o trabalhador contra os efeitos da exposição prolongada a agentes nocivos.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constitucionalidade da exigência de idade mínima para a aposentadoria especial foi objeto da ADI 6.309, ajuizada pela Confederação Nacional dos Trabalhadores na Indústria (CNTI). A ação questionava: (a) a inconstitucionalidade do requisito etário (art. 19, § 1º, I, EC 103/2019); (b) a inconstitucionalidade da restrição à conversão de tempo especial em comum (art. 25, § 2º); e (c) a inconstitucionalidade da redução do valor do benefício (art. 26, § 2º, IV). No julgamento de 03/06/2026 (ADI 6.309, Rel. Orig. Min. Luís Roberto Barroso, red. P/ acórdão Min. André Mendonça), o Tribunal Pleno do STF, por 6 votos a 5, julgou o pedido parcialmente procedente: declarou inconstitucional a exigência de idade mínima, mas manteve a constitucionalidade da nova forma de cálculo (item "c") e da vedação à conversão (item "b"). O Min. Barroso, relator originário, votava pela constitucionalidade de todos os dispositivos, ficando vencido quanto à idade mínima. A redação do acórdão coube ao Min. André Mendonça. Até o fechamento desta edição, o acórdão não havia sido publicado, de modo que eventual modulação de efeitos deve ser conferida no inteiro teor.</w:t>
            </w: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Estado atual após a ADI 6.309 (j. 03/06/2026):</w:t>
            </w:r>
            <w:r>
              <w:rPr>
                <w:rFonts w:ascii="EB Garamond" w:hAnsi="EB Garamond" w:cs="EB Garamond"/>
                <w:b w:val="0"/>
                <w:i w:val="0"/>
                <w:color w:val="201B16"/>
                <w:sz w:val="19"/>
                <w:lang w:val="pt-BR" w:bidi="ar-SA"/>
                <w:kern w:val="16"/>
                <w14:ligatures w14:val="standardContextual"/>
              </w:rPr>
              <w:t xml:space="preserve"> em razão da declaração de inconstitucionalidade da idade mínima, </w:t>
            </w:r>
            <w:r>
              <w:rPr>
                <w:rFonts w:ascii="EB Garamond" w:hAnsi="EB Garamond" w:cs="EB Garamond"/>
                <w:b/>
                <w:i w:val="0"/>
                <w:color w:val="201B16"/>
                <w:sz w:val="19"/>
                <w:lang w:val="pt-BR" w:bidi="ar-SA"/>
                <w:kern w:val="16"/>
                <w14:ligatures w14:val="standardContextual"/>
              </w:rPr>
              <w:t>a aposentadoria especial não exige, atualmente, idade mínima</w:t>
            </w:r>
            <w:r>
              <w:rPr>
                <w:rFonts w:ascii="EB Garamond" w:hAnsi="EB Garamond" w:cs="EB Garamond"/>
                <w:b w:val="0"/>
                <w:i w:val="0"/>
                <w:color w:val="201B16"/>
                <w:sz w:val="19"/>
                <w:lang w:val="pt-BR" w:bidi="ar-SA"/>
                <w:kern w:val="16"/>
                <w14:ligatures w14:val="standardContextual"/>
              </w:rPr>
              <w:t xml:space="preserve"> — o segurado faz jus ao benefício mediante o tempo de efetiva exposição a agentes nocivos (15, 20 ou 25 anos), independentemente da idade. O texto desta seção registra a exigência etária introduzida pela EC 103/2019 por seu valor histórico e porque permanece relevante para situações anteriores ao julgado, mas a tabela de idade mínima (55/58/60 anos) deixou de ser aplicável. Permanecem válidos, contudo, a nova forma de cálculo (60% da média + 2% por ano que exceder 15 anos — mulher — ou 20 anos — homem) e a vedação à conversão de tempo especial em comum para períodos posteriores a 13/11/2019. Até o fechamento desta edição, o acórdão não havia sido publicado, de modo que eventual modulação de efeitos deve ser conferida no inteiro teor.</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8.4.2 Regra de transição (art. 21)</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21 da EC 103/2019 estabelece regra de transição para os segurados filiados ao RGPS antes de 13/11/2019 que ainda não haviam completado os requisitos. A regra exige cumulativamente: (a) tempo mínimo de efetiva exposição a agentes nocivos (15, 20 ou 25 anos); e (b) pontuação mínima resultante da soma da idade com o tempo de contribuição total (incluindo período de atividade comum e especial, sem aplicação de fatores de conversão):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66 pontos para atividade especial de 15 anos; — 76 pontos para atividade especial de 20 anos; — 86 pontos para atividade especial de 25 anos.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pontuação na regra de transição é fixa, diferentemente das regras de transição para aposentadoria por tempo de contribuição (arts. 15 e 16 da EC 103/2019), que preveem incremento progressivo da pontuação ao longo dos anos.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Na apuração da pontuação prevista no art. 21 da EC 103/2019, o tempo de contribuição é computado sem a incidência de fatores de conversão. Assim, um segurado homem com 25 anos de atividade especial e 10 anos de atividade comum tem 35 anos de contribuição total (e não 45, como resultaria da aplicação do fator 1,40 ao tempo especial). A vedação à aplicação do fator de conversão na contagem de pontos é relevante porque dificulta o alcance da pontuação mínima exigida, especialmente para segurados que alternaram períodos de atividade especial e comum.</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8.4.3 Direito adquirido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3º da EC 103/2019 assegura o direito adquirido ao segurado que tenha preenchido os requisitos para obtenção da aposentadoria especial antes da data de promulgação da Emenda (13/11/2019). Aplica-se, nesse caso, o regime anterior integral: sem idade mínima, sem pontuação, e com cálculo de 100% da média dos 80% maiores salários de contribuição.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prova do direito adquirido exige a demonstração de que, na data de 13/11/2019, o segurado já contava com o tempo mínimo de exposição (15, 20 ou 25 anos) e a carência de 180 contribuições. A documentação probatória, PPP, Laudo Técnico de Condições Ambientais do Trabalho (LTCAT), formulários anteriores, deve abranger integralmente o período necessário. Nos Juizados Especiais Federais (JEFs), a prova do direito adquirido é frequentemente controversa, especialmente quando envolve períodos de atividade especial reconhecidos judicialmente e não computados administrativamente.</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8.5 Agentes nocivos e enquadramento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enquadramento da atividade como especial observa regime jurídico variável conforme o período de exercício, em aplicação do princípio tempus regit actum — consolidado pelo STJ nos Temas 534 e 546.</w:t>
      </w:r>
    </w:p>
    <w:p>
      <w:pPr>
        <w:spacing w:before="260" w:after="80" w:line="240" w:lineRule="auto"/>
        <w:jc w:val="left"/>
      </w:pPr>
      <w:r>
        <w:rPr>
          <w:rFonts w:ascii="EB Garamond" w:hAnsi="EB Garamond" w:cs="EB Garamond"/>
          <w:b/>
          <w:i w:val="0"/>
          <w:color w:val="3A3128"/>
          <w:sz w:val="25"/>
          <w:lang w:val="pt-BR" w:bidi="ar-SA"/>
          <w:kern w:val="16"/>
          <w14:ligatures w14:val="standardContextual"/>
        </w:rPr>
        <w:t>8.5.1 Enquadramento por categoria profissional (até 28/04/1995)</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té 28 de abril de 1995 (véspera da vigência da Lei n. 9.032/1995), o enquadramento da atividade como especial podia ser feito por categoria profissional. Os Decretos n. 53.831/1964 (Quadro Anexo) e 83.080/1979 (Anexos I e II) relacionavam as categorias profissionais cujo exercício, por si só, ensejava o reconhecimento de atividade especial, independentemente de comprovação de exposição efetiva a agentes nocivos.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Assim, o segurado que exerceu, até 28/04/1995, atividade enquadrada nos quadros anexos dos Decretos, tais como médico, enfermeiro, engenheiro, eletricista, motorista de ônibus, soldador, frentista, entre diversas outras, tem direito ao reconhecimento do período como especial mediante simples comprovação do exercício da profissão (carteira de trabalho, contrato de trabalho, declaração do empregador).</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Na prática dos JEFs, o enquadramento por categoria profissional é frequente para períodos anteriores a 29/04/1995. A comprovação é simplificada: basta que a anotação na CTPS ou as informações do CNIS demonstrem o exercício da atividade enquadrada nos Decretos. Não se exige PPP, LTCAT ou qualquer formulário para esses períodos. A consulta aos Quadros Anexos dos Decretos n. 53.831/1964 e 83.080/1979 é instrumento essencial do operador do direito — os quadros estão disponíveis nas bases de dados normativas e devem ser confrontados com a descrição da atividade constante dos documentos probatórios.</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8.5.2 Enquadramento por agente nocivo (a partir de 29/04/1995)</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C</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om a entrada em vigor da Lei n. 9.032/1995, o enquadramento da atividade especial passou a exigir a comprovação efetiva da exposição a agentes nocivos prejudiciais à saúde ou à integridade física, de forma habitual e permanente, não ocasional nem intermitente. A mera indicação da profissão deixou de ser suficiente.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prova da exposição é feita mediante o Perfil Profissiográfico Previdenciário (PPP) — documento emitido pela empresa com base no Laudo Técnico de Condições Ambientais do Trabalho (LTCAT), elaborado por médico do trabalho ou engenheiro de segurança do trabalho. O PPP é exigido para períodos a partir de 01/01/2004 (data a partir da qual substituiu os formulários anteriores — SB-40, DISES-BE 5235, DSS-8030 e DIRBEN 8030).</w:t>
      </w:r>
    </w:p>
    <w:p>
      <w:pPr>
        <w:spacing w:before="260" w:after="80" w:line="240" w:lineRule="auto"/>
        <w:jc w:val="left"/>
      </w:pPr>
      <w:r>
        <w:rPr>
          <w:rFonts w:ascii="EB Garamond" w:hAnsi="EB Garamond" w:cs="EB Garamond"/>
          <w:b/>
          <w:i w:val="0"/>
          <w:color w:val="3A3128"/>
          <w:sz w:val="25"/>
          <w:lang w:val="pt-BR" w:bidi="ar-SA"/>
          <w:kern w:val="16"/>
          <w14:ligatures w14:val="standardContextual"/>
        </w:rPr>
        <w:t>8.5.3 Caráter exemplificativo da relação de agentes nocivos: Tema 534/STJ</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STJ, no julgamento do Tema 534, fixou tese de que as normas regulamentadoras que estabelecem os agentes e atividades nocivos à saúde do trabalhador são meramente exemplificativas, podendo ser reconhecida a especialidade do trabalho que a técnica médica e a legislação correlata considerarem como prejudicial à saúde do obreiro, desde que exercido de forma habitual e permanente.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Essa tese tem grande repercussão prática, pois permite o reconhecimento de atividade especial mesmo quando o agente nocivo não está expressamente relacionado no Anexo IV do Decreto n. 3.048/1999. O exemplo paradigmático é a eletricidade, que foi excluída do regulamento pelo Decreto n. 2.172/1997 (a partir de 06/03/1997), mas continua sendo reconhecida como agente nocivo pela jurisprudência, com fundamento no Tema 534 e na periculosidade prevista na legislação trabalhista (NR-10 e Lei n. 7.369/1985, expressamente revogada pela Lei n. 12.740/2012, que incluiu a eletricidade no art. 193 da CLT).</w:t>
      </w:r>
    </w:p>
    <w:p>
      <w:pPr>
        <w:spacing w:before="260" w:after="80" w:line="240" w:lineRule="auto"/>
        <w:jc w:val="left"/>
      </w:pPr>
      <w:r>
        <w:rPr>
          <w:rFonts w:ascii="EB Garamond" w:hAnsi="EB Garamond" w:cs="EB Garamond"/>
          <w:b/>
          <w:i w:val="0"/>
          <w:color w:val="3A3128"/>
          <w:sz w:val="25"/>
          <w:lang w:val="pt-BR" w:bidi="ar-SA"/>
          <w:kern w:val="16"/>
          <w14:ligatures w14:val="standardContextual"/>
        </w:rPr>
        <w:t>8.5.4 Agentes físicos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 agentes físicos relacionados no Anexo IV do Decreto n. 3.048/1999 compreendem:</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Ruído, o agente mais litigado nos JEFs em matéria de aposentadoria especial. A exposição ocupacional ao ruído causa danos ao sistema auditivo (perda auditiva induzida por ruído — PAIR) e efeitos extraauditivos comprovados pela literatura médica (hipertensão arterial, distúrbios do sono, alterações cardiovasculares, estresse crônico). O regime jurídico do ruído será examinado em detalhe na seção 8.6;</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(b) Vibrações — classificadas em vibrações localizadas (transmitidas ao sistema mão-braço por ferramentas vibratórias como marteletes, furadeiras e lixadeiras) e vibrações de corpo inteiro (transmitidas por veículos pesados, máquinas industriais e plataformas vibratórias). As vibrações localizadas podem causar a Síndrome de Vibração Mão-Braço (SVMB), enquanto as de corpo inteiro estão associadas a lombalgias crônicas e distúrbios vasculares. A avaliação é quantitativa, conforme limites da ISO 2631 e ISO 5349, referendados pela NHO-09 e NHO-10 da Fundacentro;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(c) Frio e calor, a exposição a temperaturas anormais constitui agente nocivo quando ultrapassa os limites de tolerância estabelecidos pela NR-15 (Anexos 3 e 9). O calor é aferido pelo Índice de Bulbo Úmido e Termômetro de Globo (IBUTG), com limites variáveis conforme o tipo de atividade (leve, moderada, pesada). O frio artificial (câmaras frigoríficas, ambientes refrigerados) é agente frequentemente reconhecido na jurisprudência para trabalhadores da indústria alimentícia e frigorífica;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(d) Umidade, a exposição habitual a ambientes alagados ou encharcados, em operações ou atividades com contato permanente com água, pode ser considerada atividade especial. A avaliação é qualitativa, basta a comprovação da exposição habitual;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 Pressões atmosféricas anormais, trabalho em condições hiperbáricas (mergulho profissional, trabalho em caixões pneumáticos, túneis pressurizados) ou hipobáricas (aviação). O trabalho sob ar comprimido, com exposição a pressões acima de 1 atmosfera, é reconhecido como atividade especial de 15 ou 25 anos conforme a profundidade e o tempo de exposição;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(f) Radiações ionizantes, trabalhadores em radiologia médica e industrial, medicina nuclear, radioterapia, gamagrafia, indústria nuclear e pesquisa com fontes radioativas. A exposição a radiações ionizantes é considerada qualitativamente especial, basta a comprovação da exposição, independentemente de dosimetria. A jurisprudência é consolidada no reconhecimento da especialidade para técnicos e tecnólogos em radiologia, médicos radiologistas e profissionais que operam equipamentos de raios-X;</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(g) Radiações não ionizantes, campo eletromagnético, micro-ondas, ultravioleta e laser. O enquadramento é controverso: embora previsto no Decreto n. 53.831/1964 (código 1.1.6), as radiações não ionizantes foram excluídas dos regulamentos posteriores. A jurisprudência, com fundamento no Tema 534/STJ (caráter exemplificativo), tem reconhecido a especialidade em casos específicos, em especial para soldadores expostos a radiação ultravioleta e operadores de equipamentos de micro-ondas industriais.</w:t>
      </w:r>
    </w:p>
    <w:p>
      <w:pPr>
        <w:spacing w:before="260" w:after="80" w:line="240" w:lineRule="auto"/>
        <w:jc w:val="left"/>
      </w:pPr>
      <w:r>
        <w:rPr>
          <w:rFonts w:ascii="EB Garamond" w:hAnsi="EB Garamond" w:cs="EB Garamond"/>
          <w:b/>
          <w:i w:val="0"/>
          <w:color w:val="3A3128"/>
          <w:sz w:val="25"/>
          <w:lang w:val="pt-BR" w:bidi="ar-SA"/>
          <w:kern w:val="16"/>
          <w14:ligatures w14:val="standardContextual"/>
        </w:rPr>
        <w:t>8.5.5 Agentes químicos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 agentes químicos ensejadores de atividade especial são classificados em duas categorias no Anexo IV: (a) agentes cuja avaliação é qualitativa, para os quais basta a comprovação da exposição, independentemente de quantificação (arsênico, benzeno, berílio, cádmio, chumbo, cromo hexavalente, fósforo, manganês, mercúrio, níquel, entre outros); e (b) agentes cuja avaliação é quantitativa, para os quais se exige a superação dos limites de tolerância estabelecidos pela NR-15 do Ministério do Trabalho ou pela ACGIH (American Conference of Governmental Industrial Hygienists).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distinção entre avaliação qualitativa e quantitativa tem relevância processual direta: para agentes de avaliação qualitativa, a mera indicação no PPP da exposição ao agente é suficiente para o enquadramento, sem necessidade de mensuração ambiental; para agentes de avaliação quantitativa (poeiras minerais, solventes orgânicos, gases e vapores em geral), exige-se a medição ambiental demonstrando a superação do limite de tolerância.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Os agentes cancerígenos têm regime próprio. Substâncias como benzeno, asbesto (amianto), formaldeído, sílica livre cristalizada e compostos de cromo hexavalente são reconhecidos pela Agência Internacional de Pesquisa em Câncer (IARC) como carcinogênicos para humanos (Grupo 1). Para esses agentes, a exposição a qualquer concentração é potencialmente danosa — não existe nível seguro de exposição. A jurisprudência tem reconhecido que, para agentes cancerígenos, o enquadramento como atividade especial independe de superação de limites de tolerância e de uso de EPI, dado o caráter irreversível e cumulativo dos efeitos sobre a saúde.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hidrocarbonetos aromáticos (benzeno, tolueno, xileno — conhecidos como BTX), por exemplo, são agentes frequentes em postos de combustíveis, refinarias e indústrias petroquímicas. A exposição habitual de frentistas a esses agentes tem sido reconhecida pela jurisprudência para fins de aposentadoria especial, com fundamento na avaliação qualitativa e no caráter cancerígeno do benzeno.</w:t>
      </w:r>
    </w:p>
    <w:p>
      <w:pPr>
        <w:spacing w:before="260" w:after="80" w:line="240" w:lineRule="auto"/>
        <w:jc w:val="left"/>
      </w:pPr>
      <w:r>
        <w:rPr>
          <w:rFonts w:ascii="EB Garamond" w:hAnsi="EB Garamond" w:cs="EB Garamond"/>
          <w:b/>
          <w:i w:val="0"/>
          <w:color w:val="3A3128"/>
          <w:sz w:val="25"/>
          <w:lang w:val="pt-BR" w:bidi="ar-SA"/>
          <w:kern w:val="16"/>
          <w14:ligatures w14:val="standardContextual"/>
        </w:rPr>
        <w:t>8.5.6 Agentes biológicos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 agentes biológicos compreendem micro-organismos e parasitas infecciosos vivos e suas toxinas. O enquadramento por agente biológico é predominantemente qualitativo, basta a exposição, independentemente de quantificação, o que facilita a comprovação.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As atividades típicas envolvem trabalho em hospitais, ambulatórios, laboratórios de análises clínicas, serviços de tratamento de esgoto, limpeza em banheiros e coleta de lixo hospitalar. A jurisprudência reconhece amplamente o enquadramento de profissionais de saúde (médicos, enfermeiros, técnicos de enfermagem, dentistas, biomédicos, fisioterapeutas) que mantêm contato habitual com pacientes e materiais biológicos potencialmente contaminados.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Na instrução de ação de aposentadoria especial por exposição a agentes biológicos nos JEFs, o PPP que indica a exposição a "risco biológico" ou "agentes biológicos" por profissional de saúde que atua em ambiente hospitalar é, em regra, suficiente para o enquadramento. A perícia ambiental judicial pode ser dispensada quando o PPP é claro e não há controvérsia sobre a natureza das atividades. Se o INSS impugnar o PPP, o juiz pode designar perícia para verificação das condições ambientais, ou valer-se de prova emprestada (laudos de processos similares envolvendo o mesmo empregador e setor).</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8.5.7 Penosidade: motoristas e cobradores (Tema 1.307/STJ)</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lém dos agentes físicos, químicos e biológicos relacionados no Anexo IV do Decreto n. 3.048/1999, certas atividades podem ser reconhecidas como especiais em razão da penosidade — categoria que remonta à redação original do art. 31 da Lei n. 3.807/1960 (LOPS), que aludia a serviços "penosos, insalubres ou perigosos" (seção 8.2). Embora a Lei n. 9.032/1995 tenha passado a exigir a comprovação efetiva da exposição a agentes nocivos, subsistiu a controvérsia sobre o reconhecimento da especialidade por penosidade de determinadas atividades para períodos posteriores.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STJ pacificou a questão quanto aos motoristas e cobradores no julgamento do Tema 1.307 (REsp 2.164.724, Rel. Min. Gurgel de Faria, j. 07/05/2026), fixando a seguinte tese:</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STJ, Tema 1.307 (REsp 2.164.724, Rel. Min. Gurgel de Faria, j. 07/05/2026):</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"É possível o reconhecimento do caráter especial em virtude da penosidade das atividades de motorista/cobrador de ônibus ou motorista de caminhão exercidas posteriormente à Lei n. 9.032/1995, desde que comprovada, por perícia técnica individualizada, a exposição habitual e permanente a condições concretas de desgaste à saúde."</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tese tem relevância prática direta nos JEFs. Reconhece-se a especialidade dessas atividades mesmo após a Lei n. 9.032/1995, mas em moldes mais exigentes que o antigo enquadramento por categoria profissional: não basta a comprovação do exercício da profissão de motorista ou cobrador, exigindo-se perícia técnica individualizada que demonstre a exposição habitual e permanente a condições concretas de desgaste à saúde (vibração de corpo inteiro, sobrecarga postural, ruído, estresse ocupacional, jornadas extensas). A especialidade não decorre, portanto, da mera nomenclatura do cargo, mas da efetiva penosidade comprovada caso a caso. O magistrado deve, ao apreciar tais pedidos, determinar a produção de prova pericial que individualize as condições de desgaste a que submetido o segurado.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8.6 Ruído: limites de tolerância e regime jurídico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ruído é, de longe, o agente nocivo mais litigado nos JEFs. Seu regime jurídico apresenta peculiaridades que justificam exame separado.</w:t>
      </w:r>
    </w:p>
    <w:p>
      <w:pPr>
        <w:spacing w:before="260" w:after="80" w:line="240" w:lineRule="auto"/>
        <w:jc w:val="left"/>
      </w:pPr>
      <w:r>
        <w:rPr>
          <w:rFonts w:ascii="EB Garamond" w:hAnsi="EB Garamond" w:cs="EB Garamond"/>
          <w:b/>
          <w:i w:val="0"/>
          <w:color w:val="3A3128"/>
          <w:sz w:val="25"/>
          <w:lang w:val="pt-BR" w:bidi="ar-SA"/>
          <w:kern w:val="16"/>
          <w14:ligatures w14:val="standardContextual"/>
        </w:rPr>
        <w:t>8.6.1 Evolução dos limites de tolerância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 limites de tolerância ao ruído variaram ao longo do tempo, em aplicação do princípio tempus regit actum:</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Até 05/03/1997: ruído superior a 80 dB(A), conforme Quadro Anexo do Decreto n. 53.831/1964, que prevalece sobre o limite de 90 dB(A) previsto no Decreto n. 83.080/1979, por ser mais favorável ao segurado, nos termos da jurisprudência consolidada;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(b) De 06/03/1997 a 18/11/2003: ruído superior a 90 dB(A), conforme Anexo IV do Decreto n. 2.172/1997 e, posteriormente, do Decreto n. 3.048/1999 em sua redação original;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(c) A partir de 19/11/2003: ruído superior a 85 dB(A), conforme Anexo IV do Decreto n. 3.048/1999, com a alteração promovida pelo Decreto n. 4.882/2003.</w:t>
      </w:r>
    </w:p>
    <w:p>
      <w:pPr>
        <w:spacing w:before="260" w:after="80" w:line="240" w:lineRule="auto"/>
        <w:jc w:val="left"/>
      </w:pPr>
      <w:r>
        <w:rPr>
          <w:rFonts w:ascii="EB Garamond" w:hAnsi="EB Garamond" w:cs="EB Garamond"/>
          <w:b/>
          <w:i w:val="0"/>
          <w:color w:val="3A3128"/>
          <w:sz w:val="25"/>
          <w:lang w:val="pt-BR" w:bidi="ar-SA"/>
          <w:kern w:val="16"/>
          <w14:ligatures w14:val="standardContextual"/>
        </w:rPr>
        <w:t>8.6.2 Metodologia de aferição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aferição do ruído para fins de enquadramento como atividade especial deve observar a metodologia NHO-01 da Fundacentro, que utiliza o nível de exposição normalizado (NEN) ou dose de ruído, medido durante a jornada de trabalho por meio de dosímetro de ruído. A mera indicação do nível de ruído instantâneo (em dB) sem referência à metodologia de medição é insuficiente, pois não reflete a exposição real ao longo da jornada — o ruído pode variar significativamente durante as atividades, e a exposição efetiva é determinada pela média ponderada ao longo do período de trabalho.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NHO-01 estabelece que a medição deve ser feita com dosímetro fixado no trabalhador durante toda a jornada (ou amostra representativa), utilizando circuito de compensação "A" e circuito de resposta lenta (slow). O resultado é expresso em nível de exposição normalizado (NEN) para 8 horas de jornada. A norma técnica adota o critério de referência de 85 dB(A) para 8 horas, com incremento de duplicação de dose (q=3), ou seja, a cada acréscimo de 3 dB(A), o tempo máximo de exposição permitida é reduzido pela metade.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contudo, a jurisprudência tem sido flexível quanto à metodologia, aceitando as informações constantes do PPP quando indicam o nível de ruído em dB(A) e o perito judicial não identifica inconsistências na medição. A exigência de rigor metodológico absoluto poderia inviabilizar o enquadramento de períodos antigos, para os quais não se dispõe de medições contemporâneas com a metodologia atual. A Súmula 68 da TNU reforça essa flexibilidade ao admitir laudo pericial não contemporâneo ao período trabalhado.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metodologia de aferição do ruído é objeto de controvérsia frequente nos JEFs. A jurisprudência admite que o ruído seja medido tanto por dosimetria (metodologia preferencial, prevista na NHO-01 da Fundacentro) quanto por decibelímetro (medição pontual), desde que o resultado seja compatível com as demais informações do PPP e não haja impugnação fundamentada. Para períodos anteriores à edição da NHO-01, nos quais não se dispunha de dosímetros, a medição por decibelímetro é aceita sem ressalvas. A tendência jurisprudencial é privilegiar a proteção do trabalhador, não exigindo rigor metodológico que inviabilize a prova de exposição em períodos remotos.</w:t>
            </w: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aplicação retroativa do limite de 85 dB(A) (vigente a partir de 19/11/2003) a períodos anteriores é vedada pela jurisprudência consolidada. Assim, não se pode utilizar o limite de 85 dB(A) para reconhecer como especial o período de 06/03/1997 a 18/11/2003, no qual o limite era de 90 dB(A). Cada período deve ser avaliado conforme o limite vigente à época da prestação do serviço (tempus regit actum). Da mesma forma, o limite de 90 dB(A) não pode ser aplicado retroativamente ao período anterior a 06/03/1997, quando o limite era de 80 dB(A).</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8.7 Equipamentos de proteção individual (EPI) e o Tema 555/STF</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questão da eficácia dos Equipamentos de Proteção Individual (EPI) na neutralização dos agentes nocivos e seus efeitos sobre o reconhecimento de atividade especial foi definitivamente resolvida pelo STF no julgamento do ARE 664.335 (Tema 555 da Repercussão Geral).</w:t>
      </w:r>
    </w:p>
    <w:p>
      <w:pPr>
        <w:spacing w:before="260" w:after="80" w:line="240" w:lineRule="auto"/>
        <w:jc w:val="left"/>
      </w:pPr>
      <w:r>
        <w:rPr>
          <w:rFonts w:ascii="EB Garamond" w:hAnsi="EB Garamond" w:cs="EB Garamond"/>
          <w:b/>
          <w:i w:val="0"/>
          <w:color w:val="3A3128"/>
          <w:sz w:val="25"/>
          <w:lang w:val="pt-BR" w:bidi="ar-SA"/>
          <w:kern w:val="16"/>
          <w14:ligatures w14:val="standardContextual"/>
        </w:rPr>
        <w:t>8.7.1 As duas teses fixadas pelo STF</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STF fixou duas teses no Tema 555:</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Primeira tese (regra geral):</w:t>
      </w:r>
      <w:r>
        <w:rPr>
          <w:rFonts w:ascii="EB Garamond" w:hAnsi="EB Garamond" w:cs="EB Garamond"/>
          <w:b w:val="0"/>
          <w:i w:val="0"/>
          <w:color w:val="201B16"/>
          <w:sz w:val="21"/>
          <w:lang w:val="pt-BR" w:bidi="ar-SA"/>
          <w:kern w:val="16"/>
          <w14:ligatures w14:val="standardContextual"/>
        </w:rPr>
        <w:t xml:space="preserve"> O direito à aposentadoria especial pressupõe a efetiva exposição do trabalhador a agente nocivo à sua saúde, de modo que, se o EPI for realmente capaz de neutralizar a nocividade, não haverá respaldo constitucional à aposentadoria especial.</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Segunda tese (exceção para ruído):</w:t>
      </w:r>
      <w:r>
        <w:rPr>
          <w:rFonts w:ascii="EB Garamond" w:hAnsi="EB Garamond" w:cs="EB Garamond"/>
          <w:b w:val="0"/>
          <w:i w:val="0"/>
          <w:color w:val="201B16"/>
          <w:sz w:val="21"/>
          <w:lang w:val="pt-BR" w:bidi="ar-SA"/>
          <w:kern w:val="16"/>
          <w14:ligatures w14:val="standardContextual"/>
        </w:rPr>
        <w:t xml:space="preserve"> Na hipótese de exposição do trabalhador a ruído acima dos limites legais de tolerância, a declaração do empregador, no âmbito do Perfil Profissiográfico Previdenciário (PPP), da eficácia do Equipamento de Proteção Individual (EPI), não descaracteriza o tempo de serviço especial para aposentadoria.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segunda tese, que constitui exceção à regra geral, fundamenta-se no reconhecimento de que, em relação ao ruído, os EPIs (protetores auriculares) são incapazes de neutralizar integralmente os efeitos nocivos sobre o organismo. A exposição ao ruído causa danos não apenas ao sistema auditivo, mas também ao sistema cardiovascular, neurológico e psicológico, e esses efeitos extraauditivos não são eliminados pelo uso de protetor auricular.</w:t>
      </w:r>
    </w:p>
    <w:p>
      <w:pPr>
        <w:spacing w:before="260" w:after="80" w:line="240" w:lineRule="auto"/>
        <w:jc w:val="left"/>
      </w:pPr>
      <w:r>
        <w:rPr>
          <w:rFonts w:ascii="EB Garamond" w:hAnsi="EB Garamond" w:cs="EB Garamond"/>
          <w:b/>
          <w:i w:val="0"/>
          <w:color w:val="3A3128"/>
          <w:sz w:val="25"/>
          <w:lang w:val="pt-BR" w:bidi="ar-SA"/>
          <w:kern w:val="16"/>
          <w14:ligatures w14:val="standardContextual"/>
        </w:rPr>
        <w:t>8.7.2 Ônus da prova da eficácia do EPI</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distribuição do ônus da prova quanto à eficácia do EPI é relevante na prática dos JEFs. A indicação no PPP de fornecimento de EPI eficaz (campo "EPI Eficaz" marcado como "Sim") cria presunção relativa de neutralização do agente nocivo — exceto para o ruído, conforme a segunda tese do Tema 555.</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os demais agentes nocivos, cabe ao segurado que pretende o reconhecimento da atividade especial demonstrar que, a despeito da indicação de EPI eficaz no PPP, o equipamento não era efetivamente capaz de neutralizar a nocividade. A prova pode ser feita por: (a) perícia judicial que constate a ineficácia do EPI para o agente específico; (b) demonstração de irregularidades no fornecimento, troca ou manutenção dos equipamentos; (c) comprovação de que o agente nocivo possui efeitos que não são neutralizáveis por EPI (como ocorre com diversos agentes químicos de absorção cutânea).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STJ, ao julgar o Tema 1.090 (REsp 2.082.072, Rel. Min. Maria Thereza de Assis Moura, j. 09/04/2025), sob a sistemática dos recursos repetitivos, reforçou a interpretação do Tema 555/STF e detalhou a distribuição do ônus probatório quanto à eficácia do EPI. A Corte assentou que a anotação positiva sobre o EPI no PPP descaracteriza, em princípio, o tempo especial, ressalvadas hipóteses excepcionais, e atribuiu ao segurado o ônus de demonstrar a ineficácia concreta do equipamento.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STJ, Tema 1.090 (REsp 2.082.072, Rel. Min. Maria Thereza de Assis Moura, j. 09/04/2025):</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"I - A informação no Perfil Profissiográfico Previdenciário (PPP) sobre a existência de equipamento de proteção individual (EPI) descaracteriza, em princípio, o tempo especial, ressalvadas as hipóteses excepcionais nas quais, mesmo diante da comprovada proteção, o direito à contagem especial é reconhecido. II - Incumbe ao autor da ação previdenciária o ônus de comprovar: (i) a ausência de adequação ao risco da atividade; (ii) a inexistência ou irregularidade do certificado de conformidade; (iii) o descumprimento das normas de manutenção, substituição e higienização; (iv) a ausência ou insuficiência de orientação e treinamento sobre o uso adequado, guarda e conservação; ou (v) qualquer outro motivo capaz de conduzir à conclusão da ineficácia do EPI. III - Se a valoração da prova concluir pela presença de divergência ou de dúvida sobre a real eficácia do EPI, a conclusão deverá ser favorável ao autor."</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tese harmoniza-se com o Tema 555/STF: para os agentes em geral, a declaração de EPI eficaz no PPP gera presunção relativa de neutralização, cabendo ao segurado afastá-la pelos meios indicados no inciso II; persistindo dúvida sobre a real eficácia, decide-se em favor do autor (inciso III, aplicação do princípio in dubio pro misero). A ressalva do ruído permanece: para esse agente, a declaração de eficácia do EPI é irrelevante, e a atividade especial é reconhecida independentemente do que constar no PPP (segunda tese do Tema 555/STF).</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8.7.3 Agentes nocivos e neutralização pelo EPI</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questão da neutralização do agente nocivo pelo EPI deve ser analisada caso a caso, considerando a natureza do agente: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Agentes cuja neutralização pelo EPI é tecnicamente possível: ruído (parcial), poeiras minerais (com uso de respiradores adequados), radiação ultravioleta (com protetores específicos);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(b) Agentes cuja neutralização pelo EPI é tecnicamente inviável ou insuficiente: agentes biológicos (o EPI reduz, mas não elimina o risco de contaminação), agentes cancerígenos (benzeno, asbesto — a exposição a qualquer nível é potencialmente danosa), agentes químicos de absorção cutânea (o EPI tradicional não impede a absorção).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os agentes cancerígenos, a jurisprudência tende a reconhecer a atividade especial independentemente do uso de EPI, dado que não existe nível seguro de exposição. O mesmo raciocínio aplica-se aos agentes biológicos em ambiente hospitalar, onde o risco de contaminação acidental persiste mesmo com o uso adequado de equipamentos de proteção.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8.8 Perfil profissiográfico previdenciário (PPP)</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PPP é o documento central na comprovação de atividade especial para períodos a partir de 01/01/2004, quando substituiu os formulários anteriores (SB-40, DISES-BE 5235, DSS-8030 e DIRBEN 8030).</w:t>
      </w:r>
    </w:p>
    <w:p>
      <w:pPr>
        <w:spacing w:before="260" w:after="80" w:line="240" w:lineRule="auto"/>
        <w:jc w:val="left"/>
      </w:pPr>
      <w:r>
        <w:rPr>
          <w:rFonts w:ascii="EB Garamond" w:hAnsi="EB Garamond" w:cs="EB Garamond"/>
          <w:b/>
          <w:i w:val="0"/>
          <w:color w:val="3A3128"/>
          <w:sz w:val="25"/>
          <w:lang w:val="pt-BR" w:bidi="ar-SA"/>
          <w:kern w:val="16"/>
          <w14:ligatures w14:val="standardContextual"/>
        </w:rPr>
        <w:t>8.8.1 Conceito e conteúdo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58, § 4º, da Lei n. 8.213/91 estabelece que a empresa deverá elaborar e manter atualizado perfil profissiográfico abrangendo as atividades desenvolvidas pelo trabalhador e fornecer a este, quando da rescisão do contrato de trabalho, cópia autêntica do documento. O PPP contém informações sobre: (a) dados administrativos do trabalhador (nome, cargo, setor, CNPJ da empresa); (b) registros ambientais (agentes nocivos identificados, intensidade, técnica de medição utilizada); (c) resultados de monitoração biológica (quando aplicável); (d) dados referentes ao responsável pelos registros (médico do trabalho ou engenheiro de segurança do trabalho); e (e) informações sobre EPI fornecidos e sua eficácia.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PPP deve ser elaborado com base no Laudo Técnico de Condições Ambientais do Trabalho (LTCAT), que é o documento técnico que embasa as informações sobre as condições ambientais. O LTCAT é elaborado por médico do trabalho ou engenheiro de segurança do trabalho habilitado, e contém a avaliação qualitativa e quantitativa dos agentes nocivos presentes no ambiente de trabalho.</w:t>
      </w:r>
    </w:p>
    <w:p>
      <w:pPr>
        <w:spacing w:before="260" w:after="80" w:line="240" w:lineRule="auto"/>
        <w:jc w:val="left"/>
      </w:pPr>
      <w:r>
        <w:rPr>
          <w:rFonts w:ascii="EB Garamond" w:hAnsi="EB Garamond" w:cs="EB Garamond"/>
          <w:b/>
          <w:i w:val="0"/>
          <w:color w:val="3A3128"/>
          <w:sz w:val="25"/>
          <w:lang w:val="pt-BR" w:bidi="ar-SA"/>
          <w:kern w:val="16"/>
          <w14:ligatures w14:val="standardContextual"/>
        </w:rPr>
        <w:t>8.8.2 PPP eletrônico via eSocial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partir de 01 de janeiro de 2023, o PPP passou a ser emitido exclusivamente em meio eletrônico, por intermédio do Sistema de Escrituração Digital das Obrigações Fiscais, Previdenciárias e Trabalhistas (eSocial), mediante o evento S-2240 (Condições Ambientais do Trabalho — Agentes Nocivos). O trabalhador pode acessar seu PPP eletrônico diretamente pelo portal Meu INSS, sem necessidade de solicitação ao empregador.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transição para o formato eletrônico trouxe benefícios significativos: (a) padronização das informações, com campos predefinidos que reduzem erros de preenchimento; (b) rastreabilidade, com registro de alterações e responsáveis; (c) acessibilidade, com consulta direta pelo segurado; e (d) integração com o sistema do INSS, facilitando a análise administrativa para concessão de benefícios.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Contudo, para períodos anteriores a 01/01/2023, o PPP continua sendo emitido em formulário físico, assinado pelo representante legal da empresa e pelo responsável técnico (médico do trabalho ou engenheiro de segurança do trabalho). A empresa é obrigada a manter os registros ambientais e a emitir o PPP mesmo após o encerramento do contrato de trabalho, e a recusa em fornecer o documento sujeita o empregador às penalidades previstas na legislação.</w:t>
      </w:r>
    </w:p>
    <w:p>
      <w:pPr>
        <w:spacing w:before="260" w:after="80" w:line="240" w:lineRule="auto"/>
        <w:jc w:val="left"/>
      </w:pPr>
      <w:r>
        <w:rPr>
          <w:rFonts w:ascii="EB Garamond" w:hAnsi="EB Garamond" w:cs="EB Garamond"/>
          <w:b/>
          <w:i w:val="0"/>
          <w:color w:val="3A3128"/>
          <w:sz w:val="25"/>
          <w:lang w:val="pt-BR" w:bidi="ar-SA"/>
          <w:kern w:val="16"/>
          <w14:ligatures w14:val="standardContextual"/>
        </w:rPr>
        <w:t>8.8.3 Valor probatório do PPP</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obtenção do PPP quando a empresa foi extinta é problema frequente nos JEFs. Nesses casos, o segurado pode: (a) buscar o PPP junto à empresa sucessora, se houver; (b) requerer ao sindicato da categoria a emissão de documento equivalente, com base em registros disponíveis; (c) solicitar ao INSS a obtenção do documento por meio de diligência junto à Receita Federal ou à Junta Comercial; (d) requerer ao juízo a designação de perícia indireta, com base em documentos análogos (laudos de outros empregados da mesma empresa e função, perícias de processos trabalhistas, autos de infração do MTE). A impossibilidade de obtenção do PPP por extinção da empresa não pode, por si só, prejudicar o direito do segurado ao reconhecimento da atividade especial — a prova pode ser suprida por outros meios, conforme pacífico na jurisprudência.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PPP emitido pela empresa na forma legal, com indicação do responsável técnico e referência ao LTCAT, goza de presunção relativa de veracidade. O INSS não pode indeferir o reconhecimento de atividade especial com base em mera divergência genérica em relação às informações do PPP, a impugnação deve ser fundamentada em elementos concretos que demonstrem a inveracidade das informações.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a contestação do PPP pode se dar por diversas vias: (a) o INSS pode questionar a ausência de LTCAT contemporâneo; (b) a empresa pode alterar o PPP retrospectivamente, excluindo a referência a agentes nocivos; (c) o segurado pode alegar que o PPP não reflete fielmente as condições de trabalho. Em qualquer hipótese, a controvérsia sobre o conteúdo do PPP deve ser resolvida por perícia judicial ambiental, que verificará in loco (ou por elementos técnicos equivalentes) as condições de trabalho no ambiente questionado.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No JEF, é comum que o PPP juntado pelo segurado contenha a indicação de exposição a agente nocivo, mas o INSS indefira o reconhecimento sob o argumento de que o PPP indica EPI eficaz. Nessa situação, cabe ao juiz verificar: (a) se o agente nocivo é ruído — caso em que o EPI é irrelevante (Tema 555/STF); (b) se a indicação de EPI eficaz é genérica ou específica; (c) se há elementos nos autos que infirmem a eficácia do EPI. A designação de perícia ambiental é medida adequada quando houver controvérsia fundada sobre a eficácia do EPI ou sobre as condições reais de trabalho. Para períodos remotos, a prova emprestada (laudos de outros processos referentes ao mesmo empregador e função) é admitida pela jurisprudência como meio de prova subsidiário.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8.9 Conversão de tempo especial em comum</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segurado que não completou o tempo mínimo integral de atividade especial pode converter o período especial em tempo comum, com acréscimo proporcional, para fins de aposentadoria por tempo de contribuição.</w:t>
      </w:r>
    </w:p>
    <w:p>
      <w:pPr>
        <w:spacing w:before="260" w:after="80" w:line="240" w:lineRule="auto"/>
        <w:jc w:val="left"/>
      </w:pPr>
      <w:r>
        <w:rPr>
          <w:rFonts w:ascii="EB Garamond" w:hAnsi="EB Garamond" w:cs="EB Garamond"/>
          <w:b/>
          <w:i w:val="0"/>
          <w:color w:val="3A3128"/>
          <w:sz w:val="25"/>
          <w:lang w:val="pt-BR" w:bidi="ar-SA"/>
          <w:kern w:val="16"/>
          <w14:ligatures w14:val="standardContextual"/>
        </w:rPr>
        <w:t>8.9.1 Fundamento legal e fatores de conversão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57, § 5º, da Lei n. 8.213/91 estabelece que o tempo de trabalho exercido em condições especiais será somado, após a respectiva conversão ao tempo de trabalho exercido em atividade comum, segundo critérios estabelecidos pelo Ministério da Previdência e Assistência Social, para efeito de concessão de qualquer benefício.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Os fatores de conversão, fixados na tabela do art. 70 do Decreto n. 3.048/1999, variam conforme o tempo mínimo de exposição e o sexo do segurado: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tempo especial de 25 anos: fator 1,40 (homem) e 1,20 (mulher); Para tempo especial de 20 anos: fator 1,75 (homem) e 1,50 (mulher); Para tempo especial de 15 anos: fator 2,33 (homem) e 2,00 (mulher).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STJ, no julgamento do Tema 422, consolidou que permanece a possibilidade de conversão de tempo de serviço exercido em condições especiais em tempo comum após 28/04/1998, pois a norma que revogava o § 5º do art. 57 da Lei n. 8.213/91 não foi mantida na conversão da Medida Provisória n. 1.663 na Lei n. 9.711/1998. A tese pacificou controvérsia que por anos dividiu a jurisprudência sobre a possibilidade de conversão após a MP 1.663.</w:t>
      </w:r>
    </w:p>
    <w:p>
      <w:pPr>
        <w:spacing w:before="260" w:after="80" w:line="240" w:lineRule="auto"/>
        <w:jc w:val="left"/>
      </w:pPr>
      <w:r>
        <w:rPr>
          <w:rFonts w:ascii="EB Garamond" w:hAnsi="EB Garamond" w:cs="EB Garamond"/>
          <w:b/>
          <w:i w:val="0"/>
          <w:color w:val="3A3128"/>
          <w:sz w:val="25"/>
          <w:lang w:val="pt-BR" w:bidi="ar-SA"/>
          <w:kern w:val="16"/>
          <w14:ligatures w14:val="standardContextual"/>
        </w:rPr>
        <w:t>8.9.2 Vedação pela EC 103/2019 (art. 25, § 2º)</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25, § 2º, da EC 103/2019 reconhece a conversão de tempo especial em comum apenas para períodos até a data de entrada em vigor da Emenda, o que opera, na prática, como vedação à conversão para períodos posteriores a 13/11/2019. A restrição é prospectiva — aplica-se apenas ao tempo de atividade especial exercido a partir de 14/11/2019.</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A restrição à conversão foi um dos dispositivos impugnados na ADI 6.309, sob o argumento de que viola a proteção constitucional ao trabalhador exposto a agentes nocivos. No julgamento de 03/06/2026 (Rel. Orig. Min. Luís Roberto Barroso, red. P/ acórdão Min. André Mendonça, 6×5), o STF, todavia, </w:t>
      </w:r>
      <w:r>
        <w:rPr>
          <w:rFonts w:ascii="EB Garamond" w:hAnsi="EB Garamond" w:cs="EB Garamond"/>
          <w:b/>
          <w:i w:val="0"/>
          <w:color w:val="201B16"/>
          <w:sz w:val="21"/>
          <w:lang w:val="pt-BR" w:bidi="ar-SA"/>
          <w:kern w:val="16"/>
          <w14:ligatures w14:val="standardContextual"/>
        </w:rPr>
        <w:t>manteve a constitucionalidade da vedação à conversão</w:t>
      </w:r>
      <w:r>
        <w:rPr>
          <w:rFonts w:ascii="EB Garamond" w:hAnsi="EB Garamond" w:cs="EB Garamond"/>
          <w:b w:val="0"/>
          <w:i w:val="0"/>
          <w:color w:val="201B16"/>
          <w:sz w:val="21"/>
          <w:lang w:val="pt-BR" w:bidi="ar-SA"/>
          <w:kern w:val="16"/>
          <w14:ligatures w14:val="standardContextual"/>
        </w:rPr>
        <w:t xml:space="preserve"> para períodos posteriores a 13/11/2019, não acolhendo, nesse ponto, o argumento de lacuna de proteção. No mesmo julgamento, o Tribunal afastou a exigência de idade mínima da aposentadoria especial.</w:t>
      </w:r>
    </w:p>
    <w:p>
      <w:pPr>
        <w:spacing w:before="260" w:after="80" w:line="240" w:lineRule="auto"/>
        <w:jc w:val="left"/>
      </w:pPr>
      <w:r>
        <w:rPr>
          <w:rFonts w:ascii="EB Garamond" w:hAnsi="EB Garamond" w:cs="EB Garamond"/>
          <w:b/>
          <w:i w:val="0"/>
          <w:color w:val="3A3128"/>
          <w:sz w:val="25"/>
          <w:lang w:val="pt-BR" w:bidi="ar-SA"/>
          <w:kern w:val="16"/>
          <w14:ligatures w14:val="standardContextual"/>
        </w:rPr>
        <w:t>8.9.3 Direito adquirido à conversão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restrição do art. 25, § 2º, não atinge o tempo de atividade especial exercido até 13/11/2019. O segurado conserva o direito de converter em tempo comum todo o período de atividade especial anterior à Emenda, aplicando os fatores de conversão previstos na legislação. Esse direito adquirido à conversão é assegurado pelo art. 3º da EC 103/2019 e pelo princípio de que o tempo de serviço é disciplinado pela lei vigente à época de sua prestação, conforme jurisprudência consolidada do STJ.</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segurado que exerceu atividade especial tanto antes quanto depois de 13/11/2019 pode converter o tempo anterior e somá-lo ao tempo posterior (sem conversão) para fins de aposentadoria. Exemplo: segurado homem com 20 anos de atividade especial antes da EC 103/2019 e 5 anos após. Os 20 anos anteriores podem ser convertidos pelo fator 1,40 (= 28 anos de tempo comum) e somados aos 5 anos posteriores (sem conversão), totalizando 33 anos de contribuição. Os 5 anos posteriores não podem ser convertidos, mas são computados como tempo especial para a aposentadoria especial (se o segurado atingir os 25 anos de atividade especial e a idade ou pontuação exigida).</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8.9.4 Conversão de tempo comum em especial: vedação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conversão inversa, de tempo de atividade comum em tempo especial, é vedada pelo art. 57, § 5º, da Lei n. 8.213/91 (com redação da Lei n. 9.032/1995) e pelo art. 70, § 2º, do Decreto n. 3.048/1999. A vedação foi confirmada pelo STJ, que pacificou o entendimento de que somente é possível a conversão de tempo especial em comum, e não o inverso.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8.10 Cálculo do benefício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cálculo da aposentadoria especial sofreu alteração substancial com a EC 103/2019, gerando dois regimes distintos conforme a data de implementação dos requisitos.</w:t>
      </w:r>
    </w:p>
    <w:p>
      <w:pPr>
        <w:spacing w:before="260" w:after="80" w:line="240" w:lineRule="auto"/>
        <w:jc w:val="left"/>
      </w:pPr>
      <w:r>
        <w:rPr>
          <w:rFonts w:ascii="EB Garamond" w:hAnsi="EB Garamond" w:cs="EB Garamond"/>
          <w:b/>
          <w:i w:val="0"/>
          <w:color w:val="3A3128"/>
          <w:sz w:val="25"/>
          <w:lang w:val="pt-BR" w:bidi="ar-SA"/>
          <w:kern w:val="16"/>
          <w14:ligatures w14:val="standardContextual"/>
        </w:rPr>
        <w:t>8.10.1 Regime anterior (até 13/11/2019)</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N</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o regime anterior, a RMI da aposentadoria especial correspondia a 100% do salário de benefício (art. 57, § 1º, c/c art. 29, II, da Lei n. 8.213/91). O salário de benefício era calculado pela média dos 80% maiores salários de contribuição, conforme as regras gerais examinadas no Cap. 16. A especificidade da aposentadoria especial reside na inaplicabilidade do fator previdenciário, que a jurisprudência reconheceu como incompatível com a finalidade protetiva do benefício: o fator incentiva a postergação da aposentadoria, ao passo que a aposentadoria especial visa à cessação precoce da exposição a agentes nocivos.</w:t>
      </w:r>
    </w:p>
    <w:p>
      <w:pPr>
        <w:spacing w:before="260" w:after="80" w:line="240" w:lineRule="auto"/>
        <w:jc w:val="left"/>
      </w:pPr>
      <w:r>
        <w:rPr>
          <w:rFonts w:ascii="EB Garamond" w:hAnsi="EB Garamond" w:cs="EB Garamond"/>
          <w:b/>
          <w:i w:val="0"/>
          <w:color w:val="3A3128"/>
          <w:sz w:val="25"/>
          <w:lang w:val="pt-BR" w:bidi="ar-SA"/>
          <w:kern w:val="16"/>
          <w14:ligatures w14:val="standardContextual"/>
        </w:rPr>
        <w:t>8.10.2 Regime Pós-EC 103/2019</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P</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ara os segurados que se aposentam pela regra permanente (art. 19) ou pela regra de transição (art. 21) da EC 103/2019, o cálculo do benefício observa as regras do art. 26, § 2º, inciso IV, da EC 103/2019:</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O salário de benefício corresponde à média aritmética de 100% dos salários de contribuição desde julho de 1994 (eliminada a exclusão dos 20% menores);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(b) A renda mensal corresponde a 60% do salário de benefício, acrescida de 2% para cada ano de contribuição que exceder 20 anos (homens) ou 15 anos (mulheres).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base de cálculo do coeficiente (20 anos para homens, 15 anos para mulheres) decorre do art. 26, § 2º, III, da EC 103/2019, que é a mesma utilizada nas demais aposentadorias do RGPS. Não se confunde com o tempo de efetiva exposição a agentes nocivos exigido para a aposentadoria especial (15, 20 ou 25 anos conforme o grau de nocividade). São grandezas distintas: o tempo de exposição é requisito específico da aposentadoria especial; a base do coeficiente (20H/15M) é parâmetro geral de cálculo do art. 26 aplicável a todos os benefícios pós-EC 103. Há controvérsia doutrinária sobre se, na aposentadoria especial, o tempo mínimo de exposição deveria substituir o patamar geral como referência para o acréscimo, mas a posição predominante aplica a regra geral.</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alteração é desfavorável ao segurado em comparação com o regime anterior. No regime anterior, o benefício era de 100% da média dos 80% maiores salários; no regime atual, é de 60% + 2% por ano excedente da média integral. Para um segurado homem com exatamente 25 anos de contribuição, o benefício seria de 60% + (5 × 2%) = 70% da média — significativamente inferior aos 100% do regime anterior. Para atingir 100%, seriam necessários 40 anos de contribuição total.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 xml:space="preserve">A redução do valor da aposentadoria especial foi um dos pontos centrais da ADI 6.309. Os autores da ação argumentavam que a aplicação do coeficiente de 60% + 2% à aposentadoria especial viola o princípio da proporcionalidade, pois penaliza duplamente o trabalhador: além de exercer atividade em condições nocivas, ele recebe benefício substancialmente inferior ao que recebia antes da reforma. A tese era que a aposentadoria especial, por sua natureza diferenciada (proteção contra riscos à saúde), não poderia ser submetida ao mesmo regime de cálculo das aposentadorias comuns. No julgamento de 03/06/2026 (Rel. Orig. Min. Luís Roberto Barroso, red. P/ acórdão Min. André Mendonça, 6×5), o STF, todavia, </w:t>
            </w:r>
            <w:r>
              <w:rPr>
                <w:rFonts w:ascii="EB Garamond" w:hAnsi="EB Garamond" w:cs="EB Garamond"/>
                <w:b/>
                <w:i w:val="0"/>
                <w:color w:val="201B16"/>
                <w:sz w:val="19"/>
                <w:lang w:val="pt-BR" w:bidi="ar-SA"/>
                <w:kern w:val="16"/>
                <w14:ligatures w14:val="standardContextual"/>
              </w:rPr>
              <w:t>manteve a constitucionalidade da nova forma de cálculo</w:t>
            </w:r>
            <w:r>
              <w:rPr>
                <w:rFonts w:ascii="EB Garamond" w:hAnsi="EB Garamond" w:cs="EB Garamond"/>
                <w:b w:val="0"/>
                <w:i w:val="0"/>
                <w:color w:val="201B16"/>
                <w:sz w:val="19"/>
                <w:lang w:val="pt-BR" w:bidi="ar-SA"/>
                <w:kern w:val="16"/>
                <w14:ligatures w14:val="standardContextual"/>
              </w:rPr>
              <w:t xml:space="preserve"> (60% da média + 2% por ano que exceder 15 anos — mulher — ou 20 anos — homem), não acolhendo esse argumento. No mesmo julgamento, declarou inconstitucional apenas a exigência de idade mínima da aposentadoria especial.</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8.11 Vedação ao trabalho em condições especiais: STF Tema 709</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57, § 8º, da Lei n. 8.213/91 estabelece que aplica-se ao aposentado especial o disposto no art. 46, que trata da suspensão do benefício quando o segurado retorna à atividade. A interpretação desse dispositivo gerou intensa controvérsia judicial, definitivamente resolvida pelo STF no julgamento do RE 791.961 (Tema 709 da Repercussão Geral).</w:t>
      </w:r>
    </w:p>
    <w:p>
      <w:pPr>
        <w:spacing w:before="260" w:after="80" w:line="240" w:lineRule="auto"/>
        <w:jc w:val="left"/>
      </w:pPr>
      <w:r>
        <w:rPr>
          <w:rFonts w:ascii="EB Garamond" w:hAnsi="EB Garamond" w:cs="EB Garamond"/>
          <w:b/>
          <w:i w:val="0"/>
          <w:color w:val="3A3128"/>
          <w:sz w:val="25"/>
          <w:lang w:val="pt-BR" w:bidi="ar-SA"/>
          <w:kern w:val="16"/>
          <w14:ligatures w14:val="standardContextual"/>
        </w:rPr>
        <w:t>8.11.1 Tese fixada pelo STF</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STF, no julgamento do Tema 709, fixou a seguinte orientação: é constitucional a vedação de continuidade da percepção de aposentadoria especial se o beneficiário permanece laborando em atividade especial ou a ela retorna, seja essa atividade especial aquela que ensejou a aposentação antecipada ou não.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tese resolve a questão central: o aposentado especial que continua ou retorna a trabalhar em condições especiais tem o benefício cessado. Contudo, o aposentado especial pode exercer atividade que não envolva exposição a agentes nocivos sem que isso implique a cessação do benefício.</w:t>
      </w:r>
    </w:p>
    <w:p>
      <w:pPr>
        <w:spacing w:before="260" w:after="80" w:line="240" w:lineRule="auto"/>
        <w:jc w:val="left"/>
      </w:pPr>
      <w:r>
        <w:rPr>
          <w:rFonts w:ascii="EB Garamond" w:hAnsi="EB Garamond" w:cs="EB Garamond"/>
          <w:b/>
          <w:i w:val="0"/>
          <w:color w:val="3A3128"/>
          <w:sz w:val="25"/>
          <w:lang w:val="pt-BR" w:bidi="ar-SA"/>
          <w:kern w:val="16"/>
          <w14:ligatures w14:val="standardContextual"/>
        </w:rPr>
        <w:t>8.11.2 Modulação dos efeitos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STF modulou os efeitos da decisão para determinar que: (a) o beneficiário que requereu a aposentadoria e continuou exercendo atividade especial terá a DIB fixada na DER (data de entrada do requerimento), com efeitos financeiros retroativos; (b) uma vez implementado o benefício (administrativamente ou judicialmente), se verificado o retorno ou a continuidade em atividade especial, o pagamento será cessado.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modulação é relevante porque distingue dois momentos: até a implantação do benefício, o exercício de atividade especial não impede a concessão com efeitos retroativos à DER; após a implantação, o exercício de atividade especial determina a cessação.</w:t>
      </w:r>
    </w:p>
    <w:p>
      <w:pPr>
        <w:spacing w:before="260" w:after="80" w:line="240" w:lineRule="auto"/>
        <w:jc w:val="left"/>
      </w:pPr>
      <w:r>
        <w:rPr>
          <w:rFonts w:ascii="EB Garamond" w:hAnsi="EB Garamond" w:cs="EB Garamond"/>
          <w:b/>
          <w:i w:val="0"/>
          <w:color w:val="3A3128"/>
          <w:sz w:val="25"/>
          <w:lang w:val="pt-BR" w:bidi="ar-SA"/>
          <w:kern w:val="16"/>
          <w14:ligatures w14:val="standardContextual"/>
        </w:rPr>
        <w:t>8.11.3 Impacto nos JEFs e situações práticas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aplicação do Tema 709 nos JEFs gera diversas situações práticas que merecem exame: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Segurado que requereu a aposentadoria, teve o pedido indeferido e continuou trabalhando em condições especiais: o ajuizamento da ação e a concessão judicial da aposentadoria especial retroagem à DER. O segurado receberá os valores retroativos referentes ao período entre a DER e a implantação, mas deverá cessar a atividade especial tão logo o benefício seja implantado.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(b) Segurado aposentado especial que retorna a atividade especial em outro empregador: o benefício deve ser cessado, independentemente de a atividade especial ser idêntica ou distinta daquela que ensejou a aposentadoria. A vedação é ao exercício de qualquer atividade especial, não apenas à mesma atividade.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(c) Segurado aposentado especial que exerce atividade não especial: não há vedação. O aposentado especial pode exercer atividade comum (sem exposição a agentes nocivos) sem qualquer restrição ou suspensão do benefício. Contudo, as contribuições vertidas na nova atividade não geram direito a nova aposentadoria (vedação à desaposentação — STF Tema 503).</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(d) Segurado aposentado especial que é empresário de empresa com ambiente insalubre: a situação é controversa. A jurisprudência tem distinguido entre o sócio que efetivamente labora em condições especiais (vedação se aplica) e o sócio meramente investidor ou administrador que não se expõe a agentes nocivos (vedação não se aplica).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fiscalização do cumprimento do Tema 709 é feita pelo INSS, que pode realizar diligências para verificar se o aposentado especial retornou a atividade em condições nocivas. A cessação do benefício, contudo, exige processo administrativo com garantia de contraditório e ampla defesa.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Nos JEFs, a aplicação do Tema 709 exige cautela. Quando o segurado pleiteia aposentadoria especial e continua trabalhando em condições especiais, o juiz deve: (a) conceder o benefício com DIB na DER; (b) determinar que o segurado cesse a atividade especial como condição para a manutenção do benefício; (c) comunicar ao INSS para acompanhamento. Na sentença, é recomendável incluir determinação expressa de que o benefício será cessado se houver retorno à atividade especial, sob pena de repetição dos valores pagos indevidamente. O segurado pode, contudo, exercer outra atividade não especial sem qualquer restrição.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8.12 Aposentadoria especial da pessoa com deficiência (LC 142/2013)</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Lei Complementar n. 142/2013 regulamentou o § 1º do art. 201 da Constituição Federal, estabelecendo condições diferenciadas para a aposentadoria do segurado com deficiência. Embora frequentemente tratada em conjunto com a aposentadoria especial por exposição a agentes nocivos, trata-se de espécie distinta, com fundamento constitucional e requisitos próprios.</w:t>
      </w:r>
    </w:p>
    <w:p>
      <w:pPr>
        <w:spacing w:before="260" w:after="80" w:line="240" w:lineRule="auto"/>
        <w:jc w:val="left"/>
      </w:pPr>
      <w:r>
        <w:rPr>
          <w:rFonts w:ascii="EB Garamond" w:hAnsi="EB Garamond" w:cs="EB Garamond"/>
          <w:b/>
          <w:i w:val="0"/>
          <w:color w:val="3A3128"/>
          <w:sz w:val="25"/>
          <w:lang w:val="pt-BR" w:bidi="ar-SA"/>
          <w:kern w:val="16"/>
          <w14:ligatures w14:val="standardContextual"/>
        </w:rPr>
        <w:t>8.12.1 Requisitos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aposentadoria da pessoa com deficiência pode ser concedida por tempo de contribuição ou por 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Por tempo de contribuição — os requisitos variam conforme o grau de deficiência: (a) Deficiência grave: 25 anos (homem) ou 20 anos (mulher); (b) Deficiência moderada: 29 anos (homem) ou 24 anos (mulher); (c) Deficiência leve: 33 anos (homem) ou 28 anos (mulher).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Por idade — o segurado com deficiência, independentemente do grau, pode se aposentar aos 60 anos (homem) ou 55 anos (mulher), com carência de 180 contribuições e comprovação de deficiência durante período igual ou superior a 15 anos.</w:t>
      </w:r>
    </w:p>
    <w:p>
      <w:pPr>
        <w:spacing w:before="260" w:after="80" w:line="240" w:lineRule="auto"/>
        <w:jc w:val="left"/>
      </w:pPr>
      <w:r>
        <w:rPr>
          <w:rFonts w:ascii="EB Garamond" w:hAnsi="EB Garamond" w:cs="EB Garamond"/>
          <w:b/>
          <w:i w:val="0"/>
          <w:color w:val="3A3128"/>
          <w:sz w:val="25"/>
          <w:lang w:val="pt-BR" w:bidi="ar-SA"/>
          <w:kern w:val="16"/>
          <w14:ligatures w14:val="standardContextual"/>
        </w:rPr>
        <w:t>8.12.2 Avaliação biopsicossocial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classificação do grau de deficiência (leve, moderada ou grave) é realizada por avaliação médica e funcional mediante o Índice de Funcionalidade Brasileiro aplicado para fins de aposentadoria (IF-BrA), por equipe multiprofissional composta por médico perito e assistente social do INSS (Decreto n. 3.048/1999, alterado pelo Decreto n. 10.410/2020). O tratamento aprofundado do IF-BrA, seus sete domínios de funcionalidade e as controvérsias sobre fixação do grau e da data de início da deficiência estão no Cap. 12, seção 12.4.</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dos JEFs, quando o segurado impugna o grau atribuído administrativamente, o juiz designa perícia judicial com avaliação conforme os parâmetros do IF-BrA. A data de início da deficiência é relevante porque, havendo variação de grau ao longo do tempo, cada período é computado conforme o grau respectivo.</w:t>
      </w:r>
    </w:p>
    <w:p>
      <w:pPr>
        <w:spacing w:before="260" w:after="80" w:line="240" w:lineRule="auto"/>
        <w:jc w:val="left"/>
      </w:pPr>
      <w:r>
        <w:rPr>
          <w:rFonts w:ascii="EB Garamond" w:hAnsi="EB Garamond" w:cs="EB Garamond"/>
          <w:b/>
          <w:i w:val="0"/>
          <w:color w:val="3A3128"/>
          <w:sz w:val="25"/>
          <w:lang w:val="pt-BR" w:bidi="ar-SA"/>
          <w:kern w:val="16"/>
          <w14:ligatures w14:val="standardContextual"/>
        </w:rPr>
        <w:t>8.12.3 Efeitos da EC 103/2019 sobre a LC 142/2013</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22 da EC 103/2019 determinou que, até que lei complementar discipline o novo regime, aplica-se a legislação anterior (LC 142/2013). A RMI permanece, portanto, em 100% do salário de benefício, sem aplicação do coeficiente redutor de 60% + 2% da EC 103. O tratamento aprofundado dessa controvérsia — inclusive quanto à divergência doutrinária sobre a aplicabilidade do novo cálculo — está no Cap. 12, seção 12.5.1.</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No JEF, a aposentadoria da pessoa com deficiência (LC 142/2013) demanda atenção especial na instrução processual. O juiz deve: (a) designar perícia médica com avaliação conforme o IF-BrA, abrangendo os sete domínios de funcionalidade; (b) providenciar avaliação social quando a complexidade do caso exigir; (c) verificar a data de início da deficiência e eventuais variações de grau ao longo do tempo (deficiência que se agravou ou melhorou); (d) computar cada período conforme o grau de deficiência respectivo, se houve variação. A sentença deve especificar com clareza qual o grau de deficiência reconhecido para cada período e o tempo total de contribuição exigido conforme a LC 142/2013.</w:t>
            </w: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aposentadoria da pessoa com deficiência (LC 142/2013) não se confunde com a aposentadoria especial por exposição a agentes nocivos (arts. 57-58 da Lei n. 8.213/91), embora ambas sejam espécies de aposentadoria com requisitos diferenciados. A distinção fundamental é o fato gerador: na aposentadoria especial, é a exposição a agentes nocivos; na aposentadoria da PCD, é a condição de pessoa com deficiência. O segurado pode, em tese, cumular os dois regimes diferenciados se exercer atividade especial em condições nocivas e for pessoa com deficiência — hipótese em que poderá optar pelo regime mais favorável.</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8.13 Questões processuais nos JEFs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 processos de aposentadoria especial nos JEFs envolvem particularidades processuais que merecem registro.</w:t>
      </w:r>
    </w:p>
    <w:p>
      <w:pPr>
        <w:spacing w:before="260" w:after="80" w:line="240" w:lineRule="auto"/>
        <w:jc w:val="left"/>
      </w:pPr>
      <w:r>
        <w:rPr>
          <w:rFonts w:ascii="EB Garamond" w:hAnsi="EB Garamond" w:cs="EB Garamond"/>
          <w:b/>
          <w:i w:val="0"/>
          <w:color w:val="3A3128"/>
          <w:sz w:val="25"/>
          <w:lang w:val="pt-BR" w:bidi="ar-SA"/>
          <w:kern w:val="16"/>
          <w14:ligatures w14:val="standardContextual"/>
        </w:rPr>
        <w:t>8.13.1 Prova da exposição a agentes nocivos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prova da exposição a agentes nocivos nos JEFs observa regime próprio, que combina documentos administrativos (PPP, LTCAT, formulários anteriores) com prova pericial judicial (perícia ambiental) e prova emprestada.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PPP é a prova pré-constituída por excelência. Quando o PPP indica exposição a agente nocivo em nível superior ao limite de tolerância, com indicação do responsável técnico e referência ao LTCAT, a prova é, em princípio, suficiente para o reconhecimento da atividade especial. A controvérsia surge quando: (a) o PPP indica EPI eficaz (exceto para ruído); (b) o PPP é omisso ou contraditório; (c) o empregador se recusa a fornecer o PPP; (d) a empresa foi extinta.</w:t>
      </w:r>
    </w:p>
    <w:p>
      <w:pPr>
        <w:spacing w:before="260" w:after="80" w:line="240" w:lineRule="auto"/>
        <w:jc w:val="left"/>
      </w:pPr>
      <w:r>
        <w:rPr>
          <w:rFonts w:ascii="EB Garamond" w:hAnsi="EB Garamond" w:cs="EB Garamond"/>
          <w:b/>
          <w:i w:val="0"/>
          <w:color w:val="3A3128"/>
          <w:sz w:val="25"/>
          <w:lang w:val="pt-BR" w:bidi="ar-SA"/>
          <w:kern w:val="16"/>
          <w14:ligatures w14:val="standardContextual"/>
        </w:rPr>
        <w:t>8.13.2 Perícia ambiental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Q</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uando a controvérsia não pode ser resolvida pela prova documental, o juiz pode designar perícia ambiental para verificação das condições de trabalho. A perícia ambiental é realizada por engenheiro de segurança do trabalho ou médico do trabalho designado pelo juízo, que inspeciona o ambiente de trabalho e elabora laudo técnico com avaliação qualitativa e quantitativa dos agentes nocivos presentes.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Súmula 68 da TNU dispõe que "o laudo pericial não contemporâneo ao período trabalhado é apto à comprovação da atividade especial do segurado". Esse entendimento viabiliza a produção probatória da aposentadoria especial, pois frequentemente o segurado pleiteia o reconhecimento de períodos trabalhados há décadas, quando as condições ambientais podem ter sido alteradas. A presunção é de que as condições eram iguais ou piores no passado — raciocínio que se justifica pela evolução histórica das normas de segurança do trabalho, que tendem a se tornar mais rigorosas ao longo do tempo.</w:t>
      </w:r>
    </w:p>
    <w:p>
      <w:pPr>
        <w:spacing w:before="260" w:after="80" w:line="240" w:lineRule="auto"/>
        <w:jc w:val="left"/>
      </w:pPr>
      <w:r>
        <w:rPr>
          <w:rFonts w:ascii="EB Garamond" w:hAnsi="EB Garamond" w:cs="EB Garamond"/>
          <w:b/>
          <w:i w:val="0"/>
          <w:color w:val="3A3128"/>
          <w:sz w:val="25"/>
          <w:lang w:val="pt-BR" w:bidi="ar-SA"/>
          <w:kern w:val="16"/>
          <w14:ligatures w14:val="standardContextual"/>
        </w:rPr>
        <w:t>8.13.3 Prova emprestada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prova emprestada é amplamente aceita nos JEFs em matéria de aposentadoria especial. Laudos periciais produzidos em outros processos, referentes ao mesmo empregador e à mesma função, podem ser utilizados como meio de prova. O CPC/2015 (art. 372) admite expressamente a prova emprestada, exigindo apenas que a parte contra quem é produzida tenha oportunidade de se manifestar.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a prova emprestada é especialmente útil quando: (a) a empresa foi extinta e não há como realizar perícia no local; (b) o segurado exerceu atividade em empresa de grande porte, para a qual já existem diversos laudos judiciais; (c) o custo da perícia ambiental é desproporcional ao benefício econômico discutido.</w:t>
      </w:r>
    </w:p>
    <w:p>
      <w:pPr>
        <w:spacing w:before="260" w:after="80" w:line="240" w:lineRule="auto"/>
        <w:jc w:val="left"/>
      </w:pPr>
      <w:r>
        <w:rPr>
          <w:rFonts w:ascii="EB Garamond" w:hAnsi="EB Garamond" w:cs="EB Garamond"/>
          <w:b/>
          <w:i w:val="0"/>
          <w:color w:val="3A3128"/>
          <w:sz w:val="25"/>
          <w:lang w:val="pt-BR" w:bidi="ar-SA"/>
          <w:kern w:val="16"/>
          <w14:ligatures w14:val="standardContextual"/>
        </w:rPr>
        <w:t>8.13.4 Reafirmação da DER (Tema 995/STJ)</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Tema 995 do STJ é plenamente aplicável à aposentadoria especial. O segurado que, na data do requerimento administrativo, ainda não havia completado o tempo mínimo de atividade especial (ou a idade ou pontuação exigida pela EC 103/2019), mas que completa os requisitos durante o trâmite da ação judicial, pode ter a DER reafirmada para a data em que os implementou, com DIB a partir dessa data.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reafirmação da DER é particularmente relevante na aposentadoria especial em razão da complexidade probatória do benefício: frequentemente, períodos de atividade especial são reconhecidos judicialmente após a perícia ambiental, completando o tempo mínimo exigido durante o processo. A possibilidade de reafirmação evita que o segurado tenha de formular novo requerimento administrativo e ajuizar nova ação.</w:t>
      </w:r>
    </w:p>
    <w:p>
      <w:pPr>
        <w:spacing w:before="260" w:after="80" w:line="240" w:lineRule="auto"/>
        <w:jc w:val="left"/>
      </w:pPr>
      <w:r>
        <w:rPr>
          <w:rFonts w:ascii="EB Garamond" w:hAnsi="EB Garamond" w:cs="EB Garamond"/>
          <w:b/>
          <w:i w:val="0"/>
          <w:color w:val="3A3128"/>
          <w:sz w:val="25"/>
          <w:lang w:val="pt-BR" w:bidi="ar-SA"/>
          <w:kern w:val="16"/>
          <w14:ligatures w14:val="standardContextual"/>
        </w:rPr>
        <w:t>8.13.5 Tutela provisória e implantação do benefício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N</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as ações de concessão de aposentadoria especial nos JEFs, a tutela provisória de urgência é deferida quando a prova documental e pericial demonstra a plausibilidade do direito e o risco de dano irreparável ao segurado. Diferentemente dos benefícios por incapacidade, em que a urgência decorre da privação de renda, na aposentadoria especial a urgência pode decorrer: (a) da necessidade de cessar a exposição a agentes nocivos para preservação da saúde, e (b) da privação do benefício a que o segurado tem direito, obrigando-o a continuar trabalhando em condições prejudiciais.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sentença que concede a aposentadoria especial nos JEFs tem eficácia imediata (art. 3º da Lei n. 10.259/2001). A implantação compreende o cadastramento do benefício no sistema do INSS e o pagamento das parcelas vincendas. As parcelas vencidas (retroativas à DER ou à DER reafirmada) são pagas por Requisição de Pequeno Valor (RPV) ou precatório, conforme o montante.</w:t>
      </w:r>
    </w:p>
    <w:p>
      <w:pPr>
        <w:spacing w:before="260" w:after="80" w:line="240" w:lineRule="auto"/>
        <w:jc w:val="left"/>
      </w:pPr>
      <w:r>
        <w:rPr>
          <w:rFonts w:ascii="EB Garamond" w:hAnsi="EB Garamond" w:cs="EB Garamond"/>
          <w:b/>
          <w:i w:val="0"/>
          <w:color w:val="3A3128"/>
          <w:sz w:val="25"/>
          <w:lang w:val="pt-BR" w:bidi="ar-SA"/>
          <w:kern w:val="16"/>
          <w14:ligatures w14:val="standardContextual"/>
        </w:rPr>
        <w:t>8.13.6 Prescrição e decadência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E</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m matéria de aposentadoria especial, a prescrição quinquenal incide sobre as parcelas vencidas, não sobre o fundo de direito (Súmula 85/STJ). O segurado pode pleitear o benefício a qualquer tempo, mas receberá retroativamente apenas as parcelas dos cinco anos anteriores ao ajuizamento.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Quanto à decadência, o art. 103 da Lei n. 8.213/91 prevê prazo decadencial de 10 anos para revisão do ato de concessão. Esse prazo aplica-se quando o segurado pretende revisar os termos de aposentadoria especial já concedida (por exemplo, para alterar a DIB ou o salário de benefício), mas não incide sobre pedido de concessão originária.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reconhecimento de tempo especial é pretensão declaratória, e como tal, imprescritível. A prescrição quinquenal incide apenas sobre as parcelas do benefício eventualmente devido, não sobre o reconhecimento do tempo especial em si. Assim, o segurado pode, a qualquer tempo, pleitear judicialmente o reconhecimento de período de atividade especial exercido há décadas — a prescrição limita apenas os efeitos financeiros retroativos.</w:t>
      </w:r>
    </w:p>
    <w:p>
      <w:pPr>
        <w:spacing w:before="260" w:after="80" w:line="240" w:lineRule="auto"/>
        <w:jc w:val="left"/>
      </w:pPr>
      <w:r>
        <w:rPr>
          <w:rFonts w:ascii="EB Garamond" w:hAnsi="EB Garamond" w:cs="EB Garamond"/>
          <w:b/>
          <w:i w:val="0"/>
          <w:color w:val="3A3128"/>
          <w:sz w:val="25"/>
          <w:lang w:val="pt-BR" w:bidi="ar-SA"/>
          <w:kern w:val="16"/>
          <w14:ligatures w14:val="standardContextual"/>
        </w:rPr>
        <w:t>8.13.7 Honorários e custas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N</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os JEFs, não há condenação em honorários advocatícios quando a sentença é favorável ao segurado (art. 55, caput, da Lei n. 9.099/95 c/c art. 1º da Lei n. 10.259/2001). Os honorários periciais da perícia ambiental são pagos pela Justiça Federal quando a parte autora é beneficiária da justiça gratuita. Na hipótese de improcedência, a condenação em honorários fica com execução suspensa enquanto o beneficiário mantiver a condição de hipossuficiente (art. 98, § 3º, CPC).</w:t>
      </w:r>
    </w:p>
    <w:p>
      <w:pPr>
        <w:spacing w:before="260" w:after="80" w:line="240" w:lineRule="auto"/>
        <w:jc w:val="left"/>
      </w:pPr>
      <w:r>
        <w:rPr>
          <w:rFonts w:ascii="EB Garamond" w:hAnsi="EB Garamond" w:cs="EB Garamond"/>
          <w:b/>
          <w:i w:val="0"/>
          <w:color w:val="3A3128"/>
          <w:sz w:val="25"/>
          <w:lang w:val="pt-BR" w:bidi="ar-SA"/>
          <w:kern w:val="16"/>
          <w14:ligatures w14:val="standardContextual"/>
        </w:rPr>
        <w:t>8.13.8 Fungibilidade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fungibilidade entre a aposentadoria especial e outros benefícios previdenciários é admitida pela jurisprudência dos JEFs. Quando o segurado pleiteia aposentadoria especial, mas a perícia constata que não há exposição a agentes nocivos suficiente para completar o tempo mínimo, o juiz pode conceder aposentadoria por tempo de contribuição (se preenchidos os requisitos), computando o tempo especial convertido em tempo comum pelo fator de conversão aplicável.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Da mesma forma, se o segurado pleiteia aposentadoria por tempo de contribuição e, no curso do processo, verifica-se que determinados períodos foram exercidos em condições especiais, o juiz pode reconhecer a especialidade e conceder a aposentadoria especial, se completado o tempo mínimo.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Na petição inicial de ação de aposentadoria especial nos JEFs, é recomendável que o advogado formule pedido subsidiário de aposentadoria por tempo de contribuição com conversão de tempo especial, para a hipótese de o juízo não reconhecer a integralidade dos períodos de atividade especial pleiteados. Essa estratégia assegura que, mesmo reconhecidos parcialmente os períodos especiais, o segurado obtenha o melhor benefício possível com base no tempo total de contribuição (incluindo o tempo especial convertido pelo fator aplicável).</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8.14 Fonte de custeio e a tese da prévia contribuição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INSS alega, com frequência, que a aposentadoria especial não pode ser concedida sem a correspondente fonte de custeio, isto é, sem que o empregador tenha recolhido a contribuição adicional prevista no art. 57, § 6º, da Lei n. 8.213/91 (alíquotas de 6%, 9% ou 12% sobre a remuneração do segurado, conforme o grau de risco da atividade).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jurisprudência é pacífica em afastar essa alegação. O entendimento consolidado nos TRFs e na TNU é de que a responsabilidade pelo recolhimento das contribuições é do empregador, e o segurado não pode ser penalizado pela inadimplência patronal. O art. 195, § 5º, da Constituição Federal, que exige prévia fonte de custeio para a criação de benefícios, destina-se ao legislador, não ao segurado. A aposentadoria especial está prevista em lei (Lei n. 8.213/91) com a correspondente fonte de custeio definida (art. 57, § 6º) — o fato de o empregador não ter recolhido a contribuição adicional é problema de fiscalização e cobrança, não de concessão do benefício.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alegação do INSS de ausência de fonte de custeio para indeferir a aposentadoria especial não prospera na jurisprudência dos JEFs. O segurado que comprova a exposição a agentes nocivos tem direito ao benefício independentemente do recolhimento da contribuição adicional pelo empregador. A responsabilidade pelo recolhimento é exclusiva do empregador — cabe ao INSS fiscalizá-lo e cobrá-lo, não transferir ao segurado as consequências da inadimplência patronal. Esse entendimento está firmado em inúmeros julgados das Turmas Recursais e da TNU.</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8.15 Direito intertemporal na aposentadoria especial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aposentadoria especial é o benefício previdenciário em que o direito intertemporal assume maior relevância, dada a sucessão de regimes legislativos que disciplinaram a matéria ao longo das décadas. O princípio fundamental é o tempus regit actum: cada período de atividade é regido pela legislação vigente à época de sua prestação.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Esse princípio tem três consequências práticas fundamentais: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O enquadramento da atividade como especial observa a legislação vigente na data da prestação do serviço. Se a atividade era enquadrada por categoria profissional na vigência do Decreto n. 53.831/1964, o período anterior a 29/04/1995 é especial independentemente de comprovação de exposição efetiva. Se a atividade era exercida sob a vigência da Lei n. 9.032/1995, exige-se a comprovação da exposição a agente nocivo.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(b) Os limites de tolerância (para agentes quantitativos) são os vigentes na data da prestação do serviço. Para o ruído, por exemplo, aplica-se o limite de 80 dB(A) para períodos até 05/03/1997, de 90 dB(A) para períodos de 06/03/1997 a 18/11/2003, e de 85 dB(A) a partir de 19/11/2003.</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(c) A conversão de tempo especial em comum é regida pela legislação vigente na data do preenchimento dos requisitos da aposentadoria (e não na data da prestação do serviço), conforme jurisprudência do STJ. Assim, os fatores de conversão aplicáveis são os da tabela vigente na data da aposentadoria.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segurado que acumulou períodos de atividade especial sob diferentes regimes legislativos terá cada período avaliado conforme a legislação respectiva. É possível, por exemplo, que o mesmo segurado tenha: (a) um período enquadrado por categoria profissional (pré-1995); (b) um período enquadrado por agente nocivo com limite de ruído de 80 dB (pré-1997); (c) um período com limite de 90 dB (1997-2003); e (d) um período com limite de 85 dB (pós-2003). A soma de todos esses períodos compõe o tempo total de atividade especial para fins de aposentadoria ou conversão.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8.16 Atividades concomitantes e tempo especial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segurado que exerce simultaneamente atividades em condições especiais e em condições comuns tem o tempo especial computado proporcionalmente à exposição efetiva. A regra geral é que o tempo de exposição a agentes nocivos seja contado integralmente como especial, e o tempo de atividade comum seja contado como tempo comum, a conversão é feita apenas sobre o período de atividade efetivamente exercida em condições especiais.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Quando o segurado exerce atividade especial em dois empregos simultâneos, o tempo especial é contado uma única vez — não há duplicação do cômputo pelo exercício concomitante de duas atividades especiais.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Sobre a soma integral dos salários de contribuição em atividades concomitantes, v. STJ, Tema 1.070 (REsp 1.870.793/RS), que consolidou o entendimento de que, após o advento da Lei n. 9.876/99, todos os salários de contribuição são somados, independentemente de serem provenientes de atividades simultâneas (conforme examinado no Capítulo 5).</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questão da atividade concomitante ganha complexidade com a EC 103/2019, que vedou a conversão de tempo especial em comum a partir de sua promulgação. O segurado que exerce, após 13/11/2019, atividade especial em um emprego e atividade comum em outro só pode aproveitar o tempo especial para fins de aposentadoria especial, não pode convertê-lo para somar ao tempo de contribuição comum.</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cálculo do salário de contribuição nas atividades concomitantes sofreu alteração relevante. A Lei n. 13.846/2019 alterou o art. 32 da Lei n. 8.213/91, estabelecendo que, no caso de exercício de atividades concomitantes, o salário de contribuição consiste na soma dos salários de contribuição das atividades exercidas, observado o limite máximo do salário de contribuição. Essa alteração superou a antiga regra que segregava os salários de contribuição das atividades concomitantes, calculando a renda mensal com base em atividade principal e secundária — sistemática que frequentemente resultava em benefício inferior ao que seria obtido com a soma simples das remunerações.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Quando o segurado exerce atividades concomitantes especiais e comuns, a análise da aposentadoria especial deve considerar apenas o tempo de atividade efetivamente exercida em condições especiais, independentemente do número de vínculos. Se o segurado trabalha 8 horas em emprego com exposição a ruído de 90 dB(A) e 4 horas em emprego administrativo, somente o primeiro período é computado como especial. Para o cálculo do salário de benefício, contudo, aplica-se a soma dos salários de contribuição de todas as atividades (art. 32 da Lei n. 8.213/91, com redação da Lei n. 13.846/2019), até o teto do RGPS.</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8.17 Contagem recíproca e tempo especial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contagem recíproca entre regimes previdenciários (RGPS e RPPS) não contempla, em regra, a contagem de tempo especial para fins de aposentadoria especial no regime de destino. O STJ decidiu que é possível a conversão de tempo especial em tempo comum para fins de contagem recíproca, desde que o tempo especial tenha sido exercido no RGPS e a conversão se dê conforme a legislação vigente à época da prestação do serviço. Contudo, a conversão para fins de contagem recíproca somente é admitida até a data de promulgação da EC 103/2019 (13/11/2019), em razão da vedação do art. 25, § 2º.</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a contagem recíproca é relevante para o servidor público que exerceu atividade em condições especiais na iniciativa privada antes de ingressar no serviço público. Esse servidor pode averbar o tempo de serviço privado junto ao RPPS e, ao fazê-lo, requerer que o período de atividade especial seja convertido em tempo comum pelo fator de conversão aplicável. O resultado é um acréscimo no tempo de contribuição total computado no RPPS, que pode antecipar a aposentadoria do servidor.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Certidão de Tempo de Contribuição (CTC), emitida pelo INSS para fins de contagem recíproca, deve indicar expressamente os períodos de atividade especial e o fator de conversão aplicado. O servidor que já averbou tempo de contribuição sem o reconhecimento da atividade especial pode requerer a retificação da CTC para inclusão da conversão, desde que comprove a exposição a agentes nocivos pelos meios de prova admitidos (PPP, formulários anteriores, perícia judicial).</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8.18 Quadro sinótico: aposentadoria especial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Quadro comparativo: Regime anterior × EC 103/2019</w:t>
            </w:r>
          </w:p>
          <w:tbl>
            <w:tblPr>
              <w:tblW w:type="auto" w:w="0"/>
              <w:jc w:val="center"/>
              <w:tblLook w:firstColumn="1" w:firstRow="1" w:lastColumn="0" w:lastRow="0" w:noHBand="0" w:noVBand="1" w:val="04A0"/>
              <w:tblW w:w="5000" w:type="pct"/>
            </w:tblPr>
            <w:tblGrid>
              <w:gridCol w:w="1587"/>
              <w:gridCol w:w="1587"/>
              <w:gridCol w:w="1587"/>
              <w:gridCol w:w="1587"/>
            </w:tblGrid>
            <w:tr>
              <w:trPr>
                <w:tblHeader/>
              </w:trPr>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Aspecto</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Regime Anterior</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Regra de Transição (art. 21)</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Regra Permanente (art. 19)</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Tempo especial</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15, 20 ou 25 anos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15, 20 ou 25 anos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15, 20 ou 25 anos</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Idade mínima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 exigida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 exigida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55/58/60 anos (afastada pela ADI 6.309)</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Pontuação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 exigida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66, 76 ou 86 pontos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 exigida</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Carência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180 contribuições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180 contribuições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180 contribuições</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Cálculo SB</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Média 80% maiores SC</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Média 100% SC</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Média 100% SC</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Coeficiente</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100%</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60% + 2%/ano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60% + 2%/ano</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Fator previdenciário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 se aplica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 se aplica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 se aplica</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Conversão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Permitida (fator 1,40/1,20)</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Vedada pós-13/11/2019</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Vedada</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Vedação de trabalho especial</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Sim (Tema 709/STF)</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Sim (Tema 709/STF)</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Sim (Tema 709/STF)</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ADI 6.309</w:t>
                  </w:r>
                  <w:r>
                    <w:rPr>
                      <w:rFonts w:ascii="EB Garamond" w:hAnsi="EB Garamond" w:cs="EB Garamond"/>
                      <w:b w:val="0"/>
                      <w:i w:val="0"/>
                      <w:color w:val="201B16"/>
                      <w:sz w:val="16"/>
                      <w:lang w:val="pt-BR" w:bidi="ar-SA"/>
                      <w:kern w:val="16"/>
                      <w14:ligatures w14:val="standardContextual"/>
                    </w:rPr>
                    <w:t xml:space="preserve"> (j. 03/06/2026)</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 aplicável</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Idade mínima afastada; vedação mantida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Idade mínima afastada; vedação mantida</w:t>
                  </w:r>
                </w:p>
              </w:tc>
            </w:tr>
          </w:tbl>
          <w:p/>
          <w:p>
            <w:pPr>
              <w:spacing w:before="0" w:after="0" w:line="240" w:lineRule="auto"/>
            </w:pPr>
          </w:p>
          <w:p>
            <w:pPr>
              <w:spacing w:before="0" w:after="60" w:line="247" w:lineRule="auto"/>
              <w:jc w:val="both"/>
            </w:pPr>
            <w:r>
              <w:rPr>
                <w:rFonts w:ascii="EB Garamond" w:hAnsi="EB Garamond" w:cs="EB Garamond"/>
                <w:b/>
                <w:i w:val="0"/>
                <w:color w:val="201B16"/>
                <w:sz w:val="19"/>
                <w:lang w:val="pt-BR" w:bidi="ar-SA"/>
                <w:kern w:val="16"/>
                <w14:ligatures w14:val="standardContextual"/>
              </w:rPr>
              <w:t>Fatores de conversão (tempo especial → comum):</w:t>
            </w:r>
            <w:r>
              <w:rPr>
                <w:rFonts w:ascii="EB Garamond" w:hAnsi="EB Garamond" w:cs="EB Garamond"/>
                <w:b w:val="0"/>
                <w:i w:val="0"/>
                <w:color w:val="201B16"/>
                <w:sz w:val="19"/>
                <w:lang w:val="pt-BR" w:bidi="ar-SA"/>
                <w:kern w:val="16"/>
                <w14:ligatures w14:val="standardContextual"/>
              </w:rPr>
              <w:t xml:space="preserve"> - 25 anos: 1,40 (H) / 1,20 (M) - 20 anos: 1,75 (H) / 1,50 (M) - 15 anos: 2,33 (H) / 2,00 (M)</w:t>
            </w:r>
          </w:p>
          <w:p>
            <w:pPr>
              <w:spacing w:before="0" w:after="60" w:line="247" w:lineRule="auto"/>
              <w:jc w:val="both"/>
            </w:pPr>
            <w:r>
              <w:rPr>
                <w:rFonts w:ascii="EB Garamond" w:hAnsi="EB Garamond" w:cs="EB Garamond"/>
                <w:b/>
                <w:i w:val="0"/>
                <w:color w:val="201B16"/>
                <w:sz w:val="19"/>
                <w:lang w:val="pt-BR" w:bidi="ar-SA"/>
                <w:kern w:val="16"/>
                <w14:ligatures w14:val="standardContextual"/>
              </w:rPr>
              <w:t>Enquadramento por período:</w:t>
            </w:r>
            <w:r>
              <w:rPr>
                <w:rFonts w:ascii="EB Garamond" w:hAnsi="EB Garamond" w:cs="EB Garamond"/>
                <w:b w:val="0"/>
                <w:i w:val="0"/>
                <w:color w:val="201B16"/>
                <w:sz w:val="19"/>
                <w:lang w:val="pt-BR" w:bidi="ar-SA"/>
                <w:kern w:val="16"/>
                <w14:ligatures w14:val="standardContextual"/>
              </w:rPr>
              <w:t xml:space="preserve"> - Até 28/04/1995: categoria profissional OU agente nocivo - 29/04/1995 a 05/03/1997: agente nocivo (Decreto 53.831/64 e 83.080/79) - 06/03/1997 a 06/05/1999: agente nocivo (Decreto 2.172/97) - A partir de 07/05/1999: agente nocivo (Decreto 3.048/99, Anexo IV)</w:t>
            </w:r>
          </w:p>
          <w:p>
            <w:pPr>
              <w:spacing w:before="0" w:after="60" w:line="247" w:lineRule="auto"/>
              <w:jc w:val="both"/>
            </w:pPr>
            <w:r>
              <w:rPr>
                <w:rFonts w:ascii="EB Garamond" w:hAnsi="EB Garamond" w:cs="EB Garamond"/>
                <w:b/>
                <w:i w:val="0"/>
                <w:color w:val="201B16"/>
                <w:sz w:val="19"/>
                <w:lang w:val="pt-BR" w:bidi="ar-SA"/>
                <w:kern w:val="16"/>
                <w14:ligatures w14:val="standardContextual"/>
              </w:rPr>
              <w:t>Limites de ruído:</w:t>
            </w:r>
            <w:r>
              <w:rPr>
                <w:rFonts w:ascii="EB Garamond" w:hAnsi="EB Garamond" w:cs="EB Garamond"/>
                <w:b w:val="0"/>
                <w:i w:val="0"/>
                <w:color w:val="201B16"/>
                <w:sz w:val="19"/>
                <w:lang w:val="pt-BR" w:bidi="ar-SA"/>
                <w:kern w:val="16"/>
                <w14:ligatures w14:val="standardContextual"/>
              </w:rPr>
              <w:t xml:space="preserve"> - Até 05/03/1997: &gt; 80 dB(A) - 06/03/1997 a 18/11/2003: &gt; 90 dB(A) - A partir de 19/11/2003: &gt; 85 dB(A)</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8.19 Aspectos práticos da concessão administrativa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concessão administrativa da aposentadoria especial é realizada perante o INSS, mediante requerimento formulado no sistema Meu INSS. O segurado deve apresentar a documentação probatória — PPP (para períodos a partir de 01/01/2004), formulários anteriores (SB-40, DSS-8030 etc.) para períodos anteriores, e CTPS para enquadramento por categoria profissional.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INSS analisa a documentação e verifica se os períodos de atividade especial estão devidamente comprovados. A análise é feita por servidor administrativo (e não por perito médico, como nos benefícios por incapacidade), com base nos critérios da Instrução Normativa INSS/PRES n. 128/2022 (e suas atualizações posteriores). O indeferimento administrativo pode se dar por: (a) insuficiência do tempo de atividade especial; (b) PPP incompleto ou com informações inconsistentes; (c) ausência de LTCAT contemporâneo; (d) indicação de EPI eficaz para agente nocivo (exceto ruído); (e) falta de carência; (f) ausência de idade ou pontuação mínima (para requerimentos após a EC 103/2019).</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segurado que tiver seu requerimento indeferido pode: (a) interpor recurso administrativo ao CRPS (Conselho de Recursos da Previdência Social) no prazo de 30 dias; (b) formular novo requerimento com documentação complementar; ou (c) ajuizar ação nos JEFs (para causas até 60 salários-mínimos) ou na Justiça Federal.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via administrativa, a análise do CNIS é o primeiro passo. O CNIS registra todos os vínculos empregatícios e contribuições do segurado, mas não indica automaticamente quais períodos são especiais. O reconhecimento administrativo de tempo especial depende da apresentação do PPP pelo segurado e da análise documental pelo servidor do INSS. O GEX (Gerência Executiva) do INSS pode, de ofício, reconhecer períodos especiais quando o sistema identifica códigos de atividade associados a agentes nocivos no eSocial — funcionalidade gradualmente implementada com a consolidação do PPP eletrônico.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simulação de tempo de contribuição no portal Meu INSS também exige cautela. O segurado pode, pelo portal Meu INSS, solicitar simulação que indique quanto tempo falta para a aposentadoria. Contudo, a simulação não computa automaticamente períodos de atividade especial não reconhecidos pelo INSS, o que pode levar o segurado a crer que ainda falta tempo quando, na realidade, o reconhecimento dos períodos especiais (por conversão ou contagem direta) já completaria os requisitos. O advogado deve calcular autonomamente o tempo do segurado, computando os períodos especiais com os devidos fatores de conversão.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advogado, antes de ajuizar ação de aposentadoria especial no JEF, deve verificar detalhadamente o Cadastro Nacional de Informações Sociais (CNIS) do segurado e a carta de indeferimento do INSS. A carta identifica quais períodos foram reconhecidos como especiais e quais foram indeferidos, com a respectiva fundamentação. A petição inicial deve concentrar o pedido nos períodos efetivamente controvertidos, não cabe ao Judiciário realizar a totalidade da análise administrativa, mas apenas resolver as controvérsias específicas sobre os períodos não reconhecidos pelo INSS. A juntada de todos os PPPs, formulários e CTPS é indispensável para a instrução do processo.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8.20 Questões especiais: eletricidade e periculosidade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controvérsia sobre o enquadramento da eletricidade como agente nocivo após o Decreto n. 2.172/1997 é das mais frequentes nos JEFs.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Até 05/03/1997, a eletricidade estava prevista como agente nocivo nos quadros anexos dos Decretos n. 53.831/1964 (código 1.1.8, referente a operações em locais com eletricidade em condições de perigo de vida, com tensão superior a 250 volts) e 83.080/1979. A partir de 06/03/1997, com a edição do Decreto n. 2.172/1997 (e, posteriormente, do Decreto n. 3.048/1999), a eletricidade foi excluída da relação de agentes nocivos.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exclusão gerou controvérsia: como o Tema 534 do STJ reconhece que as normas regulamentadoras são exemplificativas, a eletricidade pode ser enquadrada como agente nocivo mesmo quando não consta do regulamento, desde que a técnica médica e a legislação correlata considerem a atividade prejudicial à saúde ou à integridade física. A periculosidade da atividade com exposição a energia elétrica é reconhecida pela legislação trabalhista — a Lei n. 7.369/1985 (revogada pela Lei n. 12.740/2012, que incluiu a eletricidade no art. 193 da CLT) e a NR-10 são os fundamentos principais, reforçados pela Súmula 191/TST —, o que serve de base para o enquadramento previdenciário.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jurisprudência dos TRFs é amplamente favorável ao reconhecimento da eletricidade como agente nocivo para fins de aposentadoria especial, mesmo após o Decreto n. 2.172/1997, com fundamento no Tema 534/STJ. A TNU também tem acolhido essa tese em diversos julgados.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reconhecimento da eletricidade como agente nocivo para fins de aposentadoria especial, mesmo após a exclusão dos quadros regulamentares pelo Decreto n. 2.172/1997, fundamenta-se no caráter exemplificativo das normas regulamentadoras (Tema 534/STJ) e na periculosidade reconhecida pela legislação trabalhista. A exposição habitual a tensões elétricas superiores a 250 volts, com risco de choque elétrico e arco voltaico, constitui condição de trabalho prejudicial à integridade física do trabalhador, ensejando o cômputo do período como especial.</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8.21 Aposentadoria especial do vigilante: o confronto entre o STJ (Tema 1.031) e o STF (Tema 1.209)</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aposentadoria especial do vigilante percorreu trajetória jurisprudencial peculiar e, ao cabo, foi objeto de uma virada decisória que merece exame autônomo. A controvérsia central é saber se a atividade de vigilante — em razão da periculosidade que lhe é inerente, com ou sem o porte de arma de fogo — pode ser reconhecida como especial, à semelhança do que a jurisprudência admite para a eletricidade (seção 8.20).</w:t>
      </w:r>
    </w:p>
    <w:p>
      <w:pPr>
        <w:spacing w:before="260" w:after="80" w:line="240" w:lineRule="auto"/>
        <w:jc w:val="left"/>
      </w:pPr>
      <w:r>
        <w:rPr>
          <w:rFonts w:ascii="EB Garamond" w:hAnsi="EB Garamond" w:cs="EB Garamond"/>
          <w:b/>
          <w:i w:val="0"/>
          <w:color w:val="3A3128"/>
          <w:sz w:val="25"/>
          <w:lang w:val="pt-BR" w:bidi="ar-SA"/>
          <w:kern w:val="16"/>
          <w14:ligatures w14:val="standardContextual"/>
        </w:rPr>
        <w:t>8.21.1 O entendimento amplo do STJ (Tema 1.031)</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P</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or longo período, a discussão dividiu-se em duas fases. Até 05/03/1997, a atividade de vigilante (ou vigia armado) encontrava amparo no Decreto n. 53.831/1964 (código 2.5.7), que enquadrava como perigosa a atividade de guarda exercida com uso de arma de fogo. Com o Decreto n. 2.172/1997, contudo, a atividade deixou de constar dos quadros regulamentares, instaurando-se a controvérsia sobre a possibilidade de seu reconhecimento como especial nos períodos posteriores.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STJ, no julgamento do Tema 1.031 (REsp 1.831.371, Rel. Min. Napoleão Nunes Maia Filho, j. 09/12/2020), adotou orientação ampla e favorável ao segurado, fixando a seguinte tese:</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STJ, Tema 1.031 (REsp 1.831.371, Rel. Min. Napoleão Nunes Maia Filho, j. 09/12/2020):</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"É possível o reconhecimento da especialidade da atividade de Vigilante, mesmo após EC 103/2019, com ou sem o uso de arma de fogo, em data posterior à Lei 9.032/1995 e ao Decreto 2.172/1997, desde que haja a comprovação da efetiva nocividade da atividade, por qualquer meio de prova até 5.3.1997, momento em que se passa a exigir apresentação de laudo técnico ou elemento material equivalente, para comprovar a permanente, não ocasional nem intermitente, exposição à atividade nociva, que coloque em risco a integridade física do Segurado."</w:t>
            </w:r>
          </w:p>
          <w:p>
            <w:pPr>
              <w:spacing w:before="0" w:after="60" w:line="247" w:lineRule="auto"/>
              <w:jc w:val="both"/>
            </w:pPr>
            <w:r>
              <w:rPr>
                <w:rFonts w:ascii="EB Garamond" w:hAnsi="EB Garamond" w:cs="EB Garamond"/>
                <w:b/>
                <w:i w:val="0"/>
                <w:color w:val="201B16"/>
                <w:sz w:val="19"/>
                <w:lang w:val="pt-BR" w:bidi="ar-SA"/>
                <w:kern w:val="16"/>
                <w14:ligatures w14:val="standardContextual"/>
              </w:rPr>
              <w:t>STF, Tema 1.209 (RE 1.368.225, Rel. Orig. Min. Nunes Marques, red. P/ acórdão Min. Alexandre de Moraes, j. 18/02/2026, por maioria — 6×4):</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atividade de vigilante, com ou sem o uso de arma de fogo, não se caracteriza como especial, para fins de concessão da aposentadoria de que trata o art. 201, § 1º, da Constituição."</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fundamento do Tema 1.031 do STJ era o caráter exemplificativo das normas regulamentadoras (Tema 534/STJ, seção 8.5.3): tal como na eletricidade, a periculosidade da atividade de vigilante — exposta ao risco de assaltos e à violência armada — justificaria o enquadramento como especial mesmo após a exclusão dos quadros regulamentares, desde que comprovada a efetiva nocividade por laudo técnico ou elemento material equivalente. Sob essa orientação, formou-se ampla jurisprudência nos TRFs reconhecendo a especialidade da atividade de vigilante por periculosidade.</w:t>
      </w:r>
    </w:p>
    <w:p>
      <w:pPr>
        <w:spacing w:before="260" w:after="80" w:line="240" w:lineRule="auto"/>
        <w:jc w:val="left"/>
      </w:pPr>
      <w:r>
        <w:rPr>
          <w:rFonts w:ascii="EB Garamond" w:hAnsi="EB Garamond" w:cs="EB Garamond"/>
          <w:b/>
          <w:i w:val="0"/>
          <w:color w:val="3A3128"/>
          <w:sz w:val="25"/>
          <w:lang w:val="pt-BR" w:bidi="ar-SA"/>
          <w:kern w:val="16"/>
          <w14:ligatures w14:val="standardContextual"/>
        </w:rPr>
        <w:t>8.21.2 A restrição do STF (Tema 1.209)</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entendimento amplo do STJ foi confrontado pelo STF no julgamento do RE 1.368.225 (Tema 1.209 da Repercussão Geral, Rel. Orig. Min. Nunes Marques, red. P/ acórdão Min. Alexandre de Moraes, j. 18/02/2026, por maioria de 6 votos a 4). O STF firmou orientação restritiva, fixando a tese de que "a atividade de vigilante, com ou sem o uso de arma de fogo, não se caracteriza como especial, para fins de concessão da aposentadoria de que trata o art. 201, § 1º, da Constituição".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ratio decidendi do STF é que a aposentadoria especial pressupõe a efetiva exposição habitual e permanente a agentes nocivos prejudiciais à saúde ou à integridade física — não bastando a mera periculosidade ou o risco de eventos violentos. A exposição a perigo (como o risco de assalto), por sua natureza eventual e potencial, não se confunde com a exposição contínua a agente nocivo que caracteriza a atividade especial. Com isso, o STF restringiu o entendimento mais amplo que o STJ havia consagrado no Tema 1.031, afastando o reconhecimento da especialidade fundado em mera periculosidade da função de vigilante.</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decisão do STF no Tema 1.209 produz impacto direto sobre os pedidos de aposentadoria especial de vigilantes fundados exclusivamente na periculosidade da atividade. Após o julgamento (18/02/2026), o reconhecimento da especialidade não pode mais se amparar apenas no risco inerente à função (porte de arma, risco de assalto). Subsiste, contudo, a possibilidade de enquadramento quando o vigilante comprove exposição habitual e permanente a agentes nocivos efetivos previstos na legislação previdenciária (por exemplo, ruído acima dos limites de tolerância). O julgamento, em sessão virtual encerrada em 13/02/2026, deu-se por maioria de 6 votos a 4, restando vencidos o relator, Min. Nunes Marques, e os Ministros Cármen Lúcia, Flávio Dino e Edson Fachin, que admitiam o enquadramento pela periculosidade. O acórdão foi publicado em 04/03/2026, sem modulação de efeitos, o que projeta reflexos diretos sobre os processos em curso e sobre os benefícios já concedidos com base no Tema 1.031/STJ.</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tensão entre os dois precedentes ilustra a distinção entre periculosidade e nocividade. Enquanto o STJ aproximara o vigilante do eletricista — reconhecendo a periculosidade como fundamento de especialidade —, o STF estabeleceu que a periculosidade, isoladamente, não basta: exige-se a exposição a agente nocivo à saúde ou à integridade física, de forma habitual e permanente, nos termos do art. 57, § 3º, da Lei n. 8.213/91. Prevalece, por força da repercussão geral, a orientação restritiva do STF (art. 927, III, do CPC).</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8.22 Aposentadoria especial e o segurado especial (rural)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segurado especial (trabalhador rural em regime de economia familiar, definido no art. 11, inciso VII, da Lei n. 8.213/91) pode, em tese, ter reconhecido período de atividade especial se exposto a agentes nocivos, como agrotóxicos (defensivos agrícolas), por exemplo. Contudo, a comprovação é particularmente difícil em razão da informalidade que caracteriza o trabalho rural familiar: não há PPP, LTCAT ou formulário padronizado emitido por empregador, uma vez que o segurado especial é, ele mesmo, o responsável pela atividade.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jurisprudência tem admitido, nesses casos, a prova da exposição por outros meios: (a) perícia ambiental na propriedade rural, com verificação in loco das condições de trabalho e dos produtos utilizados; (b) laudos técnicos de instituições públicas (EMATER, secretarias de agricultura) sobre o uso de agrotóxicos na região; (c) receituários agronômicos que comprovem a aquisição e utilização de defensivos agrícolas; (d) notas fiscais de aquisição de agrotóxicos em nome do segurado ou da unidade familiar; (e) declaração da autoridade sanitária local sobre práticas agrícolas na região.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enquadramento, contudo, permanece excepcional e controverso. A principal dificuldade reside na demonstração da habitualidade e permanência da exposição. O uso esporádico de agrotóxicos, limitado a determinados períodos do ciclo agrícola (semeadura, tratamento fitossanitário), pode não configurar exposição habitual e permanente nos termos do art. 57, § 3º, da Lei n. 8.213/91. A jurisprudência tende a reconhecer a especialidade quando a atividade agrícola envolve culturas que demandam aplicação frequente de defensivos (fumo, tomate, batata, algodão), mas exige prova robusta da utilização dos produtos e da exposição direta do segurado.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Além dos agrotóxicos, o segurado rural pode estar exposto a outros agentes nocivos: agentes biológicos (trabalho em avicultura e suinocultura confinada, exposição a fungos em silos e armazéns), ruído (operação de tratores e máquinas agrícolas sem proteção auditiva) e poeiras minerais (trabalho em mineração artesanal em pequena escala). Em cada caso, a comprovação deve ser feita pelos meios de prova disponíveis, com atenção à realidade da atividade rural e à dificuldade inerente de documentação formal.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Nos JEFs, o pedido de aposentadoria especial por segurado rural exige instrução probatória diferenciada. Na ausência de PPP e LTCAT, o juiz deve avaliar: (a) a natureza da cultura ou criação (atividades com uso intensivo de agrotóxicos justificam a designação de perícia); (b) documentos de aquisição de defensivos agrícolas e receituários agronômicos; (c) a possibilidade de perícia ambiental na propriedade rural. Se a perícia confirmar a exposição habitual, o período pode ser reconhecido como especial. Se a exposição for sazonal ou esporádica, o enquadramento é inviável. A prova testemunhal pode complementar, mas não substituir, a prova técnica.</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8.23 Aposentadoria especial e contribuinte individual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contribuinte individual que exerce atividade em condições especiais pode ter reconhecido o direito à aposentadoria especial, desde que comprove a efetiva exposição a agentes nocivos prejudiciais à saúde ou à integridade física. A dificuldade reside na prova: o contribuinte individual frequentemente não tem PPP (documento emitido pelo empregador) e pode não dispor de LTCAT, uma vez que a obrigação de elaboração desses documentos recai sobre o empregador — e o contribuinte individual é, por definição, trabalhador autônomo ou empresário sem vínculo empregatício.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Nessa situação, a prova pode ser feita por meios alternativos: (a) laudo técnico elaborado a pedido do próprio segurado, por médico do trabalho ou engenheiro de segurança do trabalho habilitado, contendo avaliação qualitativa e quantitativa dos agentes nocivos presentes no ambiente de trabalho; (b) perícia judicial ambiental no local de trabalho, determinada pelo juiz nos JEFs; (c) documentos de terceiros que atestem as condições ambientais — laudos de inspeção da vigilância sanitária, autos de infração trabalhista, relatórios de inspeção do corpo de bombeiros, laudos de processos judiciais envolvendo o mesmo local de trabalho; (d) declarações de sindicatos ou cooperativas de trabalho que atestem as condições em que a atividade é habitualmente exercida.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jurisprudência tem reconhecido o direito do contribuinte individual à aposentadoria especial em situações como: dentistas que operam consultório próprio (exposição a agentes biológicos), mecânicos autônomos (exposição a ruído, óleos minerais e hidrocarbonetos), eletricistas autônomos (periculosidade por exposição a alta tensão), pintores (exposição a solventes orgânicos e tintas com compostos químicos) e motoristas de caminhão que transportam cargas perigosas (inflamáveis, explosivos). Em cada caso, a comprovação da especialidade exige demonstração da exposição habitual e permanente, o que demanda prova técnica adequada.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matéria foi pacificada pelo STJ no julgamento do Tema 1.291 (REsp 2.163.429, Rel. Min. Gurgel de Faria, j. 10/09/2025), sob a sistemática dos recursos repetitivos, que assegurou ao contribuinte individual não cooperado o direito ao reconhecimento de tempo especial após a Lei n. 9.032/1995, dispensando-o da exigência de formulário emitido por empresa — exigência incompatível com a própria condição do trabalhador autônomo, que não possui empregador para elaborar o documento.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STJ, Tema 1.291 (REsp 2.163.429, Rel. Min. Gurgel de Faria, j. 10/09/2025):</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O contribuinte individual não cooperado tem direito ao reconhecimento de tempo de atividade especial exercido após a Lei n. 9.032/95, desde que comprove a exposição a agentes nocivos. B) A exigência de comprovação da atividade especial por formulário emitido por empresa não se aplica a contribuintes individuais."</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tese supera o argumento — frequentemente invocado pelo INSS — de que a ausência de PPP ou de formulário empresarial obstaria o reconhecimento da especialidade para o trabalhador autônomo. A prova da exposição a agentes nocivos pode ser feita por outros meios idôneos (laudo técnico, perícia judicial, documentos de terceiros), conforme já examinado nesta seção.</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carência de 180 contribuições deve ser integralmente cumprida pelo contribuinte individual, observadas as regras gerais de contribuição dessa categoria. O contribuinte individual recolhe suas contribuições diretamente ao INSS, e a irregularidade ou atraso nos recolhimentos pode comprometer o cômputo do período tanto para a carência quanto para o tempo de atividade especial. A regularização de contribuições em atraso é possível nos termos do art. 45-A da Lei n. 8.212/91, mas a comprovação do exercício efetivo da atividade no período é condição indispensável para a regularização.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contribuinte individual que pretende obter aposentadoria especial deve providenciar, desde o início da atividade, a elaboração de laudo técnico por profissional habilitado que ateste as condições ambientais de trabalho. Esse cuidado preventivo facilita substancialmente a comprovação futura da atividade especial, especialmente para atividades exercidas durante longos períodos. Na ausência de documentação contemporânea, a prova judicial torna-se mais complexa e onerosa. A perícia ambiental pode ser inviabilizada se o local de trabalho já não existir ou tiver sido substancialmente alterado. O advogado que assessora contribuintes individuais deve orientar a constituição tempestiva da prova técnica.</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Conclusão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aposentadoria especial concentra a maior parte do contencioso previdenciário sobre condições de trabalho nos JEFs. Três fatores explicam essa litigiosidade persistente.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primeiro é normativo. A EC 103/2019 introduziu idade mínima, sistema de pontos e coeficiente redutor onde antes havia regime de 100% sem exigência etária. No julgamento da ADI 6.309 (Rel. Orig. Min. Luís Roberto Barroso, red. P/ acórdão Min. André Mendonça, j. 03/06/2026, 6×5), o STF reverteu parcialmente essas alterações: declarou inconstitucional a exigência de idade mínima — que, portanto, deixou de ser exigível —, mas manteve a nova forma de cálculo e a vedação à conversão de tempo especial em comum. Até o fechamento desta edição, o acórdão não havia sido publicado, de modo que eventual modulação de efeitos deve ser conferida no inteiro teor, o que exigirá do magistrado atenção, sobretudo quanto aos pedidos formulados ou aos benefícios concedidos antes da decisão.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segundo é probatório. O PPP eletrônico via eSocial padronizou a prova para vínculos a partir de 2023, mas a maioria dos litígios envolve períodos anteriores, documentados em formulários físicos (SB-40, DSS-8030, PPP em papel) ou sem documentação alguma (empresas extintas, contribuintes individuais, segurados rurais). O domínio de regimes probatórios distintos conforme o período é condição para a instrução adequada.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terceiro é técnico. O magistrado que julga aposentadoria especial precisa ler laudos ambientais, compreender metodologias de medição (NHO-01 para ruído, IBUTG para calor, dosimetria para radiações) e identificar agentes nocivos e seus efeitos sobre a saúde. Sem essa competência, a sentença corre o risco de se fundar em premissas técnicas equivocadas.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Sustentamos que o regime da aposentadoria especial deve ser interpretado à luz de sua finalidade constitucional: proteger o trabalhador que sacrifica sua saúde em benefício da coletividade. As exigências de comprovação e documentação são legítimas, mas não podem se converter em obstáculos que, na prática, esvaziem o direito que a Constituição assegura.</w:t>
      </w:r>
    </w:p>
    <w:p>
      <w:pPr>
        <w:sectPr>
          <w:headerReference w:type="default" r:id="rId111"/>
          <w:headerReference w:type="even" r:id="rId112"/>
          <w:footerReference w:type="default" r:id="rId113"/>
          <w:footerReference w:type="even" r:id="rId114"/>
          <w:headerReference w:type="first" r:id="rId115"/>
          <w:footerReference w:type="first" r:id="rId116"/>
          <w:pgSz w:w="8391" w:h="11906"/>
          <w:pgMar w:top="935" w:right="879" w:bottom="964" w:left="1162" w:header="454" w:footer="425" w:gutter="0" w:mirrorMargins="1"/>
          <w:cols w:space="720"/>
          <w:titlePg/>
          <w:docGrid w:linePitch="360"/>
        </w:sectPr>
      </w:pPr>
    </w:p>
    <w:p>
      <w:pPr>
        <w:spacing w:before="240" w:after="80" w:line="240" w:lineRule="auto"/>
        <w:jc w:val="center"/>
        <w:keepNext/>
      </w:pPr>
      <w:r>
        <w:rPr>
          <w:rFonts w:ascii="Noto Sans" w:hAnsi="Noto Sans" w:cs="Noto Sans"/>
          <w:b/>
          <w:i w:val="0"/>
          <w:caps/>
          <w:color w:val="8A6A2A"/>
          <w:sz w:val="19"/>
          <w:lang w:val="pt-BR" w:bidi="ar-SA"/>
          <w:kern w:val="16"/>
          <w14:ligatures w14:val="standardContextual"/>
        </w:rPr>
        <w:t>CAPÍTULO 9</w:t>
      </w:r>
    </w:p>
    <w:p>
      <w:pPr>
        <w:pStyle w:val="Heading2"/>
        <w:spacing w:before="0" w:after="160" w:line="240" w:lineRule="auto"/>
        <w:jc w:val="center"/>
        <w:keepNext/>
      </w:pPr>
      <w:r>
        <w:rPr>
          <w:rFonts w:ascii="EB Garamond" w:hAnsi="EB Garamond" w:cs="EB Garamond"/>
          <w:b/>
          <w:i w:val="0"/>
          <w:caps/>
          <w:color w:val="2F2923"/>
          <w:sz w:val="40"/>
          <w:lang w:val="pt-BR" w:bidi="ar-SA"/>
          <w:kern w:val="16"/>
          <w14:ligatures w14:val="standardContextual"/>
        </w:rPr>
        <w:t>Aposentadoria do Segurado Rural</w:t>
      </w:r>
    </w:p>
    <w:p>
      <w:pPr>
        <w:spacing w:before="0" w:after="240" w:line="240" w:lineRule="auto"/>
        <w:jc w:val="center"/>
      </w:pPr>
      <w:r>
        <w:rPr>
          <w:rFonts w:ascii="EB Garamond" w:hAnsi="EB Garamond" w:cs="EB Garamond"/>
          <w:b w:val="0"/>
          <w:i w:val="0"/>
          <w:color w:val="B78B37"/>
          <w:sz w:val="18"/>
          <w:lang w:val="pt-BR" w:bidi="ar-SA"/>
          <w:kern w:val="16"/>
          <w14:ligatures w14:val="standardContextual"/>
        </w:rPr>
        <w:t>━━━━  ◆  ━━━━</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aposentadoria rural se diferencia das demais espécies pelo regime probatório próprio: a comprovação do exercício de atividade rural constitui o núcleo das controvérsias nos JEFs, exigindo domínio de regras processuais e materiais que se entrelaçam de modo peculiar. As idades reduzidas (60 anos para homens e 55 para mulheres) e a dispensa de contribuições pecuniárias para o segurado especial conferem ao benefício feição assistencial que o distingue das demais aposentadorias do RGPS.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segurado especial, conceituado no art. 11, inciso VII, da Lei n. 8.213, de 24 de julho de 1991, é a figura central deste capítulo. Diferencia-se dos demais segurados obrigatórios por exercer atividade agropecuária, pesqueira ou extrativista em regime de economia familiar, sem empregados permanentes, em área que não exceda quatro módulos fiscais. A Constituição de 1988, em seu art. 195, § 8º, conferiu-lhe regime contributivo diferenciado, fundado na comercialização da produção, reconhecendo que a capacidade contributiva desse trabalhador não se equipara à dos segurados vinculados ao mercado formal de trabalho.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EC 103/2019, que promoveu reformas substanciais em diversas espécies de benefícios previdenciários, não alterou os requisitos da aposentadoria por idade do segurado especial. Os limiares etários de 60 e 55 anos, bem como a comprovação de 15 anos de atividade rural, permanecem inalterados. Essa opção legislativa reflete o reconhecimento de que o trabalhador rural já se encontra em condição de vulnerabilidade socioeconômica que não comporta endurecimento dos critérios de acesso à proteção previdenciária.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tratamento da matéria neste capítulo abrange, além da aposentadoria por idade rural do segurado especial (art. 48, §§ 1º e 2º, da Lei n. 8.213/91), a aposentadoria por idade híbrida (art. 48, § 3º, introduzido pela Lei n. 11.718/2008), que permite a soma de períodos rurais e urbanos para o preenchimento da carência. Examinaremos, ainda, o regime probatório da atividade rural, a jurisprudência consolidada do STJ e da TNU sobre a matéria, e os aspectos procedimentais que orientam a atuação nos Juizados Especiais Federais.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9.1 Conceito e fundamento constitucional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aposentadoria rural é espécie de aposentadoria por idade com requisitos diferenciados, concedida ao trabalhador que comprove o exercício de atividade rural pelo período exigido em lei. O fundamento constitucional encontra-se no art. 201, § 7º, inciso II, da Constituição Federal (com redação da EC 103/2019), que estabelece diretamente as idades de 60 anos para homens e 55 anos para mulheres para os trabalhadores rurais e para os que exerçam atividades em regime de economia familiar, nestes incluídos o produtor rural, o garimpeiro e o pescador artesanal. A opção do poder constituinte reformador de manter essas idades no próprio texto constitucional, em inciso específico, reforça o caráter diferenciado da proteção ao trabalhador rural.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reprodução literal do rol constitucional, contudo, não importa enquadramento automático de todas as figuras ali nomeadas como segurado especial. O garimpeiro, em particular, é tratado pela legislação de custeio como contribuinte individual (art. 12, inciso V, da Lei n. 8.212/91), e não como segurado especial — categoria reservada, no plano infraconstitucional, ao produtor, parceiro, meeiro e arrendatário rurais, ao pescador artesanal e aos respectivos cônjuges que trabalhem em regime de economia familiar (art. 11, VII, da Lei n. 8.213/91). A menção ao garimpeiro neste tópico tem, portanto, alcance estritamente constitucional, reproduzindo o texto do art. 201, § 7º, II, sem afirmar seu enquadramento como segurado especial para os fins deste capítulo.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justificativa constitucional para a diferenciação é de ordem material: o trabalho rural, exercido sob condições de desgaste físico acentuado, exposição a intempéries e acesso precário a serviços de saúde, acarreta envelhecimento funcional mais acelerado do que o verificado nas ocupações urbanas, conforme Horvath Júnior (2024). O constituinte de 1988 optou por compensar essa desigualdade de condições por meio da redução do requisito etário, dando concretude ao princípio da seletividade e distributividade na prestação dos benefícios (art. 194, parágrafo único, inciso III, da CF/88).</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proteção previdenciária ao trabalhador rural é reforçada pelo art. 195, § 8º, da Constituição, que estabelece regime contributivo diferenciado para o segurado especial. Nos termos desse dispositivo, o produtor, o parceiro, o meeiro e o arrendatário rurais, o pescador artesanal e os respectivos cônjuges, que exerçam suas atividades em regime de economia familiar, sem empregados permanentes, contribuirão para a seguridade social mediante a aplicação de alíquota sobre o resultado da comercialização da produção. Essa forma de contribuição substitui a alíquota incidente sobre a remuneração, reconhecendo a impossibilidade de exigir do pequeno produtor rural contribuição mensal calculada nos moldes dos demais segurados.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constitucionalidade da contribuição do segurado especial sobre o resultado da comercialização da produção foi confirmada pelo Supremo Tribunal Federal no julgamento do RE 761.263 (Tema 723 da repercussão geral, Plenário, rel. Min. Alexandre de Moraes, j. 15/04/2020, DJe 01/02/2021), que reconheceu a validade constitucional do art. 25 da Lei n. 8.212/91 como fundado diretamente no art. 195, § 8º, da Constituição Federal. A composição detalhada das alíquotas que incidem sobre a receita bruta da comercialização da produção rural — a contribuição previdenciária de 1,3% e a parcela de 0,2% destinada ao SENAR, perfazendo 1,5% — é examinada na seção 9.17, dedicada ao regime contributivo do segurado especial.</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9.2 Evolução legislativa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proteção previdenciária ao trabalhador rural brasileiro percorreu longo caminho até alcançar o patamar constitucional atual, conforme sintetizado no quadro seguinte.</w:t>
      </w:r>
    </w:p>
    <w:tbl>
      <w:tblPr>
        <w:tblW w:type="auto" w:w="0"/>
        <w:jc w:val="center"/>
        <w:tblLook w:firstColumn="1" w:firstRow="1" w:lastColumn="0" w:lastRow="0" w:noHBand="0" w:noVBand="1" w:val="04A0"/>
        <w:tblW w:w="5000" w:type="pct"/>
      </w:tblPr>
      <w:tblGrid>
        <w:gridCol w:w="3175"/>
        <w:gridCol w:w="3175"/>
      </w:tblGrid>
      <w:tr>
        <w:trPr>
          <w:tblHeader/>
        </w:trPr>
        <w:tc>
          <w:tcPr>
            <w:tcW w:type="dxa" w:w="3175"/>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Marco legislativo</w:t>
            </w:r>
          </w:p>
        </w:tc>
        <w:tc>
          <w:tcPr>
            <w:tcW w:type="dxa" w:w="3175"/>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Conteúdo central</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Lei n. 4.214/1963 (Estatuto do Trabalhador Rural)</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Extensão de direitos trabalhistas ao campo; sem proteção previdenciária efetiva</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LC 11/1971 (PRORURAL/FUNRURAL)</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Aposentadoria por velhice aos 65 anos, meio salário-mínimo, exclusiva ao chefe de família</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CF/1988</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Equiparação rural-urbana, redução etária (art. 201, § 7º, II), contribuição diferenciada (art. 195, § 8º)</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Lei n. 8.213/1991</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Regulamentação: arts. 11, VII, 39, 48 §§ 1º-2º, 106, 143</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Lei n. 11.718/2008</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Aposentadoria híbrida (art. 48, § 3º), redefinição do segurado especial</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EC 103/2019</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Preservação integral dos requisitos rurais; impacto no cálculo da híbrida</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 marcos que merecem atenção especial são a ruptura promovida pela Constituição de 1988 e as sucessivas prorrogações do art. 143 da Lei n. 8.213/91.</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Constituição de 1988 transformou o cenário. O art. 201, § 7º, inciso II, estabeleceu a redução de cinco anos na idade de aposentadoria para trabalhadores rurais. O art. 195, § 8º, criou regime contributivo diferenciado. O art. 201, § 5º (redação original), ao estabelecer que nenhum benefício substitutivo do salário de contribuição teria valor inferior ao salário-mínimo, equiparou o piso dos benefícios rurais e urbanos. O ADCT, em seu art. 59, assegurou a manutenção dos benefícios concedidos pela legislação de amparo ao trabalhador rural nos termos da lei, garantindo durante a transição a proteção previdenciária ao trabalhador do campo até a regulamentação do sistema pela Lei n. 8.213/91.</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Lei n. 8.213/91 regulamentou a matéria previdenciária e disciplinou a aposentadoria por idade do trabalhador rural nos arts. 11, inciso VII (conceito de segurado especial), 39 (benefícios devidos ao segurado especial), 48, §§ 1º e 2º (requisitos da aposentadoria por idade rural), 106 (documentos de comprovação), e 143 (regra de transição probatória). A lei estabeleceu o requisito de 180 contribuições mensais para a aposentadoria por idade, mas dispensou o segurado especial de contribuições regulares, exigindo-lhe, em substituição, a comprovação do exercício de atividade rural pelo período equivalente à carência (art. 39, inciso I, c/c art. 48, § 2º).</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Lei n. 11.718/2008 introduziu importantes modificações no regime do segurado especial e criou a aposentadoria por idade híbrida, ao acrescentar o § 3º ao art. 48 da Lei n. 8.213/91. Essa alteração permitiu aos trabalhadores que exerceram atividades rurais e urbanas alternadamente a soma dos respectivos períodos para fins de carência. A mesma lei redefiniu aspectos do conceito de segurado especial, ampliando as atividades e fontes de renda complementar compatíveis com o regime de economia familiar.</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art. 143 da Lei n. 8.213/91 previu regra de transição probatória para o segurado especial, sucessivamente prorrogada até 31/12/2025 (Lei n. 14.131/2021). A cronologia detalhada das prorrogações e a relação entre o art. 143 e o art. 48, § 2º, são examinadas na seção 9.27.</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Decreto n. 10.410/2020 atualizou o Regulamento da Previdência Social (Decreto n. 3.048/1999) para adequá-lo à EC 103/2019 e a outras alterações legislativas, reformulando os dispositivos relativos ao segurado especial, ao regime de economia familiar e à comprovação de atividade rural. Embora a EC 103/2019 não tenha alterado os requisitos da aposentadoria por idade rural, o Decreto promoveu ajustes no procedimento administrativo de comprovação que repercutem na atuação forense dos JEFs.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9.3 Segurado especial: definição e requisitos legais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conceito de segurado especial (art. 11, VII, da Lei n. 8.213/91) e seus requisitos gerais foram examinados no Capítulo 2 (seção 2.1.5), ao qual se remete o leitor para a definição integral. Para fins da aposentadoria rural, destacam-se os requisitos que geram maior controvérsia nos JEFs: (a) o regime de economia familiar; (b) a limitação da área a quatro módulos fiscais (para atividade agropecuária); e (c) a ausência de empregados permanentes. Os requisitos de residência e proximidade, embora raramente controvertidos, merecem registro pela flexibilidade com que a jurisprudência os interpreta.</w:t>
      </w:r>
    </w:p>
    <w:p>
      <w:pPr>
        <w:spacing w:before="260" w:after="80" w:line="240" w:lineRule="auto"/>
        <w:jc w:val="left"/>
      </w:pPr>
      <w:r>
        <w:rPr>
          <w:rFonts w:ascii="EB Garamond" w:hAnsi="EB Garamond" w:cs="EB Garamond"/>
          <w:b/>
          <w:i w:val="0"/>
          <w:color w:val="3A3128"/>
          <w:sz w:val="25"/>
          <w:lang w:val="pt-BR" w:bidi="ar-SA"/>
          <w:kern w:val="16"/>
          <w14:ligatures w14:val="standardContextual"/>
        </w:rPr>
        <w:t>9.3.1 Residência e proximidade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requisito da residência admite interpretação flexível. A lei exige residência "no imóvel rural ou em aglomerado urbano ou rural próximo a ele", o que abrange tanto a residência na própria propriedade rural quanto a moradia em sede de município vizinho, desde que haja vínculo efetivo com a atividade rural. A jurisprudência da TNU consolidou o entendimento de que a residência na zona urbana de pequeno município, por si só, não descaracteriza a condição de segurado especial, quando comprovado o efetivo exercício de atividade rural.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fundamento desse entendimento é eminentemente prático: em muitos municípios brasileiros de pequeno porte, a zona urbana resume-se a algumas ruas centrais, e o trabalhador rural reside na sede do município por necessidade de acesso a serviços básicos (escola dos filhos, posto de saúde, comércio), deslocando-se diariamente para a lavoura. Exigir a residência na propriedade rural como condição absoluta para o enquadramento como segurado especial significaria desconsiderar essa realidade e impor ao trabalhador rural escolha entre a proteção previdenciária e o acesso a serviços essenciais. A análise do requisito de proximidade deve considerar as condições de transporte, a distância entre o aglomerado urbano e a propriedade rural, e a efetividade do deslocamento diário para o trabalho no campo.</w:t>
      </w:r>
    </w:p>
    <w:p>
      <w:pPr>
        <w:spacing w:before="260" w:after="80" w:line="240" w:lineRule="auto"/>
        <w:jc w:val="left"/>
      </w:pPr>
      <w:r>
        <w:rPr>
          <w:rFonts w:ascii="EB Garamond" w:hAnsi="EB Garamond" w:cs="EB Garamond"/>
          <w:b/>
          <w:i w:val="0"/>
          <w:color w:val="3A3128"/>
          <w:sz w:val="25"/>
          <w:lang w:val="pt-BR" w:bidi="ar-SA"/>
          <w:kern w:val="16"/>
          <w14:ligatures w14:val="standardContextual"/>
        </w:rPr>
        <w:t>9.3.2 Limite de área: quatro módulos fiscais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limite de quatro módulos fiscais aplica-se exclusivamente à atividade agropecuária — pescadores artesanais e extrativistas vegetais não se submetem a essa restrição de área. O módulo fiscal é unidade de medida instituída pela Lei n. 6.746/1979, cujos valores por município são publicados em tabelas periodicamente atualizadas pelo INCRA. O módulo fiscal varia conforme o município, levando em conta o tipo de exploração predominante, a renda obtida, o conceito de propriedade familiar e outras variáveis socioeconômicas. Em municípios de agricultura de subsistência no Nordeste, por exemplo, o módulo fiscal pode ser de 5 a 10 hectares, enquanto em regiões de agricultura extensiva no Centro-Oeste pode alcançar 80 a 110 hectares.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variação do módulo fiscal entre municípios pode produzir resultados paradoxais. Um agricultor familiar que explora 80 hectares no interior do Mato Grosso pode estar dentro do limite de quatro módulos fiscais (se o módulo no município for de 80 hectares), enquanto um agricultor que explora 25 hectares em município mineiro pode excedê-lo (se o módulo local for de 5 hectares). A doutrina critica a rigidez do critério, argumentando que a capacidade econômica do produtor depende não apenas da área, mas da fertilidade do solo, do tipo de cultura, do acesso à água e da infraestrutura disponível — circunstâncias que o critério puramente quantitativo não captura. Essa crítica foi parcialmente acolhida pelo STJ no Tema 1.115, a que voltaremos na seção 9.14.</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Na análise de processos nos JEFs, a verificação do limite de quatro módulos fiscais exige duas etapas: (a) consultar a Tabela de Módulos Fiscais do INCRA para identificar o valor do módulo fiscal no município onde se situa o imóvel; e (b) confrontar a área total do imóvel com o resultado de quatro módulos fiscais naquele município. A consulta pode ser feita no portal do INCRA (www.incra.gov.br) ou em tabelas consolidadas disponíveis no sítio eletrônico da Embrapa. É preciso atenção ao fato de que o limite se refere à área total explorada, podendo abranger mais de um imóvel, se a exploração for conjunta pelo grupo familiar.</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conceito de segurado especial alcança também os membros do grupo familiar — cônjuge, companheiro e filhos maiores de 16 anos — que comprovadamente trabalhem na atividade rural (art. 11, § 1º, da Lei n. 8.213/91). Cada um deles é individualmente segurado especial, com direito próprio a benefícios previdenciários, conforme examinado no Capítulo 2.</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9.4 Regime de economia familiar</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regime de economia familiar é o elemento definidor da condição de segurado especial, distinguindo-o dos demais trabalhadores rurais (empregado rural, contribuinte individual que explora atividade agropecuária com empregados permanentes, avulso rural). O regime se define por três elementos que a lei prevê cumulativamente: a indispensabilidade do trabalho de cada membro, a dependência mútua entre eles e a colaboração sem subordinação.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indispensabilidade significa que a atividade de cada membro da família é necessária para a subsistência do grupo. Não se trata de mera participação casual ou eventual, mas de trabalho efetivo, que contribui de forma significativa para o sustento da família. A mútua dependência implica que nenhum membro do grupo familiar seria capaz, isoladamente, de manter a exploração econômica em nível suficiente para a subsistência. A colaboração traduz a ideia de trabalho conjunto, em que as tarefas são distribuídas entre os membros conforme suas capacidades, sem relação de subordinação típica do contrato de trabalho.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jurisprudência construiu, ao longo dos anos, diversos parâmetros para aferir a presença do regime de economia familiar. O STJ, no julgamento do Tema 532 (REsp 1.304.479/SP, rel. Min. Herman Benjamin, j. 10/10/2012, DJe 19/12/2012), fixou a tese de que "o trabalho urbano de um dos membros do grupo familiar não descaracteriza, por si só, os demais integrantes como segurados especiais, devendo ser averiguada a dispensabilidade do trabalho rural para a subsistência do grupo familiar, incumbência esta das instâncias ordinárias (Súmula 7/STJ)". Esse entendimento reconhece que a economia familiar rural frequentemente convive com fontes complementares de renda, sem que isso desnature o regime.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Lei n. 11.718/2008 enumerou, no art. 11, § 9º, da Lei n. 8.213/91, as atividades que não descaracterizam a condição de segurado especial (turismo rural, artesanato, renda complementar de até um salário-mínimo, entre outras). O rol completo foi examinado no Capítulo 2 (seção 2.1.5). Para a aposentadoria rural, o aspecto decisivo é o impacto dessas atividades na avaliação do regime de economia familiar pelo magistrado.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renda complementar de até um salário-mínimo mensal (art. 11, § 9º, VI) deve ser analisada com cuidado: a existência de renda urbana superior pode descaracterizar o regime de economia familiar, embora a jurisprudência dos TRFs venha flexibilizando o critério, examinando a preponderância da atividade rural. A renda do cônjuge em atividade urbana merece análise específica, tratada na seção 9.5.</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contratação de empregados permanentes é vedação expressa para a configuração do segurado especial. Entretanto, o auxílio eventual de terceiros é admitido pela própria lei (art. 11, VII, caput). A legislação não define "auxílio eventual", mas a doutrina e a jurisprudência distinguem a contratação eventual, por prazo certo e em período de maior demanda (colheita, plantio), da contratação permanente de mão de obra assalariada. A contratação de diaristas por períodos curtos em épocas de safra, por exemplo, não descaracteriza o regime de economia familiar, desde que o trabalho do grupo familiar continue sendo a base da atividade produtiva. O art. 11, § 7º, da Lei n. 8.213/91 (incluído pela Lei n. 11.718/2008) autoriza expressamente a contratação de empregados por prazo determinado em período de safra, em número limitado e por tempo certo, à razão de, no máximo, 120 pessoas/dia no ano civil. Convém notar que esse teto se mede em </w:t>
      </w:r>
      <w:r>
        <w:rPr>
          <w:rFonts w:ascii="EB Garamond" w:hAnsi="EB Garamond" w:cs="EB Garamond"/>
          <w:b w:val="0"/>
          <w:i/>
          <w:color w:val="201B16"/>
          <w:sz w:val="21"/>
          <w:lang w:val="pt-BR" w:bidi="ar-SA"/>
          <w:kern w:val="16"/>
          <w14:ligatures w14:val="standardContextual"/>
        </w:rPr>
        <w:t>dias-homem acumulados ao longo do ano</w:t>
      </w:r>
      <w:r>
        <w:rPr>
          <w:rFonts w:ascii="EB Garamond" w:hAnsi="EB Garamond" w:cs="EB Garamond"/>
          <w:b w:val="0"/>
          <w:i w:val="0"/>
          <w:color w:val="201B16"/>
          <w:sz w:val="21"/>
          <w:lang w:val="pt-BR" w:bidi="ar-SA"/>
          <w:kern w:val="16"/>
          <w14:ligatures w14:val="standardContextual"/>
        </w:rPr>
        <w:t xml:space="preserve"> — isto é, o somatório dos dias trabalhados por cada empregado contratado —, e não no número de trabalhadores simultaneamente ocupados em um dado momento. Assim, o segurado especial pode, por exemplo, contratar quatro pessoas durante trinta dias de colheita (4 × 30 = 120 dias-homem) sem ultrapassar o limite legal, ainda que jamais tenha mais de quatro empregados ao mesmo tempo.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9.5 Atividades que descaracterizam (ou não) a condição de segurado especial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manutenção da condição de segurado especial exige que a atividade rural constitua o meio de subsistência predominante do trabalhador e de seu grupo familiar. Diversas circunstâncias, porém, suscitam controvérsia sobre a permanência ou a perda dessa condição.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exercício de atividade urbana por um dos membros do grupo familiar é uma das questões mais recorrentes nos JEFs. A jurisprudência construiu entendimento nuançado: a atividade urbana do cônjuge não descaracteriza, por si só, a condição de segurado especial do outro cônjuge que permanece na atividade rural, desde que o trabalho no campo continue sendo exercido em regime de economia familiar. Essa orientação encontra respaldo no art. 11, § 9º, da Lei n. 8.213/91 e na jurisprudência da TNU.</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Súmula 41 da TNU dispõe que "a circunstância de um dos integrantes do núcleo familiar desempenhar atividade urbana não implica, por si só, a descaracterização do trabalhador rural como segurado especial, condição que deve ser analisada no caso concreto". A ratio decidendi repousa na autonomia da filiação previdenciária: cada membro da família é individualmente segurado especial em razão do trabalho que efetivamente exerce, e não do trabalho do cônjuge ou dos filhos.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Há, contudo, limitações. Quando a renda urbana do cônjuge é suficiente, por si mesma, para garantir o sustento da família e a atividade rural passa a ter caráter meramente complementar ou de lazer, a condição de segurado especial pode ser descaracterizada. O exame exige análise do conjunto probatório: valor da renda urbana, extensão da propriedade, volume da produção rural, número de membros do grupo familiar e outras circunstâncias reveladoras da predominância ou subsidiariedade da atividade rural.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recebimento de benefício previdenciário por incapacidade não descaracteriza a condição de segurado especial, nos termos do art. 11, § 9º, da Lei n. 8.213/91. O segurado que se afasta temporariamente da atividade rural em razão de incapacidade mantém sua qualificação, podendo retomar o trabalho no campo quando recuperado, sem necessidade de reingresso como se fora nova filiação. A pensão por morte recebida por membro do grupo familiar também não obsta a manutenção da condição de segurado especial dos demais membros que continuam na atividade rural.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registro de vínculos urbanos de curta duração no CNIS é circunstância frequente nos processos dos JEFs. A jurisprudência consolidou o entendimento de que vínculos urbanos curtos e intercalados com a atividade rural não descaracterizam a condição de segurado especial, desde que a atividade rural permaneça como ocupação principal. A análise deve ser contextualizada: no meio rural brasileiro, é comum que o pequeno produtor ou o boia-fria busque complementar a renda com atividades urbanas temporárias (construção civil, comércio informal) nos períodos de entressafra, sem abandonar a vocação agrícola.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STJ, Tema 532 (REsp 1.304.479/SP, rel. Min. Herman Benjamin, j. 10/10/2012, DJe 19/12/2012)</w:t>
            </w:r>
            <w:r>
              <w:rPr>
                <w:rFonts w:ascii="EB Garamond" w:hAnsi="EB Garamond" w:cs="EB Garamond"/>
                <w:b w:val="0"/>
                <w:i w:val="0"/>
                <w:color w:val="201B16"/>
                <w:sz w:val="19"/>
                <w:lang w:val="pt-BR" w:bidi="ar-SA"/>
                <w:kern w:val="16"/>
                <w14:ligatures w14:val="standardContextual"/>
              </w:rPr>
              <w:t>: "O trabalho urbano de um dos membros do grupo familiar não descaracteriza, por si só, os demais integrantes como segurados especiais, devendo ser averiguada a dispensabilidade do trabalho rural para a subsistência do grupo familiar, incumbência esta das instâncias ordinárias (Súmula 7/STJ)." A tese afasta a descaracterização automática do regime de economia familiar pelo simples fato de um dos membros do grupo exercer atividade urbana: o que importa é saber se o trabalho rural continua indispensável à subsistência da família. Nos JEFs, a aplicação desse entendimento exige exame cuidadoso do CNIS para identificar a duração, a frequência e a natureza dos vínculos urbanos, confrontando-os com o conjunto da prova documental e testemunhal sobre a atividade rural.</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titularidade de empresa ou a participação em sociedade empresária é incompatível com a condição de segurado especial, salvo nas hipóteses expressamente previstas no art. 11, § 9º, da Lei n. 8.213/91. A titularidade de MEI (Microempreendedor Individual) também pode afetar a condição, dependendo da natureza da atividade e da renda auferida. A mera inscrição como MEI para comercialização direta da produção rural, contudo, vem sendo interpretada com flexibilidade pela jurisprudência, especialmente quando destinada à formalização de atividade já exercida no âmbito da economia familiar.</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9.6 Aposentadoria por idade rural: requisitos legais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48, caput, da Lei n. 8.213/91 estabelece que a aposentadoria por idade será devida ao segurado que, cumprida a carência exigida, completar 65 anos de idade (homem) ou 60 anos (mulher). O § 1º do mesmo artigo reduz esses limites em cinco anos para o trabalhador rural, resultando nas idades de 60 anos (homem) e 55 anos (mulher). A redução aplica-se ao segurado especial (art. 11, VII), ao empregado rural (art. 11, I, "a"), ao trabalhador avulso rural e ao contribuinte individual que presta serviço de natureza rural, nos termos do art. 48, § 1º.</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 2º do art. 48 complementa a disciplina ao prever que, para efeito da aposentadoria por idade do trabalhador rural, não se exige o recolhimento de contribuições na forma do art. 25 da Lei n. 8.212/91 (contribuição sobre a comercialização da produção), desde que comprovada a atividade rural no período imediatamente anterior ao requerimento do benefício, em número de meses idêntico à carência do referido benefício. Conjugam-se, portanto, dois requisitos: (a) a idade mínima (60 anos para homem, 55 para mulher); e (b) a comprovação de 180 meses (15 anos) de atividade rural.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Convém distinguir a aposentadoria por idade rural do segurado especial (art. 48, §§ 1º e 2º) da aposentadoria por idade do empregado rural. Ambos fazem jus à redução etária de cinco anos, mas o regime probatório é distinto. O empregado rural com CTPS assinada comprova a atividade pelo registro formal de vínculo empregatício, dispensando início de prova material nos moldes da Súmula 149/STJ. O segurado especial, por atuar em regime de economia familiar e sem registro formal, submete-se ao regime probatório próprio examinado nas seções 9.7 a 9.9. O empregado rural informal (sem registro em CTPS), por sua vez, submete-se a regime probatório análogo ao do segurado especial, com a exigência de início de prova material corroborado por prova testemunhal.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A carência da aposentadoria por idade — 180 contribuições mensais — é fixada pelo art. 25, inciso II, da </w:t>
      </w:r>
      <w:r>
        <w:rPr>
          <w:rFonts w:ascii="EB Garamond" w:hAnsi="EB Garamond" w:cs="EB Garamond"/>
          <w:b/>
          <w:i w:val="0"/>
          <w:color w:val="201B16"/>
          <w:sz w:val="21"/>
          <w:lang w:val="pt-BR" w:bidi="ar-SA"/>
          <w:kern w:val="16"/>
          <w14:ligatures w14:val="standardContextual"/>
        </w:rPr>
        <w:t>Lei de Benefícios</w:t>
      </w:r>
      <w:r>
        <w:rPr>
          <w:rFonts w:ascii="EB Garamond" w:hAnsi="EB Garamond" w:cs="EB Garamond"/>
          <w:b w:val="0"/>
          <w:i w:val="0"/>
          <w:color w:val="201B16"/>
          <w:sz w:val="21"/>
          <w:lang w:val="pt-BR" w:bidi="ar-SA"/>
          <w:kern w:val="16"/>
          <w14:ligatures w14:val="standardContextual"/>
        </w:rPr>
        <w:t xml:space="preserve"> (Lei n. 8.213/91). Não se confunde esse dispositivo com o art. 25 da </w:t>
      </w:r>
      <w:r>
        <w:rPr>
          <w:rFonts w:ascii="EB Garamond" w:hAnsi="EB Garamond" w:cs="EB Garamond"/>
          <w:b/>
          <w:i w:val="0"/>
          <w:color w:val="201B16"/>
          <w:sz w:val="21"/>
          <w:lang w:val="pt-BR" w:bidi="ar-SA"/>
          <w:kern w:val="16"/>
          <w14:ligatures w14:val="standardContextual"/>
        </w:rPr>
        <w:t>Lei de Custeio</w:t>
      </w:r>
      <w:r>
        <w:rPr>
          <w:rFonts w:ascii="EB Garamond" w:hAnsi="EB Garamond" w:cs="EB Garamond"/>
          <w:b w:val="0"/>
          <w:i w:val="0"/>
          <w:color w:val="201B16"/>
          <w:sz w:val="21"/>
          <w:lang w:val="pt-BR" w:bidi="ar-SA"/>
          <w:kern w:val="16"/>
          <w14:ligatures w14:val="standardContextual"/>
        </w:rPr>
        <w:t xml:space="preserve"> (Lei n. 8.212/91), de numeração coincidente mas objeto inteiramente diverso, referido linhas acima, que disciplina a contribuição do segurado especial sobre a comercialização da produção. Uma é norma de carência (Benefícios); a outra, regra de custeio (alíquota). Para o segurado especial, essa carência é cumprida não mediante recolhimento pecuniário, mas pela comprovação do exercício de atividade rural. Trata-se de contribuição presumida: a alíquota sobre a comercialização da produção substitui a contribuição mensal dos demais segurados, e a comprovação do exercício efetivo da atividade rural equivale, para fins de carência, ao recolhimento.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expressão "período imediatamente anterior ao requerimento", constante do art. 48, § 2º, gerou intensa controvérsia jurisprudencial. A questão é saber se o segurado especial deve estar exercendo atividade rural no momento do requerimento, ou se basta a comprovação de 15 anos de atividade rural em qualquer período anterior, ainda que tenha se afastado do campo.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STJ enfrentou a questão no julgamento do Tema 642 (REsp 1.354.908/SP, rel. Min. Mauro Campbell Marques, j. 09/09/2015, DJe 10/02/2016), fixando a tese de que "o segurado especial tem que estar laborando no campo, quando completar a idade mínima para se aposentar por idade rural, momento em que poderá requerer seu benefício. Ressalvada a hipótese do direito adquirido, em que o segurado especial, embora não tenha requerido sua aposentadoria por idade rural, preenchera de forma concomitante, no passado, ambos os requisitos carência e idade". A ressalva do direito adquirido protege o segurado que completou a idade mínima e a carência enquanto exercia atividade rural: ele faz jus ao benefício mesmo que, posteriormente, tenha migrado para atividade urbana.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STJ, Tema 642 (REsp 1.354.908/SP, rel. Min. Mauro Campbell Marques, j. 09/09/2015, DJe 10/02/2016)</w:t>
            </w:r>
            <w:r>
              <w:rPr>
                <w:rFonts w:ascii="EB Garamond" w:hAnsi="EB Garamond" w:cs="EB Garamond"/>
                <w:b w:val="0"/>
                <w:i w:val="0"/>
                <w:color w:val="201B16"/>
                <w:sz w:val="19"/>
                <w:lang w:val="pt-BR" w:bidi="ar-SA"/>
                <w:kern w:val="16"/>
                <w14:ligatures w14:val="standardContextual"/>
              </w:rPr>
              <w:t>: O segurado especial deve comprovar o exercício de atividade rural na data em que completar a idade mínima para a aposentadoria. A cessação da atividade rural antes do implemento etário impede a concessão, salvo direito adquirido. Esse entendimento valoriza a contemporaneidade entre a atividade rural e o preenchimento dos requisitos, impedindo que o segurado que abandonou o campo há muitos anos invoque período rural remoto para obter aposentadoria com requisitos etários reduzidos. A ressalva do direito adquirido protege aquele que já implementou ambos os requisitos (idade + 15 anos de atividade rural) e, apenas depois, migrou para atividade urbana.</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comprovação dos 15 anos de atividade rural não exige continuidade ininterrupta. Períodos descontínuos de trabalho rural podem ser somados, desde que totalizem o número de meses correspondente à carência. A jurisprudência reconhece, inclusive, a possibilidade de computar períodos rurais intercalados com períodos urbanos, conforme o contexto probatório.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segurado especial que pretende aposentadoria por idade rural no valor de um salário-mínimo não precisa comprovar recolhimentos ao INSS — basta a prova do exercício de atividade rural pelo tempo equivalente à carência. Entretanto, se o segurado especial deseja obter benefício em valor superior ao salário-mínimo, deverá ter contribuído facultativamente sobre base de cálculo superior, nos termos do art. 39, inciso II, da Lei n. 8.213/91. Na prática dos JEFs, a quase totalidade dos pedidos de aposentadoria rural refere-se a benefício no valor de um salário-mínimo.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9.7 Regime probatório: início de prova material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comprovação do exercício de atividade rural é o ponto central das ações de aposentadoria rural nos JEFs. O regime probatório peculiar que rege a matéria decorre do reconhecimento de que o trabalhador rural frequentemente desenvolve sua atividade à margem do sistema formal de registro, em condições de informalidade que dificultam a produção de documentos comprobatórios contemporâneos.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Súmula 149 do STJ estabelece a regra fundamental: "A prova exclusivamente testemunhal não basta à comprovação da atividade rurícola, para efeito da obtenção de benefício previdenciário." A exigência de início de prova material destina-se a conferir segurança ao sistema previdenciário, evitando a concessão de benefícios com base exclusiva em depoimentos, suscetíveis de manipulação. A contrapartida dessa exigência é a flexibilização do conceito de "início de prova material", que a jurisprudência interpretou de forma ampla para harmonizar a regra com a realidade do trabalhador rural.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Súmula 6 da TNU complementa a disciplina: "A certidão de casamento ou outro documento idôneo que evidencie a condição de trabalhador rural do cônjuge constitui início razoável de prova material da atividade rurícola." Essa súmula consagrou a fungibilidade dos documentos aptos a constituir início de prova material: não existe rol taxativo, e qualquer documento que, razoavelmente, permita inferir o exercício de atividade rural é idôneo para esse fim.</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Súmula 14 da TNU complementa o quadro ao dispor que "para a concessão de aposentadoria rural por idade, não se exige que o início de prova material corresponda a todo o período equivalente à carência do benefício". A razão de ser do enunciado é pragmática: exigir que o trabalhador rural apresentasse documentos cobrindo cada um dos 180 meses de carência seria impor ônus probatório incompatível com a realidade da vida no campo. O início de prova material funciona como âncora documental, que, corroborada pela prova testemunhal, permite ao juiz formar convicção sobre o exercício de atividade rural pelo período necessário.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relação entre prova documental e testemunhal é de complementaridade, não de substituição. O início de prova material confere credibilidade ao relato testemunhal, ao passo que a prova testemunhal confere extensão temporal à prova documental. Um documento que comprova a condição de rurícola em determinado ano pode ser ampliado pela prova testemunhal para abranger os anos anteriores e posteriores, desde que a narrativa seja coerente e as testemunhas apresentem relatos circunstanciados.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exigência de contemporaneidade da prova material encontra fundamento na Súmula 34 da TNU: "Para fins de comprovação do tempo de labor rural, o início de prova material deve ser contemporâneo à época dos fatos a provar." A contemporaneidade, contudo, deve ser interpretada em harmonia com a Súmula 14 da TNU, que dispensa a cobertura documental de todo o período de carência. O resultado é um sistema equilibrado: o documento deve ser razoavelmente contemporâneo ao período que se pretende provar, mas não precisa cobri-lo integralmente. Documentos muito antigos, sem conexão temporal com o período de carência, podem ser insuficientes, salvo quando corroborados por testemunhos detalhados que permitam a extensão temporal. A questão é casuística e exige do juiz sensibilidade para avaliar o conjunto probatório à luz das circunstâncias concretas.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9.8 Documentos admitidos como início de prova material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106 da Lei n. 8.213/91 prevê rol exemplificativo de documentos aptos à comprovação do exercício de atividade rural, cujo caráter não taxativo é reforçado pelo respectivo parágrafo único (incluído pela Lei n. 11.718/2008). A enumeração legal abre-se pelo contrato individual de trabalho ou pela Carteira de Trabalho e Previdência Social (CTPS): a anotação de vínculo como empregado rural constitui prova direta da atividade, dispensando corroboração testemunhal, e mesmo as anotações extemporâneas, realizadas após a data do vínculo, conservam valor probatório, pois gozam de presunção relativa de veracidade (art. 29, § 3º, da CLT, com redação da Lei n. 13.874/2019; Súmula 12/TST), que somente cede mediante prova em contrário. Ao lado da CTPS, o dispositivo arrola os contratos de arrendamento, parceria ou comodato rural, que comprovam a exploração da terra em regime de produção rural ainda que o segurado não seja proprietário — documentos frequentes nas regiões de agricultura familiar, onde parceiros e meeiros cultivam a terra alheia em troca de parte da produção.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Também integra o rol a declaração fundamentada do sindicato que represente o trabalhador rural — a chamada "declaração de exercício de atividade rural", homologada pelo INSS, durante anos o principal documento utilizado pelos segurados especiais. A jurisprudência, contudo, atribuiu-lhe valor relativo: a declaração sindical constitui início de prova material quando acompanhada de elementos que confirmem seu conteúdo (o próprio cadastro do sindicato ou documentos subsidiários), mas não supre a ausência de toda e qualquer outra prova documental. Por fim, no plano dos cadastros rurais, o art. 106 alcança o registro em órgãos como a Declaração de Aptidão ao Pronaf (DAP) e, mais recentemente, o Cadastro Nacional da Agricultura Familiar (CAF). A DAP — emitida por entidades credenciadas pelo MDA (hoje Secretaria de Agricultura Familiar), que qualifica o agricultor familiar e lhe dá acesso ao Programa Nacional de Fortalecimento da Agricultura Familiar — comprova tanto a condição de agricultor familiar quanto o exercício efetivo de atividade rural, constituindo robusto início de prova material.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Declaração de Aptidão ao Pronaf (DAP) é documento de elevada força probatória nas ações de aposentadoria rural, porque pressupõe verificação de campo pela entidade emissora. A DAP contém informações sobre a composição do grupo familiar, a área explorada, a produção anual e a renda obtida — elementos que permitem ao juiz avaliar a presença do regime de economia familiar. A partir de 2023, a DAP vem sendo progressivamente substituída pelo CAF (Cadastro Nacional da Agricultura Familiar), que pode ser consultado no portal do Ministério do Desenvolvimento Agrário. Ambos os documentos servem como início de prova material.</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E</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ncerram o rol legal os documentos fiscais da comercialização. O bloco de notas do produtor rural — documento emitido por ocasião da venda da produção, com dados do produtor, do comprador e da mercadoria — comprova não apenas a atividade rural, mas a efetiva comercialização da produção, reforçando a prova do regime de economia familiar. Na mesma direção, as notas fiscais de entrada de mercadorias emitidas pela empresa adquirente da produção revelam-se especialmente úteis quando o segurado não dispõe de bloco de notas próprio: a nota fiscal lançada pela compradora registra a aquisição dos produtos rurais do segurado e, com isso, atesta sua condição de produtor.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Além dos documentos expressamente previstos no art. 106, a jurisprudência reconhece diversos outros como idôneos para constituir início de prova material. A certidão de casamento ou de nascimento com qualificação do segurado ou de seus pais como "lavrador", "agricultor" ou "trabalhador rural" é amplamente aceita. A certidão de nascimento dos filhos com a mesma qualificação, o certificado de reservista com menção à atividade agrícola, a ficha de matrícula escolar dos filhos com indicação da profissão rural dos genitores, os comprovantes de pagamento do Imposto sobre a Propriedade Territorial Rural (ITR), o histórico escolar do segurado com menção à atividade rural, as fichas de atendimento em postos de saúde com qualificação profissional rural, e a escritura pública ou contrato de compra e venda de imóvel rural são exemplos recorrentes na jurisprudência.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Na instrução de ações de aposentadoria rural nos JEFs, o advogado deve reunir o maior número possível de documentos que qualifiquem o segurado como trabalhador rural, ainda que não cubram integralmente o período de carência. A estratégia probatória eficaz combina documentos de diferentes épocas, uma certidão de casamento antiga com qualificação rural, notas fiscais de produção de anos recentes e declaração sindical contemporânea — criando uma linha temporal que a prova testemunhal complementa. Documentos de familiares diretos (cônjuge, pais, filhos) também são admitidos como prova extensiva. A TNU Súmula 6 autoriza expressamente o uso de documento do cônjuge como início de prova material.</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9.9 Prova testemunhal e a disciplina da Súmula 149/STJ</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Súmula 149/STJ ("A prova exclusivamente testemunhal não basta à comprovação da atividade rurícola, para efeito da obtenção de benefício previdenciário") não impede a produção de prova testemunhal — ao contrário, a prova oral é essencial para complementar e dar extensão temporal ao início de prova material. O que a Súmula veda é a comprovação fundada exclusivamente em testemunhos, sem qualquer suporte documental.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magistrado deve examinar com rigor a qualidade da prova testemunhal em ações de aposentadoria rural. A Súmula 577 do STJ ("É possível reconhecer o tempo de serviço rural anterior ao documento mais antigo apresentado, desde que amparado em convincente prova testemunhal") autoriza expressamente a extensão da prova documental para períodos anteriores por meio de testemunhos, desde que a prova oral seja convincente e coerente com os elementos materiais dos autos.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Súmula 577/STJ</w:t>
            </w:r>
            <w:r>
              <w:rPr>
                <w:rFonts w:ascii="EB Garamond" w:hAnsi="EB Garamond" w:cs="EB Garamond"/>
                <w:b w:val="0"/>
                <w:i w:val="0"/>
                <w:color w:val="201B16"/>
                <w:sz w:val="19"/>
                <w:lang w:val="pt-BR" w:bidi="ar-SA"/>
                <w:kern w:val="16"/>
                <w14:ligatures w14:val="standardContextual"/>
              </w:rPr>
              <w:t>: "É possível reconhecer o tempo de serviço rural anterior ao documento mais antigo apresentado, desde que amparado em convincente prova testemunhal." A súmula resolve uma das questões mais frequentes nos JEFs: o segurado que dispõe de início de prova material recente, mas pretende comprovar atividade rural em período anterior. O documento constitui âncora probatória que, associado a testemunhos detalhados e coerentes, permite ao juiz reconhecer a atividade rural em período para o qual não existem documentos. A força probatória da testemunha deve ser avaliada considerando: (a) conhecimento pessoal e direto do trabalho rural do segurado; (b) especificidade do relato (localização, tipo de cultura, regime de trabalho); e (c) coerência com os elementos materiais dos autos.</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valoração da prova testemunhal nas ações rurais segue critérios desenvolvidos pela jurisprudência. Testemunhas que conviveram diretamente com o segurado no ambiente rural, vizinhos, compradores de produção, membros de comunidades rurais, donos de propriedades contíguas, possuem valor probatório superior ao de testemunhas que conhecem a atividade rural apenas por informação de terceiros. A jurisprudência exige, ainda, que os depoimentos sejam circunstanciados: não basta afirmar genericamente que o segurado "trabalha na roça"; é preciso que as testemunhas descrevam o tipo de atividade, a localização, os produtos cultivados, o regime de trabalho (se em família, se com ajuda de terceiros), o tempo aproximado de exercício da atividade e outras circunstâncias que confiram credibilidade ao relato.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número de testemunhas necessário é tema de que a lei não se ocupa de modo específico. Na prática dos JEFs, a instrução das ações rurais admite de duas a três testemunhas, conforme o rito processual aplicável. A Lei n. 10.259/2001 não estabelece limite numérico rígido, cabendo ao juiz definir, conforme o caso, a quantidade de testemunhos necessários para a formação de sua convicção. Entendemos que dois depoimentos concordantes e circunstanciados, corroborados por início de prova material, são suficientes para a formação da convicção judicial na maior parte dos casos.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oitiva do segurado em audiência (depoimento pessoal) é momento de especial relevância probatória. O relato do próprio segurado sobre sua trajetória laboral, quando detalhado e coerente com os documentos dos autos, constitui elemento de convicção relevante. A contradição entre o depoimento pessoal e os documentos, ou entre o depoimento e as testemunhas, compromete a credibilidade do pedido.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justificação judicial e a justificação administrativa são instrumentos processuais relevantes no contexto da prova da atividade rural. A justificação administrativa, prevista no art. 108 da Lei n. 8.213/91 e regulamentada pelos arts. 142 a 151 do Decreto n. 3.048/1999, é procedimento realizado perante o próprio INSS, no qual o segurado apresenta testemunhas para comprovar fatos relevantes à obtenção de benefícios. A justificação judicial, por sua vez, é medida cautelar (ou de produção antecipada de prova, no regime do CPC/2015) destinada a assegurar a prova testemunhal quando há risco de perecimento, como nas hipóteses de testemunhas idosas ou enfermas. A jurisprudência dos JEFs admite a justificação judicial como meio de prova complementar, desde que o resultado seja submetido ao contraditório.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distinção entre prova material e prova documental merece registro. Todo documento é prova material, mas nem toda prova material é documento formal. A jurisprudência ampliou o conceito de início de prova material para abranger evidências físicas que, embora não constituam documentos em sentido estrito, demonstram a vinculação do segurado ao meio rural: fotografias antigas retratando o segurado em atividade agrícola, imagens de satélite demonstrando o cultivo da terra, e outros elementos que a tecnologia contemporânea disponibiliza podem ser considerados início de prova material, segundo os tribunais.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9.10 O boia-fria, o volante e o safrista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boia-fria — trabalhador rural temporário sem vínculo permanente, conhecido regionalmente também como "safrista" ou "pau-de-arara" — apresenta desafios probatórios próprios. Trata-se do trabalhador que presta serviço rural de natureza temporária a diferentes empregadores, sem vínculo empregatício permanente, deslocando-se conforme a demanda sazonal das atividades agrícolas. A informalidade é a marca predominante dessa categoria: o boia-fria raramente possui CTPS assinada, contrato de trabalho escrito ou qualquer registro formal de sua atividade.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Essa condição de informalidade gera consequências probatórias singulares. A exigência de início de prova material para o boia-fria deve ser abrandada em relação ao segurado especial proprietário ou posseiro, precisamente porque a natureza da atividade dificulta a produção de documentos. Exigir do boia-fria o mesmo nível de prova documental que se exige do produtor rural em regime de economia familiar representaria, na prática, negar-lhe o acesso ao benefício.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TNU consolidou o entendimento de que a prova material exigida do boia-fria pode ser mais singela, bastando qualquer documento que indique a vinculação ao meio rural. Certidões de nascimento ou casamento com qualificação como "lavrador", registros de matrícula escolar com indicação de atividade rural, fichas de atendimento em postos de saúde e outros documentos similares são suficientes como início de prova material, desde que corroborados por prova testemunhal robusta e circunstanciada.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enquadramento previdenciário do boia-fria é distinto do segurado especial. Enquanto o segurado especial é aquele que trabalha em regime de economia familiar, na própria terra ou em terra de terceiro mediante parceria, meação ou comodato, o boia-fria é trabalhador que presta serviço rural mediante remuneração, sem vínculo permanente. O enquadramento correto do boia-fria é como segurado empregado (art. 11, I, "a", da Lei n. 8.213/91), contribuinte individual ou trabalhador avulso, conforme a natureza da relação de trabalho. A distinção é relevante para o regime de prova e para a responsabilidade pelo recolhimento de contribuições. Contudo, para fins de aposentadoria por idade rural (art. 48, § 1º), tanto o segurado especial quanto o empregado rural fazem jus à redução etária de cinco anos.</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Súmula 149/STJ, embora aplicável ao boia-fria, tem sua incidência mitigada pela jurisprudência quando se trata dessa categoria. O STJ e a TNU reconhecem que a precariedade documental inerente à atividade de boia-fria não pode servir de barreira intransponível ao exercício de um direito constitucional. A mitigação não significa dispensa da prova material — o que se flexibiliza é o grau de exigência quanto à robustez documental.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reconhecimento do tempo de trabalho rural como boia-fria possui relevância prática crescente, especialmente no contexto da aposentadoria híbrida (art. 48, § 3º), que permite a soma de períodos rurais e urbanos. Muitos trabalhadores que iniciaram a vida laboral no campo como boias-frias migraram posteriormente para atividades urbanas, carregando consigo um período significativo de trabalho rural não registrado formalmente, que pode ser computado para fins de carência.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responsabilidade pelo recolhimento das contribuições previdenciárias do boia-fria recai sobre o empregador rural (art. 30, I, "a", da Lei n. 8.212/91). O não recolhimento pelo empregador não pode ser oposto ao trabalhador para fins de reconhecimento do direito previdenciário. Essa regra tem fundamento no princípio da responsabilidade patronal: o ônus de recolher as contribuições é do empregador, e a omissão deste não pode penalizar o trabalhador que efetivamente prestou os serviços. No cotidiano dos JEFs, a concessão de aposentadoria ao boia-fria independe da prova de recolhimento das contribuições devidas pelo empregador: basta a comprovação do exercício da atividade rural, nos mesmos moldes aplicáveis ao segurado especial.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distinção entre boia-fria e segurado especial reflete-se também no valor do benefício. O segurado especial recebe, em regra, benefício no valor de um salário-mínimo (art. 39, I, Lei n. 8.213/91). O boia-fria, enquadrado como empregado, teria direito a benefício calculado sobre seus salários de contribuição. Contudo, como em termos operacionais não há registro formal e os salários não foram computados no CNIS, o valor do benefício acaba sendo igualmente fixado em um salário-mínimo, por aplicação do piso constitucional (art. 201, § 2º, CF/88).</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9.11 Aposentadoria por idade híbrida (art. 48, § 3º)</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aposentadoria híbrida (art. 48, § 3º, Lei 8.213/91, acrescentado pela Lei n. 11.718/2008) permite ao trabalhador que transitou entre atividades rurais e urbanas somar os respectivos períodos para atingir a carência de 180 contribuições. Os períodos rurais são comprovados por início de prova material e testemunhal; os urbanos, pelo CNIS. A idade mínima, contudo, segue a regra geral urbana: 65 anos (homem) e 60 anos (mulher). Não se aplica a redução de cinco anos, que é reservada à aposentadoria exclusivamente rural.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STJ firmou entendimentos fundamentais sobre a aposentadoria híbrida no julgamento do Tema 1.007.</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Tema 1.007 (REsp 1.674.221/SP, rel. Min. Napoleão Nunes Maia Filho, j. 14/08/2019, DJe 04/09/2019) fixou a tese de que "o tempo de serviço rural, ainda que remoto e descontínuo, anterior ao advento da Lei n. 8.213/91, pode ser computado para fins da carência necessária à obtenção da aposentadoria híbrida por idade, ainda que não tenha sido efetivado o recolhimento das contribuições, nos termos do art. 48, § 3º, da Lei n. 8.213/91, seja qual for a predominância do labor misto exercido no período de carência ou o tipo de trabalho exercido no momento do implemento do requisito etário."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STJ, Tema 1.007 (REsp 1.674.221/SP, rel. Min. Napoleão Nunes Maia Filho, j. 14/08/2019, DJe 04/09/2019)</w:t>
            </w:r>
            <w:r>
              <w:rPr>
                <w:rFonts w:ascii="EB Garamond" w:hAnsi="EB Garamond" w:cs="EB Garamond"/>
                <w:b w:val="0"/>
                <w:i w:val="0"/>
                <w:color w:val="201B16"/>
                <w:sz w:val="19"/>
                <w:lang w:val="pt-BR" w:bidi="ar-SA"/>
                <w:kern w:val="16"/>
                <w14:ligatures w14:val="standardContextual"/>
              </w:rPr>
              <w:t>: A tese firmada no Tema 1.007 é de larga repercussão nos JEFs, por três razões. Em primeiro lugar, autoriza o cômputo de tempo rural remoto — períodos trabalhados décadas antes do requerimento, inclusive anteriores à Lei n. 8.213/91, sem exigência de recolhimento de contribuições. Em segundo lugar, afasta a exigência de contemporaneidade entre a atividade rural e o implemento etário, permitindo que o segurado que exerceu atividade rural na juventude e migrou para a cidade obtenha aposentadoria híbrida. Em terceiro lugar, elimina a exigência de predominância de qualquer tipo de atividade: tanto faz se o segurado exerceu mais tempo de atividade rural ou urbana, desde que a soma alcance 180 contribuições.</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prova do tempo rural para fins de aposentadoria híbrida segue as mesmas regras examinadas nas seções 9.7 e 9.8: exige-se início de prova material corroborado por prova testemunhal, nos termos da Súmula 149/STJ. A particularidade reside no fato de que, frequentemente, os períodos rurais invocados são remotos, o que dificulta a obtenção de documentos contemporâneos. A Súmula 577/STJ reforça essa possibilidade ao permitir o reconhecimento de tempo de serviço rural anterior ao documento mais antigo, desde que amparado por prova testemunhal convincente.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cálculo do salário de benefício da aposentadoria híbrida obedece às mesmas regras da aposentadoria por idade urbana. Para segurados que implementaram os requisitos antes de 13/11/2019, aplica-se o coeficiente de 70% + 1% por grupo de 12 contribuições, até o máximo de 100%, sobre a média dos 80% maiores salários de contribuição. Para requerimentos formulados após a EC 103/2019, o regime de cálculo é distinto, conforme detalhado na seção 9.22.</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aposentadoria híbrida é ferramenta processual de especial utilidade nos JEFs. Muitos segurados ingressam com pedido de aposentadoria por idade rural, mas, ao longo da instrução, verifica-se que possuem vínculos urbanos que impedem o enquadramento exclusivo como segurado especial durante todo o período de carência. Nesses casos, o princípio do jura novit curia autoriza o juiz a enquadrar o pedido como aposentadoria híbrida, desde que preenchidos os respectivos requisitos. A aplicação do Tema 1.007/STJ permite computar todo o período rural comprovado, sem exigência de contemporaneidade, o que amplia significativamente o universo de segurados elegíveis. É recomendável que a petição inicial formule pedidos subsidiários, pleiteando a aposentadoria rural e, alternativamente, a aposentadoria híbrida, com base no art. 48, § 3º.</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questão da aposentadoria híbrida para segurados que exercem atividade rural na data do requerimento, mas que possuem significativo período de contribuição urbana anterior, merece tratamento diferenciado. A dúvida é se esse segurado faz jus à aposentadoria por idade rural (com redução etária de cinco anos) ou se deve se submeter aos requisitos da aposentadoria híbrida (sem redução). O STJ, no Tema 642, condicionou a aposentadoria rural à contemporaneidade entre a atividade rural e o implemento etário. Entendemos que, quando o segurado exerce atividade rural na data do requerimento e comprova 15 anos de atividade rural (mesmo que descontínuos), faz jus à aposentadoria por idade rural com redução etária, e não à híbrida, desde que os 180 meses de atividade rural estejam comprovados. A aposentadoria híbrida é alternativa para aqueles que não alcançam os 180 meses de atividade exclusivamente rural.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questão da necessidade de atividade rural no momento do requerimento para fins de aposentadoria híbrida foi igualmente resolvida pelo próprio Tema 1.007. Ao fixar que o tempo rural é computável "seja qual for a predominância do labor misto exercido no período de carência ou o tipo de trabalho exercido no momento do implemento do requisito etário", o STJ afastou a exigência de que o segurado esteja exercendo atividade rural na data do requerimento para obter aposentadoria híbrida — basta que a soma dos períodos rurais e urbanos alcance a carência. Esse entendimento consolida a aposentadoria híbrida como instrumento inclusivo, acessível tanto ao segurado que permanece no campo quanto ao que já migrou definitivamente para a atividade urbana.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Ainda no campo da aposentadoria híbrida, a desnecessidade de recolhimento de contribuições sobre o tempo rural decorre do próprio Tema 1.007, cuja tese é expressa ao admitir o cômputo "ainda que não tenha sido efetivado o recolhimento das contribuições". A redação da tese reporta-se a tempo rural anterior à Lei n. 8.213/91; quanto ao período rural posterior a 1991, a dispensa de recolhimento, para o benefício no valor de um salário-mínimo, encontra fundamento autônomo no art. 39, inciso I, da Lei n. 8.213/91, que assegura ao segurado especial os benefícios nesse valor mediante a simples comprovação do exercício de atividade rural (na forma da Súmula 149/STJ), sem exigência de contribuição. Convém registrar a ressalva: quando o segurado pretende benefício de valor superior ao salário-mínimo, a jurisprudência do STJ exige, para o tempo rural posterior a 1991, o recolhimento das contribuições facultativas a que alude o art. 39, inciso II — exigência que não alcança a aposentadoria híbrida concedida no piso. Conjugados esses fundamentos, a aposentadoria híbrida ganha contornos de ampla acessibilidade ao segurado que transitou entre o campo e a cidade, dispensando, a um só tempo, a contemporaneidade entre a atividade rural e o implemento etário e — no benefício de um salário-mínimo — o recolhimento de contribuições sobre o período rural comprovado.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aposentadoria por idade rural (art. 48, §§ 1º e 2º) e a aposentadoria por idade híbrida (art. 48, § 3º) são benefícios distintos, com requisitos diferentes. Na aposentadoria rural, a idade mínima é 60/55 anos e exige-se contemporaneidade entre a atividade rural e o implemento etário (Tema 642/STJ). Na aposentadoria híbrida, a idade mínima é 65/60 anos e não se exige contemporaneidade (Tema 1.007/STJ). A distinção tem repercussão direta na estratégia processual: se o segurado completa 55 ou 60 anos exercendo atividade rural e demonstra 180 meses de labor rural, o pedido correto é a aposentadoria rural (com idade reduzida). Se o segurado está na cidade e possui períodos rurais insuficientes para 180 meses, mas suficientes para complementar o período urbano, a aposentadoria híbrida é a via adequada (com idade cheia).</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9.12 Trabalho rural infantil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cômputo de trabalho rural exercido durante a infância ou adolescência é questão de relevância prática nos JEFs, dada a realidade do meio rural brasileiro, onde o trabalho infantil na lavoura familiar é historicamente presente. O ordenamento jurídico proíbe o trabalho do menor de 16 anos (art. 7º, XXXIII, da CF/88, com redação da EC 20/1998), mas milhões de brasileiros iniciaram a vida laboral no campo antes dessa 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jurisprudência resolveu essa tensão com base no princípio da proteção ao trabalhador e no da dignidade da pessoa humana: o trabalho infantil rural efetivamente exercido deve ser computado para fins previdenciários, porque a vedação constitucional visa proteger o menor, não penalizá-lo. Negar o cômputo do tempo de trabalho efetivamente prestado significaria impor ao trabalhador dupla punição: exploração na infância e prejuízo previdenciário na maturidade.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STJ consolidou o entendimento de que a proibição do trabalho infantil não pode ser arguida em desfavor do trabalhador para negar-lhe o reconhecimento de direito previdenciário. A Constituição de 1988, em sua redação original (art. 7º, XXXIII), proibia o trabalho do menor de 14 anos, salvo na condição de aprendiz. A EC 20/1998 elevou esse limite para 16 anos (com aprendizagem a partir dos 14). A TNU e os TRFs admitem o cômputo do trabalho rural a partir dos 12 anos de idade, com fundamento na legislação infraconstitucional vigente à época (CLT, art. 403, redação anterior). Mais do que isso, a TNU, no julgamento do Tema 219, foi além do referencial dos 12 anos e fixou a tese de que "é possível o cômputo do tempo de serviço rural exercido por pessoa com idade inferior a 12 (doze) anos na época da prestação do labor campesino". A tese consolidou-se no PEDILEF 5008955-78.2018.4.04.7202/SC (rel. Juiz Federal Jairo da Silva Pinto, j. 23/06/2022), processo vinculado ao tema após o desligamento do feito originariamente afetado (PEDILEF 0007460-42.2011.4.03.6302/SP). O precedente confere segurança ao reconhecimento do trabalho rural prestado em idade ainda mais precoce, quando o conjunto probatório demonstrar o exercício efetivo de atividade rural em regime de economia familiar.</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comprovação do trabalho rural infantil segue as mesmas regras do regime probatório da atividade rural, com a particularidade de que a prova testemunhal assume papel preponderante, dada a dificuldade de obtenção de documentos em nome do menor. A certidão de nascimento com qualificação dos pais como trabalhadores rurais constitui início de prova material apto a amparar a prova testemunhal. Fichas de matrícula escolar em estabelecimentos rurais, com indicação da atividade agrícola dos genitores, são igualmente aceitas. A documentação em nome dos pais pode ser utilizada extensivamente para comprovar o trabalho do filho menor no regime de economia familiar, nos termos da Súmula 6 da TNU e da jurisprudência consolidada dos TRFs.</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reconhecimento do trabalho rural infantil para fins previdenciários não legitima a exploração do trabalho do menor — ao contrário, reconhece uma situação fática que, embora vedada pelo ordenamento, produziu efeitos previdenciários que não podem ser desconsiderados em prejuízo do trabalhador. A posição adotada pela jurisprudência é coerente com o princípio da primazia da realidade, que permeia o Direito do Trabalho e o Direito Previdenciário.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questão do trabalho rural infantil assume especial relevância no cômputo do tempo de atividade rural para fins de aposentadoria por idade (rural ou híbrida). Em muitos casos, o segurado que ingressou precocemente na atividade agrícola já completou 15 anos de trabalho rural muito antes de atingir a idade mínima para a aposentadoria. Nesses casos, o tempo de atividade rural infantil pode ser determinante para demonstrar o preenchimento da carência, especialmente quando há períodos intercalados de atividade urbana que reduzem o tempo rural efetivo. A doutrina destaca que o cômputo do trabalho rural infantil opera como mecanismo de justiça social, compensando, no plano previdenciário, a vulnerabilidade a que o menor foi submetido no plano trabalhista. A prova desse trabalho, conforme examinado, segue regime mitigado de exigência documental, prevalecendo a prova testemunhal como elemento de convicção preponderante, ancorada em início de prova material em nome dos genitores.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9.13 Período de entressafra e atividades urbanas intercaladas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sazonalidade da atividade agrícola impõe ao trabalhador rural períodos de menor ou nenhuma atividade produtiva entre as safras. Durante a entressafra, é comum que o segurado especial busque complementar a renda familiar com atividades urbanas temporárias, construção civil, serviços gerais, comércio informal, retornando à atividade rural no período seguinte de plantio ou colheita.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Lei n. 11.718/2008 endereçou a questão ao prever, no art. 11, § 9º, inciso III, da Lei n. 8.213/91, que o exercício de atividade remunerada em período não superior a 120 dias, corridos ou intercalados, no ano civil, não descaracteriza a condição de segurado especial; e, no inciso VI do mesmo parágrafo, que a obtenção de outras fontes de renda em valor mensal não superior a um salário-mínimo não desnatura o regime de economia familiar. O limite de 120 dias, de matriz legal, é reproduzido e detalhado no Regulamento da Previdência Social (Decreto n. 3.048/1999, art. 9º, com a redação do Decreto n. 10.410/2020), que explicita poder o segurado especial exercer atividade remunerada em período de entressafra ou de defeso, sem perder a condição, desde que não ultrapasse os 120 dias no ano civil.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prazo de 120 dias é referencial administrativo, não constitui limite absoluto na apreciação judicial. A jurisprudência dos TRFs e da TNU examina cada caso concreto para verificar se a atividade urbana de entressafra desnaturou o regime de economia familiar ou se manteve a atividade rural como ocupação principal. Em alguns julgados, períodos urbanos superiores a 120 dias foram admitidos quando o conjunto probatório demonstrava a preponderância inequívoca da atividade rural.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distinção entre entressafra e abandono da atividade rural é crucial e exige análise cuidadosa das circunstâncias do caso concreto. Na entressafra, o segurado mantém a vocação agrícola, preserva os vínculos com a propriedade rural (residência, posse, manutenção das lavouras), e retorna ao campo tão logo as condições permitam. O padrão típico é a alternância sazonal: o segurado trabalha na lavoura durante o período de plantio e colheita e busca renda complementar na cidade durante os meses de menor atividade agrícola. A periodicidade e a regularidade desse padrão constituem forte indício da manutenção da condição de segurado especial.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No abandono, por outro lado, o segurado migra definitivamente para a atividade urbana, desfaz os vínculos com a propriedade rural (vende a terra, muda a residência para a cidade, não retorna ao campo), e passa a exercer atividade urbana como ocupação principal e permanente. Apenas no primeiro caso, entressafra, a condição de segurado especial é preservada. A doutrina destaca que a interpretação deve ser guiada pelo princípio da razoabilidade: o segurado especial que reside no campo, cultiva a terra em regime familiar e busca renda urbana complementar em períodos sazonais não pode ser equiparado ao trabalhador que abandonou definitivamente a atividade rural.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Na instrução processual nos JEFs, a verificação do CNIS do segurado frequentemente revela registros de vínculos empregatícios urbanos curtos (30, 60, 90 dias), intercalados com longos períodos sem registro. Esse padrão é compatível com a atividade de entressafra e não deve, por si só, descaracterizar a condição de segurado especial. O magistrado deve confrontar as datas dos vínculos urbanos com o calendário agrícola regional, verificando se os períodos de emprego urbano coincidem com os intervalos entre safras. Testemunhas que confirmem o retorno do segurado à atividade rural após os períodos urbanos reforçam a tese da entressafra.</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9.14 Módulos fiscais e propriedade rural superior a quatro módulos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limite de quatro módulos fiscais, previsto no art. 11, inciso VII, alínea "a", da Lei n. 8.213/91, é requisito legal para a configuração do segurado especial na modalidade de produtor agropecuário. A propriedade que exceda esse limite, em princípio, afasta o enquadramento como segurado especial, sob a premissa de que áreas maiores pressupõem capacidade econômica incompatível com o regime de economia familiar.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rigidez desse critério foi temperada pela jurisprudência. O STJ, no julgamento do Tema 1.115 (REsp 1.947.404/SP, rel. Min. Benedito Gonçalves, j. 23/11/2022, DJe 07/12/2022), fixou tese de grande repercussão nos JEFs, no sentido de que a propriedade com área superior a quatro módulos fiscais não descaracteriza, por si só, o regime de economia familiar do segurado especial, devendo ser analisadas as circunstâncias do caso concreto para verificar se a exploração efetivamente se dá em regime familiar.</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STJ, Tema 1.115 (REsp 1.947.404/SP, rel. Min. Benedito Gonçalves, j. 23/11/2022, DJe 07/12/2022)</w:t>
            </w:r>
            <w:r>
              <w:rPr>
                <w:rFonts w:ascii="EB Garamond" w:hAnsi="EB Garamond" w:cs="EB Garamond"/>
                <w:b w:val="0"/>
                <w:i w:val="0"/>
                <w:color w:val="201B16"/>
                <w:sz w:val="19"/>
                <w:lang w:val="pt-BR" w:bidi="ar-SA"/>
                <w:kern w:val="16"/>
                <w14:ligatures w14:val="standardContextual"/>
              </w:rPr>
              <w:t>: A tese firmada reconhece que o critério de quatro módulos fiscais é indicativo, não absoluto, devendo ser conjugado com outros elementos: a área efetivamente explorada pelo grupo familiar, a existência de empregados permanentes, a renda bruta anual, o tipo de exploração agrícola e a vocação do imóvel. Em regiões onde o módulo fiscal é pequeno, o limite de quatro módulos pode corresponder a uma área muito reduzida, insuficiente para sustentar uma família. Em regiões de pecuária extensiva, propriedades acima de quatro módulos podem ser exploradas em regime familiar, com baixa produtividade por hectare. A decisão do STJ impõe ao julgador a análise concreta, vedando o indeferimento automático fundado no critério quantitativo de área.</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aplicação do Tema 1.115 nos JEFs exige atenção a duas situações distintas. Na primeira, o segurado é proprietário de área superior a quatro módulos fiscais, mas explora efetivamente apenas parte do imóvel, em regime de economia familiar, mantendo o restante como reserva legal ou área de preservação permanente. A jurisprudência admite o enquadramento como segurado especial, considerando a área efetivamente explorada. Na segunda situação, a totalidade da área é explorada, mas em regime familiar, sem empregados permanentes e com renda compatível com a economia de subsistência. A aplicação do Tema 1.115 igualmente permite o enquadramento, desde que demonstrada a efetividade do regime familiar.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prova da exploração em regime de economia familiar, quando a área supera quatro módulos fiscais, exige robustez documental superior à ordinária. O segurado deve demonstrar, por meio de documentos fiscais, declarações de imposto de renda, DAP, contratos de comercialização e outros elementos, que a exploração mantém caráter familiar. A prova testemunhal, embora relevante, pode ser insuficiente isoladamente para superar a presunção legal de que áreas superiores a quatro módulos não se enquadram no regime de economia familiar.</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9.15 A EC 103/2019 e a aposentadoria do segurado rural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EC 103/2019 não alterou os requisitos da aposentadoria por idade rural: as idades de 60/55 anos e os 180 meses de atividade rural permanecem intactos. O art. 201, § 7º, inciso II, da Constituição Federal manteve a redação que prevê a redução de cinco anos nos requisitos etários para trabalhadores rurais. Consequentemente, as idades de 60 anos (homem) e 55 anos (mulher) permanecem inalteradas, assim como a exigência de 180 meses de comprovação de atividade rural para o segurado especial.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Essa opção constitucional foi deliberada. Durante os debates legislativos da PEC 6/2019 (que resultou na EC 103), chegou-se a propor a elevação gradual da idade mínima para aposentadoria rural, mas a proposta foi rejeitada pela Câmara dos Deputados, que reconheceu a vulnerabilidade socioeconômica do trabalhador rural e a necessidade de manter a proteção diferenciada.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EC 103/2019 impactou, contudo, aspectos colaterais que afetam indiretamente a aposentadoria rural. O novo regime de cálculo dos benefícios — média de 100% dos salários de contribuição (art. 26 da EC 103/2019), substituindo a média dos 80% maiores — aplica-se, em tese, a todos os benefícios do RGPS. Contudo, como a quase totalidade das aposentadorias rurais é concedida no valor de um salário-mínimo (por se tratar de segurado especial que não contribui sobre base de cálculo superior), o impacto prático dessa alteração é restrito.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proposta original da PEC 6/2019, encaminhada pelo Poder Executivo ao Congresso Nacional, continha alterações significativas que teriam impactado diretamente a aposentadoria rural: previa a elevação gradual da idade mínima para 60 anos (mulheres) e a exigência de tempo mínimo de contribuição de 20 anos. A rejeição dessas propostas pela Câmara dos Deputados foi precedida de amplo debate sobre as condições de vida e trabalho no meio rural brasileiro, com participação de entidades representativas dos trabalhadores rurais, e resultou na manutenção integral do regime vigente. O registro desse debate parlamentar é relevante para a interpretação da EC 103/2019: a preservação dos requisitos rurais não foi omissão do legislador, mas decisão deliberada e fundamentada.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aposentadoria por idade híbrida (art. 48, § 3º, da Lei n. 8.213/91) sofreu impacto mais significativo da reforma. Para requerimentos formulados após 13/11/2019, o cálculo do salário de benefício obedece à nova regra da EC 103/2019: média de todos os salários de contribuição desde julho de 1994, com aplicação do coeficiente de 60% sobre essa média, acrescido de 2% para cada ano de contribuição que exceder 20 anos (homem) ou 15 anos (mulher). Na prática, segurados com poucos anos de contribuição urbana e baixos salários de contribuição podem receber benefício inferior ao salário-mínimo, hipótese em que se aplica a garantia constitucional do piso mínimo (art. 201, § 2º, da CF/88).</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9.16 Período de graça do segurado especial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segurado especial que cessa a atividade rural mantém a qualidade de segurado durante o período de graça previsto no art. 15 da Lei n. 8.213/91. Conforme examinado no Capítulo 3, o período básico de manutenção é de 12 meses após a cessação das contribuições (ou, no caso do segurado especial, após a cessação da atividade rural), prorrogável nas hipóteses previstas nos §§ 1º e 2º do art. 15.</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aplicação do período de graça ao segurado especial comporta peculiaridades. A primeira diz respeito ao marco inicial: enquanto para os demais segurados o período de graça inicia-se com a cessação das contribuições, para o segurado especial inicia-se com a cessação efetiva da atividade rural — dado que sua contribuição é presumida (incidente sobre a comercialização da produção), e não individualizada mensalmente.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segunda peculiaridade envolve a prorrogação por desemprego involuntário (art. 15, § 2º, da Lei n. 8.213/91). O conceito de "desemprego involuntário" foi concebido para o mercado de trabalho urbano formal, ajustando-se com dificuldade à realidade do trabalhador rural. A jurisprudência vem admitindo que o segurado especial que deixa a atividade rural em razão de perda da safra, seca, enchente ou outras intempéries caracterizadoras de caso fortuito ou força maior beneficia-se da prorrogação do período de graça por mais 12 meses. A adaptação do conceito à realidade rural é necessária: o segurado especial que perde a colheita por estiagem prolongada e se vê impossibilitado de continuar a atividade agrícola encontra-se em situação funcionalmente equivalente ao desemprego involuntário do trabalhador urbano, justificando a mesma proteção previdenciária.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interação entre o período de graça e a aposentadoria por idade rural levanta questão específica: o segurado que cessa a atividade rural antes de atingir a idade mínima, mas ainda dentro do período de graça, pode requerer a aposentadoria? A resposta é afirmativa quando os demais requisitos estiverem preenchidos — o período de graça mantém a qualidade de segurado e, portanto, permite o reconhecimento do direito ao benefício. A questão torna-se mais complexa quando o segurado cessa a atividade rural anos antes de completar a idade mínima: nesse caso, o período de graça já terá expirado, e o segurado não poderá invocar a aposentadoria por idade rural (Tema 642/STJ), restando-lhe, eventualmente, a via da aposentadoria híbrida (art. 48, § 3º).</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9.17 Regime contributivo do segurado especial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segurado especial contribui para a seguridade social de forma diferenciada, mediante aplicação de alíquota sobre o resultado da comercialização de sua produção rural (art. 195, § 8º, CF/88; art. 25, Lei n. 8.212/91). Cabe aqui detalhar a composição da alíquota, a que se fez remissão na seção 9.1. A alíquota previdenciária totaliza 1,3% sobre a receita bruta da comercialização da produção: 1,2% a título de contribuição básica (art. 25, I, da Lei n. 8.212/91, com a redução promovida pela Lei n. 13.606/2018, que rebaixou o percentual então vigente) + 0,1% para o financiamento do SAT/GILRAT (art. 25, II). Há, ainda, a parcela de 0,2% destinada ao SENAR (art. 25, § 1º, acrescentado pela Lei n. 10.256/2001), que não integra o custeio da seguridade social em sentido estrito, perfazendo o conjunto 1,5% sobre a receita bruta da comercialização (o denominado FUNRURAL do segurado especial).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contribuição previdenciária de 1,3% (1,2% do art. 25, I, somados a 0,1% do GILRAT, art. 25, II) substitui tanto a contribuição patronal quanto a do empregado, constituindo fonte de custeio integral para os benefícios do segurado especial no valor de um salário-mínimo. O sub-rogado do recolhimento é o adquirente da produção rural: cabe à empresa ou cooperativa que adquire a produção reter e recolher a contribuição devida, aliviando o segurado especial do ônus de cumprir obrigações tributárias acessórias.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Cabe distinguir a contribuição do segurado especial (art. 25 da Lei n. 8.212/91, na parte relativa ao regime de economia familiar) da contribuição substitutiva do empregador rural pessoa física (mesma base legal, parte distinta). O STF, no julgamento do RE 718.874 (Tema 669, Plenário, rel. Min. Alexandre de Moraes, j. 30/03/2017), declarou a </w:t>
      </w:r>
      <w:r>
        <w:rPr>
          <w:rFonts w:ascii="EB Garamond" w:hAnsi="EB Garamond" w:cs="EB Garamond"/>
          <w:b/>
          <w:i w:val="0"/>
          <w:color w:val="201B16"/>
          <w:sz w:val="21"/>
          <w:lang w:val="pt-BR" w:bidi="ar-SA"/>
          <w:kern w:val="16"/>
          <w14:ligatures w14:val="standardContextual"/>
        </w:rPr>
        <w:t>constitucionalidade</w:t>
      </w:r>
      <w:r>
        <w:rPr>
          <w:rFonts w:ascii="EB Garamond" w:hAnsi="EB Garamond" w:cs="EB Garamond"/>
          <w:b w:val="0"/>
          <w:i w:val="0"/>
          <w:color w:val="201B16"/>
          <w:sz w:val="21"/>
          <w:lang w:val="pt-BR" w:bidi="ar-SA"/>
          <w:kern w:val="16"/>
          <w14:ligatures w14:val="standardContextual"/>
        </w:rPr>
        <w:t xml:space="preserve"> da contribuição social do empregador rural pessoa física, instituída pela Lei n. 10.256/2001 e incidente sobre a receita bruta da comercialização da produção. Já no RE 761.263 (Tema 723), confirmou a constitucionalidade da contribuição do segurado especial sobre a comercialização da produção. São contribuições com sujeitos passivos distintos, mas que, na sistemática atual do STF, são ambas válidas: tanto a que recai sobre o segurado especial quanto a que recai sobre o empregador rural pessoa física (que não é segurado especial, mas sim contribuinte individual) foram reconhecidas como constitucionais. A inconstitucionalidade reconhecida em julgados anteriores (RE 363.852 e RE 596.177, Tema 202) referia-se à redação do art. 25 da Lei n. 8.212/91 anterior à Lei n. 10.256/2001 — vício de fonte de custeio posteriormente sanado, na compreensão do STF, pela própria Lei n. 10.256/2001.</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hipótese de o segurado especial comercializar diretamente a produção ao consumidor, venda em feiras livres, beiras de estrada ou entregas domiciliares, o próprio segurado é responsável pelo recolhimento, o que na prática raramente ocorre. A consequência é que, para muitos segurados especiais, não há recolhimento efetivo de contribuições, circunstância que a lei contorna ao prever a comprovação do exercício de atividade rural como equivalente à carência (art. 39, I, c/c art. 48, § 2º).</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segurado especial que pretende obter benefício previdenciário em valor superior ao salário-mínimo deve recolher contribuições facultativas sobre base de cálculo correspondente ao salário de benefício pretendido, nos termos do art. 39, inciso II, da Lei n. 8.213/91. A ausência de contribuição facultativa limita o benefício ao piso constitucional de um salário-mínimo. Na experiência dos juizados dos JEFs, é excepcional o pedido de aposentadoria rural em valor superior ao mínimo, mas o advogado deve orientar o segurado sobre essa possibilidade quando houver interesse e capacidade contributiva.</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9.18 Documentos do cônjuge e do grupo familiar como prova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utilização de documentos em nome do cônjuge ou de outros membros do grupo familiar como início de prova material é admitida de forma ampla, conforme a Súmula 6 da TNU, tratada na seção 9.7. A lógica subjacente é direta: o regime de economia familiar pressupõe que todos os membros exercem atividade rural em mútua colaboração, de modo que o documento que comprova a condição rural de um atinge, por extensão, os demais integrantes do grupo.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TNU, no julgamento do Tema 327, reforçou o entendimento ao admitir a documentação do cônjuge como empregado rural como início de prova material da atividade rural do outro cônjuge. A decisão reconhece que, em muitos casos, apenas um dos cônjuges possui documentação formal, geralmente o marido, que assina contratos, participa de sindicatos e comercializa a produção, enquanto a esposa, embora igualmente trabalhadora rural, carece de documentos próprios.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extensão da prova documental de um cônjuge ao outro não é, todavia, automática. A prova testemunhal deve confirmar que ambos efetivamente trabalhavam no campo, em regime de mútua colaboração. A mera existência de documento em nome do cônjuge, sem prova de que o segurado participava da atividade rural, é insuficiente.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extensão de documentos de pais para filhos segue a mesma lógica. A certidão de nascimento ou a CTPS do genitor com qualificação rural constitui início de prova material para o filho que comprove ter trabalhado com a família na lavoura. A presunção é de que, em regime de economia familiar, os filhos participam das atividades produtivas desde tenra idade — presunção que deve ser confirmada pela prova testemunhal.</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9.19 Autodeclaração e DAP: evolução do regime documental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regime documental da comprovação da atividade rural vem passando por transformações significativas nos últimos anos. A Declaração de Aptidão ao Pronaf (DAP), que durante mais de duas décadas foi o documento de identificação do agricultor familiar, vem sendo progressivamente substituída pelo Cadastro Nacional da Agricultura Familiar (CAF), instituído pelo Decreto n. 9.064/2017.</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CAF é cadastro eletrônico mantido pelo Ministério do Desenvolvimento Agrário (MDA) que unifica as informações sobre a agricultura familiar, substituindo a DAP como instrumento de identificação. A migração está em curso, e a jurisprudência dos JEFs vem admitindo ambos os documentos, DAP e CAF, como início de prova material da condição de segurado especial, sem distinção de valor probatório.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autodeclaração do segurado especial é instrumento previsto na legislação para a comprovação da atividade rural perante o INSS. O art. 38-B da Lei n. 8.213/91 (incluído pela Lei n. 13.846/2019) dispõe que o segurado especial informará ao INSS, anualmente, a comercialização de sua produção rural, por meio de Declaração do Segurado Especial (DSE). Essa declaração, de natureza tributária e previdenciária, tem por finalidade constituir o registro documental da atividade rural para fins de reconhecimento do direito a benefícios.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exigência de cadastro no Cadastro Nacional de Informações Sociais (CNIS) como condição para reconhecimento da qualidade de segurado especial vem sendo implementada gradualmente pelo INSS. O art. 38-A da Lei n. 8.213/91 (incluído pela Lei n. 11.718/2008) prevê que o INSS utilizará as informações constantes do CNIS, do CAF e de outros cadastros para comprovar o exercício da atividade rural do segurado especial. Na prática judicial, contudo, a ausência de cadastro no CNIS não impede o reconhecimento da condição de segurado especial, desde que comprovada por início de prova material e prova testemunhal. A exigência de cadastro é requisito administrativo, não condição de existência do direito.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9.20 Jurisprudência consolidada: temas repetitivos e súmulas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matéria da aposentadoria rural acumulou, ao longo de três décadas de vigência da Lei n. 8.213/91, vasto acervo jurisprudencial. A sistematização dos principais entendimentos consolidados é indispensável para a atuação nos JEFs.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No âmbito do STJ, os seguintes temas repetitivos e súmulas se destacam:</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Súmula 149/STJ</w:t>
      </w:r>
      <w:r>
        <w:rPr>
          <w:rFonts w:ascii="EB Garamond" w:hAnsi="EB Garamond" w:cs="EB Garamond"/>
          <w:b w:val="0"/>
          <w:i w:val="0"/>
          <w:color w:val="201B16"/>
          <w:sz w:val="21"/>
          <w:lang w:val="pt-BR" w:bidi="ar-SA"/>
          <w:kern w:val="16"/>
          <w14:ligatures w14:val="standardContextual"/>
        </w:rPr>
        <w:t>: "A prova exclusivamente testemunhal não basta à comprovação da atividade rurícola, para efeito da obtenção de benefício previdenciário." Regra fundamental do regime probatório rural, examinada na seção 9.9.</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Súmula 577/STJ</w:t>
      </w:r>
      <w:r>
        <w:rPr>
          <w:rFonts w:ascii="EB Garamond" w:hAnsi="EB Garamond" w:cs="EB Garamond"/>
          <w:b w:val="0"/>
          <w:i w:val="0"/>
          <w:color w:val="201B16"/>
          <w:sz w:val="21"/>
          <w:lang w:val="pt-BR" w:bidi="ar-SA"/>
          <w:kern w:val="16"/>
          <w14:ligatures w14:val="standardContextual"/>
        </w:rPr>
        <w:t>: "É possível reconhecer o tempo de serviço rural anterior ao documento mais antigo apresentado, desde que amparado em convincente prova testemunhal." Autoriza a extensão temporal da prova documental por meio de testemunhos.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Tema 532 (REsp 1.304.479/SP)</w:t>
      </w:r>
      <w:r>
        <w:rPr>
          <w:rFonts w:ascii="EB Garamond" w:hAnsi="EB Garamond" w:cs="EB Garamond"/>
          <w:b w:val="0"/>
          <w:i w:val="0"/>
          <w:color w:val="201B16"/>
          <w:sz w:val="21"/>
          <w:lang w:val="pt-BR" w:bidi="ar-SA"/>
          <w:kern w:val="16"/>
          <w14:ligatures w14:val="standardContextual"/>
        </w:rPr>
        <w:t>: O exercício de atividade urbana intercalada não impede a concessão de benefício previdenciário de trabalhador rural, analisadas as circunstâncias do caso concreto.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Tema 642 (REsp 1.354.908/SP)</w:t>
      </w:r>
      <w:r>
        <w:rPr>
          <w:rFonts w:ascii="EB Garamond" w:hAnsi="EB Garamond" w:cs="EB Garamond"/>
          <w:b w:val="0"/>
          <w:i w:val="0"/>
          <w:color w:val="201B16"/>
          <w:sz w:val="21"/>
          <w:lang w:val="pt-BR" w:bidi="ar-SA"/>
          <w:kern w:val="16"/>
          <w14:ligatures w14:val="standardContextual"/>
        </w:rPr>
        <w:t>: O segurado especial deve comprovar exercício de atividade rural na data em que completar a idade mínima. Ressalvado o direito adquirido de quem implementou ambos os requisitos enquanto exercia atividade rural.</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Tema 1.007 (REsp 1.674.221/SP)</w:t>
      </w:r>
      <w:r>
        <w:rPr>
          <w:rFonts w:ascii="EB Garamond" w:hAnsi="EB Garamond" w:cs="EB Garamond"/>
          <w:b w:val="0"/>
          <w:i w:val="0"/>
          <w:color w:val="201B16"/>
          <w:sz w:val="21"/>
          <w:lang w:val="pt-BR" w:bidi="ar-SA"/>
          <w:kern w:val="16"/>
          <w14:ligatures w14:val="standardContextual"/>
        </w:rPr>
        <w:t>: O tempo rural remoto e descontínuo, anterior à Lei n. 8.213/91, pode ser computado para aposentadoria híbrida sem recolhimento de contribuições, seja qual for a predominância do labor misto ou o tipo de trabalho exercido no momento do implemento etário. A tese, ao afastar a relevância do tipo de trabalho exercido no implemento etário, dispensa também a contemporaneidade entre a atividade rural e o requerimento. Quanto ao período rural posterior a 1991, a dispensa de recolhimento, no benefício de um salário-mínimo, apoia-se no art. 39, I, da Lei n. 8.213/91 (seção 9.11).</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Tema 1.115 (REsp 1.947.404/SP)</w:t>
      </w:r>
      <w:r>
        <w:rPr>
          <w:rFonts w:ascii="EB Garamond" w:hAnsi="EB Garamond" w:cs="EB Garamond"/>
          <w:b w:val="0"/>
          <w:i w:val="0"/>
          <w:color w:val="201B16"/>
          <w:sz w:val="21"/>
          <w:lang w:val="pt-BR" w:bidi="ar-SA"/>
          <w:kern w:val="16"/>
          <w14:ligatures w14:val="standardContextual"/>
        </w:rPr>
        <w:t>: A propriedade rural com área superior a quatro módulos fiscais não descaracteriza, por si só, o regime de economia familiar do segurado especial.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No âmbito da TNU, os seguintes entendimentos merecem destaque:</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Súmula 6/TNU</w:t>
      </w:r>
      <w:r>
        <w:rPr>
          <w:rFonts w:ascii="EB Garamond" w:hAnsi="EB Garamond" w:cs="EB Garamond"/>
          <w:b w:val="0"/>
          <w:i w:val="0"/>
          <w:color w:val="201B16"/>
          <w:sz w:val="21"/>
          <w:lang w:val="pt-BR" w:bidi="ar-SA"/>
          <w:kern w:val="16"/>
          <w14:ligatures w14:val="standardContextual"/>
        </w:rPr>
        <w:t>: "A certidão de casamento ou outro documento idôneo que evidencie a condição de trabalhador rural do cônjuge constitui início razoável de prova material da atividade rurícola."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Súmula 14/TNU</w:t>
      </w:r>
      <w:r>
        <w:rPr>
          <w:rFonts w:ascii="EB Garamond" w:hAnsi="EB Garamond" w:cs="EB Garamond"/>
          <w:b w:val="0"/>
          <w:i w:val="0"/>
          <w:color w:val="201B16"/>
          <w:sz w:val="21"/>
          <w:lang w:val="pt-BR" w:bidi="ar-SA"/>
          <w:kern w:val="16"/>
          <w14:ligatures w14:val="standardContextual"/>
        </w:rPr>
        <w:t>: "Para a concessão de aposentadoria rural por idade, não se exige que o início de prova material corresponda a todo o período equivalente à carência do benefício."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Súmula 34/TNU</w:t>
      </w:r>
      <w:r>
        <w:rPr>
          <w:rFonts w:ascii="EB Garamond" w:hAnsi="EB Garamond" w:cs="EB Garamond"/>
          <w:b w:val="0"/>
          <w:i w:val="0"/>
          <w:color w:val="201B16"/>
          <w:sz w:val="21"/>
          <w:lang w:val="pt-BR" w:bidi="ar-SA"/>
          <w:kern w:val="16"/>
          <w14:ligatures w14:val="standardContextual"/>
        </w:rPr>
        <w:t>: "Para fins de comprovação do tempo de labor rural, o início de prova material deve ser contemporâneo à época dos fatos a provar."</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Súmula 41/TNU</w:t>
      </w:r>
      <w:r>
        <w:rPr>
          <w:rFonts w:ascii="EB Garamond" w:hAnsi="EB Garamond" w:cs="EB Garamond"/>
          <w:b w:val="0"/>
          <w:i w:val="0"/>
          <w:color w:val="201B16"/>
          <w:sz w:val="21"/>
          <w:lang w:val="pt-BR" w:bidi="ar-SA"/>
          <w:kern w:val="16"/>
          <w14:ligatures w14:val="standardContextual"/>
        </w:rPr>
        <w:t>: "A circunstância de um dos integrantes do núcleo familiar desempenhar atividade urbana não implica, por si só, a descaracterização do trabalhador rural como segurado especial, condição que deve ser analisada no caso concreto."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Tema 327/TNU</w:t>
      </w:r>
      <w:r>
        <w:rPr>
          <w:rFonts w:ascii="EB Garamond" w:hAnsi="EB Garamond" w:cs="EB Garamond"/>
          <w:b w:val="0"/>
          <w:i w:val="0"/>
          <w:color w:val="201B16"/>
          <w:sz w:val="21"/>
          <w:lang w:val="pt-BR" w:bidi="ar-SA"/>
          <w:kern w:val="16"/>
          <w14:ligatures w14:val="standardContextual"/>
        </w:rPr>
        <w:t>: A documentação do cônjuge como empregado rural constitui início de prova material da atividade rural do segurado.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Tema 219/TNU</w:t>
      </w:r>
      <w:r>
        <w:rPr>
          <w:rFonts w:ascii="EB Garamond" w:hAnsi="EB Garamond" w:cs="EB Garamond"/>
          <w:b w:val="0"/>
          <w:i w:val="0"/>
          <w:color w:val="201B16"/>
          <w:sz w:val="21"/>
          <w:lang w:val="pt-BR" w:bidi="ar-SA"/>
          <w:kern w:val="16"/>
          <w14:ligatures w14:val="standardContextual"/>
        </w:rPr>
        <w:t xml:space="preserve"> (PEDILEF 5008955-78.2018.4.04.7202/SC, rel. Juiz Federal Jairo da Silva Pinto): É possível o cômputo do tempo de serviço rural exercido por pessoa com idade inferior a 12 anos na época da prestação do labor campesino. Fundamento do reconhecimento do trabalho rural infantil, examinado na seção 9.12.</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Esses precedentes formam o arcabouço jurisprudencial que orienta a análise das ações de aposentadoria rural nos JEFs, conferindo segurança jurídica a um campo normativo que, pela natureza do benefício e pela vulnerabilidade dos segurados, exige sensibilidade na aplicação das regras de direito.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9.21 Data de início do benefício (DIB)</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fixação da data de início do benefício (DIB) da aposentadoria por idade rural segue, em regra, o art. 49 da Lei n. 8.213/91: a aposentadoria por idade será devida a partir da data do requerimento administrativo (DER), ou, na sua ausência, a partir da data da citação.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questão assume contornos peculiares na aposentadoria rural, conforme Porto (2024). Quando o segurado preenche os requisitos antes do requerimento administrativo, a DIB é fixada na DER, não na data do implemento dos requisitos. Quando o requerimento administrativo é indeferido e o segurado ajuíza ação nos JEFs, a DIB retroage à DER, sendo devidas as parcelas vencidas desde essa data. A ausência de requerimento administrativo anterior à ação judicial implica fixação da DIB na data da citação, conforme orientação do STJ.</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aplicação do instituto da reafirmação da DER (Tema 995/STJ) é pertinente nas ações de aposentadoria rural. Quando o segurado completa os requisitos (idade e/ou tempo de atividade rural) após o requerimento administrativo, mas antes da decisão judicial, o juiz pode considerar esses requisitos, reafirmando a DER para a data em que o direito se completou. A DIB, nesse caso, é fixada na data da reafirmação.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Na sentença de procedência em ação de aposentadoria por idade rural nos JEFs, a fixação da DIB deve observar as seguintes regras: (a) se houve requerimento administrativo anterior: DIB na DER, com condenação em parcelas vencidas desde então, corrigidas monetariamente e acrescidas de juros de mora conforme a Lei n. 11.960/2009; (b) se não houve requerimento administrativo: DIB na data da citação; (c) se o implemento do requisito etário é posterior à DER: DIB na data do implemento da idade, por reafirmação da DER. Em qualquer caso, a implantação do benefício deve ser determinada como obrigação de fazer, com prazo para cumprimento pelo INSS.</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9.22 Cálculo da renda mensal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renda mensal da aposentadoria por idade rural do segurado especial corresponde, na quase totalidade dos casos, a um salário-mínimo (art. 39, I, da Lei n. 8.213/91). Para as regras gerais de apuração do salário de benefício e da renda mensal inicial, remete-se ao Capítulo 16. Aqui se examinam apenas as particularidades do cálculo rural.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segurado especial que recolheu contribuições facultativas sobre base de cálculo superior ao salário-mínimo (art. 39, II) submete-se às regras gerais de cálculo (Cap. 16).</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aposentadoria híbrida (art. 48, § 3º), os períodos rurais sem contribuição formal são computados com base no valor do salário-mínimo da época. O coeficiente aplicável depende da data do implemento dos requisitos: para requerimentos anteriores a 13/11/2019, 70% + 1% por grupo de 12 contribuições (até 100%); para requerimentos posteriores à EC 103/2019, 60% + 2% por ano excedente a 15 anos (mulher) ou 20 anos (homem), até 100%.</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diferença de tratamento entre os dois regimes pode ser significativa. No regime anterior à EC 103/2019, um segurado com 30 anos de contribuição (rurais + urbanos) obtinha coeficiente de 100% (70% + 30 × 1% = 100%). No regime posterior, o mesmo segurado homem obteria coeficiente de 80% (60% + 10 × 2% = 80%, pois só se contam os anos excedentes a 20). O cálculo feminino é simétrico, porém referenciado ao piso de 15 anos: uma segurada com 30 anos de contribuição (rurais + urbanos) obteria, no regime pós-EC 103/2019, coeficiente de 90% (60% + 15 × 2% = 90%, pois se contam os anos excedentes a 15), ao passo que, no regime anterior, alcançaria igualmente 100% (70% + 30 × 1% = 100%). A diferença de cinco anos no marco de cada gênero (20 para o homem, 15 para a mulher) reflete-se diretamente no coeficiente final, sempre em favor da segurada-mulher para idêntico tempo de contribuição. A regra de transição torna-se relevante para os segurados que implementaram os requisitos antes de 13/11/2019 mas formularam o requerimento após essa data: nessa hipótese, aplica-se o regime de cálculo vigente na data do implemento dos requisitos, em observância ao direito adquirido (art. 3º da EC 103/2019). O advogado deve analisar cuidadosamente as datas para identificar o regime mais favorável ao segurado, postulando a aplicação do direito adquirido quando cabível.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cálculo do salário de benefício na aposentadoria híbrida pós-EC 103/2019 pode resultar em valor inferior ao salário-mínimo, especialmente quando o segurado possui poucos anos de contribuição urbana e baixos salários de contribuição. Nesses casos, aplica-se a garantia constitucional do art. 201, § 2º, da CF/88, que assegura que nenhum benefício que substitua o salário de contribuição terá valor mensal inferior ao salário-mínimo. Na prática, o segurado receberá, no mínimo, um salário-mínimo mensal, independentemente do resultado do cálculo atuarial.</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9.23 Questões procedimentais nos JEFs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ação de aposentadoria por idade rural nos JEFs apresenta particularidades procedimentais que a distinguem das demais ações previdenciárias.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competência dos JEFs para as ações de aposentadoria rural é definida pelo valor da causa, que corresponde à soma de 12 prestações vincendas acrescida das parcelas vencidas (art. 3º, § 3º, da Lei n. 10.259/2001, c/c art. 292, VI, do CPC/2015). Quando o benefício pleiteado é de um salário-mínimo, o valor da causa geralmente se situa dentro da alçada dos JEFs (até 60 salários-mínimos), salvo quando as parcelas vencidas são significativas — o que é incomum, dado que o segurado rural frequentemente ingressa com a ação pouco após o indeferimento administrativo.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petição inicial nas ações rurais deve vir instruída com início de prova material (documentos que evidenciem a atividade rural) e, preferencialmente, com o requerimento de oitiva de testemunhas. O rol de testemunhas deve indicar pessoas com conhecimento direto da atividade rural do segurado, vizinhos, compradores de produção, membros da comunidade rural, com indicação de endereço para intimação.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audiência de instrução é momento processual de capital relevância nas ações rurais. Diferentemente das ações de benefício por incapacidade, nas quais a prova pericial é central, a aposentadoria rural se resolve preponderantemente pela prova documental e testemunhal. O juiz, ao conduzir a audiência, deve formular perguntas que permitam aferir: (a) o tipo de atividade rural exercida (agricultura, pecuária, pesca); (b) a localização da propriedade ou da área de trabalho; (c) os produtos cultivados ou criados; (d) o regime de trabalho (individual, familiar, assalariado); (e) a duração da atividade rural e eventuais interrupções; (f) a existência de renda complementar urbana; e (g) a participação de outros membros da família.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Na condução de audiências em ações de aposentadoria rural nos JEFs, algumas técnicas de instrução são particularmente eficazes: (a) iniciar pela oitiva do segurado, permitindo-lhe narrar livremente sua trajetória laboral antes de formular perguntas específicas, pois o relato espontâneo pode revelar informações que perguntas direcionadas não captar; (b) indagar sobre detalhes concretos da atividade rural — tipos de cultura, instrumentos de trabalho, dificuldades enfrentadas, períodos de seca ou enchente, compradores habituais da produção, que permitem ao juiz avaliar a autenticidade do relato; (c) confrontar o depoimento com os documentos dos autos, esclarecendo eventuais divergências; (d) verificar com as testemunhas a mesma base factual, sem induzi-las, para aferir a coerência dos relatos.</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sentença de procedência em ação de aposentadoria rural deve conter, em seu dispositivo: (a) o reconhecimento do tempo de atividade rural e do preenchimento dos requisitos legais; (b) a determinação de concessão do benefício de aposentadoria por idade rural (ou híbrida, conforme o caso); (c) a fixação da DIB; (d) a condenação do INSS em obrigação de fazer (implantar o benefício) e em obrigação de pagar (parcelas vencidas); (e) a fixação dos critérios de atualização monetária e juros de mora; e (f) o prazo para cumprimento da obrigação de fazer.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tutela de urgência é cabível nas ações de aposentadoria rural quando demonstrada a verossimilhança do direito (por meio de início de prova material robusto) e o periculum in mora (geralmente configurado pela idade avançada do segurado e pela ausência de outra fonte de renda). A implantação antecipada do benefício, como tutela provisória de urgência, é medida frequente nos JEFs, especialmente quando o segurado tem idade avançada e a instrução processual é complexa.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análise do CNIS pelo magistrado constitui etapa preliminar indispensável em ações de aposentadoria rural. O Cadastro Nacional de Informações Sociais registra vínculos empregatícios formais, contribuições previdenciárias e benefícios recebidos. A presença de vínculos urbanos no CNIS não implica, por si só, a improcedência do pedido de aposentadoria rural, mas impõe ao juiz a verificação de três aspectos: (a) a duração dos vínculos urbanos (curtos e intercalados, compatíveis com entressafra, ou longos, sugestivos de abandono da atividade rural); (b) a cronologia dos vínculos (se concentrados em determinado período ou distribuídos ao longo de toda a vida laboral); e (c) a consistência entre os vínculos registrados e o relato do segurado em audiência. Divergências entre o CNIS e o depoimento pessoal exigem esclarecimento, sob pena de comprometimento da credibilidade do pedido.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recurso inominado contra sentença em ação de aposentadoria rural nos JEFs é julgado pela Turma Recursal competente, nos termos da Lei n. 10.259/2001. A revisão da prova testemunhal pelo órgão recursal é limitada: a Turma Recursal pode reavaliar a suficiência do início de prova material e a coerência entre prova documental e testemunhal, mas não pode substituir a valoração do juízo de primeiro grau quanto à credibilidade dos depoimentos, salvo em casos de manifesta arbitrariedade ou contradição com os elementos dos autos. Eventual divergência com entendimento da TNU autoriza a interposição de pedido de uniformização, nos termos do art. 14, § 2º, da Lei n. 10.259/2001.</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elaboração de quesitos para testemunhas em ações de aposentadoria rural nos JEFs deve ser orientada por elementos específicos que o juiz precisa aferir: (a) a localidade onde o segurado exerce ou exerceu atividade rural; (b) o tipo de cultura ou criação (milho, feijão, mandioca, café, gado, etc.); (c) a extensão aproximada da área explorada; (d) os instrumentos de trabalho utilizados (tração animal, mecanização parcial, trabalho manual); (e) a composição do grupo familiar que participa da atividade; (f) eventuais períodos de afastamento do campo (entressafra, doença, atividade urbana temporária); (g) a forma de comercialização da produção (feiras, atravessadores, cooperativas); e (h) o conhecimento direto da testemunha sobre o segurado e há quanto tempo o conhece. Perguntas sobre detalhes concretos, como o preço de venda do produto, as dificuldades climáticas enfrentadas ou os vizinhos de propriedade, permitem ao juiz aferir a autenticidade dos relatos com segurança.</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9.24 Indígenas, quilombolas e comunidades tradicionais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I</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ndígenas, quilombolas e demais comunidades tradicionais (ribeirinhos, caiçaras, quebradeiras de coco babaçu, seringueiros) integram a categoria de segurados especiais quando preenchidos os requisitos do art. 11, VII, da Lei n. 8.213/91 — o conceito é funcional, centrado no exercício de atividade em regime de economia familiar, sem distinção étnica.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principal problema probatório dessas populações reside na informalidade acentuada e na distância dos órgãos de registro. Quanto ao indígena, a terra demarcada, embora de propriedade da União (art. 20, XI, CF/88), é de usufruto exclusivo dos indígenas (art. 231, § 2º), equiparando-se à posse para fins previdenciários. O limite de quatro módulos fiscais não se aplica, pois a terra indígena possui regime jurídico próprio.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As comunidades quilombolas, reconhecidas pelo art. 68 do ADCT, exercem atividade rural em territórios coletivos. O enquadramento como segurado especial segue os mesmos critérios gerais: comprovação do exercício de atividade agropecuária ou extrativista em regime de economia familiar. A certidão de autorreconhecimento emitida pela Fundação Cultural Palmares, combinada com documentos que comprovem a atividade rural (DAP, bloco de notas, declaração sindical), constitui início de prova material robusto.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prova da atividade rural de membros de comunidades tradicionais apresenta dificuldades próprias, relacionadas à informalidade ainda mais acentuada dessas populações e à distância geográfica dos órgãos de registro. A jurisprudência dos TRFs vem adotando postura sensível a essas especificidades, admitindo documentos emitidos pela FUNAI, pela Fundação Palmares, por associações de comunidades tradicionais e por entidades de assistência técnica e extensão rural como início de prova material.</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9.25 Meação, parceria e comodato rural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exploração de terra alheia mediante contratos de meação, parceria ou comodato é forma habitual de exercício de atividade rural por trabalhadores que não são proprietários da terra. O meeiro cultiva a terra de outrem e divide a produção em partes iguais com o proprietário. O parceiro reparte a produção em proporções distintas (geralmente 70/30 ou 60/40). O comodatário usa gratuitamente a terra cedida pelo proprietário, sem obrigação de repartição da produção.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Todas essas modalidades de exploração são compatíveis com o regime de economia familiar e com o enquadramento como segurado especial (art. 11, VII, "a", Lei n. 8.213/91). O contrato de meação, parceria ou comodato constitui, inclusive, início de prova material da atividade rural (art. 106, II, Lei n. 8.213/91), comprovando simultaneamente a vinculação ao meio rural e o exercício efetivo de atividade agropecuária.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porém, esses contratos raramente são formalizados por escrito. A relação entre o meeiro/parceiro e o proprietário da terra frequentemente se estabelece de modo verbal, com base na confiança mútua e nos costumes locais. A ausência de contrato escrito não impede o reconhecimento da atividade rural, desde que comprovada por outros meios: declaração do proprietário da terra, testemunhos de vizinhos, documentos de comercialização da produção em nome do meeiro/parceiro, e outros elementos que confirmem a exploração da terra em regime de economia familiar.</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Quando o segurado alega ter exercido atividade rural como meeiro, parceiro ou comodatário, o advogado deve buscar obter declaração do proprietário da terra confirmando a cessão e o período de exploração. Essa declaração, ainda que produzida unilateralmente, constitui início de prova material apto a ser corroborado pela prova testemunhal. Se o proprietário já faleceu, os herdeiros podem prestar essa declaração, ou testemunhas que conheciam a relação de parceria podem suprir a ausência documental. A escritura pública ou a matrícula do imóvel rural em nome do proprietário, combinada com prova testemunhal de que o segurado efetivamente trabalhava naquela terra, constitui conjunto probatório satisfatório.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9.26 Pescador artesanal como segurado especial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N</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 prática dos JEFs do litoral e da região amazônica, o pescador artesanal responde por parcela expressiva dos pedidos de aposentadoria rural. O art. 11, VII, "b", da Lei n. 8.213/91 o enquadra como segurado especial quando a pesca constitui profissão habitual ou principal meio de vida, sem sujeição ao limite de quatro módulos fiscais.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condição de pescador artesanal é comprovada, além dos documentos gerais previstos no art. 106, pelo Registro Geral da Atividade Pesqueira (RGP), emitido pelo Ministério da Pesca (ou pelo órgão que exerça essa atribuição). O RGP classifica o pescador em categorias, artesanal, industrial, amador, e constitui documento de forte valor probatório para fins previdenciários. A carteira de pescador profissional, expedida pela autoridade competente, também constitui início de prova material da atividade pesqueira.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período de defeso, proibição temporária da pesca para preservação das espécies, é equiparado ao período de entressafra para fins previdenciários. Durante o defeso, o pescador artesanal recebe o seguro-defeso (Lei n. 10.779/2003), benefício de natureza trabalhista-previdenciária que equivale a um salário-mínimo mensal. O recebimento do seguro-defeso não descaracteriza a condição de segurado especial; ao contrário, constitui indício da atividade pesqueira artesanal, pois o benefício somente é devido ao pescador profissional que exerça a atividade de forma ininterrupta.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atividade de mariscagem, catação de caranguejos, coleta de mariscos e outras formas de extrativismo aquático são equiparadas à pesca artesanal para fins previdenciários, desde que exercidas em regime de economia familiar. Mulheres marisqueiras, especialmente no litoral nordestino, integram parcela significativa dos segurados especiais que pleiteiam aposentadoria rural nos JEFs. A prova da atividade de mariscagem segue as mesmas regras gerais do regime probatório rural, com a peculiaridade de que a informalidade é ainda mais acentuada nessa atividade: as marisqueiras raramente possuem RGP, DAP ou qualquer registro formal, valendo-se, na maioria dos casos, de certidões de nascimento/casamento com qualificação como "pescadora" ou "marisqueira", declarações de colônias de pesca e fichas de atendimento em postos de saúde com indicação da profissão.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pescador artesanal que emprega regime de economia familiar e se vale de embarcação de pequeno porte mantém a condição de segurado especial. A própria definição legal de pesca artesanal — art. 8º, I, "b", da Lei n. 11.959/2009 (Política Nacional de Desenvolvimento Sustentável da Aquicultura e da Pesca) — funda-se no exercício da atividade de forma autônoma, em regime de economia familiar, com meios de produção próprios ou em parceria. O parâmetro de porte da embarcação habitualmente referido — embarcações de até 20 toneladas de arqueação bruta (AB) — não consta da lei, mas de regulamentação infralegal/administrativa do órgão de pesca, de caráter variável e meramente indicativo: a exemplo do que se assentou quanto aos 120 dias de entressafra (seção 9.13), o limite de tonelagem orienta a análise, sem operar como teto categórico, devendo o julgador aferir, no caso concreto, se a capacidade da embarcação e o volume de pesca são compatíveis com a atividade de subsistência. O uso de embarcação motorizada não descaracteriza a condição de artesanal. A pesca industrial, por outro lado, realizada em embarcações de grande porte e com relação de emprego formal, não se enquadra no conceito de segurado especial — o pescador industrial é segurado empregado (art. 11, I) ou contribuinte individual, conforme a relação de trabalho.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9.27 A regra de transição do art. 143 da Lei n. 8.213/91</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143 da Lei n. 8.213/91, em sua redação original, previu regra de transição para a comprovação da atividade rural, nos seguintes termos: o trabalhador rural, ora enquadrado como segurado obrigatório no RGPS, podia requerer aposentadoria por idade mediante a comprovação do exercício de atividade rural, ainda que descontínua, no período imediatamente anterior ao requerimento do benefício, em número de meses idêntico à carência do referido benefício.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regra foi concebida como transitória, para vigorar por 15 anos a partir da edição da Lei n. 8.213/91 (ou seja, até 24/07/2006). O objetivo era facilitar a transição do regime anterior, em que o trabalhador rural era atendido pelo FUNRURAL sem exigência de contribuição individual, para o novo regime do RGPS, que requer a comprovação de 180 contribuições. A regra dispensava a comprovação de contribuições, bastando a prova do exercício efetivo de atividade rural pelo período equivalente à carência.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prazo de vigência do art. 143 foi sucessivamente prorrogado: a Lei n. 11.718/2008 estendeu-o até 31/12/2010; a Lei n. 12.873/2013, até 31/12/2015; a Lei n. 13.183/2015, até 31/12/2020; e a Lei n. 14.131/2021, até 31/12/2025. Essa sucessão de prorrogações evidencia que a regra "transitória" tornou-se, na prática, regra quase permanente, refletindo a persistência das condições de informalidade que justificaram sua criação. A vigência do art. 143 na data de publicação desta obra deve ser verificada pelo leitor, pois nova prorrogação legislativa pode ter sido editada após o fechamento da edição.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relação entre o art. 143 (regra de transição) e o art. 48, § 2º (regra permanente), gera complexa questão de direito intertemporal. Ambos os dispositivos dispensam o recolhimento de contribuições pelo segurado especial, exigindo a comprovação do exercício de atividade rural pelo período equivalente à carência. A diferença reside na expressão "período imediatamente anterior ao requerimento" (art. 143): a regra de transição exige contemporaneidade entre a atividade rural e o requerimento, enquanto a regra permanente do art. 48, § 2º, foi interpretada pelo STJ (Tema 642) como igualmente exigente de contemporaneidade. Na rotina previdenciária forense, a distinção perdeu relevância operacional, mas o advogado deve estar atento ao fundamento legal adequado, especialmente em casos limítrofes.</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9.28 Fraudes e litigância predatória nas ações rurais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regime probatório da aposentadoria rural — flexível por necessidade constitucional — é também vulnerável a fraudes. A relativa facilidade de obtenção de declarações sindicais, a dificuldade de verificação da atividade rural por parte do INSS em regiões remotas e a valorização da prova testemunhal como elemento complementar criam espaço para condutas fraudulentas que comprometem a integridade do sistema.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magistrado dos JEFs deve estar atento a indícios de simulação: segurados que residem em centros urbanos e alegam atividade rural em municípios distantes; início de prova material restrito a declarações sindicais sem qualquer outro elemento documental; testemunhas que prestam depoimentos padronizados, sem conhecimento efetivo das circunstâncias do trabalho rural; e múltiplas ações com o mesmo representante processual, envolvendo segurados da mesma localidade com a mesma estratégia probatória. Esses padrões devem ser analisados com cautela, sem prejuízo da presunção de boa-fé que orienta o processo judicial.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Lei n. 13.846/2019 introduziu mecanismos de combate à fraude previdenciária que repercutem nas ações rurais. O cruzamento de dados entre o CNIS, o Cadastro Único para Programas Sociais e os registros do INCRA permite ao INSS e ao Poder Judiciário verificar a consistência das informações prestadas pelo segurado. A exigência de georreferenciamento do imóvel rural e a consulta a imagens de satélite são ferramentas que vêm sendo incorporadas à instrução processual, permitindo ao juiz verificar, com grau razoável de certeza, se o imóvel indicado pelo segurado efetivamente existe, se possui dimensões compatíveis com a atividade alegada e se apresenta sinais de cultivo ou exploração agropecuária.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Entendemos que o combate à fraude não pode servir de pretexto para endurecimento generalizado do regime probatório. A flexibilização da prova em favor do trabalhador rural é conquista constitucional que reflete a realidade socioeconômica do campo brasileiro. O caminho adequado é a análise criteriosa do conjunto probatório em cada caso concreto, sem presunções genéricas de fraude ou de legitimidade.</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9.29 Consolidação das posições adotadas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 posições sustentadas neste capítulo podem ser sintetizadas nos seguintes termos: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aposentadoria por idade rural mantém integralmente seus requisitos após a EC 103/2019: 60 anos (homem) e 55 anos (mulher), com comprovação de 180 meses de atividade rural. Entendemos que a opção constitucional de preservar esses requisitos reflete adequado reconhecimento da vulnerabilidade socioeconômica do trabalhador rural e das condições de desgaste físico inerentes à atividade no campo.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regime probatório da atividade rural, ancorado na exigência de início de prova material corroborado por prova testemunhal (Súmula 149/STJ), deve ser interpretado com a flexibilidade que a realidade do trabalhador rural impõe. A fungibilidade dos documentos aptos a constituir início de prova material (Súmula 6/TNU), a desnecessidade de cobertura documental de todo o período de carência (Súmula 14/TNU) e a possibilidade de extensão temporal da prova documental por meio de testemunhos (Súmula 577/STJ) constituem instrumentos hermenêuticos que concretizam o acesso do segurado rural ao direito previdenciário.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aposentadoria por idade híbrida (art. 48, § 3º), especialmente após o Tema 1.007/STJ, ampliou significativamente o universo de segurados elegíveis, ao permitir o cômputo de tempo rural remoto e descontínuo sem exigência de recolhimento. Entendemos que essa modalidade de aposentadoria é coerente com a trajetória laboral de milhões de brasileiros que transitaram entre o campo e a cidade, e que sua interpretação deve ser a mais ampla possível, dentro dos limites legais.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Tema 1.115/STJ, ao afastar a descaracterização automática do segurado especial pela propriedade superior a quatro módulos fiscais, representou avanço na concretização do princípio da primazia da realidade. Entendemos que a condição de segurado especial deve ser aferida pelo regime efetivo de exploração (economia familiar versus exploração empresarial), e não por critério exclusivamente quantitativo de área.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prova do trabalho rural infantil deve ser admitida para fins previdenciários, por força do princípio da proteção ao trabalhador e da vedação ao prejuízo retroativo por ato ilícito do empregador. Entendemos que a proibição constitucional do trabalho infantil dirige-se ao empregador, não ao trabalhador, e que negar efeito previdenciário ao trabalho efetivamente prestado constitui dupla penalização do menor explorado.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atuação nos JEFs, a instrução adequada das ações de aposentadoria rural exige do magistrado sensibilidade para o contexto socioeconômico do segurado, domínio do regime probatório específico e conhecimento da jurisprudência consolidada — elementos que, combinados, permitem a prolação de decisões justas, fundamentadas e eficientes.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quadro a seguir sintetiza os principais parâmetros decisórios na aposentadoria do segurado rural:</w:t>
      </w:r>
    </w:p>
    <w:tbl>
      <w:tblPr>
        <w:tblW w:type="auto" w:w="0"/>
        <w:jc w:val="center"/>
        <w:tblLook w:firstColumn="1" w:firstRow="1" w:lastColumn="0" w:lastRow="0" w:noHBand="0" w:noVBand="1" w:val="04A0"/>
        <w:tblW w:w="5000" w:type="pct"/>
      </w:tblPr>
      <w:tblGrid>
        <w:gridCol w:w="3175"/>
        <w:gridCol w:w="3175"/>
      </w:tblGrid>
      <w:tr>
        <w:trPr>
          <w:tblHeader/>
        </w:trPr>
        <w:tc>
          <w:tcPr>
            <w:tcW w:type="dxa" w:w="3175"/>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Figura</w:t>
            </w:r>
          </w:p>
        </w:tc>
        <w:tc>
          <w:tcPr>
            <w:tcW w:type="dxa" w:w="3175"/>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Parâmetros decisórios</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Aposentadoria por idade rural (art. 48, §§ 1º-2º)</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Idade 60/55 anos; carência de 180 meses de atividade rural; contemporaneidade exigida (Tema 642/STJ); benefício de um salário-mínimo; início de prova material obrigatório (Súmula 149/STJ)</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Aposentadoria por idade híbrida (art. 48, § 3º)</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Idade 65/60 anos; soma de períodos rurais e urbanos para atingir 180 contribuições; contemporaneidade dispensada (Tema 1.007/STJ); tempo rural anterior a 1991 computável sem recolhimento (Tema 1.007/STJ) e, no benefício de um salário-mínimo, também o posterior a 1991 (art. 39, I, da Lei 8.213/91 — seção 9.11); cálculo pela média dos salários de contribuição</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Segurado especial (art. 11, VII)</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Regime de economia familiar; até 4 módulos fiscais (critério flexibilizado pelo Tema 1.115/STJ); contribuição sobre comercialização; sem empregados permanentes; auxílio eventual admitido; documentos do cônjuge e da família extensíveis (Súmulas 6 e 14/TNU)</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Boia-fria</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Enquadramento, em regra, como empregado rural (mas também contribuinte individual ou avulso, conforme a relação de trabalho — seção 9.10); prova material mitigada; regime probatório abrandado; responsabilidade patronal pelo recolhimento; benefício de um salário-mínimo na prática</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E</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sses parâmetros orientam tanto a atuação do advogado na elaboração da petição inicial quanto a condução da instrução processual pelo magistrado, conferindo previsibilidade e uniformidade à aplicação do direito previdenciário rural nos Juizados Especiais Federais.</w:t>
      </w:r>
    </w:p>
    <w:p>
      <w:pPr>
        <w:sectPr>
          <w:headerReference w:type="default" r:id="rId117"/>
          <w:headerReference w:type="even" r:id="rId118"/>
          <w:footerReference w:type="default" r:id="rId119"/>
          <w:footerReference w:type="even" r:id="rId120"/>
          <w:headerReference w:type="first" r:id="rId121"/>
          <w:footerReference w:type="first" r:id="rId122"/>
          <w:pgSz w:w="8391" w:h="11906"/>
          <w:pgMar w:top="935" w:right="879" w:bottom="964" w:left="1162" w:header="454" w:footer="425" w:gutter="0" w:mirrorMargins="1"/>
          <w:cols w:space="720"/>
          <w:titlePg/>
          <w:docGrid w:linePitch="360"/>
        </w:sectPr>
      </w:pPr>
    </w:p>
    <w:p>
      <w:pPr>
        <w:spacing w:before="240" w:after="80" w:line="240" w:lineRule="auto"/>
        <w:jc w:val="center"/>
        <w:keepNext/>
      </w:pPr>
      <w:r>
        <w:rPr>
          <w:rFonts w:ascii="Noto Sans" w:hAnsi="Noto Sans" w:cs="Noto Sans"/>
          <w:b/>
          <w:i w:val="0"/>
          <w:caps/>
          <w:color w:val="8A6A2A"/>
          <w:sz w:val="19"/>
          <w:lang w:val="pt-BR" w:bidi="ar-SA"/>
          <w:kern w:val="16"/>
          <w14:ligatures w14:val="standardContextual"/>
        </w:rPr>
        <w:t>CAPÍTULO 10</w:t>
      </w:r>
    </w:p>
    <w:p>
      <w:pPr>
        <w:pStyle w:val="Heading2"/>
        <w:spacing w:before="0" w:after="160" w:line="240" w:lineRule="auto"/>
        <w:jc w:val="center"/>
        <w:keepNext/>
      </w:pPr>
      <w:r>
        <w:rPr>
          <w:rFonts w:ascii="EB Garamond" w:hAnsi="EB Garamond" w:cs="EB Garamond"/>
          <w:b/>
          <w:i w:val="0"/>
          <w:caps/>
          <w:color w:val="2F2923"/>
          <w:sz w:val="40"/>
          <w:lang w:val="pt-BR" w:bidi="ar-SA"/>
          <w:kern w:val="16"/>
          <w14:ligatures w14:val="standardContextual"/>
        </w:rPr>
        <w:t>Aposentadoria Programada e Aposentadoria por Idade Urbana</w:t>
      </w:r>
    </w:p>
    <w:p>
      <w:pPr>
        <w:spacing w:before="0" w:after="240" w:line="240" w:lineRule="auto"/>
        <w:jc w:val="center"/>
      </w:pPr>
      <w:r>
        <w:rPr>
          <w:rFonts w:ascii="EB Garamond" w:hAnsi="EB Garamond" w:cs="EB Garamond"/>
          <w:b w:val="0"/>
          <w:i w:val="0"/>
          <w:color w:val="B78B37"/>
          <w:sz w:val="18"/>
          <w:lang w:val="pt-BR" w:bidi="ar-SA"/>
          <w:kern w:val="16"/>
          <w14:ligatures w14:val="standardContextual"/>
        </w:rPr>
        <w:t>━━━━  ◆  ━━━━</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Introdução: da aposentadoria por idade à aposentadoria programada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EC 103/2019 substituiu a aposentadoria por idade e a aposentadoria por tempo de contribuição por uma única espécie — a aposentadoria programada — com requisitos cumulativos de idade mínima e tempo de contribuição. Onde antes existiam duas modalidades autônomas, desde a LOPS (Lei 3.807/60) passando pelas reformas da EC 20/1998 e da Lei 9.876/99, surgiu uma formula unificada que combina idade e tempo de contribuição em exigências simultâneas.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Essa unificação não foi mera mudança de nomenclatura. Ela alterou a lógica estrutural do sistema, eliminando a possibilidade de aposentadoria exclusivamente por tempo de contribuição (sem idade mínima) e consolidando a exigência de requisitos cumulativos. O resultado prático é que, para os segurados filiados ao RGPS após 13 de novembro de 2019, existe uma única modalidade de aposentadoria voluntária por idade no regime geral: a aposentadoria programada do art. 201, § 7º, inciso I, da Constituição Federal.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Entretanto, a realidade dos Juizados Especiais Federais é consideravelmente mais complexa do que a leitura isolada da regra permanente sugere. A maioria dos segurados que atualmente litigam nos JEFs ingressou no sistema antes da Reforma e, portanto, pode estar sujeita a uma ou mais das cinco regras de transição previstas nos arts. 15 a 20 da EC 103/2019. Além disso, segurados que implementaram os requisitos da antiga aposentadoria por idade (65/60 anos + 180 contribuições) antes de 13/11/2019 preservam o direito adquirido ao benefício na forma da legislação anterior, nos termos do art. 3º da EC 103/2019.</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Este capítulo examina o universo das aposentadorias por idade no âmbito urbano, compreendendo tanto a regra permanente da aposentadoria programada quanto a regra de transição do art. 18 da EC 103/2019 e o direito adquirido à aposentadoria por idade pré-reforma. As regras de transição dos arts. 15, 16, 17 e 20, que se aplicam predominantemente a segurados com longo tempo de contribuição, serão tratadas no Capítulo 11 (Aposentadoria por Tempo de Contribuição e Regras de Transição), embora aqui se faça a apresentação panorâmica necessária para que o leitor compreenda a interação entre essas regras e saiba orientar o segurado na escolha do benefício mais vantajoso. Registre-se, em especial, que a regra do pedágio de 50% (art. 17 da EC 103/2019) é a única reservada a quem, em 13/11/2019, estava a menos de dois anos do tempo de contribuição então exigido (30 anos para a mulher, 35 para o homem): nessa hipótese, o segurado completa o tempo faltante acrescido de pedágio equivalente à metade desse período, sujeitando-se, contudo, à incidência do fator previdenciário — peculiaridade que a distingue das demais transições e que justifica sua aparição apenas marginal nas tabelas comparativas deste capítulo, voltado à aposentadoria por 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delimitação entre este capítulo e os capítulos vizinhos merece atenção. O Capítulo 9 trata da aposentadoria rural e da aposentadoria por idade híbrida (Tema 1007/STJ); o Capítulo 11 trata das regras de transição por tempo de contribuição (arts. 15, 16, 17 e 20, EC 103); e o Capítulo 12 trata da aposentadoria da pessoa com deficiência (LC 142/2013). O presente capítulo concentra-se na aposentadoria por idade do segurado urbano, na nova aposentadoria programada e na interface prática entre essas modalidades nos JEFs.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advogado previdenciário que atua nos Juizados Especiais Federais precisa dominar não apenas os requisitos normativos de cada regra, mas também a estratégia de escolha entre elas. Um mesmo segurado pode ter direito adquirido à regra antiga, enquadrar-se em uma ou mais regras de transição e, simultaneamente, preencher os requisitos da regra permanente. A identificação do benefício mais vantajoso, em termos de valor mensal e de data de início mais favorável, é tarefa que exige domínio técnico e visão sistêmica do ordenamento previdenciário.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10.2 Evolução legislativa: da LOPS à EC 103/2019</w:t>
      </w:r>
    </w:p>
    <w:p>
      <w:pPr>
        <w:spacing w:before="260" w:after="80" w:line="240" w:lineRule="auto"/>
        <w:jc w:val="left"/>
      </w:pPr>
      <w:r>
        <w:rPr>
          <w:rFonts w:ascii="EB Garamond" w:hAnsi="EB Garamond" w:cs="EB Garamond"/>
          <w:b/>
          <w:i w:val="0"/>
          <w:color w:val="3A3128"/>
          <w:sz w:val="25"/>
          <w:lang w:val="pt-BR" w:bidi="ar-SA"/>
          <w:kern w:val="16"/>
          <w14:ligatures w14:val="standardContextual"/>
        </w:rPr>
        <w:t>10.2.1 A aposentadoria por velhice na LOPS (1960-1991)</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Lei 3.807/60 (Lei Orgânica da Previdência Social) instituiu a aposentadoria por velhice, denominação que revelava o paradigma da época. Os requisitos eram modestos para os padrões atuais: 65 anos de idade para homens e 60 para mulheres, sem exigência explícita de um número mínimo de contribuições, bastando a condição de segurado. A LOPS unificou diversos institutos de aposentadoria e pensões (IAPs) sob uma disciplina normativa comum, mas manteve a fragmentação institucional até a criação do INPS em 1966.</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Nesse período, a aposentadoria por velhice funcionava como um piso de proteção para trabalhadores que alcançavam idade avançada sem ter acumulado tempo de serviço suficiente para a aposentadoria por tempo de serviço. A distinção entre as duas modalidades já estava presente: a aposentadoria por tempo de serviço era o benefício "completo" (valor integral), enquanto a aposentadoria por velhice representava uma alternativa reduzida para quem não atingia o tempo mínimo de serviço.</w:t>
      </w:r>
    </w:p>
    <w:p>
      <w:pPr>
        <w:spacing w:before="260" w:after="80" w:line="240" w:lineRule="auto"/>
        <w:jc w:val="left"/>
      </w:pPr>
      <w:r>
        <w:rPr>
          <w:rFonts w:ascii="EB Garamond" w:hAnsi="EB Garamond" w:cs="EB Garamond"/>
          <w:b/>
          <w:i w:val="0"/>
          <w:color w:val="3A3128"/>
          <w:sz w:val="25"/>
          <w:lang w:val="pt-BR" w:bidi="ar-SA"/>
          <w:kern w:val="16"/>
          <w14:ligatures w14:val="standardContextual"/>
        </w:rPr>
        <w:t>10.2.2 A Constituição de 1988 e a aposentadoria por idade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Constituição de 1988 manteve a aposentadoria por idade (art. 201, I, redação original) com requisitos de 65 anos para homens e 60 para mulheres, reduzidos em cinco anos para trabalhadores rurais. A grande inovação constitucional foi o art. 202 (redação original), que vinculava o cálculo da aposentadoria à média dos salários de contribuição e introduziu o mecanismo de correção monetária integral dos salários de contribuição utilizados no cálculo.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Lei 8.213/91, que regulamentou os benefícios previdenciários, disciplinou a aposentadoria por idade nos arts. 48 a 51, estabelecendo a exigência de carência de 180 contribuições mensais (art. 25, II), com a regra de transição do art. 142 para segurados filiados antes de 24/07/1991. Essa tabela progressiva previa um aumento gradual da carência, de 60 contribuições em 1991 até 180 em 2011.</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aposentadoria por idade, nessa configuração, apresentava uma peculiaridade relevante: o fator previdenciário, instituído pela Lei 9.876/99, era aplicado ao cálculo do salário de benefício, mas somente quando resultasse em valor mais favorável ao segurado. Essa opcionalidade decorria da interpretação sistemática do art. 29, I, da Lei 8.213/91 (com redação da Lei 9.876/99) e do art. 7o da Lei 9.876/99, que estabelecia regra de transição para cálculo do salário de benefício. Na prática, o fator previdenciário era quase sempre desfavorável na aposentadoria por idade, porque os segurados que optavam por essa modalidade tipicamente tinham menos tempo de contribuição do que os que se aposentavam por tempo de serviço. Assim, a não aplicação obrigatória do fator significava, na maioria dos casos, que ele era desconsiderado no cálculo.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renda mensal inicial da aposentadoria por idade, na regra pré-EC 103, era calculada como 70% do salário de benefício, mais 1% para cada grupo de 12 contribuições mensais, até o máximo de 100%. Essa fórmula premiava o segurado com longo histórico contributivo: quem tivesse 30 anos de contribuição (360 contribuições) receberia 70% + 30% = 100% do salário de benefício.</w:t>
      </w:r>
    </w:p>
    <w:p>
      <w:pPr>
        <w:spacing w:before="260" w:after="80" w:line="240" w:lineRule="auto"/>
        <w:jc w:val="left"/>
      </w:pPr>
      <w:r>
        <w:rPr>
          <w:rFonts w:ascii="EB Garamond" w:hAnsi="EB Garamond" w:cs="EB Garamond"/>
          <w:b/>
          <w:i w:val="0"/>
          <w:color w:val="3A3128"/>
          <w:sz w:val="25"/>
          <w:lang w:val="pt-BR" w:bidi="ar-SA"/>
          <w:kern w:val="16"/>
          <w14:ligatures w14:val="standardContextual"/>
        </w:rPr>
        <w:t>10.2.3 As reformas intermediárias (EC 20/1998 e Lei 9.876/1999)</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EC 20/1998 introduziu modificações relevantes na estrutura previdenciária, mas manteve intactos os requisitos da aposentadoria por idade urbana. Sua principal contribuição para o tema deste capítulo foi a extinção da aposentadoria proporcional por tempo de serviço, mantendo-a apenas como regra de transição — o que, indiretamente, aumentou a relevância da aposentadoria por idade como alternativa para segurados que não atingiam o tempo de contribuição integral.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Lei 9.876/99, por sua vez, alterou radicalmente a fórmula de cálculo dos benefícios ao instituir o fator previdenciário e modificar a base de cálculo do salário de benefício. Antes da lei, utilizava-se a média dos 36 últimos salários de contribuição; após a lei, passou-se a utilizar a média dos 80% maiores salários de contribuição de todo o período contributivo, desde julho de 1994. Essa mudança teve impacto significativo na aposentadoria por idade, pois ampliou o período de apuração e, em muitos casos, reduziu o valor do benefício.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regra de transição do art. 3º da Lei 9.876/99 preservou o direito dos segurados filiados antes de sua vigência a optarem pela regra anterior, quando mais favorável — dispositivo cuja constitucionalidade foi reconhecida pelo Supremo Tribunal Federal nas ADIs 2.110/DF e 2.111/DF e que esteve no centro da chamada "revisão da vida toda" (STF Tema 1.102). Entendemos relevante registrar, desde já, que essa tese foi superada pelo próprio Supremo: o julgamento de mérito das ADIs 2.110/DF e 2.111/DF — cuja ata foi publicada em 05/04/2024, data que se tornou o marco de modulação — firmou a obrigatoriedade do art. 3º da Lei 9.876/99 em sua interpretação textual, afastando a opção pela regra definitiva. A cronologia processual completa, com a fixação da tese vinculante e os desdobramentos posteriores, é examinada na seção 10.11.3, infra.</w:t>
      </w:r>
    </w:p>
    <w:p>
      <w:pPr>
        <w:spacing w:before="260" w:after="80" w:line="240" w:lineRule="auto"/>
        <w:jc w:val="left"/>
      </w:pPr>
      <w:r>
        <w:rPr>
          <w:rFonts w:ascii="EB Garamond" w:hAnsi="EB Garamond" w:cs="EB Garamond"/>
          <w:b/>
          <w:i w:val="0"/>
          <w:color w:val="3A3128"/>
          <w:sz w:val="25"/>
          <w:lang w:val="pt-BR" w:bidi="ar-SA"/>
          <w:kern w:val="16"/>
          <w14:ligatures w14:val="standardContextual"/>
        </w:rPr>
        <w:t>10.2.4 A EC 103/2019 e a criação da aposentadoria programada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Emenda Constitucional 103/2019 representou a mais profunda reforma da previdência social brasileira. No que tange à aposentadoria por idade urbana, as mudanças foram estruturais e podem ser sintetizadas em quatro eixos fundamentais.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Primeiro, a unificação das espécies. A EC 103 extinguiu a aposentadoria por tempo de contribuição como espécie autônoma, criando a aposentadoria programada, que exige cumulativamente idade mínima (65H/62M) e tempo de contribuição mínimo (20H/15M). Não há mais possibilidade de aposentadoria voluntária sem cumprimento simultâneo de ambos os requisitos.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Segundo, a elevação da idade mínima feminina de 60 para 62 anos, com transição gradual (art. 18, EC 103/2019 — v. Tabela na seção 10.4.2). Para homens, a idade permaneceu em 65 anos.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Terceiro, o aumento do tempo de contribuição mínimo masculino. O tempo de contribuição mínimo para homens filiados após 13/11/2019 passou de 15 para 20 anos. Para mulheres, manteve-se em 15 anos. Homens filiados antes da EC 103 mantêm o direito ao tempo de contribuição mínimo de 15 anos nas regras de transição.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Quarto, a alteração radical da fórmula de cálculo. Abandonou-se o modelo de 80% dos maiores salários de contribuição, passando-se a utilizar a média de 100% dos salários de contribuição desde julho de 1994, sem exclusão dos menores. O coeficiente de cálculo também mudou: parte-se de 60% da média, acrescidos de 2% por ano de contribuição que exceder 20 anos (homem) ou 15 anos (mulher).</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Tempo de contribuição mínimo: 15 ou 20 anos?</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distinção é crucial e fonte frequente de erro: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 </w:t>
            </w:r>
            <w:r>
              <w:rPr>
                <w:rFonts w:ascii="EB Garamond" w:hAnsi="EB Garamond" w:cs="EB Garamond"/>
                <w:b/>
                <w:i w:val="0"/>
                <w:color w:val="201B16"/>
                <w:sz w:val="19"/>
                <w:lang w:val="pt-BR" w:bidi="ar-SA"/>
                <w:kern w:val="16"/>
                <w14:ligatures w14:val="standardContextual"/>
              </w:rPr>
              <w:t>Homem filiado antes de 13/11/2019:</w:t>
            </w:r>
            <w:r>
              <w:rPr>
                <w:rFonts w:ascii="EB Garamond" w:hAnsi="EB Garamond" w:cs="EB Garamond"/>
                <w:b w:val="0"/>
                <w:i w:val="0"/>
                <w:color w:val="201B16"/>
                <w:sz w:val="19"/>
                <w:lang w:val="pt-BR" w:bidi="ar-SA"/>
                <w:kern w:val="16"/>
                <w14:ligatures w14:val="standardContextual"/>
              </w:rPr>
              <w:t xml:space="preserve"> tempo mínimo de 15 anos de contribuição (art. 18 da EC 103/2019 — regra de transição da aposentadoria por idade)</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 </w:t>
            </w:r>
            <w:r>
              <w:rPr>
                <w:rFonts w:ascii="EB Garamond" w:hAnsi="EB Garamond" w:cs="EB Garamond"/>
                <w:b/>
                <w:i w:val="0"/>
                <w:color w:val="201B16"/>
                <w:sz w:val="19"/>
                <w:lang w:val="pt-BR" w:bidi="ar-SA"/>
                <w:kern w:val="16"/>
                <w14:ligatures w14:val="standardContextual"/>
              </w:rPr>
              <w:t>Homem filiado a partir de 13/11/2019:</w:t>
            </w:r>
            <w:r>
              <w:rPr>
                <w:rFonts w:ascii="EB Garamond" w:hAnsi="EB Garamond" w:cs="EB Garamond"/>
                <w:b w:val="0"/>
                <w:i w:val="0"/>
                <w:color w:val="201B16"/>
                <w:sz w:val="19"/>
                <w:lang w:val="pt-BR" w:bidi="ar-SA"/>
                <w:kern w:val="16"/>
                <w14:ligatures w14:val="standardContextual"/>
              </w:rPr>
              <w:t xml:space="preserve"> tempo mínimo de 20 anos de contribuição (art. 201, § 7º, I, CF — regra permanente)</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 </w:t>
            </w:r>
            <w:r>
              <w:rPr>
                <w:rFonts w:ascii="EB Garamond" w:hAnsi="EB Garamond" w:cs="EB Garamond"/>
                <w:b/>
                <w:i w:val="0"/>
                <w:color w:val="201B16"/>
                <w:sz w:val="19"/>
                <w:lang w:val="pt-BR" w:bidi="ar-SA"/>
                <w:kern w:val="16"/>
                <w14:ligatures w14:val="standardContextual"/>
              </w:rPr>
              <w:t>Mulher (qualquer data de filiação):</w:t>
            </w:r>
            <w:r>
              <w:rPr>
                <w:rFonts w:ascii="EB Garamond" w:hAnsi="EB Garamond" w:cs="EB Garamond"/>
                <w:b w:val="0"/>
                <w:i w:val="0"/>
                <w:color w:val="201B16"/>
                <w:sz w:val="19"/>
                <w:lang w:val="pt-BR" w:bidi="ar-SA"/>
                <w:kern w:val="16"/>
                <w14:ligatures w14:val="standardContextual"/>
              </w:rPr>
              <w:t xml:space="preserve"> tempo mínimo de 15 anos de contribuição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advogado deve verificar a data da primeira filiação ao RGPS para determinar qual regra se aplica. A informação consta do CNIS e pode ser decisiva para a viabilidade da aposentadoria.</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10.3 Regra permanente: a aposentadoria programada (art. 201, § 7º, I, CF)</w:t>
      </w:r>
    </w:p>
    <w:p>
      <w:pPr>
        <w:spacing w:before="260" w:after="80" w:line="240" w:lineRule="auto"/>
        <w:jc w:val="left"/>
      </w:pPr>
      <w:r>
        <w:rPr>
          <w:rFonts w:ascii="EB Garamond" w:hAnsi="EB Garamond" w:cs="EB Garamond"/>
          <w:b/>
          <w:i w:val="0"/>
          <w:color w:val="3A3128"/>
          <w:sz w:val="25"/>
          <w:lang w:val="pt-BR" w:bidi="ar-SA"/>
          <w:kern w:val="16"/>
          <w14:ligatures w14:val="standardContextual"/>
        </w:rPr>
        <w:t>10.3.1 Requisitos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aposentadoria programada, na regra permanente da Constituição Federal com a redação dada pela EC 103/2019, exige o cumprimento simultâneo de dois requisitos: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 Idade mínima:</w:t>
      </w:r>
      <w:r>
        <w:rPr>
          <w:rFonts w:ascii="EB Garamond" w:hAnsi="EB Garamond" w:cs="EB Garamond"/>
          <w:b w:val="0"/>
          <w:i w:val="0"/>
          <w:color w:val="201B16"/>
          <w:sz w:val="21"/>
          <w:lang w:val="pt-BR" w:bidi="ar-SA"/>
          <w:kern w:val="16"/>
          <w14:ligatures w14:val="standardContextual"/>
        </w:rPr>
        <w:t xml:space="preserve"> 65 anos para homens e 62 anos para mulheres.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b) Tempo de contribuição mínimo:</w:t>
      </w:r>
      <w:r>
        <w:rPr>
          <w:rFonts w:ascii="EB Garamond" w:hAnsi="EB Garamond" w:cs="EB Garamond"/>
          <w:b w:val="0"/>
          <w:i w:val="0"/>
          <w:color w:val="201B16"/>
          <w:sz w:val="21"/>
          <w:lang w:val="pt-BR" w:bidi="ar-SA"/>
          <w:kern w:val="16"/>
          <w14:ligatures w14:val="standardContextual"/>
        </w:rPr>
        <w:t xml:space="preserve"> 20 anos para homens e 15 anos para mulheres.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Esses requisitos são cumulativos. Não basta atingir a idade sem o tempo de contribuição, nem o tempo de contribuição sem a idade. A cumulatividade é a marca distintiva da aposentadoria programada em relação à antiga aposentadoria por idade, que exigia apenas 180 contribuições (carência) como requisito contributivo.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Cabe observar que a regra permanente do art. 201, § 7º, I, aplica-se integralmente apenas aos segurados filiados ao RGPS a partir de 13 de novembro de 2019 — data de publicação da EC 103. Para os segurados filiados antes dessa data, aplicam-se as regras de transição, que serão examinadas nas seções seguintes.</w:t>
      </w:r>
    </w:p>
    <w:p>
      <w:pPr>
        <w:spacing w:before="260" w:after="80" w:line="240" w:lineRule="auto"/>
        <w:jc w:val="left"/>
      </w:pPr>
      <w:r>
        <w:rPr>
          <w:rFonts w:ascii="EB Garamond" w:hAnsi="EB Garamond" w:cs="EB Garamond"/>
          <w:b/>
          <w:i w:val="0"/>
          <w:color w:val="3A3128"/>
          <w:sz w:val="25"/>
          <w:lang w:val="pt-BR" w:bidi="ar-SA"/>
          <w:kern w:val="16"/>
          <w14:ligatures w14:val="standardContextual"/>
        </w:rPr>
        <w:t>10.3.2 Carência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EC 103/2019 não revogou expressamente o art. 25, II, da Lei 8.213/91, que exige carência de 180 contribuições mensais para a aposentadoria por idade. A questão que se colocou, desde a publicação da emenda, foi saber se a carência permanecia como requisito autônomo da aposentadoria programada ou se o tempo de contribuição mínimo previsto no texto constitucional a teria absorvido.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Turma Nacional de Uniformização, ao julgar o Tema 358 (PEDILEF 0500179-22.2022.4.05.8311/PE, Rel. Juiz Federal Giovani Bigolin), em outubro de 2024, firmou a tese de que a carência permanece como requisito autônomo, distinto do tempo de contribuição mínimo. A distinção é conceitualmente relevante e tem consequências práticas significativas.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Carência é o número mínimo de contribuições efetivamente recolhidas, computadas mês a mês, sem interrupção de qualidade de segurado que implique perda dos períodos anteriores. Tempo de contribuição, por sua vez, é o período total de atividade vinculada ao RGPS, incluindo períodos computados por força de lei mesmo sem contribuição efetiva, como o tempo de serviço rural anterior a novembro de 1991, que é contado como tempo de contribuição, mas não gera carência.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TNU Tema 358 — Carência como requisito autônomo pós-EC 103/2019</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Em outubro de 2024, a Turma Nacional de Uniformização fixou a tese de que a carência de 180 contribuições mensais (art. 25, II, da Lei 8.213/91) permanece como requisito autônomo para a concessão de aposentadoria, mesmo após a EC 103/2019, sendo conceitualmente distinta do tempo de contribuição mínimo exigido constitucionalmente.</w:t>
            </w:r>
          </w:p>
          <w:p>
            <w:pPr>
              <w:spacing w:before="0" w:after="60" w:line="247" w:lineRule="auto"/>
              <w:jc w:val="both"/>
            </w:pPr>
            <w:r>
              <w:rPr>
                <w:rFonts w:ascii="EB Garamond" w:hAnsi="EB Garamond" w:cs="EB Garamond"/>
                <w:b/>
                <w:i w:val="0"/>
                <w:color w:val="201B16"/>
                <w:sz w:val="19"/>
                <w:lang w:val="pt-BR" w:bidi="ar-SA"/>
                <w:kern w:val="16"/>
                <w14:ligatures w14:val="standardContextual"/>
              </w:rPr>
              <w:t>Implicação prática:</w:t>
            </w:r>
            <w:r>
              <w:rPr>
                <w:rFonts w:ascii="EB Garamond" w:hAnsi="EB Garamond" w:cs="EB Garamond"/>
                <w:b w:val="0"/>
                <w:i w:val="0"/>
                <w:color w:val="201B16"/>
                <w:sz w:val="19"/>
                <w:lang w:val="pt-BR" w:bidi="ar-SA"/>
                <w:kern w:val="16"/>
                <w14:ligatures w14:val="standardContextual"/>
              </w:rPr>
              <w:t xml:space="preserve"> Um segurado pode ter 20 anos de tempo de contribuição (somando, por exemplo, período rural pré-1991 com período urbano posterior) sem ter 180 contribuições efetivas de carência. Nessa hipótese, o requisito de tempo de contribuição estaria preenchido, mas o de carência não — e a aposentadoria seria indeferida, salvo se o período rural pudesse ser computado como carência (tema da aposentadoria híbrida, objeto do Capítulo 9).</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10.3.3 Cálculo do benefício na regra permanente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cálculo da aposentadoria programada segue a fórmula do art. 26 da EC 103/2019, em dois passos: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Passo 1 — Apuração da média aritmética:</w:t>
      </w:r>
      <w:r>
        <w:rPr>
          <w:rFonts w:ascii="EB Garamond" w:hAnsi="EB Garamond" w:cs="EB Garamond"/>
          <w:b w:val="0"/>
          <w:i w:val="0"/>
          <w:color w:val="201B16"/>
          <w:sz w:val="21"/>
          <w:lang w:val="pt-BR" w:bidi="ar-SA"/>
          <w:kern w:val="16"/>
          <w14:ligatures w14:val="standardContextual"/>
        </w:rPr>
        <w:t xml:space="preserve"> Calcula-se a média aritmética simples de 100% dos salários de contribuição desde a competência julho de 1994 (ou desde o início das contribuições, se posterior). Não há mais exclusão dos 20% menores salários de contribuição, como ocorria na regra anterior (art. 29, I, da Lei 8.213/91, redação da Lei 9.876/99).</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Passo 2 — Aplicação do coeficiente:</w:t>
      </w:r>
      <w:r>
        <w:rPr>
          <w:rFonts w:ascii="EB Garamond" w:hAnsi="EB Garamond" w:cs="EB Garamond"/>
          <w:b w:val="0"/>
          <w:i w:val="0"/>
          <w:color w:val="201B16"/>
          <w:sz w:val="21"/>
          <w:lang w:val="pt-BR" w:bidi="ar-SA"/>
          <w:kern w:val="16"/>
          <w14:ligatures w14:val="standardContextual"/>
        </w:rPr>
        <w:t xml:space="preserve"> Sobre a média apurada, aplica-se o coeficiente de 60%, acrescido de 2% para cada ano de contribuição que exceder:</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20 anos de contribuição, no caso do homem;</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15 anos de contribuição, no caso da mulher.</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resultado está limitado ao teto do RGPS (R$ 8.475,55 em 2026) e não pode ser inferior ao salário-mínimo (R$ 1.621,00 em 2026).</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Exemplo de cálculo — Regra permanente (2026)</w:t>
            </w:r>
          </w:p>
          <w:p>
            <w:pPr>
              <w:spacing w:before="0" w:after="60" w:line="247" w:lineRule="auto"/>
              <w:jc w:val="both"/>
            </w:pPr>
            <w:r>
              <w:rPr>
                <w:rFonts w:ascii="EB Garamond" w:hAnsi="EB Garamond" w:cs="EB Garamond"/>
                <w:b/>
                <w:i w:val="0"/>
                <w:color w:val="201B16"/>
                <w:sz w:val="19"/>
                <w:lang w:val="pt-BR" w:bidi="ar-SA"/>
                <w:kern w:val="16"/>
                <w14:ligatures w14:val="standardContextual"/>
              </w:rPr>
              <w:t>João</w:t>
            </w:r>
            <w:r>
              <w:rPr>
                <w:rFonts w:ascii="EB Garamond" w:hAnsi="EB Garamond" w:cs="EB Garamond"/>
                <w:b w:val="0"/>
                <w:i w:val="0"/>
                <w:color w:val="201B16"/>
                <w:sz w:val="19"/>
                <w:lang w:val="pt-BR" w:bidi="ar-SA"/>
                <w:kern w:val="16"/>
                <w14:ligatures w14:val="standardContextual"/>
              </w:rPr>
              <w:t>, 65 anos, filiado ao RGPS em janeiro de 2020, completou 20 anos de contribuição fictícios para fins didáticos (suponhamos que trouxe tempo de outro regime). Média de todos os salários de contribuição desde julho/1994: R$ 3.500,00.</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 Coeficiente: 60% + 2% × (20 - 20) = 60% + 0% = </w:t>
            </w:r>
            <w:r>
              <w:rPr>
                <w:rFonts w:ascii="EB Garamond" w:hAnsi="EB Garamond" w:cs="EB Garamond"/>
                <w:b/>
                <w:i w:val="0"/>
                <w:color w:val="201B16"/>
                <w:sz w:val="19"/>
                <w:lang w:val="pt-BR" w:bidi="ar-SA"/>
                <w:kern w:val="16"/>
                <w14:ligatures w14:val="standardContextual"/>
              </w:rPr>
              <w:t>60%</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 RMI: R$ 3.500,00 × 60% = </w:t>
            </w:r>
            <w:r>
              <w:rPr>
                <w:rFonts w:ascii="EB Garamond" w:hAnsi="EB Garamond" w:cs="EB Garamond"/>
                <w:b/>
                <w:i w:val="0"/>
                <w:color w:val="201B16"/>
                <w:sz w:val="19"/>
                <w:lang w:val="pt-BR" w:bidi="ar-SA"/>
                <w:kern w:val="16"/>
                <w14:ligatures w14:val="standardContextual"/>
              </w:rPr>
              <w:t>R$ 2.100,00</w:t>
            </w:r>
          </w:p>
          <w:p>
            <w:pPr>
              <w:spacing w:before="0" w:after="60" w:line="247" w:lineRule="auto"/>
              <w:jc w:val="both"/>
            </w:pPr>
            <w:r>
              <w:rPr>
                <w:rFonts w:ascii="EB Garamond" w:hAnsi="EB Garamond" w:cs="EB Garamond"/>
                <w:b/>
                <w:i w:val="0"/>
                <w:color w:val="201B16"/>
                <w:sz w:val="19"/>
                <w:lang w:val="pt-BR" w:bidi="ar-SA"/>
                <w:kern w:val="16"/>
                <w14:ligatures w14:val="standardContextual"/>
              </w:rPr>
              <w:t>Maria</w:t>
            </w:r>
            <w:r>
              <w:rPr>
                <w:rFonts w:ascii="EB Garamond" w:hAnsi="EB Garamond" w:cs="EB Garamond"/>
                <w:b w:val="0"/>
                <w:i w:val="0"/>
                <w:color w:val="201B16"/>
                <w:sz w:val="19"/>
                <w:lang w:val="pt-BR" w:bidi="ar-SA"/>
                <w:kern w:val="16"/>
                <w14:ligatures w14:val="standardContextual"/>
              </w:rPr>
              <w:t>, 62 anos, mesma filiação e mesma média. Tempo de contribuição: 20 anos.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 Coeficiente: 60% + 2% × (20 - 15) = 60% + 10% = </w:t>
            </w:r>
            <w:r>
              <w:rPr>
                <w:rFonts w:ascii="EB Garamond" w:hAnsi="EB Garamond" w:cs="EB Garamond"/>
                <w:b/>
                <w:i w:val="0"/>
                <w:color w:val="201B16"/>
                <w:sz w:val="19"/>
                <w:lang w:val="pt-BR" w:bidi="ar-SA"/>
                <w:kern w:val="16"/>
                <w14:ligatures w14:val="standardContextual"/>
              </w:rPr>
              <w:t>70%</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 RMI: R$ 3.500,00 × 70% = </w:t>
            </w:r>
            <w:r>
              <w:rPr>
                <w:rFonts w:ascii="EB Garamond" w:hAnsi="EB Garamond" w:cs="EB Garamond"/>
                <w:b/>
                <w:i w:val="0"/>
                <w:color w:val="201B16"/>
                <w:sz w:val="19"/>
                <w:lang w:val="pt-BR" w:bidi="ar-SA"/>
                <w:kern w:val="16"/>
                <w14:ligatures w14:val="standardContextual"/>
              </w:rPr>
              <w:t>R$ 2.450,00</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Observe que Maria recebe mais que João, apesar do mesmo tempo de contribuição, porque o piso de excedência feminino (15 anos) é inferior ao masculino (20 anos). Para que João atingisse o coeficiente de 100%, precisaria de 40 anos de contribuição; Maria, de 35 anos.</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fórmula de cálculo da EC 103/2019 representou uma redução significativa no valor dos benefícios para a maioria dos segurados, por dois motivos cumulativos: (i) a inclusão de todos os salários de contribuição na média (sem exclusão dos 20% menores) tende a reduzir o valor da média; e (ii) o coeficiente inicial de 60% é inferior à antiga fórmula de 70% + 1% por grupo de 12 contribuições. A combinação desses fatores faz com que o segurado precise de mais tempo de contribuição para atingir o mesmo valor de benefício que obteria pelas regras anteriores.</w:t>
      </w:r>
    </w:p>
    <w:p>
      <w:pPr>
        <w:spacing w:before="260" w:after="80" w:line="240" w:lineRule="auto"/>
        <w:jc w:val="left"/>
      </w:pPr>
      <w:r>
        <w:rPr>
          <w:rFonts w:ascii="EB Garamond" w:hAnsi="EB Garamond" w:cs="EB Garamond"/>
          <w:b/>
          <w:i w:val="0"/>
          <w:color w:val="3A3128"/>
          <w:sz w:val="25"/>
          <w:lang w:val="pt-BR" w:bidi="ar-SA"/>
          <w:kern w:val="16"/>
          <w14:ligatures w14:val="standardContextual"/>
        </w:rPr>
        <w:t>10.3.4 O teto e o piso do benefício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aposentadoria programada não pode ser inferior ao salário-mínimo vigente (art. 201, § 2º, CF). Quando o cálculo resultar em valor inferior, o benefício é elevado ao mínimo. Em 2026, o salário-mínimo é de R$ 1.621,00.</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teto do benefício é o teto do RGPS, atualmente fixado em R$ 8.475,55 (Portaria Interministerial MPS/MF n. 13/2026). Isso significa que, mesmo que o segurado tenha contribuído sempre sobre o teto e acumulado tempo suficiente para coeficiente de 100%, a RMI não ultrapassará esse valor. A limitação ao teto aplica-se sobre o valor final, após a aplicação do coeficiente sobre a média.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Cabe distinguir duas balizas frequentemente confundidas na prática. De um lado, a própria estrutura de cálculo do art. 26 da EC 103/2019 impede que o benefício supere a média dos salários de contribuição: como o coeficiente está limitado a 100% (art. 26, § 2º, da EC 103/2019, que fixa o coeficiente em 60% da média, com acréscimos limitados a 100%; a própria média, por sua vez, é limitada ao teto do salário de contribuição do RGPS pelo art. 26, § 1º, e o piso de um salário-mínimo decorre do art. 201, § 2º, da CF), a renda mensal jamais excede a média apurada. De outro lado, há a chamada limitação ao "último salário de contribuição", que não decorre da EC 103/2019, mas de regulamentação infralegal voltada a impedir a majoração artificial do benefício as vesperas do requerimento. Essa segunda limitação tem sido objeto de crítica doutrinária, por penalizar o segurado que sofreu redução salarial legitima nos últimos anos de atividade. Entendemos que tal restrição só se justifica diante de indício concreto de manipulação do salário de contribuição na iminencia da aposentadoria — e não como teto automático aplicável a todo segurado —, interpretação que, embora ainda não pacificada, melhor se ajusta ao caráter retributivo do regime e ao princípio do benefício mais vantajoso (art. 26, § 2º, da EC 103/2019).</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10.4 Regra de transição: aposentadoria por idade (art. 18, EC 103/2019)</w:t>
      </w:r>
    </w:p>
    <w:p>
      <w:pPr>
        <w:spacing w:before="260" w:after="80" w:line="240" w:lineRule="auto"/>
        <w:jc w:val="left"/>
      </w:pPr>
      <w:r>
        <w:rPr>
          <w:rFonts w:ascii="EB Garamond" w:hAnsi="EB Garamond" w:cs="EB Garamond"/>
          <w:b/>
          <w:i w:val="0"/>
          <w:color w:val="3A3128"/>
          <w:sz w:val="25"/>
          <w:lang w:val="pt-BR" w:bidi="ar-SA"/>
          <w:kern w:val="16"/>
          <w14:ligatures w14:val="standardContextual"/>
        </w:rPr>
        <w:t>10.4.1 Âmbito de aplicação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18 da EC 103/2019 estabelece uma regra de transição específica para a aposentadoria por idade, destinada aos segurados filiados ao RGPS antes de 13/11/2019 que não tinham direito adquirido à aposentadoria pelas regras anteriores.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Essa regra de transição é a mais relevante para a prática dos JEFs em matéria de aposentadoria por idade urbana, porque abrange a esmagadora maioria dos segurados que atualmente postulam esse benefício. Trata-se de trabalhadores com histórico contributivo de baixa a média duração, muitas vezes intermitente, que atingem a idade mínima sem ter acumulado tempo de contribuição suficiente para as regras de transição dos arts. 15, 16 ou 20.</w:t>
      </w:r>
    </w:p>
    <w:p>
      <w:pPr>
        <w:spacing w:before="260" w:after="80" w:line="240" w:lineRule="auto"/>
        <w:jc w:val="left"/>
      </w:pPr>
      <w:r>
        <w:rPr>
          <w:rFonts w:ascii="EB Garamond" w:hAnsi="EB Garamond" w:cs="EB Garamond"/>
          <w:b/>
          <w:i w:val="0"/>
          <w:color w:val="3A3128"/>
          <w:sz w:val="25"/>
          <w:lang w:val="pt-BR" w:bidi="ar-SA"/>
          <w:kern w:val="16"/>
          <w14:ligatures w14:val="standardContextual"/>
        </w:rPr>
        <w:t>10.4.2 Requisitos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regra de transição do art. 18 exige:</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 Idade mínima progressiva para mulheres: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60 anos em 2019, com acréscimo de 6 meses por ano, até atingir 62 anos.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A progressão encerrou-se em 2023, quando a idade mínima feminina alcançou 62 anos (60 + 0,5 × 4 = 62).</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Desde 2023, a idade mínima para mulheres na regra de transição é 62 anos</w:t>
      </w:r>
      <w:r>
        <w:rPr>
          <w:rFonts w:ascii="EB Garamond" w:hAnsi="EB Garamond" w:cs="EB Garamond"/>
          <w:b w:val="0"/>
          <w:i w:val="0"/>
          <w:color w:val="201B16"/>
          <w:sz w:val="20"/>
          <w:lang w:val="pt-BR" w:bidi="ar-SA"/>
          <w:kern w:val="16"/>
          <w14:ligatures w14:val="standardContextual"/>
        </w:rPr>
        <w:t xml:space="preserve"> — igual à regra permanente.</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b</w:t>
      </w:r>
    </w:p>
    <w:p>
      <w:pPr>
        <w:spacing w:before="0" w:after="70" w:line="259" w:lineRule="auto"/>
        <w:jc w:val="both"/>
      </w:pPr>
      <w:r>
        <w:rPr>
          <w:rFonts w:ascii="EB Garamond" w:hAnsi="EB Garamond" w:cs="EB Garamond"/>
          <w:b/>
          <w:i w:val="0"/>
          <w:color w:val="201B16"/>
          <w:sz w:val="21"/>
          <w:lang w:val="pt-BR" w:bidi="ar-SA"/>
          <w:kern w:val="16"/>
          <w14:ligatures w14:val="standardContextual"/>
        </w:rPr>
        <w:t>) Idade mínima para homens:</w:t>
      </w:r>
      <w:r>
        <w:rPr>
          <w:rFonts w:ascii="EB Garamond" w:hAnsi="EB Garamond" w:cs="EB Garamond"/>
          <w:b w:val="0"/>
          <w:i w:val="0"/>
          <w:color w:val="201B16"/>
          <w:sz w:val="21"/>
          <w:lang w:val="pt-BR" w:bidi="ar-SA"/>
          <w:kern w:val="16"/>
          <w14:ligatures w14:val="standardContextual"/>
        </w:rPr>
        <w:t xml:space="preserve"> 65 anos, sem progressão.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 Tempo de contribuição mínimo:</w:t>
      </w:r>
      <w:r>
        <w:rPr>
          <w:rFonts w:ascii="EB Garamond" w:hAnsi="EB Garamond" w:cs="EB Garamond"/>
          <w:b w:val="0"/>
          <w:i w:val="0"/>
          <w:color w:val="201B16"/>
          <w:sz w:val="21"/>
          <w:lang w:val="pt-BR" w:bidi="ar-SA"/>
          <w:kern w:val="16"/>
          <w14:ligatures w14:val="standardContextual"/>
        </w:rPr>
        <w:t xml:space="preserve"> 15 anos para homens e mulheres — inferior ao requisito de 20 anos da regra permanente para homens.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d) Carência:</w:t>
      </w:r>
      <w:r>
        <w:rPr>
          <w:rFonts w:ascii="EB Garamond" w:hAnsi="EB Garamond" w:cs="EB Garamond"/>
          <w:b w:val="0"/>
          <w:i w:val="0"/>
          <w:color w:val="201B16"/>
          <w:sz w:val="21"/>
          <w:lang w:val="pt-BR" w:bidi="ar-SA"/>
          <w:kern w:val="16"/>
          <w14:ligatures w14:val="standardContextual"/>
        </w:rPr>
        <w:t xml:space="preserve"> 180 contribuições mensais (art. 25, II, Lei 8.213/91), conforme Tema 358/TNU.</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Ano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Idade mínima, Mulher</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Idade mínima, Homem</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2019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60 anos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65 anos</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60 anos e 6 meses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65 anos</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2021</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61 anos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65 anos</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2022</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61 anos e 6 meses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65 anos</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2023 em diante</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62 anos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65 anos</w:t>
            </w: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Regra de transição do art. 18 vs. Regra permanente, diferença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 xml:space="preserve">Para </w:t>
            </w:r>
            <w:r>
              <w:rPr>
                <w:rFonts w:ascii="EB Garamond" w:hAnsi="EB Garamond" w:cs="EB Garamond"/>
                <w:b/>
                <w:i w:val="0"/>
                <w:color w:val="201B16"/>
                <w:sz w:val="19"/>
                <w:lang w:val="pt-BR" w:bidi="ar-SA"/>
                <w:kern w:val="16"/>
                <w14:ligatures w14:val="standardContextual"/>
              </w:rPr>
              <w:t>mulheres</w:t>
            </w:r>
            <w:r>
              <w:rPr>
                <w:rFonts w:ascii="EB Garamond" w:hAnsi="EB Garamond" w:cs="EB Garamond"/>
                <w:b w:val="0"/>
                <w:i w:val="0"/>
                <w:color w:val="201B16"/>
                <w:sz w:val="19"/>
                <w:lang w:val="pt-BR" w:bidi="ar-SA"/>
                <w:kern w:val="16"/>
                <w14:ligatures w14:val="standardContextual"/>
              </w:rPr>
              <w:t>, a regra de transição do art. 18 já se equiparou à regra permanente em termos de idade (62 anos) e tempo de contribuição (15 anos). A diferença reside apenas no cálculo do benefício (ver seção 10.4.3).</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 xml:space="preserve">Para </w:t>
            </w:r>
            <w:r>
              <w:rPr>
                <w:rFonts w:ascii="EB Garamond" w:hAnsi="EB Garamond" w:cs="EB Garamond"/>
                <w:b/>
                <w:i w:val="0"/>
                <w:color w:val="201B16"/>
                <w:sz w:val="19"/>
                <w:lang w:val="pt-BR" w:bidi="ar-SA"/>
                <w:kern w:val="16"/>
                <w14:ligatures w14:val="standardContextual"/>
              </w:rPr>
              <w:t>homens filiados antes de 13/11/2019</w:t>
            </w:r>
            <w:r>
              <w:rPr>
                <w:rFonts w:ascii="EB Garamond" w:hAnsi="EB Garamond" w:cs="EB Garamond"/>
                <w:b w:val="0"/>
                <w:i w:val="0"/>
                <w:color w:val="201B16"/>
                <w:sz w:val="19"/>
                <w:lang w:val="pt-BR" w:bidi="ar-SA"/>
                <w:kern w:val="16"/>
                <w14:ligatures w14:val="standardContextual"/>
              </w:rPr>
              <w:t>, a regra de transição do art. 18 é mais vantajosa do que a regra permanente, porque exige apenas 15 anos de contribuição (contra 20 anos da regra permanente). Essa diferença subsistirá indefinidamente para segurados pré-reforma.</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10.4.3 Cálculo na regra de transição do art. 18</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cálculo do benefício na regra de transição do art. 18 segue a mesma fórmula do art. 26 da EC 103/2019:</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Média de 100% dos salários de contribuição desde julho/1994;</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Coeficiente de 60% + 2% por ano excedente a 20 anos (homem) ou 15 anos (mulher).</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ssim, na prática, um homem que se aposente aos 65 anos com exatamente 15 anos de contribuição terá coeficiente de 60% (sem excedente, pois 15 &lt; 20). Uma mulher com 15 anos de contribuição também terá coeficiente de 60% (sem excedente, pois 15 = 15, mas não excede).</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Exemplo — Regra de transição art. 18 (homem com 15 anos TC)</w:t>
            </w:r>
          </w:p>
          <w:p>
            <w:pPr>
              <w:spacing w:before="0" w:after="60" w:line="247" w:lineRule="auto"/>
              <w:jc w:val="both"/>
            </w:pPr>
            <w:r>
              <w:rPr>
                <w:rFonts w:ascii="EB Garamond" w:hAnsi="EB Garamond" w:cs="EB Garamond"/>
                <w:b/>
                <w:i w:val="0"/>
                <w:color w:val="201B16"/>
                <w:sz w:val="19"/>
                <w:lang w:val="pt-BR" w:bidi="ar-SA"/>
                <w:kern w:val="16"/>
                <w14:ligatures w14:val="standardContextual"/>
              </w:rPr>
              <w:t>José</w:t>
            </w:r>
            <w:r>
              <w:rPr>
                <w:rFonts w:ascii="EB Garamond" w:hAnsi="EB Garamond" w:cs="EB Garamond"/>
                <w:b w:val="0"/>
                <w:i w:val="0"/>
                <w:color w:val="201B16"/>
                <w:sz w:val="19"/>
                <w:lang w:val="pt-BR" w:bidi="ar-SA"/>
                <w:kern w:val="16"/>
                <w14:ligatures w14:val="standardContextual"/>
              </w:rPr>
              <w:t>, 65 anos em 2026, filiado ao RGPS em 2005, com exatamente 15 anos de contribuição (alguns períodos intermitentes). Média aritmética de todos os salários de contribuição: R$ 2.200,00.</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 Coeficiente: 60% + 2% × (15 - 20) = 60% + 0% = </w:t>
            </w:r>
            <w:r>
              <w:rPr>
                <w:rFonts w:ascii="EB Garamond" w:hAnsi="EB Garamond" w:cs="EB Garamond"/>
                <w:b/>
                <w:i w:val="0"/>
                <w:color w:val="201B16"/>
                <w:sz w:val="19"/>
                <w:lang w:val="pt-BR" w:bidi="ar-SA"/>
                <w:kern w:val="16"/>
                <w14:ligatures w14:val="standardContextual"/>
              </w:rPr>
              <w:t>60%</w:t>
            </w:r>
            <w:r>
              <w:rPr>
                <w:rFonts w:ascii="EB Garamond" w:hAnsi="EB Garamond" w:cs="EB Garamond"/>
                <w:b w:val="0"/>
                <w:i w:val="0"/>
                <w:color w:val="201B16"/>
                <w:sz w:val="19"/>
                <w:lang w:val="pt-BR" w:bidi="ar-SA"/>
                <w:kern w:val="16"/>
                <w14:ligatures w14:val="standardContextual"/>
              </w:rPr>
              <w:t xml:space="preserve"> (não se subtrai, o excedente é zero quando o TC é inferior ao piso)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RMI: R$ 2.200,00 × 60% = R$ 1.320,00</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 </w:t>
            </w:r>
            <w:r>
              <w:rPr>
                <w:rFonts w:ascii="EB Garamond" w:hAnsi="EB Garamond" w:cs="EB Garamond"/>
                <w:b/>
                <w:i w:val="0"/>
                <w:color w:val="201B16"/>
                <w:sz w:val="19"/>
                <w:lang w:val="pt-BR" w:bidi="ar-SA"/>
                <w:kern w:val="16"/>
                <w14:ligatures w14:val="standardContextual"/>
              </w:rPr>
              <w:t>Como R$ 1.320,00 &lt; salário-mínimo (R$ 1.621,00), a RMI será elevada para R$ 1.621,00</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Essa é a realidade mais comum nos JEFs: segurados com histórico contributivo modesto recebem aposentadoria no valor do salário-mínimo.</w:t>
            </w: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Exemplo — Regra de transição art. 18 (mulher com 25 anos TC)</w:t>
            </w:r>
          </w:p>
          <w:p>
            <w:pPr>
              <w:spacing w:before="0" w:after="60" w:line="247" w:lineRule="auto"/>
              <w:jc w:val="both"/>
            </w:pPr>
            <w:r>
              <w:rPr>
                <w:rFonts w:ascii="EB Garamond" w:hAnsi="EB Garamond" w:cs="EB Garamond"/>
                <w:b/>
                <w:i w:val="0"/>
                <w:color w:val="201B16"/>
                <w:sz w:val="19"/>
                <w:lang w:val="pt-BR" w:bidi="ar-SA"/>
                <w:kern w:val="16"/>
                <w14:ligatures w14:val="standardContextual"/>
              </w:rPr>
              <w:t>Ana</w:t>
            </w:r>
            <w:r>
              <w:rPr>
                <w:rFonts w:ascii="EB Garamond" w:hAnsi="EB Garamond" w:cs="EB Garamond"/>
                <w:b w:val="0"/>
                <w:i w:val="0"/>
                <w:color w:val="201B16"/>
                <w:sz w:val="19"/>
                <w:lang w:val="pt-BR" w:bidi="ar-SA"/>
                <w:kern w:val="16"/>
                <w14:ligatures w14:val="standardContextual"/>
              </w:rPr>
              <w:t>, 62 anos em 2026, filiada ao RGPS em 1995, com 25 anos de contribuição. Média: R$ 3.800,00.</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 Coeficiente: 60% + 2% × (25 - 15) = 60% + 20% = </w:t>
            </w:r>
            <w:r>
              <w:rPr>
                <w:rFonts w:ascii="EB Garamond" w:hAnsi="EB Garamond" w:cs="EB Garamond"/>
                <w:b/>
                <w:i w:val="0"/>
                <w:color w:val="201B16"/>
                <w:sz w:val="19"/>
                <w:lang w:val="pt-BR" w:bidi="ar-SA"/>
                <w:kern w:val="16"/>
                <w14:ligatures w14:val="standardContextual"/>
              </w:rPr>
              <w:t>80%</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 RMI: R$ 3.800,00 × 80% = </w:t>
            </w:r>
            <w:r>
              <w:rPr>
                <w:rFonts w:ascii="EB Garamond" w:hAnsi="EB Garamond" w:cs="EB Garamond"/>
                <w:b/>
                <w:i w:val="0"/>
                <w:color w:val="201B16"/>
                <w:sz w:val="19"/>
                <w:lang w:val="pt-BR" w:bidi="ar-SA"/>
                <w:kern w:val="16"/>
                <w14:ligatures w14:val="standardContextual"/>
              </w:rPr>
              <w:t>R$ 3.040,00</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Ana receberia um benefício significativamente superior ao mínimo. Se tivesse 30 anos de TC, o coeficiente seria 90%; com 35 anos, 100%.</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10.4.4 Comparação com as demais regras de transição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segurado filiado antes de 13/11/2019 pode estar sujeito a mais de uma regra de transição simultaneamente. A identificação da regra mais vantajosa é essencial para a orientação do cliente e para a formulação do pedido judicial. O quadro abaixo sintetiza as cinco regras de transição da EC 103/2019 e suas principais características:</w:t>
      </w:r>
    </w:p>
    <w:tbl>
      <w:tblPr>
        <w:tblW w:type="auto" w:w="0"/>
        <w:jc w:val="center"/>
        <w:tblLook w:firstColumn="1" w:firstRow="1" w:lastColumn="0" w:lastRow="0" w:noHBand="0" w:noVBand="1" w:val="04A0"/>
        <w:tblW w:w="5000" w:type="pct"/>
      </w:tblPr>
      <w:tblGrid>
        <w:gridCol w:w="1587"/>
        <w:gridCol w:w="1587"/>
        <w:gridCol w:w="1587"/>
        <w:gridCol w:w="1587"/>
      </w:tblGrid>
      <w:tr>
        <w:trPr>
          <w:tblHeader/>
        </w:trPr>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Regra</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Artigo</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Requisitos principais (2026)</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Cálculo</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Pontos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Art. 15</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93 pontos (M) / 103 pontos (H) + 30/35 TC</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60% + 2%/ano excedente</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Idade progressiva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Art. 16</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59,5 (M) / 64,5 (H) + 30/35 TC</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60% + 2%/ano excedente</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Pedágio 50%</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Art. 17</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TC + pedágio 50% do faltante + fator previdenciário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Fator previdenciário obrigatório</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Idade</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Art. 18</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62 (M) / 65 (H) + 15 TC</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60% + 2%/ano excedente</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Pedágio 100%</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Art. 20</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57 (M) / 60 (H) + 30/35 TC + pedágio 100%</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 da média</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regra do art. 18 (aposentadoria por idade) destaca-se por exigir apenas 15 anos de tempo de contribuição, enquanto todas as demais exigem 30 anos (mulher) ou 35 anos (homem). Esse requisito mais brando de tempo de contribuição é contrabalançado por dois fatores: (i) a idade mínima é a mais elevada entre as regras de transição femininas; e (ii) o coeficiente de cálculo, para quem tem poucos anos de contribuição, resulta em benefício de valor inferior.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regra do pedágio de 100% (art. 20) é a única que garante coeficiente de 100% da média, sem a aplicação do escalonamento progressivo do art. 26. Essa regra pode ser significativamente mais vantajosa para segurados com muitos anos de contribuição e remunerações elevadas.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Simulação comparativa — Qual regra escolher?</w:t>
            </w:r>
          </w:p>
          <w:p>
            <w:pPr>
              <w:spacing w:before="0" w:after="60" w:line="247" w:lineRule="auto"/>
              <w:jc w:val="both"/>
            </w:pPr>
            <w:r>
              <w:rPr>
                <w:rFonts w:ascii="EB Garamond" w:hAnsi="EB Garamond" w:cs="EB Garamond"/>
                <w:b/>
                <w:i w:val="0"/>
                <w:color w:val="201B16"/>
                <w:sz w:val="19"/>
                <w:lang w:val="pt-BR" w:bidi="ar-SA"/>
                <w:kern w:val="16"/>
                <w14:ligatures w14:val="standardContextual"/>
              </w:rPr>
              <w:t>Marcos</w:t>
            </w:r>
            <w:r>
              <w:rPr>
                <w:rFonts w:ascii="EB Garamond" w:hAnsi="EB Garamond" w:cs="EB Garamond"/>
                <w:b w:val="0"/>
                <w:i w:val="0"/>
                <w:color w:val="201B16"/>
                <w:sz w:val="19"/>
                <w:lang w:val="pt-BR" w:bidi="ar-SA"/>
                <w:kern w:val="16"/>
                <w14:ligatures w14:val="standardContextual"/>
              </w:rPr>
              <w:t>, homem, 65 anos em 2026, 38 anos de contribuição, filiado em 1988. Média dos salários de contribuição: R$ 6.000,00.</w:t>
            </w:r>
          </w:p>
          <w:p>
            <w:pPr>
              <w:spacing w:before="0" w:after="60" w:line="247" w:lineRule="auto"/>
              <w:jc w:val="both"/>
            </w:pPr>
            <w:r>
              <w:rPr>
                <w:rFonts w:ascii="EB Garamond" w:hAnsi="EB Garamond" w:cs="EB Garamond"/>
                <w:b/>
                <w:i w:val="0"/>
                <w:color w:val="201B16"/>
                <w:sz w:val="19"/>
                <w:lang w:val="pt-BR" w:bidi="ar-SA"/>
                <w:kern w:val="16"/>
                <w14:ligatures w14:val="standardContextual"/>
              </w:rPr>
              <w:t>Opção 1 — Art. 18 (aposentadoria por idade):</w:t>
            </w:r>
            <w:r>
              <w:rPr>
                <w:rFonts w:ascii="EB Garamond" w:hAnsi="EB Garamond" w:cs="EB Garamond"/>
                <w:b w:val="0"/>
                <w:i w:val="0"/>
                <w:color w:val="201B16"/>
                <w:sz w:val="19"/>
                <w:lang w:val="pt-BR" w:bidi="ar-SA"/>
                <w:kern w:val="16"/>
                <w14:ligatures w14:val="standardContextual"/>
              </w:rPr>
              <w:t xml:space="preserve"> - Coeficiente: 60% + 2% × (38 - 20) = 60% + 36% = </w:t>
            </w:r>
            <w:r>
              <w:rPr>
                <w:rFonts w:ascii="EB Garamond" w:hAnsi="EB Garamond" w:cs="EB Garamond"/>
                <w:b/>
                <w:i w:val="0"/>
                <w:color w:val="201B16"/>
                <w:sz w:val="19"/>
                <w:lang w:val="pt-BR" w:bidi="ar-SA"/>
                <w:kern w:val="16"/>
                <w14:ligatures w14:val="standardContextual"/>
              </w:rPr>
              <w:t>96%</w:t>
            </w:r>
            <w:r>
              <w:rPr>
                <w:rFonts w:ascii="EB Garamond" w:hAnsi="EB Garamond" w:cs="EB Garamond"/>
                <w:b w:val="0"/>
                <w:i w:val="0"/>
                <w:color w:val="201B16"/>
                <w:sz w:val="19"/>
                <w:lang w:val="pt-BR" w:bidi="ar-SA"/>
                <w:kern w:val="16"/>
                <w14:ligatures w14:val="standardContextual"/>
              </w:rPr>
              <w:t xml:space="preserve"> - RMI: R$ 6.000,00 × 96% = </w:t>
            </w:r>
            <w:r>
              <w:rPr>
                <w:rFonts w:ascii="EB Garamond" w:hAnsi="EB Garamond" w:cs="EB Garamond"/>
                <w:b/>
                <w:i w:val="0"/>
                <w:color w:val="201B16"/>
                <w:sz w:val="19"/>
                <w:lang w:val="pt-BR" w:bidi="ar-SA"/>
                <w:kern w:val="16"/>
                <w14:ligatures w14:val="standardContextual"/>
              </w:rPr>
              <w:t>R$ 5.760,00</w:t>
            </w:r>
          </w:p>
          <w:p>
            <w:pPr>
              <w:spacing w:before="0" w:after="60" w:line="247" w:lineRule="auto"/>
              <w:jc w:val="both"/>
            </w:pPr>
            <w:r>
              <w:rPr>
                <w:rFonts w:ascii="EB Garamond" w:hAnsi="EB Garamond" w:cs="EB Garamond"/>
                <w:b/>
                <w:i w:val="0"/>
                <w:color w:val="201B16"/>
                <w:sz w:val="19"/>
                <w:lang w:val="pt-BR" w:bidi="ar-SA"/>
                <w:kern w:val="16"/>
                <w14:ligatures w14:val="standardContextual"/>
              </w:rPr>
              <w:t>Opção 2 — Art. 15 (pontos):</w:t>
            </w:r>
            <w:r>
              <w:rPr>
                <w:rFonts w:ascii="EB Garamond" w:hAnsi="EB Garamond" w:cs="EB Garamond"/>
                <w:b w:val="0"/>
                <w:i w:val="0"/>
                <w:color w:val="201B16"/>
                <w:sz w:val="19"/>
                <w:lang w:val="pt-BR" w:bidi="ar-SA"/>
                <w:kern w:val="16"/>
                <w14:ligatures w14:val="standardContextual"/>
              </w:rPr>
              <w:t xml:space="preserve"> - Pontos: 65 + 38 = 103 → atinge os 103 exigidos em 2026 - Coeficiente: 60% + 2% × (38 - 20) = 60% + 36% = </w:t>
            </w:r>
            <w:r>
              <w:rPr>
                <w:rFonts w:ascii="EB Garamond" w:hAnsi="EB Garamond" w:cs="EB Garamond"/>
                <w:b/>
                <w:i w:val="0"/>
                <w:color w:val="201B16"/>
                <w:sz w:val="19"/>
                <w:lang w:val="pt-BR" w:bidi="ar-SA"/>
                <w:kern w:val="16"/>
                <w14:ligatures w14:val="standardContextual"/>
              </w:rPr>
              <w:t>96%</w:t>
            </w:r>
            <w:r>
              <w:rPr>
                <w:rFonts w:ascii="EB Garamond" w:hAnsi="EB Garamond" w:cs="EB Garamond"/>
                <w:b w:val="0"/>
                <w:i w:val="0"/>
                <w:color w:val="201B16"/>
                <w:sz w:val="19"/>
                <w:lang w:val="pt-BR" w:bidi="ar-SA"/>
                <w:kern w:val="16"/>
                <w14:ligatures w14:val="standardContextual"/>
              </w:rPr>
              <w:t xml:space="preserve"> - RMI: R$ 6.000,00 × 96% = </w:t>
            </w:r>
            <w:r>
              <w:rPr>
                <w:rFonts w:ascii="EB Garamond" w:hAnsi="EB Garamond" w:cs="EB Garamond"/>
                <w:b/>
                <w:i w:val="0"/>
                <w:color w:val="201B16"/>
                <w:sz w:val="19"/>
                <w:lang w:val="pt-BR" w:bidi="ar-SA"/>
                <w:kern w:val="16"/>
                <w14:ligatures w14:val="standardContextual"/>
              </w:rPr>
              <w:t>R$ 5.760,00</w:t>
            </w:r>
            <w:r>
              <w:rPr>
                <w:rFonts w:ascii="EB Garamond" w:hAnsi="EB Garamond" w:cs="EB Garamond"/>
                <w:b w:val="0"/>
                <w:i w:val="0"/>
                <w:color w:val="201B16"/>
                <w:sz w:val="19"/>
                <w:lang w:val="pt-BR" w:bidi="ar-SA"/>
                <w:kern w:val="16"/>
                <w14:ligatures w14:val="standardContextual"/>
              </w:rPr>
              <w:t xml:space="preserve"> (mesmo valor)</w:t>
            </w:r>
          </w:p>
          <w:p>
            <w:pPr>
              <w:spacing w:before="0" w:after="60" w:line="247" w:lineRule="auto"/>
              <w:jc w:val="both"/>
            </w:pPr>
            <w:r>
              <w:rPr>
                <w:rFonts w:ascii="EB Garamond" w:hAnsi="EB Garamond" w:cs="EB Garamond"/>
                <w:b/>
                <w:i w:val="0"/>
                <w:color w:val="201B16"/>
                <w:sz w:val="19"/>
                <w:lang w:val="pt-BR" w:bidi="ar-SA"/>
                <w:kern w:val="16"/>
                <w14:ligatures w14:val="standardContextual"/>
              </w:rPr>
              <w:t>Opção 3 — Art. 20 (pedágio 100%):</w:t>
            </w:r>
            <w:r>
              <w:rPr>
                <w:rFonts w:ascii="EB Garamond" w:hAnsi="EB Garamond" w:cs="EB Garamond"/>
                <w:b w:val="0"/>
                <w:i w:val="0"/>
                <w:color w:val="201B16"/>
                <w:sz w:val="19"/>
                <w:lang w:val="pt-BR" w:bidi="ar-SA"/>
                <w:kern w:val="16"/>
                <w14:ligatures w14:val="standardContextual"/>
              </w:rPr>
              <w:t xml:space="preserve"> - TC exigido: 35 anos + pedágio. Em 13/11/2019, Marcos tinha ~31 anos de TC, faltavam 4 anos → pedágio = 4 anos → precisa de 39 anos TC total. Marcos tem 38 → </w:t>
            </w:r>
            <w:r>
              <w:rPr>
                <w:rFonts w:ascii="EB Garamond" w:hAnsi="EB Garamond" w:cs="EB Garamond"/>
                <w:b/>
                <w:i w:val="0"/>
                <w:color w:val="201B16"/>
                <w:sz w:val="19"/>
                <w:lang w:val="pt-BR" w:bidi="ar-SA"/>
                <w:kern w:val="16"/>
                <w14:ligatures w14:val="standardContextual"/>
              </w:rPr>
              <w:t>não preenche ainda</w:t>
            </w:r>
            <w:r>
              <w:rPr>
                <w:rFonts w:ascii="EB Garamond" w:hAnsi="EB Garamond" w:cs="EB Garamond"/>
                <w:b w:val="0"/>
                <w:i w:val="0"/>
                <w:color w:val="201B16"/>
                <w:sz w:val="19"/>
                <w:lang w:val="pt-BR" w:bidi="ar-SA"/>
                <w:kern w:val="16"/>
                <w14:ligatures w14:val="standardContextual"/>
              </w:rPr>
              <w:t xml:space="preserve"> (faltam 12 meses) - Se aguardar 1 ano: RMI = R$ 6.000,00 × </w:t>
            </w:r>
            <w:r>
              <w:rPr>
                <w:rFonts w:ascii="EB Garamond" w:hAnsi="EB Garamond" w:cs="EB Garamond"/>
                <w:b/>
                <w:i w:val="0"/>
                <w:color w:val="201B16"/>
                <w:sz w:val="19"/>
                <w:lang w:val="pt-BR" w:bidi="ar-SA"/>
                <w:kern w:val="16"/>
                <w14:ligatures w14:val="standardContextual"/>
              </w:rPr>
              <w:t>100%</w:t>
            </w:r>
            <w:r>
              <w:rPr>
                <w:rFonts w:ascii="EB Garamond" w:hAnsi="EB Garamond" w:cs="EB Garamond"/>
                <w:b w:val="0"/>
                <w:i w:val="0"/>
                <w:color w:val="201B16"/>
                <w:sz w:val="19"/>
                <w:lang w:val="pt-BR" w:bidi="ar-SA"/>
                <w:kern w:val="16"/>
                <w14:ligatures w14:val="standardContextual"/>
              </w:rPr>
              <w:t xml:space="preserve"> = </w:t>
            </w:r>
            <w:r>
              <w:rPr>
                <w:rFonts w:ascii="EB Garamond" w:hAnsi="EB Garamond" w:cs="EB Garamond"/>
                <w:b/>
                <w:i w:val="0"/>
                <w:color w:val="201B16"/>
                <w:sz w:val="19"/>
                <w:lang w:val="pt-BR" w:bidi="ar-SA"/>
                <w:kern w:val="16"/>
                <w14:ligatures w14:val="standardContextual"/>
              </w:rPr>
              <w:t>R$ 6.000,00</w:t>
            </w:r>
          </w:p>
          <w:p>
            <w:pPr>
              <w:spacing w:before="0" w:after="60" w:line="247" w:lineRule="auto"/>
              <w:jc w:val="both"/>
            </w:pPr>
            <w:r>
              <w:rPr>
                <w:rFonts w:ascii="EB Garamond" w:hAnsi="EB Garamond" w:cs="EB Garamond"/>
                <w:b/>
                <w:i w:val="0"/>
                <w:color w:val="201B16"/>
                <w:sz w:val="19"/>
                <w:lang w:val="pt-BR" w:bidi="ar-SA"/>
                <w:kern w:val="16"/>
                <w14:ligatures w14:val="standardContextual"/>
              </w:rPr>
              <w:t>Conclusão:</w:t>
            </w:r>
            <w:r>
              <w:rPr>
                <w:rFonts w:ascii="EB Garamond" w:hAnsi="EB Garamond" w:cs="EB Garamond"/>
                <w:b w:val="0"/>
                <w:i w:val="0"/>
                <w:color w:val="201B16"/>
                <w:sz w:val="19"/>
                <w:lang w:val="pt-BR" w:bidi="ar-SA"/>
                <w:kern w:val="16"/>
                <w14:ligatures w14:val="standardContextual"/>
              </w:rPr>
              <w:t xml:space="preserve"> Se Marcos puder aguardar mais 1 ano, a regra do pedágio 100% lhe garante R$ 240,00 a mais por mês (R$ 6.000 vs. R$ 5.760), ou R$ 2.880,00/ano. Pode valer a pena esperar. Trata-se, em última análise, de uma decisão do próprio segurado, que deve ser tomada à luz de uma comparação numérica transparente entre aposentar-se de imediato e diferir o requerimento.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10.5 Direito adquirido à aposentadoria por idade Pré-EC 103/2019</w:t>
      </w:r>
    </w:p>
    <w:p>
      <w:pPr>
        <w:spacing w:before="260" w:after="80" w:line="240" w:lineRule="auto"/>
        <w:jc w:val="left"/>
      </w:pPr>
      <w:r>
        <w:rPr>
          <w:rFonts w:ascii="EB Garamond" w:hAnsi="EB Garamond" w:cs="EB Garamond"/>
          <w:b/>
          <w:i w:val="0"/>
          <w:color w:val="3A3128"/>
          <w:sz w:val="25"/>
          <w:lang w:val="pt-BR" w:bidi="ar-SA"/>
          <w:kern w:val="16"/>
          <w14:ligatures w14:val="standardContextual"/>
        </w:rPr>
        <w:t>10.5.1 Fundamento constitucional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3º da EC 103/2019 estabelece que "É assegurado o direito adquirido do segurado que tenha cumprido os requisitos para obtenção de aposentadoria, nos termos da legislação vigente na data de publicação desta Emenda Constitucional." O segurado que, em 13/11/2019, já contava com 65 anos (homem) ou 60 anos (mulher) e 180 contribuições de carência tem direito adquirido à aposentadoria por idade na forma da Lei 8.213/91, independentemente de não ter exercido esse direito na época.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direito adquirido previdenciário é imprescritível. O segurado pode exercê-lo a qualquer tempo, mesmo décadas após o implemento dos requisitos. O que prescreve é apenas o direito às prestações vencidas anteriores ao quinquênio que antecede o ajuizamento da ação (Súmula 85/STJ).</w:t>
      </w:r>
    </w:p>
    <w:p>
      <w:pPr>
        <w:spacing w:before="260" w:after="80" w:line="240" w:lineRule="auto"/>
        <w:jc w:val="left"/>
      </w:pPr>
      <w:r>
        <w:rPr>
          <w:rFonts w:ascii="EB Garamond" w:hAnsi="EB Garamond" w:cs="EB Garamond"/>
          <w:b/>
          <w:i w:val="0"/>
          <w:color w:val="3A3128"/>
          <w:sz w:val="25"/>
          <w:lang w:val="pt-BR" w:bidi="ar-SA"/>
          <w:kern w:val="16"/>
          <w14:ligatures w14:val="standardContextual"/>
        </w:rPr>
        <w:t>10.5.2 Requisitos na regra antiga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P</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ara fazer jus à aposentadoria por idade na regra pré-EC 103/2019, o segurado precisava cumprir:</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 Idade mínima:</w:t>
      </w:r>
      <w:r>
        <w:rPr>
          <w:rFonts w:ascii="EB Garamond" w:hAnsi="EB Garamond" w:cs="EB Garamond"/>
          <w:b w:val="0"/>
          <w:i w:val="0"/>
          <w:color w:val="201B16"/>
          <w:sz w:val="21"/>
          <w:lang w:val="pt-BR" w:bidi="ar-SA"/>
          <w:kern w:val="16"/>
          <w14:ligatures w14:val="standardContextual"/>
        </w:rPr>
        <w:t xml:space="preserve"> 65 anos (homem) ou 60 anos (mulher).</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b) Carência:</w:t>
      </w:r>
      <w:r>
        <w:rPr>
          <w:rFonts w:ascii="EB Garamond" w:hAnsi="EB Garamond" w:cs="EB Garamond"/>
          <w:b w:val="0"/>
          <w:i w:val="0"/>
          <w:color w:val="201B16"/>
          <w:sz w:val="21"/>
          <w:lang w:val="pt-BR" w:bidi="ar-SA"/>
          <w:kern w:val="16"/>
          <w14:ligatures w14:val="standardContextual"/>
        </w:rPr>
        <w:t xml:space="preserve"> 180 contribuições mensais (art. 25, II, Lei 8.213/91), ou o número reduzido da tabela progressiva do art. 142 para segurados filiados antes de 24/07/1991 (v. Capítulo 3, seção 3.5, para a tabela completa).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Note-se que a regra antiga exigia carência (número de contribuições), e não tempo de contribuição. A distinção é relevante: 15 anos de tempo de contribuição não equivalem necessariamente a 180 contribuições de carência, porque pode haver períodos intercalados, períodos de benefício por incapacidade (que contam como tempo de contribuição, mas não geram carência, salvo o período intercalado entre contribuições), e períodos de atividade rural anterior a novembro de 1991 (que contam como tempo de contribuição, mas não como carência na aposentadoria por idade urbana comum).</w:t>
      </w:r>
    </w:p>
    <w:p>
      <w:pPr>
        <w:spacing w:before="260" w:after="80" w:line="240" w:lineRule="auto"/>
        <w:jc w:val="left"/>
      </w:pPr>
      <w:r>
        <w:rPr>
          <w:rFonts w:ascii="EB Garamond" w:hAnsi="EB Garamond" w:cs="EB Garamond"/>
          <w:b/>
          <w:i w:val="0"/>
          <w:color w:val="3A3128"/>
          <w:sz w:val="25"/>
          <w:lang w:val="pt-BR" w:bidi="ar-SA"/>
          <w:kern w:val="16"/>
          <w14:ligatures w14:val="standardContextual"/>
        </w:rPr>
        <w:t>10.5.3 Cálculo na regra antiga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cálculo do benefício pela regra pré-EC 103 era significativamente diferente:</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Passo 1 — Salário de benefício:</w:t>
      </w:r>
      <w:r>
        <w:rPr>
          <w:rFonts w:ascii="EB Garamond" w:hAnsi="EB Garamond" w:cs="EB Garamond"/>
          <w:b w:val="0"/>
          <w:i w:val="0"/>
          <w:color w:val="201B16"/>
          <w:sz w:val="21"/>
          <w:lang w:val="pt-BR" w:bidi="ar-SA"/>
          <w:kern w:val="16"/>
          <w14:ligatures w14:val="standardContextual"/>
        </w:rPr>
        <w:t xml:space="preserve"> Média aritmética simples dos 80% maiores salários de contribuição desde julho/1994 (art. 29, I e II, da Lei 8.213/91, redação da Lei 9.876/99). A exclusão dos 20% menores salários geralmente resultava em média mais elevada.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Passo 2 — Renda mensal inicial:</w:t>
      </w:r>
      <w:r>
        <w:rPr>
          <w:rFonts w:ascii="EB Garamond" w:hAnsi="EB Garamond" w:cs="EB Garamond"/>
          <w:b w:val="0"/>
          <w:i w:val="0"/>
          <w:color w:val="201B16"/>
          <w:sz w:val="21"/>
          <w:lang w:val="pt-BR" w:bidi="ar-SA"/>
          <w:kern w:val="16"/>
          <w14:ligatures w14:val="standardContextual"/>
        </w:rPr>
        <w:t xml:space="preserve"> 70% do salário de benefício, acrescidos de 1% para cada grupo de 12 contribuições mensais, até o máximo de 100%.</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Fator previdenciário:</w:t>
      </w:r>
      <w:r>
        <w:rPr>
          <w:rFonts w:ascii="EB Garamond" w:hAnsi="EB Garamond" w:cs="EB Garamond"/>
          <w:b w:val="0"/>
          <w:i w:val="0"/>
          <w:color w:val="201B16"/>
          <w:sz w:val="21"/>
          <w:lang w:val="pt-BR" w:bidi="ar-SA"/>
          <w:kern w:val="16"/>
          <w14:ligatures w14:val="standardContextual"/>
        </w:rPr>
        <w:t xml:space="preserve"> Aplicável somente quando mais vantajoso ao segurado (art. 7º da Lei 9.876/99). Na aposentadoria por idade, o fator era quase sempre desfavorável, de modo que raramente era aplicado.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Exemplo — Direito adquirido (regra antiga)</w:t>
            </w:r>
          </w:p>
          <w:p>
            <w:pPr>
              <w:spacing w:before="0" w:after="60" w:line="247" w:lineRule="auto"/>
              <w:jc w:val="both"/>
            </w:pPr>
            <w:r>
              <w:rPr>
                <w:rFonts w:ascii="EB Garamond" w:hAnsi="EB Garamond" w:cs="EB Garamond"/>
                <w:b/>
                <w:i w:val="0"/>
                <w:color w:val="201B16"/>
                <w:sz w:val="19"/>
                <w:lang w:val="pt-BR" w:bidi="ar-SA"/>
                <w:kern w:val="16"/>
                <w14:ligatures w14:val="standardContextual"/>
              </w:rPr>
              <w:t>Dona Celia</w:t>
            </w:r>
            <w:r>
              <w:rPr>
                <w:rFonts w:ascii="EB Garamond" w:hAnsi="EB Garamond" w:cs="EB Garamond"/>
                <w:b w:val="0"/>
                <w:i w:val="0"/>
                <w:color w:val="201B16"/>
                <w:sz w:val="19"/>
                <w:lang w:val="pt-BR" w:bidi="ar-SA"/>
                <w:kern w:val="16"/>
                <w14:ligatures w14:val="standardContextual"/>
              </w:rPr>
              <w:t>, 68 anos em 2026 (nascida em 1958), completou 60 anos em 2018, antes da EC 103/2019, e, portanto, tem direito adquirido a regra antiga (60F + carência). Completou 65 anos em 2023. Possui 260 contribuições (21 anos e 8 meses de contribuição). Média dos 80% maiores salários: R$ 2.800,00.</w:t>
            </w:r>
          </w:p>
          <w:p>
            <w:pPr>
              <w:spacing w:before="0" w:after="60" w:line="247" w:lineRule="auto"/>
              <w:jc w:val="both"/>
            </w:pPr>
            <w:r>
              <w:rPr>
                <w:rFonts w:ascii="EB Garamond" w:hAnsi="EB Garamond" w:cs="EB Garamond"/>
                <w:b/>
                <w:i w:val="0"/>
                <w:color w:val="201B16"/>
                <w:sz w:val="19"/>
                <w:lang w:val="pt-BR" w:bidi="ar-SA"/>
                <w:kern w:val="16"/>
                <w14:ligatures w14:val="standardContextual"/>
              </w:rPr>
              <w:t>Pela regra antiga:</w:t>
            </w:r>
            <w:r>
              <w:rPr>
                <w:rFonts w:ascii="EB Garamond" w:hAnsi="EB Garamond" w:cs="EB Garamond"/>
                <w:b w:val="0"/>
                <w:i w:val="0"/>
                <w:color w:val="201B16"/>
                <w:sz w:val="19"/>
                <w:lang w:val="pt-BR" w:bidi="ar-SA"/>
                <w:kern w:val="16"/>
                <w14:ligatures w14:val="standardContextual"/>
              </w:rPr>
              <w:t xml:space="preserve"> - Coeficiente: 70% + 1% × 21 = </w:t>
            </w:r>
            <w:r>
              <w:rPr>
                <w:rFonts w:ascii="EB Garamond" w:hAnsi="EB Garamond" w:cs="EB Garamond"/>
                <w:b/>
                <w:i w:val="0"/>
                <w:color w:val="201B16"/>
                <w:sz w:val="19"/>
                <w:lang w:val="pt-BR" w:bidi="ar-SA"/>
                <w:kern w:val="16"/>
                <w14:ligatures w14:val="standardContextual"/>
              </w:rPr>
              <w:t>91%</w:t>
            </w:r>
            <w:r>
              <w:rPr>
                <w:rFonts w:ascii="EB Garamond" w:hAnsi="EB Garamond" w:cs="EB Garamond"/>
                <w:b w:val="0"/>
                <w:i w:val="0"/>
                <w:color w:val="201B16"/>
                <w:sz w:val="19"/>
                <w:lang w:val="pt-BR" w:bidi="ar-SA"/>
                <w:kern w:val="16"/>
                <w14:ligatures w14:val="standardContextual"/>
              </w:rPr>
              <w:t xml:space="preserve"> - RMI: R$ 2.800,00 × 91% = </w:t>
            </w:r>
            <w:r>
              <w:rPr>
                <w:rFonts w:ascii="EB Garamond" w:hAnsi="EB Garamond" w:cs="EB Garamond"/>
                <w:b/>
                <w:i w:val="0"/>
                <w:color w:val="201B16"/>
                <w:sz w:val="19"/>
                <w:lang w:val="pt-BR" w:bidi="ar-SA"/>
                <w:kern w:val="16"/>
                <w14:ligatures w14:val="standardContextual"/>
              </w:rPr>
              <w:t>R$ 2.548,00</w:t>
            </w:r>
          </w:p>
          <w:p>
            <w:pPr>
              <w:spacing w:before="0" w:after="60" w:line="247" w:lineRule="auto"/>
              <w:jc w:val="both"/>
            </w:pPr>
            <w:r>
              <w:rPr>
                <w:rFonts w:ascii="EB Garamond" w:hAnsi="EB Garamond" w:cs="EB Garamond"/>
                <w:b/>
                <w:i w:val="0"/>
                <w:color w:val="201B16"/>
                <w:sz w:val="19"/>
                <w:lang w:val="pt-BR" w:bidi="ar-SA"/>
                <w:kern w:val="16"/>
                <w14:ligatures w14:val="standardContextual"/>
              </w:rPr>
              <w:t>Pela regra de transição (art. 18, EC 103):</w:t>
            </w:r>
            <w:r>
              <w:rPr>
                <w:rFonts w:ascii="EB Garamond" w:hAnsi="EB Garamond" w:cs="EB Garamond"/>
                <w:b w:val="0"/>
                <w:i w:val="0"/>
                <w:color w:val="201B16"/>
                <w:sz w:val="19"/>
                <w:lang w:val="pt-BR" w:bidi="ar-SA"/>
                <w:kern w:val="16"/>
                <w14:ligatures w14:val="standardContextual"/>
              </w:rPr>
              <w:t xml:space="preserve"> - Média de 100% dos salários: R$ 2.500,00 (menor porque inclui os 20% piores) - Coeficiente: 60% + 2% × (21 - 15) = 60% + 12% = </w:t>
            </w:r>
            <w:r>
              <w:rPr>
                <w:rFonts w:ascii="EB Garamond" w:hAnsi="EB Garamond" w:cs="EB Garamond"/>
                <w:b/>
                <w:i w:val="0"/>
                <w:color w:val="201B16"/>
                <w:sz w:val="19"/>
                <w:lang w:val="pt-BR" w:bidi="ar-SA"/>
                <w:kern w:val="16"/>
                <w14:ligatures w14:val="standardContextual"/>
              </w:rPr>
              <w:t>72%</w:t>
            </w:r>
            <w:r>
              <w:rPr>
                <w:rFonts w:ascii="EB Garamond" w:hAnsi="EB Garamond" w:cs="EB Garamond"/>
                <w:b w:val="0"/>
                <w:i w:val="0"/>
                <w:color w:val="201B16"/>
                <w:sz w:val="19"/>
                <w:lang w:val="pt-BR" w:bidi="ar-SA"/>
                <w:kern w:val="16"/>
                <w14:ligatures w14:val="standardContextual"/>
              </w:rPr>
              <w:t xml:space="preserve"> - RMI: R$ 2.500,00 × 72% = </w:t>
            </w:r>
            <w:r>
              <w:rPr>
                <w:rFonts w:ascii="EB Garamond" w:hAnsi="EB Garamond" w:cs="EB Garamond"/>
                <w:b/>
                <w:i w:val="0"/>
                <w:color w:val="201B16"/>
                <w:sz w:val="19"/>
                <w:lang w:val="pt-BR" w:bidi="ar-SA"/>
                <w:kern w:val="16"/>
                <w14:ligatures w14:val="standardContextual"/>
              </w:rPr>
              <w:t>R$ 1.800,00</w:t>
            </w:r>
          </w:p>
          <w:p>
            <w:pPr>
              <w:spacing w:before="0" w:after="60" w:line="247" w:lineRule="auto"/>
              <w:jc w:val="both"/>
            </w:pPr>
            <w:r>
              <w:rPr>
                <w:rFonts w:ascii="EB Garamond" w:hAnsi="EB Garamond" w:cs="EB Garamond"/>
                <w:b/>
                <w:i w:val="0"/>
                <w:color w:val="201B16"/>
                <w:sz w:val="19"/>
                <w:lang w:val="pt-BR" w:bidi="ar-SA"/>
                <w:kern w:val="16"/>
                <w14:ligatures w14:val="standardContextual"/>
              </w:rPr>
              <w:t>Diferença:</w:t>
            </w:r>
            <w:r>
              <w:rPr>
                <w:rFonts w:ascii="EB Garamond" w:hAnsi="EB Garamond" w:cs="EB Garamond"/>
                <w:b w:val="0"/>
                <w:i w:val="0"/>
                <w:color w:val="201B16"/>
                <w:sz w:val="19"/>
                <w:lang w:val="pt-BR" w:bidi="ar-SA"/>
                <w:kern w:val="16"/>
                <w14:ligatures w14:val="standardContextual"/>
              </w:rPr>
              <w:t xml:space="preserve"> R$ 748,00/mês a favor da regra antiga. Dona Celia deve requerer a aposentadoria com base no direito adquirido.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advogado que não verifica a possibilidade de direito adquirido à regra anterior causa prejuízo financeiro ao cliente.</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10.5.4 Tabela de transição de carência (art. 142, Lei 8.213/91)</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P</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ara segurados filiados antes de 24/07/1991 (data de publicação da Lei 8.213/91), a carência exigida era inferior a 180 contribuições, conforme a tabela progressiva do art. 142 da Lei 8.213/91 (reproduzida integralmente no Capitulo 3, seção 3.5, com análise detalhada de cada faixa). Essa tabela encerrou sua progressão em 2011, quando atingiu 180 contribuições. Para fins práticos em 2026, a tabela do art. 142 somente e relevante para segurados que implementaram os requisitos da aposentadoria por idade antes de 2011.</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Contudo, a aplicação da tabela do art. 142 ainda gera controvérsias nos JEFs, especialmente em relação ao marco temporal relevante para a fixação do número de contribuições exigido.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TNU Súmula 44 — Marco temporal para aferição da carência (art. 142)</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"Para efeito de aposentadoria urbana por idade, a tabela progressiva de carência prevista no art. 142 da Lei 8.213/91 deve ser aplicada em função do ano em que o segurado completa a idade mínima para a concessão do benefício, ainda que o período de carência somente seja preenchido posteriormente."</w:t>
            </w:r>
          </w:p>
          <w:p>
            <w:pPr>
              <w:spacing w:before="0" w:after="60" w:line="247" w:lineRule="auto"/>
              <w:jc w:val="both"/>
            </w:pPr>
            <w:r>
              <w:rPr>
                <w:rFonts w:ascii="EB Garamond" w:hAnsi="EB Garamond" w:cs="EB Garamond"/>
                <w:b/>
                <w:i w:val="0"/>
                <w:color w:val="201B16"/>
                <w:sz w:val="19"/>
                <w:lang w:val="pt-BR" w:bidi="ar-SA"/>
                <w:kern w:val="16"/>
                <w14:ligatures w14:val="standardContextual"/>
              </w:rPr>
              <w:t>Exemplo prático:</w:t>
            </w:r>
            <w:r>
              <w:rPr>
                <w:rFonts w:ascii="EB Garamond" w:hAnsi="EB Garamond" w:cs="EB Garamond"/>
                <w:b w:val="0"/>
                <w:i w:val="0"/>
                <w:color w:val="201B16"/>
                <w:sz w:val="19"/>
                <w:lang w:val="pt-BR" w:bidi="ar-SA"/>
                <w:kern w:val="16"/>
                <w14:ligatures w14:val="standardContextual"/>
              </w:rPr>
              <w:t xml:space="preserve"> Um homem filiado em 1985 completou 65 anos em 2005. Pela tabela do art. 142, em 2005 a carência exigida era de 144 contribuições (12 anos). Se ele tinha apenas 120 contribuições em 2005 e completou as 144 contribuições somente em 2008, o número de contribuições exigido continua sendo 144 (não 162, que seria o exigido em 2008 pela tabela do art. 142).</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Essa súmula beneficia enormemente segurados com histórico contributivo intermitente que atingem a idade avançada antes de completar a carência. O ano de implemento da idade "congela" o número de contribuições exigido.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10.6 Carência: contagem e controvérsias na aposentadoria por idade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tratamento geral da carência — conceito, histórico legislativo e regime jurídico — encontra-se no Capítulo 3 (seções 3.4 a 3.6). Nesta seção, examina-se a aplicação concreta do instituto a aposentadoria por idade.</w:t>
      </w:r>
    </w:p>
    <w:p>
      <w:pPr>
        <w:spacing w:before="260" w:after="80" w:line="240" w:lineRule="auto"/>
        <w:jc w:val="left"/>
      </w:pPr>
      <w:r>
        <w:rPr>
          <w:rFonts w:ascii="EB Garamond" w:hAnsi="EB Garamond" w:cs="EB Garamond"/>
          <w:b/>
          <w:i w:val="0"/>
          <w:color w:val="3A3128"/>
          <w:sz w:val="25"/>
          <w:lang w:val="pt-BR" w:bidi="ar-SA"/>
          <w:kern w:val="16"/>
          <w14:ligatures w14:val="standardContextual"/>
        </w:rPr>
        <w:t>10.6.1 Carência vs. Tempo de contribuição: distinção pratica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C</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arência e o número mínimo de contribuições mensais indispensáveis para que o beneficiário faça jus ao benefício (art. 24 da Lei 8.213/91). Para a aposentadoria por idade e para a aposentadoria programada, a carência é de 180 contribuições mensais (art. 25, II). A distinção entre carência e tempo de contribuição e decisiva nesta modalidade de benefício: períodos computáveis como tempo de contribuição podem não gerar carência — o caso mais relevante sendo o tempo de serviço rural anterior a novembro de 1991, que conta como tempo de contribuição, mas não como carência na aposentadoria por idade urbana (v. Seção 10.13 e Capítulo 9).</w:t>
      </w:r>
    </w:p>
    <w:p>
      <w:pPr>
        <w:spacing w:before="260" w:after="80" w:line="240" w:lineRule="auto"/>
        <w:jc w:val="left"/>
      </w:pPr>
      <w:r>
        <w:rPr>
          <w:rFonts w:ascii="EB Garamond" w:hAnsi="EB Garamond" w:cs="EB Garamond"/>
          <w:b/>
          <w:i w:val="0"/>
          <w:color w:val="3A3128"/>
          <w:sz w:val="25"/>
          <w:lang w:val="pt-BR" w:bidi="ar-SA"/>
          <w:kern w:val="16"/>
          <w14:ligatures w14:val="standardContextual"/>
        </w:rPr>
        <w:t>10.6.2 Início da contagem de carência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P</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ara o segurado empregado e o trabalhador avulso, a carência é contada a partir da data da filiação ao RGPS (art. 27, I, Lei 8.213/91), porque o recolhimento da contribuição é responsabilidade do empregador. A contagem independe do efetivo recolhimento pelo empregador — se o empregador não recolheu, a responsabilidade é deste, e o trabalhador não pode ser prejudicado (princípio da automaticidade da filiação).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o contribuinte individual e o segurado facultativo, a carência é contada a partir do primeiro recolhimento sem atraso (art. 27, II). Contribuições recolhidas em atraso, com juros e multa, não são computadas para fins de carência, nos termos do art. 27, II, da Lei 8.213/91, salvo nas hipóteses expressamente previstas no Decreto 3.048/99.</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Contribuições em atraso e carência — armadilha frequente</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 xml:space="preserve">A prática nos JEFs revela uma situação recorrente: o contribuinte individual que, ao constatar que lhe faltam poucos meses para completar a carência de 180 contribuições, efetua o recolhimento retroativo de competências passadas. Essas contribuições em atraso, embora validem o período como tempo de contribuição (mediante indenização), </w:t>
            </w:r>
            <w:r>
              <w:rPr>
                <w:rFonts w:ascii="EB Garamond" w:hAnsi="EB Garamond" w:cs="EB Garamond"/>
                <w:b/>
                <w:i w:val="0"/>
                <w:color w:val="201B16"/>
                <w:sz w:val="19"/>
                <w:lang w:val="pt-BR" w:bidi="ar-SA"/>
                <w:kern w:val="16"/>
                <w14:ligatures w14:val="standardContextual"/>
              </w:rPr>
              <w:t>não são computadas para fins de carência.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advogado deve alertar o cliente sobre essa distinção antes de orientá-lo a efetuar recolhimentos retroativos. Em muitos casos, é mais eficiente aguardar o transcurso dos meses faltantes com contribuições em dia do que pagar retroativamente valores que não serão aproveitados para carência.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Exceção: contribuições em atraso para períodos em que o segurado exercia atividade como contribuinte individual, com prova da atividade, podem ser computadas para carência quando o primeiro recolhimento sem atraso tiver ocorrido anteriormente (art. 27, II, da Lei 8.213/91, c/c o art. 27-A da mesma lei, na redação da Lei 13.846/2019, e o art. 26 do Decreto 3.048/99, com a redação do Decreto 10.410/2020).</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10.6.3 Perda e recuperação da qualidade de segurado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perda da qualidade de segurado não impede a concessão de aposentadoria por idade. A Lei 10.666/2003 (art. 3o, para. 1o) afastou a exigência de manutenção da qualidade de segurado para esse benefício, de modo que todas as contribuições efetuadas ao longo da vida laboral somam-se para fins de carência, independentemente de interrupções. A regra aplica-se a aposentadoria por idade antiga, a aposentadoria programada e as regras de transição. O tratamento aprofundado do período de graça e da perda da qualidade de segurado encontra-se no Capítulo 3 (seção 3.8).</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Caso prático — Carência com interrupções (Lei 10.666/2003)</w:t>
            </w:r>
          </w:p>
          <w:p>
            <w:pPr>
              <w:spacing w:before="0" w:after="60" w:line="247" w:lineRule="auto"/>
              <w:jc w:val="both"/>
            </w:pPr>
            <w:r>
              <w:rPr>
                <w:rFonts w:ascii="EB Garamond" w:hAnsi="EB Garamond" w:cs="EB Garamond"/>
                <w:b/>
                <w:i w:val="0"/>
                <w:color w:val="201B16"/>
                <w:sz w:val="19"/>
                <w:lang w:val="pt-BR" w:bidi="ar-SA"/>
                <w:kern w:val="16"/>
                <w14:ligatures w14:val="standardContextual"/>
              </w:rPr>
              <w:t>Antônio</w:t>
            </w:r>
            <w:r>
              <w:rPr>
                <w:rFonts w:ascii="EB Garamond" w:hAnsi="EB Garamond" w:cs="EB Garamond"/>
                <w:b w:val="0"/>
                <w:i w:val="0"/>
                <w:color w:val="201B16"/>
                <w:sz w:val="19"/>
                <w:lang w:val="pt-BR" w:bidi="ar-SA"/>
                <w:kern w:val="16"/>
                <w14:ligatures w14:val="standardContextual"/>
              </w:rPr>
              <w:t>, 65 anos em 2026, filiado ao RGPS em 1990. Histórico: - 1990-2000: empregado CLT (120 contribuições) - 2001-2010: sem atividade nem contribuição (perda da qualidade de segurado em 2002) - 2011-2016: contribuinte individual (72 contribuições) - 2017-2020: sem atividade (nova perda da qualidade) - 2021-2026: empregado CLT (60 contribuições até maio/2026)</w:t>
            </w:r>
          </w:p>
          <w:p>
            <w:pPr>
              <w:spacing w:before="0" w:after="60" w:line="247" w:lineRule="auto"/>
              <w:jc w:val="both"/>
            </w:pPr>
            <w:r>
              <w:rPr>
                <w:rFonts w:ascii="EB Garamond" w:hAnsi="EB Garamond" w:cs="EB Garamond"/>
                <w:b/>
                <w:i w:val="0"/>
                <w:color w:val="201B16"/>
                <w:sz w:val="19"/>
                <w:lang w:val="pt-BR" w:bidi="ar-SA"/>
                <w:kern w:val="16"/>
                <w14:ligatures w14:val="standardContextual"/>
              </w:rPr>
              <w:t>Total de contribuições de carência:</w:t>
            </w:r>
            <w:r>
              <w:rPr>
                <w:rFonts w:ascii="EB Garamond" w:hAnsi="EB Garamond" w:cs="EB Garamond"/>
                <w:b w:val="0"/>
                <w:i w:val="0"/>
                <w:color w:val="201B16"/>
                <w:sz w:val="19"/>
                <w:lang w:val="pt-BR" w:bidi="ar-SA"/>
                <w:kern w:val="16"/>
                <w14:ligatures w14:val="standardContextual"/>
              </w:rPr>
              <w:t xml:space="preserve"> 120 + 72 + 60 = </w:t>
            </w:r>
            <w:r>
              <w:rPr>
                <w:rFonts w:ascii="EB Garamond" w:hAnsi="EB Garamond" w:cs="EB Garamond"/>
                <w:b/>
                <w:i w:val="0"/>
                <w:color w:val="201B16"/>
                <w:sz w:val="19"/>
                <w:lang w:val="pt-BR" w:bidi="ar-SA"/>
                <w:kern w:val="16"/>
                <w14:ligatures w14:val="standardContextual"/>
              </w:rPr>
              <w:t>252 contribuições</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Apesar de duas interrupções longas e de duas perdas da qualidade de segurado, Antônio supera folgadamente as 180 contribuições de carência. Pela Lei 10.666/2003, as interrupções são irrelevantes para fins de aposentadoria por idade. Antônio faz jus à aposentadoria.</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10.6.4 Carência e período de gozo de benefício por incapacidade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 períodos em que o segurado esteve em gozo de benefício por incapacidade (auxílio por incapacidade temporária ou aposentadoria por incapacidade permanente) são contados como tempo de contribuição, desde que intercalados entre períodos de atividade ou contribuição (art. 55, II, da Lei 8.213/91). Contudo, esses períodos são computados para carência?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questão é controvertida. A jurisprudência predominante nos JEFs e na TNU tem admitido a contagem do período de benefício por incapacidade como carência, quando intercalado entre períodos contributivos. O fundamento é que o segurado mantém a qualidade de segurado durante o gozo do benefício e as mensalidades recebidas devem ser equiparadas a contribuições para todos os efeitos, inclusive carência. A solução contrária criaria uma situação paradoxal: o segurado que, por estar doente, não pôde contribuir seria penalizado duplamente — pela doença e pela perda de carência.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Período de benefício por incapacidade e carência — três cenários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1. </w:t>
            </w:r>
            <w:r>
              <w:rPr>
                <w:rFonts w:ascii="EB Garamond" w:hAnsi="EB Garamond" w:cs="EB Garamond"/>
                <w:b/>
                <w:i w:val="0"/>
                <w:color w:val="201B16"/>
                <w:sz w:val="19"/>
                <w:lang w:val="pt-BR" w:bidi="ar-SA"/>
                <w:kern w:val="16"/>
                <w14:ligatures w14:val="standardContextual"/>
              </w:rPr>
              <w:t>Período intercalado (entre contribuições):</w:t>
            </w:r>
            <w:r>
              <w:rPr>
                <w:rFonts w:ascii="EB Garamond" w:hAnsi="EB Garamond" w:cs="EB Garamond"/>
                <w:b w:val="0"/>
                <w:i w:val="0"/>
                <w:color w:val="201B16"/>
                <w:sz w:val="19"/>
                <w:lang w:val="pt-BR" w:bidi="ar-SA"/>
                <w:kern w:val="16"/>
                <w14:ligatures w14:val="standardContextual"/>
              </w:rPr>
              <w:t xml:space="preserve"> Conta como carência. Ex.: segurado contribuiu de 2010 a 2015, recebeu auxílio por incapacidade temporária de 2015 a 2017, e voltou a contribuir de 2017 em diante. O período 2015-2017 conta como carência.</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2. </w:t>
            </w:r>
            <w:r>
              <w:rPr>
                <w:rFonts w:ascii="EB Garamond" w:hAnsi="EB Garamond" w:cs="EB Garamond"/>
                <w:b/>
                <w:i w:val="0"/>
                <w:color w:val="201B16"/>
                <w:sz w:val="19"/>
                <w:lang w:val="pt-BR" w:bidi="ar-SA"/>
                <w:kern w:val="16"/>
                <w14:ligatures w14:val="standardContextual"/>
              </w:rPr>
              <w:t>Período terminal (sem retorno à atividade):</w:t>
            </w:r>
            <w:r>
              <w:rPr>
                <w:rFonts w:ascii="EB Garamond" w:hAnsi="EB Garamond" w:cs="EB Garamond"/>
                <w:b w:val="0"/>
                <w:i w:val="0"/>
                <w:color w:val="201B16"/>
                <w:sz w:val="19"/>
                <w:lang w:val="pt-BR" w:bidi="ar-SA"/>
                <w:kern w:val="16"/>
                <w14:ligatures w14:val="standardContextual"/>
              </w:rPr>
              <w:t xml:space="preserve"> A contagem como carência é mais controvertida. Se o segurado nunca mais contribuiu após o benefício, há quem sustente que o período não pode ser computado como carência por falta de "intercalação." Entendemos, porém, que a exigência de intercalação não deve ser levada ao extremo de penalizar o segurado que, justamente por persistir a incapacidade, ficou impossibilitado de retornar ao trabalho: condicionar o cômputo a um retorno que a própria doença inviabilizou equivaleria a negar proteção a quem mais dela necessita. A tendência jurisprudencial, alinhada a essa compreensão, tem sido mais flexível.</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3. </w:t>
            </w:r>
            <w:r>
              <w:rPr>
                <w:rFonts w:ascii="EB Garamond" w:hAnsi="EB Garamond" w:cs="EB Garamond"/>
                <w:b/>
                <w:i w:val="0"/>
                <w:color w:val="201B16"/>
                <w:sz w:val="19"/>
                <w:lang w:val="pt-BR" w:bidi="ar-SA"/>
                <w:kern w:val="16"/>
                <w14:ligatures w14:val="standardContextual"/>
              </w:rPr>
              <w:t>Período de auxílio-acidente:</w:t>
            </w:r>
            <w:r>
              <w:rPr>
                <w:rFonts w:ascii="EB Garamond" w:hAnsi="EB Garamond" w:cs="EB Garamond"/>
                <w:b w:val="0"/>
                <w:i w:val="0"/>
                <w:color w:val="201B16"/>
                <w:sz w:val="19"/>
                <w:lang w:val="pt-BR" w:bidi="ar-SA"/>
                <w:kern w:val="16"/>
                <w14:ligatures w14:val="standardContextual"/>
              </w:rPr>
              <w:t xml:space="preserve"> O auxílio-acidente não suspende a obrigação de contribuir (o segurado continua trabalhando). Portanto, as contribuições efetuadas durante o recebimento de auxílio-acidente contam normalmente como carência.</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10.7 O CNIS como instrumento de prova</w:t>
      </w:r>
    </w:p>
    <w:p>
      <w:pPr>
        <w:spacing w:before="260" w:after="80" w:line="240" w:lineRule="auto"/>
        <w:jc w:val="left"/>
      </w:pPr>
      <w:r>
        <w:rPr>
          <w:rFonts w:ascii="EB Garamond" w:hAnsi="EB Garamond" w:cs="EB Garamond"/>
          <w:b/>
          <w:i w:val="0"/>
          <w:color w:val="3A3128"/>
          <w:sz w:val="25"/>
          <w:lang w:val="pt-BR" w:bidi="ar-SA"/>
          <w:kern w:val="16"/>
          <w14:ligatures w14:val="standardContextual"/>
        </w:rPr>
        <w:t>10.7.1 O cadastro nacional de informações sociais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CNIS (Cadastro Nacional de Informações Sociais), criado pela Lei 8.212/91 (art. 17) e progressivamente regulamentado, reúne as informações relativas aos segurados do RGPS, incluindo vínculos empregatícios, remunerações, contribuições e benefícios. A Lei 10.403/2002 introduziu o art. 29-A na Lei 8.213/91, conferindo ao CNIS valor probatório expresso; a Lei 13.846/2019 deu nova redação ao dispositivo, reforçando essa força probatória. O tratamento aprofundado do CNIS — natureza jurídica, força probatória e procedimentos de retificação — encontra-se no Capítulo 5 (seções 5.2 a 5.4). Para fins deste capítulo, destaca-se o papel prático do CNIS na concessão da aposentadoria por 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art. 29-A, § 5º, da Lei 8.213/91, na redação vigente, dispõe que os dados do CNIS valem, para todos os efeitos, como prova de filiação à previdência social, relação de emprego, tempo de serviço ou de contribuição e salários de contribuição. Essa presunção é relativa (juris tantum), admitindo prova em contrário tanto pelo INSS quanto pelo segurado.</w:t>
      </w:r>
    </w:p>
    <w:p>
      <w:pPr>
        <w:spacing w:before="260" w:after="80" w:line="240" w:lineRule="auto"/>
        <w:jc w:val="left"/>
      </w:pPr>
      <w:r>
        <w:rPr>
          <w:rFonts w:ascii="EB Garamond" w:hAnsi="EB Garamond" w:cs="EB Garamond"/>
          <w:b/>
          <w:i w:val="0"/>
          <w:color w:val="3A3128"/>
          <w:sz w:val="25"/>
          <w:lang w:val="pt-BR" w:bidi="ar-SA"/>
          <w:kern w:val="16"/>
          <w14:ligatures w14:val="standardContextual"/>
        </w:rPr>
        <w:t>10.7.2 Inconsistências do CNIS e retificação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N</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 prática dos JEFs, o CNIS frequentemente apresenta inconsistências que dificultam ou impedem a concessão da aposentadoria. As situações mais comuns incluem:</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 Vínculos empregatícios não registrados:</w:t>
      </w:r>
      <w:r>
        <w:rPr>
          <w:rFonts w:ascii="EB Garamond" w:hAnsi="EB Garamond" w:cs="EB Garamond"/>
          <w:b w:val="0"/>
          <w:i w:val="0"/>
          <w:color w:val="201B16"/>
          <w:sz w:val="21"/>
          <w:lang w:val="pt-BR" w:bidi="ar-SA"/>
          <w:kern w:val="16"/>
          <w14:ligatures w14:val="standardContextual"/>
        </w:rPr>
        <w:t xml:space="preserve"> O empregador não informou o vínculo ao sistema. O segurado precisa comprovar a relação de emprego por outros meios (CTPS, contracheques, declaração do empregador, prova testemunhal como elemento complementar).</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b) Remunerações zeradas ou subnotificadas:</w:t>
      </w:r>
      <w:r>
        <w:rPr>
          <w:rFonts w:ascii="EB Garamond" w:hAnsi="EB Garamond" w:cs="EB Garamond"/>
          <w:b w:val="0"/>
          <w:i w:val="0"/>
          <w:color w:val="201B16"/>
          <w:sz w:val="21"/>
          <w:lang w:val="pt-BR" w:bidi="ar-SA"/>
          <w:kern w:val="16"/>
          <w14:ligatures w14:val="standardContextual"/>
        </w:rPr>
        <w:t xml:space="preserve"> O vínculo consta do CNIS, mas as remunerações estão em branco ou com valores inferiores aos efetivamente recebidos. Isso afeta diretamente o cálculo do salário de benefício.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 Indicadores de extemporaneidade:</w:t>
      </w:r>
      <w:r>
        <w:rPr>
          <w:rFonts w:ascii="EB Garamond" w:hAnsi="EB Garamond" w:cs="EB Garamond"/>
          <w:b w:val="0"/>
          <w:i w:val="0"/>
          <w:color w:val="201B16"/>
          <w:sz w:val="21"/>
          <w:lang w:val="pt-BR" w:bidi="ar-SA"/>
          <w:kern w:val="16"/>
          <w14:ligatures w14:val="standardContextual"/>
        </w:rPr>
        <w:t xml:space="preserve"> Informações inseridas no CNIS após o prazo regulamentar recebem o indicador de extemporaneidade (art. 19-B do Decreto 3.048/99, com redação do Decreto 10.410/2020) e ficam pendentes de confirmação pelo INSS, que pode exigir documentação complementar para regularização (art. 19-C).</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d) Multiplicidade de NIT/PIS/PASEP:</w:t>
      </w:r>
      <w:r>
        <w:rPr>
          <w:rFonts w:ascii="EB Garamond" w:hAnsi="EB Garamond" w:cs="EB Garamond"/>
          <w:b w:val="0"/>
          <w:i w:val="0"/>
          <w:color w:val="201B16"/>
          <w:sz w:val="21"/>
          <w:lang w:val="pt-BR" w:bidi="ar-SA"/>
          <w:kern w:val="16"/>
          <w14:ligatures w14:val="standardContextual"/>
        </w:rPr>
        <w:t xml:space="preserve"> Segurados com mais de um número de identificação podem ter contribuições "perdidas" em registros distintos que não foram unificados.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Roteiro prático — Análise do CNIS antes do requerimento administrativo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Antes de requerer a aposentadoria, ou de ajuizar a ação nos JEFs, o advogado deve:</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1. </w:t>
            </w:r>
            <w:r>
              <w:rPr>
                <w:rFonts w:ascii="EB Garamond" w:hAnsi="EB Garamond" w:cs="EB Garamond"/>
                <w:b/>
                <w:i w:val="0"/>
                <w:color w:val="201B16"/>
                <w:sz w:val="19"/>
                <w:lang w:val="pt-BR" w:bidi="ar-SA"/>
                <w:kern w:val="16"/>
                <w14:ligatures w14:val="standardContextual"/>
              </w:rPr>
              <w:t>Obter o extrato completo do CNIS</w:t>
            </w:r>
            <w:r>
              <w:rPr>
                <w:rFonts w:ascii="EB Garamond" w:hAnsi="EB Garamond" w:cs="EB Garamond"/>
                <w:b w:val="0"/>
                <w:i w:val="0"/>
                <w:color w:val="201B16"/>
                <w:sz w:val="19"/>
                <w:lang w:val="pt-BR" w:bidi="ar-SA"/>
                <w:kern w:val="16"/>
                <w14:ligatures w14:val="standardContextual"/>
              </w:rPr>
              <w:t xml:space="preserve"> (via Meu INSS ou requisição judicial)</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2. </w:t>
            </w:r>
            <w:r>
              <w:rPr>
                <w:rFonts w:ascii="EB Garamond" w:hAnsi="EB Garamond" w:cs="EB Garamond"/>
                <w:b/>
                <w:i w:val="0"/>
                <w:color w:val="201B16"/>
                <w:sz w:val="19"/>
                <w:lang w:val="pt-BR" w:bidi="ar-SA"/>
                <w:kern w:val="16"/>
                <w14:ligatures w14:val="standardContextual"/>
              </w:rPr>
              <w:t>Conferir vínculos com a CTPS:</w:t>
            </w:r>
            <w:r>
              <w:rPr>
                <w:rFonts w:ascii="EB Garamond" w:hAnsi="EB Garamond" w:cs="EB Garamond"/>
                <w:b w:val="0"/>
                <w:i w:val="0"/>
                <w:color w:val="201B16"/>
                <w:sz w:val="19"/>
                <w:lang w:val="pt-BR" w:bidi="ar-SA"/>
                <w:kern w:val="16"/>
                <w14:ligatures w14:val="standardContextual"/>
              </w:rPr>
              <w:t xml:space="preserve"> Identificar vínculos da CTPS que não constam do CNIS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3. </w:t>
            </w:r>
            <w:r>
              <w:rPr>
                <w:rFonts w:ascii="EB Garamond" w:hAnsi="EB Garamond" w:cs="EB Garamond"/>
                <w:b/>
                <w:i w:val="0"/>
                <w:color w:val="201B16"/>
                <w:sz w:val="19"/>
                <w:lang w:val="pt-BR" w:bidi="ar-SA"/>
                <w:kern w:val="16"/>
                <w14:ligatures w14:val="standardContextual"/>
              </w:rPr>
              <w:t>Verificar remunerações:</w:t>
            </w:r>
            <w:r>
              <w:rPr>
                <w:rFonts w:ascii="EB Garamond" w:hAnsi="EB Garamond" w:cs="EB Garamond"/>
                <w:b w:val="0"/>
                <w:i w:val="0"/>
                <w:color w:val="201B16"/>
                <w:sz w:val="19"/>
                <w:lang w:val="pt-BR" w:bidi="ar-SA"/>
                <w:kern w:val="16"/>
                <w14:ligatures w14:val="standardContextual"/>
              </w:rPr>
              <w:t xml:space="preserve"> Conferir se os valores do CNIS correspondem aos da CTPS e dos contracheques disponíveis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4. </w:t>
            </w:r>
            <w:r>
              <w:rPr>
                <w:rFonts w:ascii="EB Garamond" w:hAnsi="EB Garamond" w:cs="EB Garamond"/>
                <w:b/>
                <w:i w:val="0"/>
                <w:color w:val="201B16"/>
                <w:sz w:val="19"/>
                <w:lang w:val="pt-BR" w:bidi="ar-SA"/>
                <w:kern w:val="16"/>
                <w14:ligatures w14:val="standardContextual"/>
              </w:rPr>
              <w:t>Identificar indicadores:</w:t>
            </w:r>
            <w:r>
              <w:rPr>
                <w:rFonts w:ascii="EB Garamond" w:hAnsi="EB Garamond" w:cs="EB Garamond"/>
                <w:b w:val="0"/>
                <w:i w:val="0"/>
                <w:color w:val="201B16"/>
                <w:sz w:val="19"/>
                <w:lang w:val="pt-BR" w:bidi="ar-SA"/>
                <w:kern w:val="16"/>
                <w14:ligatures w14:val="standardContextual"/>
              </w:rPr>
              <w:t xml:space="preserve"> Anotar vínculos com indicadores de pendência, extemporaneidade ou inconsistência</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5. </w:t>
            </w:r>
            <w:r>
              <w:rPr>
                <w:rFonts w:ascii="EB Garamond" w:hAnsi="EB Garamond" w:cs="EB Garamond"/>
                <w:b/>
                <w:i w:val="0"/>
                <w:color w:val="201B16"/>
                <w:sz w:val="19"/>
                <w:lang w:val="pt-BR" w:bidi="ar-SA"/>
                <w:kern w:val="16"/>
                <w14:ligatures w14:val="standardContextual"/>
              </w:rPr>
              <w:t>Contar contribuições de carência:</w:t>
            </w:r>
            <w:r>
              <w:rPr>
                <w:rFonts w:ascii="EB Garamond" w:hAnsi="EB Garamond" w:cs="EB Garamond"/>
                <w:b w:val="0"/>
                <w:i w:val="0"/>
                <w:color w:val="201B16"/>
                <w:sz w:val="19"/>
                <w:lang w:val="pt-BR" w:bidi="ar-SA"/>
                <w:kern w:val="16"/>
                <w14:ligatures w14:val="standardContextual"/>
              </w:rPr>
              <w:t xml:space="preserve"> Somar mês a mês as contribuições efetivas (não confundir com tempo de contribuição)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6. </w:t>
            </w:r>
            <w:r>
              <w:rPr>
                <w:rFonts w:ascii="EB Garamond" w:hAnsi="EB Garamond" w:cs="EB Garamond"/>
                <w:b/>
                <w:i w:val="0"/>
                <w:color w:val="201B16"/>
                <w:sz w:val="19"/>
                <w:lang w:val="pt-BR" w:bidi="ar-SA"/>
                <w:kern w:val="16"/>
                <w14:ligatures w14:val="standardContextual"/>
              </w:rPr>
              <w:t>Verificar períodos de benefício:</w:t>
            </w:r>
            <w:r>
              <w:rPr>
                <w:rFonts w:ascii="EB Garamond" w:hAnsi="EB Garamond" w:cs="EB Garamond"/>
                <w:b w:val="0"/>
                <w:i w:val="0"/>
                <w:color w:val="201B16"/>
                <w:sz w:val="19"/>
                <w:lang w:val="pt-BR" w:bidi="ar-SA"/>
                <w:kern w:val="16"/>
                <w14:ligatures w14:val="standardContextual"/>
              </w:rPr>
              <w:t xml:space="preserve"> Identificar períodos de auxílio por incapacidade temporária que podem ser computados como carência e TC</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7. </w:t>
            </w:r>
            <w:r>
              <w:rPr>
                <w:rFonts w:ascii="EB Garamond" w:hAnsi="EB Garamond" w:cs="EB Garamond"/>
                <w:b/>
                <w:i w:val="0"/>
                <w:color w:val="201B16"/>
                <w:sz w:val="19"/>
                <w:lang w:val="pt-BR" w:bidi="ar-SA"/>
                <w:kern w:val="16"/>
                <w14:ligatures w14:val="standardContextual"/>
              </w:rPr>
              <w:t>Requerer retificação administrativa</w:t>
            </w:r>
            <w:r>
              <w:rPr>
                <w:rFonts w:ascii="EB Garamond" w:hAnsi="EB Garamond" w:cs="EB Garamond"/>
                <w:b w:val="0"/>
                <w:i w:val="0"/>
                <w:color w:val="201B16"/>
                <w:sz w:val="19"/>
                <w:lang w:val="pt-BR" w:bidi="ar-SA"/>
                <w:kern w:val="16"/>
                <w14:ligatures w14:val="standardContextual"/>
              </w:rPr>
              <w:t xml:space="preserve"> antes de ajuizar a ação, quando possível</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Essa análise prévia evita surpresas no processo judicial e permite uma petição inicial mais precisa e fundamentada.</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10.7.3 Prova do tempo de contribuição urbano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prova do tempo de contribuição urbano segue uma hierarquia normativa. O CNIS é a prova principal (art. 29-A, § 5º, Lei 8.213/91). Na ausência de informações no CNIS, admitem-se como provas: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Carteira de Trabalho e Previdência Social (CTPS) com anotações contemporâneas;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Guias de recolhimento de contribuições (GPS, carnê) para contribuinte individual e facultativo;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Contracheques, holerites e recibos de pagamento;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Declarações de ex-empregadores;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Certidões de juntas comerciais ou de cartórios de registro civil de pessoas jurídicas;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Prova testemunhal como elemento complementar — não admitida como prova exclusiva para fins de tempo de contribuição urbano (Súmula 149/STJ, aplicável por analogia).</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CTPS com anotações contemporâneas goza de presunção de veracidade (juris tantum), conforme consolidada jurisprudência do STJ. Anotações extemporâneas, embora não gozem da mesma presunção, podem ser admitidas quando corroboradas por outros elementos de prova.</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10.8 Data de início do benefício (DIB) e reafirmação da DER</w:t>
      </w:r>
    </w:p>
    <w:p>
      <w:pPr>
        <w:spacing w:before="260" w:after="80" w:line="240" w:lineRule="auto"/>
        <w:jc w:val="left"/>
      </w:pPr>
      <w:r>
        <w:rPr>
          <w:rFonts w:ascii="EB Garamond" w:hAnsi="EB Garamond" w:cs="EB Garamond"/>
          <w:b/>
          <w:i w:val="0"/>
          <w:color w:val="3A3128"/>
          <w:sz w:val="25"/>
          <w:lang w:val="pt-BR" w:bidi="ar-SA"/>
          <w:kern w:val="16"/>
          <w14:ligatures w14:val="standardContextual"/>
        </w:rPr>
        <w:t>10.8.1 Regras de fixação da DIB</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Data de Início do Benefício (DIB) na aposentadoria por idade e na aposentadoria programada segue as regras do art. 49 da Lei 8.213/91, combinado com o art. 56 do Decreto 3.048/99:</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 Segurado empregado: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Se o requerimento for apresentado até 90 dias após o desligamento do emprego: DIB = data do desligamento.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Se o requerimento for apresentado após 90 dias do desligamento: DIB = data do requerimento administrativo (DER).</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b</w:t>
      </w:r>
    </w:p>
    <w:p>
      <w:pPr>
        <w:spacing w:before="0" w:after="70" w:line="259" w:lineRule="auto"/>
        <w:jc w:val="both"/>
      </w:pPr>
      <w:r>
        <w:rPr>
          <w:rFonts w:ascii="EB Garamond" w:hAnsi="EB Garamond" w:cs="EB Garamond"/>
          <w:b/>
          <w:i w:val="0"/>
          <w:color w:val="201B16"/>
          <w:sz w:val="21"/>
          <w:lang w:val="pt-BR" w:bidi="ar-SA"/>
          <w:kern w:val="16"/>
          <w14:ligatures w14:val="standardContextual"/>
        </w:rPr>
        <w:t>) Demais segurados (CI, facultativo, etc.):</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DIB = data do requerimento administrativo (DER).</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c</w:t>
      </w:r>
    </w:p>
    <w:p>
      <w:pPr>
        <w:spacing w:before="0" w:after="70" w:line="259" w:lineRule="auto"/>
        <w:jc w:val="both"/>
      </w:pPr>
      <w:r>
        <w:rPr>
          <w:rFonts w:ascii="EB Garamond" w:hAnsi="EB Garamond" w:cs="EB Garamond"/>
          <w:b/>
          <w:i w:val="0"/>
          <w:color w:val="201B16"/>
          <w:sz w:val="21"/>
          <w:lang w:val="pt-BR" w:bidi="ar-SA"/>
          <w:kern w:val="16"/>
          <w14:ligatures w14:val="standardContextual"/>
        </w:rPr>
        <w:t>) Aposentadoria compulsória (art. 51):</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DIB = data da comunicação do empregador.</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N</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os casos de ação judicial, a DIB obedece à mesma lógica: se o segurado havia formulado requerimento administrativo, a DIB retroage à DER; se não havia requerimento prévio, a DIB é fixada na data da citação do INSS (entendimento predominante nos JEFs) ou na data do ajuizamento (entendimento minoritário). A ausência de requerimento administrativo prévio não impede o ajuizamento da ação nos JEFs (Tema 350/STF, embora se refira a questão distinta, estabelece a necessidade de requerimento administrativo como regra geral — o que pode impactar a DIB, mas não a admissibilidade da ação quando há resistência presumida ou notória impossibilidade de atendimento administrativo).</w:t>
      </w:r>
    </w:p>
    <w:p>
      <w:pPr>
        <w:spacing w:before="260" w:after="80" w:line="240" w:lineRule="auto"/>
        <w:jc w:val="left"/>
      </w:pPr>
      <w:r>
        <w:rPr>
          <w:rFonts w:ascii="EB Garamond" w:hAnsi="EB Garamond" w:cs="EB Garamond"/>
          <w:b/>
          <w:i w:val="0"/>
          <w:color w:val="3A3128"/>
          <w:sz w:val="25"/>
          <w:lang w:val="pt-BR" w:bidi="ar-SA"/>
          <w:kern w:val="16"/>
          <w14:ligatures w14:val="standardContextual"/>
        </w:rPr>
        <w:t>10.8.2 Reafirmação da DER (Tema 995/STJ)</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reafirmação da DER, amplamente examinada pela doutrina, é um dos institutos mais relevantes da prática previdenciária nos JEFs. Trata-se da possibilidade de considerar fatos supervenientes ao requerimento administrativo, ou mesmo ao ajuizamento da ação, para fins de implementação dos requisitos da aposentadoria.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STJ Tema 995 — Reafirmação da DER</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No julgamento dos REsp 1.727.069/SP e 1.727.063/SP, a 1ª Seção do STJ fixou a seguinte tese (j. 23/10/2019):</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"É possível a reafirmação da DER (Data de Entrada do Requerimento) para o momento em que implementados os requisitos para a concessão do benefício, mesmo que isso se dê no interstício entre o ajuizamento da ação e a entrega da prestação jurisdicional nas instâncias ordinárias, nos termos dos arts. 493 e 933 do CPC/2015, observada a causa de pedir."</w:t>
            </w:r>
          </w:p>
          <w:p>
            <w:pPr>
              <w:spacing w:before="0" w:after="60" w:line="247" w:lineRule="auto"/>
              <w:jc w:val="both"/>
            </w:pPr>
            <w:r>
              <w:rPr>
                <w:rFonts w:ascii="EB Garamond" w:hAnsi="EB Garamond" w:cs="EB Garamond"/>
                <w:b/>
                <w:i w:val="0"/>
                <w:color w:val="201B16"/>
                <w:sz w:val="19"/>
                <w:lang w:val="pt-BR" w:bidi="ar-SA"/>
                <w:kern w:val="16"/>
                <w14:ligatures w14:val="standardContextual"/>
              </w:rPr>
              <w:t>Prazo de implantação:</w:t>
            </w:r>
            <w:r>
              <w:rPr>
                <w:rFonts w:ascii="EB Garamond" w:hAnsi="EB Garamond" w:cs="EB Garamond"/>
                <w:b w:val="0"/>
                <w:i w:val="0"/>
                <w:color w:val="201B16"/>
                <w:sz w:val="19"/>
                <w:lang w:val="pt-BR" w:bidi="ar-SA"/>
                <w:kern w:val="16"/>
                <w14:ligatures w14:val="standardContextual"/>
              </w:rPr>
              <w:t xml:space="preserve"> 45 dias a contar da intimação do trânsito em julgado.</w:t>
            </w:r>
          </w:p>
          <w:p>
            <w:pPr>
              <w:spacing w:before="0" w:after="60" w:line="247" w:lineRule="auto"/>
              <w:jc w:val="both"/>
            </w:pPr>
            <w:r>
              <w:rPr>
                <w:rFonts w:ascii="EB Garamond" w:hAnsi="EB Garamond" w:cs="EB Garamond"/>
                <w:b/>
                <w:i w:val="0"/>
                <w:color w:val="201B16"/>
                <w:sz w:val="19"/>
                <w:lang w:val="pt-BR" w:bidi="ar-SA"/>
                <w:kern w:val="16"/>
                <w14:ligatures w14:val="standardContextual"/>
              </w:rPr>
              <w:t>Efeitos financeiros:</w:t>
            </w:r>
            <w:r>
              <w:rPr>
                <w:rFonts w:ascii="EB Garamond" w:hAnsi="EB Garamond" w:cs="EB Garamond"/>
                <w:b w:val="0"/>
                <w:i w:val="0"/>
                <w:color w:val="201B16"/>
                <w:sz w:val="19"/>
                <w:lang w:val="pt-BR" w:bidi="ar-SA"/>
                <w:kern w:val="16"/>
                <w14:ligatures w14:val="standardContextual"/>
              </w:rPr>
              <w:t xml:space="preserve"> Os efeitos financeiros retroagem à data da reafirmação (momento em que os requisitos foram implementados), e não à data do requerimento administrativo original.</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aplicação prática da reafirmação da DER na aposentadoria por idade é especialmente relevante em duas situações recorrentes nos JEFs: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Primeira:</w:t>
      </w:r>
      <w:r>
        <w:rPr>
          <w:rFonts w:ascii="EB Garamond" w:hAnsi="EB Garamond" w:cs="EB Garamond"/>
          <w:b w:val="0"/>
          <w:i w:val="0"/>
          <w:color w:val="201B16"/>
          <w:sz w:val="21"/>
          <w:lang w:val="pt-BR" w:bidi="ar-SA"/>
          <w:kern w:val="16"/>
          <w14:ligatures w14:val="standardContextual"/>
        </w:rPr>
        <w:t xml:space="preserve"> O segurado ajuíza ação antes de completar a idade mínima, alegando outro fundamento (por exemplo, reconhecimento de tempo de contribuição). Durante o processo, completa a idade. O juiz pode reafirmar a DER para o momento da implementação da idade, concedendo a aposentadoria.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Segunda:</w:t>
      </w:r>
      <w:r>
        <w:rPr>
          <w:rFonts w:ascii="EB Garamond" w:hAnsi="EB Garamond" w:cs="EB Garamond"/>
          <w:b w:val="0"/>
          <w:i w:val="0"/>
          <w:color w:val="201B16"/>
          <w:sz w:val="21"/>
          <w:lang w:val="pt-BR" w:bidi="ar-SA"/>
          <w:kern w:val="16"/>
          <w14:ligatures w14:val="standardContextual"/>
        </w:rPr>
        <w:t xml:space="preserve"> O segurado ajuíza ação com a idade já implementada, mas sem carência suficiente. Durante o processo, completa as 180 contribuições. A DER é reafirmada para o momento em que o último requisito foi implementado.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Caso prático — Reafirmação da DER na aposentadoria por idade</w:t>
            </w:r>
          </w:p>
          <w:p>
            <w:pPr>
              <w:spacing w:before="0" w:after="60" w:line="247" w:lineRule="auto"/>
              <w:jc w:val="both"/>
            </w:pPr>
            <w:r>
              <w:rPr>
                <w:rFonts w:ascii="EB Garamond" w:hAnsi="EB Garamond" w:cs="EB Garamond"/>
                <w:b/>
                <w:i w:val="0"/>
                <w:color w:val="201B16"/>
                <w:sz w:val="19"/>
                <w:lang w:val="pt-BR" w:bidi="ar-SA"/>
                <w:kern w:val="16"/>
                <w14:ligatures w14:val="standardContextual"/>
              </w:rPr>
              <w:t>Dona Fátima</w:t>
            </w:r>
            <w:r>
              <w:rPr>
                <w:rFonts w:ascii="EB Garamond" w:hAnsi="EB Garamond" w:cs="EB Garamond"/>
                <w:b w:val="0"/>
                <w:i w:val="0"/>
                <w:color w:val="201B16"/>
                <w:sz w:val="19"/>
                <w:lang w:val="pt-BR" w:bidi="ar-SA"/>
                <w:kern w:val="16"/>
                <w14:ligatures w14:val="standardContextual"/>
              </w:rPr>
              <w:t>, 61 anos na data do requerimento administrativo (março de 2024). O INSS indeferiu por falta de idade mínima (62 anos para mulher). Ela ajuizou ação nos JEFs em julho de 2024. Em março de 2025, completou 62 anos. O advogado peticionou nos autos requerendo a reafirmação da DER para março de 2025.</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juiz, aplicando o Tema 995/STJ, reafirmou a DER para março de 2025 e concedeu a aposentadoria. A DIB foi fixada em março de 2025, e os efeitos financeiros retroagem a essa data (não a março de 2024, data do requerimento original).</w:t>
            </w:r>
          </w:p>
          <w:p>
            <w:pPr>
              <w:spacing w:before="0" w:after="60" w:line="247" w:lineRule="auto"/>
              <w:jc w:val="both"/>
            </w:pPr>
            <w:r>
              <w:rPr>
                <w:rFonts w:ascii="EB Garamond" w:hAnsi="EB Garamond" w:cs="EB Garamond"/>
                <w:b/>
                <w:i w:val="0"/>
                <w:color w:val="201B16"/>
                <w:sz w:val="19"/>
                <w:lang w:val="pt-BR" w:bidi="ar-SA"/>
                <w:kern w:val="16"/>
                <w14:ligatures w14:val="standardContextual"/>
              </w:rPr>
              <w:t>Atenção ao prazo de implantação:</w:t>
            </w:r>
            <w:r>
              <w:rPr>
                <w:rFonts w:ascii="EB Garamond" w:hAnsi="EB Garamond" w:cs="EB Garamond"/>
                <w:b w:val="0"/>
                <w:i w:val="0"/>
                <w:color w:val="201B16"/>
                <w:sz w:val="19"/>
                <w:lang w:val="pt-BR" w:bidi="ar-SA"/>
                <w:kern w:val="16"/>
                <w14:ligatures w14:val="standardContextual"/>
              </w:rPr>
              <w:t xml:space="preserve"> O INSS tem 45 dias para implantar o benefício após a intimação do trânsito em julgado. O descumprimento autoriza a fixação de multa diária (astreintes).</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10.8.3 Limites da reafirmação da DER</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reafirmação da DER não é ilimitada. O Tema 995/STJ estabelece que ela é possível "nas instâncias ordinárias," o que exclui a possibilidade de reafirmação perante o STJ ou o STF. Nos JEFs, a reafirmação pode ocorrer até o julgamento pela Turma Recursal.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Além disso, a reafirmação exige que os fatos supervenientes estejam dentro da "causa de pedir" da ação. Assim, se o segurado ajuizou ação pleiteando aposentadoria por incapacidade permanente e, durante o processo, implementou os requisitos da aposentadoria por idade, há controvérsia sobre a possibilidade de reafirmação, pois a causa de pedir originária não abrangia a aposentadoria por idade. A tendência jurisprudencial nos JEFs tem sido flexível, admitindo a reafirmação quando os requisitos são inequívocos e não há prejuízo ao INSS.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Outro limite relevante é a necessidade de prova dos requisitos na data da reafirmação. Não basta alegar que o requisito foi implementado; é necessário comprovar, geralmente mediante extrato do CNIS atualizado, que, na data pretendida para a reafirmação, o segurado efetivamente contava com a idade e a carência necessárias.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10.9 Atividades concomitantes e cômputo (Lei 13.846/2019)</w:t>
      </w:r>
    </w:p>
    <w:p>
      <w:pPr>
        <w:spacing w:before="260" w:after="80" w:line="240" w:lineRule="auto"/>
        <w:jc w:val="left"/>
      </w:pPr>
      <w:r>
        <w:rPr>
          <w:rFonts w:ascii="EB Garamond" w:hAnsi="EB Garamond" w:cs="EB Garamond"/>
          <w:b/>
          <w:i w:val="0"/>
          <w:color w:val="3A3128"/>
          <w:sz w:val="25"/>
          <w:lang w:val="pt-BR" w:bidi="ar-SA"/>
          <w:kern w:val="16"/>
          <w14:ligatures w14:val="standardContextual"/>
        </w:rPr>
        <w:t>10.9.1 A regra anterior</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ntes da Lei 13.846/2019, o cálculo do benefício para segurados que exerciam atividades concomitantes (dois ou mais vínculos simultâneos) era regulado pelo art. 32 da Lei 8.213/91, com redação que distinguia entre atividade principal e atividades secundárias. O salário de benefício da atividade principal era calculado normalmente, mas as atividades secundárias tinham participação proporcional ao tempo de contribuição em cada uma delas. Esse cálculo proporcional frequentemente resultava em benefícios inferiores ao que o segurado efetivamente merecia pela totalidade de suas contribuições.</w:t>
      </w:r>
    </w:p>
    <w:p>
      <w:pPr>
        <w:spacing w:before="260" w:after="80" w:line="240" w:lineRule="auto"/>
        <w:jc w:val="left"/>
      </w:pPr>
      <w:r>
        <w:rPr>
          <w:rFonts w:ascii="EB Garamond" w:hAnsi="EB Garamond" w:cs="EB Garamond"/>
          <w:b/>
          <w:i w:val="0"/>
          <w:color w:val="3A3128"/>
          <w:sz w:val="25"/>
          <w:lang w:val="pt-BR" w:bidi="ar-SA"/>
          <w:kern w:val="16"/>
          <w14:ligatures w14:val="standardContextual"/>
        </w:rPr>
        <w:t>10.9.2 A regra atual (soma dos salários de contribuição)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Lei 13.846/2019 alterou o art. 32 da Lei 8.213/91, estabelecendo que os salários de contribuição das atividades exercidas concomitantemente são somados para fins de cálculo do salário de benefício. A nova regra é mais simples e mais justa: todas as contribuições do segurado são somadas, independentemente de serem provenientes de uma ou mais atividades simultâneas, respeitado o teto do salário de contribuição vigente em cada competência.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Exemplo — Atividades concomitantes (regra atual)</w:t>
            </w:r>
          </w:p>
          <w:p>
            <w:pPr>
              <w:spacing w:before="0" w:after="60" w:line="247" w:lineRule="auto"/>
              <w:jc w:val="both"/>
            </w:pPr>
            <w:r>
              <w:rPr>
                <w:rFonts w:ascii="EB Garamond" w:hAnsi="EB Garamond" w:cs="EB Garamond"/>
                <w:b/>
                <w:i w:val="0"/>
                <w:color w:val="201B16"/>
                <w:sz w:val="19"/>
                <w:lang w:val="pt-BR" w:bidi="ar-SA"/>
                <w:kern w:val="16"/>
                <w14:ligatures w14:val="standardContextual"/>
              </w:rPr>
              <w:t>Carlos</w:t>
            </w:r>
            <w:r>
              <w:rPr>
                <w:rFonts w:ascii="EB Garamond" w:hAnsi="EB Garamond" w:cs="EB Garamond"/>
                <w:b w:val="0"/>
                <w:i w:val="0"/>
                <w:color w:val="201B16"/>
                <w:sz w:val="19"/>
                <w:lang w:val="pt-BR" w:bidi="ar-SA"/>
                <w:kern w:val="16"/>
                <w14:ligatures w14:val="standardContextual"/>
              </w:rPr>
              <w:t>, professor municipal e contribuinte individual (consultoria), exercendo as duas atividades simultaneamente desde 2015. Remunerações em 2026: - Emprego público: R$ 4.500,00/mês - Consultoria (CI): R$ 2.000,00/mês - Total: R$ 6.500,00/mês (inferior ao teto de R$ 8.475,55)</w:t>
            </w:r>
          </w:p>
          <w:p>
            <w:pPr>
              <w:spacing w:before="0" w:after="60" w:line="247" w:lineRule="auto"/>
              <w:jc w:val="both"/>
            </w:pPr>
            <w:r>
              <w:rPr>
                <w:rFonts w:ascii="EB Garamond" w:hAnsi="EB Garamond" w:cs="EB Garamond"/>
                <w:b/>
                <w:i w:val="0"/>
                <w:color w:val="201B16"/>
                <w:sz w:val="19"/>
                <w:lang w:val="pt-BR" w:bidi="ar-SA"/>
                <w:kern w:val="16"/>
                <w14:ligatures w14:val="standardContextual"/>
              </w:rPr>
              <w:t>Pela regra atual (Lei 13.846/2019):</w:t>
            </w:r>
            <w:r>
              <w:rPr>
                <w:rFonts w:ascii="EB Garamond" w:hAnsi="EB Garamond" w:cs="EB Garamond"/>
                <w:b w:val="0"/>
                <w:i w:val="0"/>
                <w:color w:val="201B16"/>
                <w:sz w:val="19"/>
                <w:lang w:val="pt-BR" w:bidi="ar-SA"/>
                <w:kern w:val="16"/>
                <w14:ligatures w14:val="standardContextual"/>
              </w:rPr>
              <w:t xml:space="preserve"> Os dois salários de contribuição são somados → R$ 6.500,00 é utilizado no cálculo da média.</w:t>
            </w:r>
          </w:p>
          <w:p>
            <w:pPr>
              <w:spacing w:before="0" w:after="60" w:line="247" w:lineRule="auto"/>
              <w:jc w:val="both"/>
            </w:pPr>
            <w:r>
              <w:rPr>
                <w:rFonts w:ascii="EB Garamond" w:hAnsi="EB Garamond" w:cs="EB Garamond"/>
                <w:b/>
                <w:i w:val="0"/>
                <w:color w:val="201B16"/>
                <w:sz w:val="19"/>
                <w:lang w:val="pt-BR" w:bidi="ar-SA"/>
                <w:kern w:val="16"/>
                <w14:ligatures w14:val="standardContextual"/>
              </w:rPr>
              <w:t>Pela regra antiga (antes da Lei 13.846/2019):</w:t>
            </w:r>
            <w:r>
              <w:rPr>
                <w:rFonts w:ascii="EB Garamond" w:hAnsi="EB Garamond" w:cs="EB Garamond"/>
                <w:b w:val="0"/>
                <w:i w:val="0"/>
                <w:color w:val="201B16"/>
                <w:sz w:val="19"/>
                <w:lang w:val="pt-BR" w:bidi="ar-SA"/>
                <w:kern w:val="16"/>
                <w14:ligatures w14:val="standardContextual"/>
              </w:rPr>
              <w:t xml:space="preserve"> O emprego seria a atividade principal; a consultoria, atividade secundária com participação proporcional. O resultado seria inferior a R$ 6.500,00.</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revisão de benefícios apurados pelo cálculo proporcional — admitida amplamente, e não apenas após a Lei 13.846/2019 — é objeto do Tema 1.070/STJ (Capítulo 5).</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10.9.3 O Tema 1.070/STJ e o marco temporal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STJ, no julgamento do Tema 1.070 (REsp 1.870.793/RS, Rel. Min. Sérgio Kukina, 1ª Seção, j. 11/05/2022), fixou a tese de que, "após o advento da Lei 9.876/99, e para fins de cálculo do benefício de aposentadoria, no caso do exercício de atividades concomitantes pelo segurado, o salário-de-contribuição deverá ser composto da soma de todas as contribuições previdenciárias por ele vertidas ao sistema, respeitado o teto previdenciário". O marco temporal da tese, convém sublinhar, </w:t>
      </w:r>
      <w:r>
        <w:rPr>
          <w:rFonts w:ascii="EB Garamond" w:hAnsi="EB Garamond" w:cs="EB Garamond"/>
          <w:b/>
          <w:i w:val="0"/>
          <w:color w:val="201B16"/>
          <w:sz w:val="21"/>
          <w:lang w:val="pt-BR" w:bidi="ar-SA"/>
          <w:kern w:val="16"/>
          <w14:ligatures w14:val="standardContextual"/>
        </w:rPr>
        <w:t>não é a Lei 13.846/2019, mas o advento da Lei 9.876/99</w:t>
      </w:r>
      <w:r>
        <w:rPr>
          <w:rFonts w:ascii="EB Garamond" w:hAnsi="EB Garamond" w:cs="EB Garamond"/>
          <w:b w:val="0"/>
          <w:i w:val="0"/>
          <w:color w:val="201B16"/>
          <w:sz w:val="21"/>
          <w:lang w:val="pt-BR" w:bidi="ar-SA"/>
          <w:kern w:val="16"/>
          <w14:ligatures w14:val="standardContextual"/>
        </w:rPr>
        <w:t>, que ampliou o período básico de cálculo. Por essa razão, a integralidade da soma alcança também benefícios anteriores a 2019: o STJ entendeu que o cálculo proporcional dos incisos do art. 32 (redação original) tornou-se incompatível com a sistemática inaugurada em 1999, afastando-o de forma ampla, e não apenas para benefícios com DER posterior à Lei 13.846/2019. A Lei 13.846/2019 apenas adequou a redação legal a esse entendimento. Sustentamos, em consequência, que o segurado com benefício concedido pela regra proporcional — ainda que anterior a 2019 — tem direito à revisão pela soma integral, observada a prescrição quinquenal. A matéria é objeto de análise detalhada no Capítulo 5 (Reconhecimento, Cômputo e Averbação de Tempo de Contribuição).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Atividades concomitantes — cuidados práticos nos JEFs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1. </w:t>
            </w:r>
            <w:r>
              <w:rPr>
                <w:rFonts w:ascii="EB Garamond" w:hAnsi="EB Garamond" w:cs="EB Garamond"/>
                <w:b/>
                <w:i w:val="0"/>
                <w:color w:val="201B16"/>
                <w:sz w:val="19"/>
                <w:lang w:val="pt-BR" w:bidi="ar-SA"/>
                <w:kern w:val="16"/>
                <w14:ligatures w14:val="standardContextual"/>
              </w:rPr>
              <w:t>Verificar se o benefício foi calculado pela regra proporcional:</w:t>
            </w:r>
            <w:r>
              <w:rPr>
                <w:rFonts w:ascii="EB Garamond" w:hAnsi="EB Garamond" w:cs="EB Garamond"/>
                <w:b w:val="0"/>
                <w:i w:val="0"/>
                <w:color w:val="201B16"/>
                <w:sz w:val="19"/>
                <w:lang w:val="pt-BR" w:bidi="ar-SA"/>
                <w:kern w:val="16"/>
                <w14:ligatures w14:val="standardContextual"/>
              </w:rPr>
              <w:t xml:space="preserve"> Benefícios apurados pelo cálculo proporcional do art. 32 (redação original) — inclusive os concedidos antes da Lei 13.846/2019 — comportam revisão pela soma integral dos salários de contribuição (Tema 1.070/STJ), observada a prescrição quinquenal das parcelas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2. </w:t>
            </w:r>
            <w:r>
              <w:rPr>
                <w:rFonts w:ascii="EB Garamond" w:hAnsi="EB Garamond" w:cs="EB Garamond"/>
                <w:b/>
                <w:i w:val="0"/>
                <w:color w:val="201B16"/>
                <w:sz w:val="19"/>
                <w:lang w:val="pt-BR" w:bidi="ar-SA"/>
                <w:kern w:val="16"/>
                <w14:ligatures w14:val="standardContextual"/>
              </w:rPr>
              <w:t>Verificar o teto:</w:t>
            </w:r>
            <w:r>
              <w:rPr>
                <w:rFonts w:ascii="EB Garamond" w:hAnsi="EB Garamond" w:cs="EB Garamond"/>
                <w:b w:val="0"/>
                <w:i w:val="0"/>
                <w:color w:val="201B16"/>
                <w:sz w:val="19"/>
                <w:lang w:val="pt-BR" w:bidi="ar-SA"/>
                <w:kern w:val="16"/>
                <w14:ligatures w14:val="standardContextual"/>
              </w:rPr>
              <w:t xml:space="preserve"> A soma dos salários de contribuição concomitantes está limitada ao teto do RGPS em cada competência. Se a soma excede o teto, o valor excedente é desconsiderado.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3. </w:t>
            </w:r>
            <w:r>
              <w:rPr>
                <w:rFonts w:ascii="EB Garamond" w:hAnsi="EB Garamond" w:cs="EB Garamond"/>
                <w:b/>
                <w:i w:val="0"/>
                <w:color w:val="201B16"/>
                <w:sz w:val="19"/>
                <w:lang w:val="pt-BR" w:bidi="ar-SA"/>
                <w:kern w:val="16"/>
                <w14:ligatures w14:val="standardContextual"/>
              </w:rPr>
              <w:t>RPPS × RGPS:</w:t>
            </w:r>
            <w:r>
              <w:rPr>
                <w:rFonts w:ascii="EB Garamond" w:hAnsi="EB Garamond" w:cs="EB Garamond"/>
                <w:b w:val="0"/>
                <w:i w:val="0"/>
                <w:color w:val="201B16"/>
                <w:sz w:val="19"/>
                <w:lang w:val="pt-BR" w:bidi="ar-SA"/>
                <w:kern w:val="16"/>
                <w14:ligatures w14:val="standardContextual"/>
              </w:rPr>
              <w:t xml:space="preserve"> Se uma das atividades é vinculada a regime próprio (servidor público), o tempo concomitante no RGPS não gera contribuições duplicadas — cada regime computa apenas a contribuição vertida para si. A compensação entre regimes é regida pelo art. 201, § 9º-A, CF/88 (Capítulo 5, seção 5.7.5).</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4. </w:t>
            </w:r>
            <w:r>
              <w:rPr>
                <w:rFonts w:ascii="EB Garamond" w:hAnsi="EB Garamond" w:cs="EB Garamond"/>
                <w:b/>
                <w:i w:val="0"/>
                <w:color w:val="201B16"/>
                <w:sz w:val="19"/>
                <w:lang w:val="pt-BR" w:bidi="ar-SA"/>
                <w:kern w:val="16"/>
                <w14:ligatures w14:val="standardContextual"/>
              </w:rPr>
              <w:t>MEI com atividade simultânea:</w:t>
            </w:r>
            <w:r>
              <w:rPr>
                <w:rFonts w:ascii="EB Garamond" w:hAnsi="EB Garamond" w:cs="EB Garamond"/>
                <w:b w:val="0"/>
                <w:i w:val="0"/>
                <w:color w:val="201B16"/>
                <w:sz w:val="19"/>
                <w:lang w:val="pt-BR" w:bidi="ar-SA"/>
                <w:kern w:val="16"/>
                <w14:ligatures w14:val="standardContextual"/>
              </w:rPr>
              <w:t xml:space="preserve"> O MEI que exerce outra atividade como empregado ou CI tem as contribuições somadas normalmente. A contribuição do MEI (5% sobre o SM) soma-se à contribuição da outra atividade.</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10.10 Aposentadoria compulsória (art. 51, Lei 8.213/91)</w:t>
      </w:r>
    </w:p>
    <w:p>
      <w:pPr>
        <w:spacing w:before="260" w:after="80" w:line="240" w:lineRule="auto"/>
        <w:jc w:val="left"/>
      </w:pPr>
      <w:r>
        <w:rPr>
          <w:rFonts w:ascii="EB Garamond" w:hAnsi="EB Garamond" w:cs="EB Garamond"/>
          <w:b/>
          <w:i w:val="0"/>
          <w:color w:val="3A3128"/>
          <w:sz w:val="25"/>
          <w:lang w:val="pt-BR" w:bidi="ar-SA"/>
          <w:kern w:val="16"/>
          <w14:ligatures w14:val="standardContextual"/>
        </w:rPr>
        <w:t>10.10.1 Conceito e fundamento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aposentadoria compulsória, prevista no art. 51 da Lei 8.213/91 é a modalidade em que o empregador pode requerer a aposentadoria do empregado que tenha atingido a idade de 70 anos (homem) ou 65 anos (mulher), desde que cumprida a carência exigida. Trata-se de exceção ao princípio geral de que a aposentadoria é ato voluntário do segurado.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natureza jurídica da aposentadoria compulsória é controvertida. Para uma corrente, trata-se de faculdade exclusiva do empregador, que pode ou não exercê-la. Para outra, o instituto encontra-se em desuso prático após a promulgação da Lei 8.213/91, especialmente diante da jurisprudência consolidada do TST no sentido de que a aposentadoria não extingue automaticamente o contrato de trabalho (OJ 177/SDI-I/TST, cancelada, e OJ 361/SDI-I/TST).</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EC 103/2019 não alterou expressamente os requisitos da aposentadoria compulsória do RGPS, mantendo as idades de 70/65 anos previstas no art. 51. Entretanto, a questão da constitucionalidade dessas idades e de seu alinhamento com as novas regras da aposentadoria programada é objeto de discussão doutrinária.</w:t>
      </w:r>
    </w:p>
    <w:p>
      <w:pPr>
        <w:spacing w:before="260" w:after="80" w:line="240" w:lineRule="auto"/>
        <w:jc w:val="left"/>
      </w:pPr>
      <w:r>
        <w:rPr>
          <w:rFonts w:ascii="EB Garamond" w:hAnsi="EB Garamond" w:cs="EB Garamond"/>
          <w:b/>
          <w:i w:val="0"/>
          <w:color w:val="3A3128"/>
          <w:sz w:val="25"/>
          <w:lang w:val="pt-BR" w:bidi="ar-SA"/>
          <w:kern w:val="16"/>
          <w14:ligatures w14:val="standardContextual"/>
        </w:rPr>
        <w:t>10.10.2 Requisitos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P</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ara a aposentadoria compulsória, exige-se cumulativamente:</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 Idade:</w:t>
      </w:r>
      <w:r>
        <w:rPr>
          <w:rFonts w:ascii="EB Garamond" w:hAnsi="EB Garamond" w:cs="EB Garamond"/>
          <w:b w:val="0"/>
          <w:i w:val="0"/>
          <w:color w:val="201B16"/>
          <w:sz w:val="21"/>
          <w:lang w:val="pt-BR" w:bidi="ar-SA"/>
          <w:kern w:val="16"/>
          <w14:ligatures w14:val="standardContextual"/>
        </w:rPr>
        <w:t xml:space="preserve"> 70 anos (homem) ou 65 anos (mulher). Essas idades foram fixadas pela redação original do art. 51 da Lei 8.213/91 e não foram alteradas pela EC 103/2019. Observe-se que a idade da aposentadoria compulsória feminina (65 anos) coincide com a idade da aposentadoria voluntária masculina (65 anos) — assimetria que suscita questionamentos de constitucionalidade, especialmente após a reforma que elevou a idade feminina para 62 anos na aposentadoria voluntária.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b) Carência:</w:t>
      </w:r>
      <w:r>
        <w:rPr>
          <w:rFonts w:ascii="EB Garamond" w:hAnsi="EB Garamond" w:cs="EB Garamond"/>
          <w:b w:val="0"/>
          <w:i w:val="0"/>
          <w:color w:val="201B16"/>
          <w:sz w:val="21"/>
          <w:lang w:val="pt-BR" w:bidi="ar-SA"/>
          <w:kern w:val="16"/>
          <w14:ligatures w14:val="standardContextual"/>
        </w:rPr>
        <w:t xml:space="preserve"> A mesma exigida para a aposentadoria voluntária — 180 contribuições mensais (art. 25, II, Lei 8.213/91) ou conforme a tabela progressiva do art. 142 para filiados antes de 24/07/1991. A exigência de carência na aposentadoria compulsória é objeto de controvérsia doutrinária: há quem sustente que, tratando-se de faculdade do empregador, a carência não deveria ser obstáculo, sob pena de o empregado ficar em situação pior do que a desejada por seu empregador. A posição prevalecente, contudo, é de que a carência é requisito inafastável, pois se trata de benefício previdenciário, não de verba trabalhista.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 Iniciativa do empregador:</w:t>
      </w:r>
      <w:r>
        <w:rPr>
          <w:rFonts w:ascii="EB Garamond" w:hAnsi="EB Garamond" w:cs="EB Garamond"/>
          <w:b w:val="0"/>
          <w:i w:val="0"/>
          <w:color w:val="201B16"/>
          <w:sz w:val="21"/>
          <w:lang w:val="pt-BR" w:bidi="ar-SA"/>
          <w:kern w:val="16"/>
          <w14:ligatures w14:val="standardContextual"/>
        </w:rPr>
        <w:t xml:space="preserve"> O requerimento é feito pelo empregador, não pelo segurado. Nos termos do art. 51, </w:t>
      </w:r>
      <w:r>
        <w:rPr>
          <w:rFonts w:ascii="EB Garamond" w:hAnsi="EB Garamond" w:cs="EB Garamond"/>
          <w:b w:val="0"/>
          <w:i/>
          <w:color w:val="201B16"/>
          <w:sz w:val="21"/>
          <w:lang w:val="pt-BR" w:bidi="ar-SA"/>
          <w:kern w:val="16"/>
          <w14:ligatures w14:val="standardContextual"/>
        </w:rPr>
        <w:t>caput</w:t>
      </w:r>
      <w:r>
        <w:rPr>
          <w:rFonts w:ascii="EB Garamond" w:hAnsi="EB Garamond" w:cs="EB Garamond"/>
          <w:b w:val="0"/>
          <w:i w:val="0"/>
          <w:color w:val="201B16"/>
          <w:sz w:val="21"/>
          <w:lang w:val="pt-BR" w:bidi="ar-SA"/>
          <w:kern w:val="16"/>
          <w14:ligatures w14:val="standardContextual"/>
        </w:rPr>
        <w:t>, da Lei 8.213/91, a aposentadoria por idade "poderá ser requerida pela empresa, desde que o segurado empregado tenha cumprido o período de carência e completado 70 (setenta) anos de idade, se do sexo masculino, ou 65 (sessenta e cinco) anos, se do feminino, sendo compulsória, caso em que será garantida ao empregado a indenização prevista na legislação trabalhista, considerada como data da rescisão do contrato de trabalho a imediatamente anterior à do início da aposentadoria." O dispositivo confere ao empregador a faculdade de requerer o benefício a partir do momento em que o empregado atinge a idade e a carência exigidas.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d) Garantia de valor mínimo:</w:t>
      </w:r>
      <w:r>
        <w:rPr>
          <w:rFonts w:ascii="EB Garamond" w:hAnsi="EB Garamond" w:cs="EB Garamond"/>
          <w:b w:val="0"/>
          <w:i w:val="0"/>
          <w:color w:val="201B16"/>
          <w:sz w:val="21"/>
          <w:lang w:val="pt-BR" w:bidi="ar-SA"/>
          <w:kern w:val="16"/>
          <w14:ligatures w14:val="standardContextual"/>
        </w:rPr>
        <w:t xml:space="preserve"> A renda mensal da aposentadoria compulsória não pode ser inferior a um salário-mínimo, nos termos do art. 201, § 2º, da CF/88.</w:t>
      </w:r>
    </w:p>
    <w:p>
      <w:pPr>
        <w:spacing w:before="260" w:after="80" w:line="240" w:lineRule="auto"/>
        <w:jc w:val="left"/>
      </w:pPr>
      <w:r>
        <w:rPr>
          <w:rFonts w:ascii="EB Garamond" w:hAnsi="EB Garamond" w:cs="EB Garamond"/>
          <w:b/>
          <w:i w:val="0"/>
          <w:color w:val="3A3128"/>
          <w:sz w:val="25"/>
          <w:lang w:val="pt-BR" w:bidi="ar-SA"/>
          <w:kern w:val="16"/>
          <w14:ligatures w14:val="standardContextual"/>
        </w:rPr>
        <w:t>10.10.3 Efeitos trabalhistas e previdenciários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concessão da aposentadoria compulsória suscita questões relevantes na interface entre o Direito do Trabalho e o Direito Previdenciário: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Extinção do contrato de trabalho:</w:t>
      </w:r>
      <w:r>
        <w:rPr>
          <w:rFonts w:ascii="EB Garamond" w:hAnsi="EB Garamond" w:cs="EB Garamond"/>
          <w:b w:val="0"/>
          <w:i w:val="0"/>
          <w:color w:val="201B16"/>
          <w:sz w:val="21"/>
          <w:lang w:val="pt-BR" w:bidi="ar-SA"/>
          <w:kern w:val="16"/>
          <w14:ligatures w14:val="standardContextual"/>
        </w:rPr>
        <w:t xml:space="preserve"> A jurisprudência do TST consolidou o entendimento de que a aposentadoria espontânea do segurado não extingue o contrato de trabalho (art. 453, § 2º, CLT, declarado inconstitucional pelo STF nas ADIs 1.721 e 1.770). A questão é se esse entendimento se aplica também à aposentadoria compulsória. A doutrina majoritária entende que a aposentadoria compulsória, por ser iniciativa do empregador, acarreta a extinção do contrato de trabalho, cabendo ao empregador o pagamento das verbas rescisórias correspondentes à rescisão sem justa causa, inclusive multa de 40% sobre o FGTS.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Cumulação com salário:</w:t>
      </w:r>
      <w:r>
        <w:rPr>
          <w:rFonts w:ascii="EB Garamond" w:hAnsi="EB Garamond" w:cs="EB Garamond"/>
          <w:b w:val="0"/>
          <w:i w:val="0"/>
          <w:color w:val="201B16"/>
          <w:sz w:val="21"/>
          <w:lang w:val="pt-BR" w:bidi="ar-SA"/>
          <w:kern w:val="16"/>
          <w14:ligatures w14:val="standardContextual"/>
        </w:rPr>
        <w:t xml:space="preserve"> Se a aposentadoria compulsória não extinguir o contrato (na hipótese de o empregador optar por manter o empregado), o segurado pode cumular proventos de aposentadoria e salário, pois não há vedação legal à continuidade do trabalho pelo aposentado por idade.</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Indenização compensatória:</w:t>
      </w:r>
      <w:r>
        <w:rPr>
          <w:rFonts w:ascii="EB Garamond" w:hAnsi="EB Garamond" w:cs="EB Garamond"/>
          <w:b w:val="0"/>
          <w:i w:val="0"/>
          <w:color w:val="201B16"/>
          <w:sz w:val="21"/>
          <w:lang w:val="pt-BR" w:bidi="ar-SA"/>
          <w:kern w:val="16"/>
          <w14:ligatures w14:val="standardContextual"/>
        </w:rPr>
        <w:t xml:space="preserve"> O art. 51, </w:t>
      </w:r>
      <w:r>
        <w:rPr>
          <w:rFonts w:ascii="EB Garamond" w:hAnsi="EB Garamond" w:cs="EB Garamond"/>
          <w:b w:val="0"/>
          <w:i/>
          <w:color w:val="201B16"/>
          <w:sz w:val="21"/>
          <w:lang w:val="pt-BR" w:bidi="ar-SA"/>
          <w:kern w:val="16"/>
          <w14:ligatures w14:val="standardContextual"/>
        </w:rPr>
        <w:t>caput</w:t>
      </w:r>
      <w:r>
        <w:rPr>
          <w:rFonts w:ascii="EB Garamond" w:hAnsi="EB Garamond" w:cs="EB Garamond"/>
          <w:b w:val="0"/>
          <w:i w:val="0"/>
          <w:color w:val="201B16"/>
          <w:sz w:val="21"/>
          <w:lang w:val="pt-BR" w:bidi="ar-SA"/>
          <w:kern w:val="16"/>
          <w14:ligatures w14:val="standardContextual"/>
        </w:rPr>
        <w:t>, da Lei 8.213/91 prevê que, na aposentadoria compulsória, o empregado tem direito à indenização prevista na legislação trabalhista, "considerada como data da rescisão do contrato de trabalho a imediatamente anterior à do início da aposentadoria." Essa previsão reforça a interpretação de que a aposentadoria compulsória implica rescisão contratual.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Aposentadoria compulsória — pontos de atenção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1. </w:t>
            </w:r>
            <w:r>
              <w:rPr>
                <w:rFonts w:ascii="EB Garamond" w:hAnsi="EB Garamond" w:cs="EB Garamond"/>
                <w:b/>
                <w:i w:val="0"/>
                <w:color w:val="201B16"/>
                <w:sz w:val="19"/>
                <w:lang w:val="pt-BR" w:bidi="ar-SA"/>
                <w:kern w:val="16"/>
                <w14:ligatures w14:val="standardContextual"/>
              </w:rPr>
              <w:t>Não confundir com a aposentadoria compulsória do servidor público</w:t>
            </w:r>
            <w:r>
              <w:rPr>
                <w:rFonts w:ascii="EB Garamond" w:hAnsi="EB Garamond" w:cs="EB Garamond"/>
                <w:b w:val="0"/>
                <w:i w:val="0"/>
                <w:color w:val="201B16"/>
                <w:sz w:val="19"/>
                <w:lang w:val="pt-BR" w:bidi="ar-SA"/>
                <w:kern w:val="16"/>
                <w14:ligatures w14:val="standardContextual"/>
              </w:rPr>
              <w:t xml:space="preserve"> (art. 40, para. 1o, II, CF), que obedece a regras distintas — 75 anos (LC 152/2015, que elevou a idade anteriormente fixada em 70 anos) — e e de competência da Justiça comum ou Federal conforme o regime. A aposentadoria compulsória do RGPS e exclusiva do vínculo celetista.</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2. </w:t>
            </w:r>
            <w:r>
              <w:rPr>
                <w:rFonts w:ascii="EB Garamond" w:hAnsi="EB Garamond" w:cs="EB Garamond"/>
                <w:b/>
                <w:i w:val="0"/>
                <w:color w:val="201B16"/>
                <w:sz w:val="19"/>
                <w:lang w:val="pt-BR" w:bidi="ar-SA"/>
                <w:kern w:val="16"/>
                <w14:ligatures w14:val="standardContextual"/>
              </w:rPr>
              <w:t>O segurado pode se recusar?</w:t>
            </w:r>
            <w:r>
              <w:rPr>
                <w:rFonts w:ascii="EB Garamond" w:hAnsi="EB Garamond" w:cs="EB Garamond"/>
                <w:b w:val="0"/>
                <w:i w:val="0"/>
                <w:color w:val="201B16"/>
                <w:sz w:val="19"/>
                <w:lang w:val="pt-BR" w:bidi="ar-SA"/>
                <w:kern w:val="16"/>
                <w14:ligatures w14:val="standardContextual"/>
              </w:rPr>
              <w:t xml:space="preserve"> A jurisprudência é escassa, mas a interpretação predominante é de que, se o empregador requerer e o INSS conceder, o segurado não pode se opor à concessão do benefício, embora possa continuar trabalhando em outro emprego ou como contribuinte individual. O que se discute é se o empregador pode rescindir o contrato com base exclusivamente na concessão da aposentadoria compulsória.</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3. </w:t>
            </w:r>
            <w:r>
              <w:rPr>
                <w:rFonts w:ascii="EB Garamond" w:hAnsi="EB Garamond" w:cs="EB Garamond"/>
                <w:b/>
                <w:i w:val="0"/>
                <w:color w:val="201B16"/>
                <w:sz w:val="19"/>
                <w:lang w:val="pt-BR" w:bidi="ar-SA"/>
                <w:kern w:val="16"/>
                <w14:ligatures w14:val="standardContextual"/>
              </w:rPr>
              <w:t>Valor do benefício:</w:t>
            </w:r>
            <w:r>
              <w:rPr>
                <w:rFonts w:ascii="EB Garamond" w:hAnsi="EB Garamond" w:cs="EB Garamond"/>
                <w:b w:val="0"/>
                <w:i w:val="0"/>
                <w:color w:val="201B16"/>
                <w:sz w:val="19"/>
                <w:lang w:val="pt-BR" w:bidi="ar-SA"/>
                <w:kern w:val="16"/>
                <w14:ligatures w14:val="standardContextual"/>
              </w:rPr>
              <w:t xml:space="preserve"> Calculado pelas regras aplicáveis ao segurado (regra antiga com direito adquirido, regra de transição ou regra permanente, conforme o caso). Se o resultado for inferior ao salário-mínimo, é elevado ao mínimo. O fato de a aposentadoria ser compulsória não altera a forma de cálculo — a distinção é apenas quanto à iniciativa, não quanto ao valor.</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4. </w:t>
            </w:r>
            <w:r>
              <w:rPr>
                <w:rFonts w:ascii="EB Garamond" w:hAnsi="EB Garamond" w:cs="EB Garamond"/>
                <w:b/>
                <w:i w:val="0"/>
                <w:color w:val="201B16"/>
                <w:sz w:val="19"/>
                <w:lang w:val="pt-BR" w:bidi="ar-SA"/>
                <w:kern w:val="16"/>
                <w14:ligatures w14:val="standardContextual"/>
              </w:rPr>
              <w:t>Rara nos JEFs:</w:t>
            </w:r>
            <w:r>
              <w:rPr>
                <w:rFonts w:ascii="EB Garamond" w:hAnsi="EB Garamond" w:cs="EB Garamond"/>
                <w:b w:val="0"/>
                <w:i w:val="0"/>
                <w:color w:val="201B16"/>
                <w:sz w:val="19"/>
                <w:lang w:val="pt-BR" w:bidi="ar-SA"/>
                <w:kern w:val="16"/>
                <w14:ligatures w14:val="standardContextual"/>
              </w:rPr>
              <w:t xml:space="preserve"> Ações envolvendo aposentadoria compulsória são incomuns nos Juizados Especiais Federais, mas podem surgir em demandas de reconhecimento de tempo de contribuição ou de revisão do valor do benefício concedido compulsoriamente. A situação mais frequente nos JEFs é aquela em que o segurado alega que foi compelido a aceitar uma aposentadoria de valor inferior ao devido, pretendendo a revisão do cálculo ou a concessão por regra mais vantajosa.</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5. </w:t>
            </w:r>
            <w:r>
              <w:rPr>
                <w:rFonts w:ascii="EB Garamond" w:hAnsi="EB Garamond" w:cs="EB Garamond"/>
                <w:b/>
                <w:i w:val="0"/>
                <w:color w:val="201B16"/>
                <w:sz w:val="19"/>
                <w:lang w:val="pt-BR" w:bidi="ar-SA"/>
                <w:kern w:val="16"/>
                <w14:ligatures w14:val="standardContextual"/>
              </w:rPr>
              <w:t>Constitucionalidade das idades:</w:t>
            </w:r>
            <w:r>
              <w:rPr>
                <w:rFonts w:ascii="EB Garamond" w:hAnsi="EB Garamond" w:cs="EB Garamond"/>
                <w:b w:val="0"/>
                <w:i w:val="0"/>
                <w:color w:val="201B16"/>
                <w:sz w:val="19"/>
                <w:lang w:val="pt-BR" w:bidi="ar-SA"/>
                <w:kern w:val="16"/>
                <w14:ligatures w14:val="standardContextual"/>
              </w:rPr>
              <w:t xml:space="preserve"> A manutenção das idades de 70/65 anos para a aposentadoria compulsória no RGPS, em contraste com a elevação da idade feminina para 62 anos na aposentadoria voluntária pela EC 103/2019, suscita questionamento doutrinário. A nosso ver, contudo, a assimetria não é por si inconstitucional: a aposentadoria compulsória do art. 51 não reproduz a lógica da aposentadoria voluntária — ela funciona como faculdade do empregador e como instrumento de renovação do quadro funcional, de modo que a fixação de idades mais elevadas, longe de prejudicar o segurado, restringe a hipótese em que pode ser compelido a se aposentar. O que entendemos efetivamente problemático não é o patamar etário, mas a própria persistência do instituto diante da jurisprudência trabalhista que afastou a extinção automática do contrato. Eventual revisão legislativa ou judicial dessas idades poderá impactar significativamente o instituto.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10.11 Cálculo do benefício: aspectos específicos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 regras gerais de cálculo do salário de benefício e da renda mensal inicial — média dos 80% maiores (pré-EC 103/2019) versus média de 100% (pós-EC 103/2019), coeficiente de 60% + 2%/ano, tabelas de coeficientes e comparativos entre regimes — são examinadas no Capitulo 16 (seções 16.3 a 16.8). Nesta seção, sintetizam-se apenas os aspectos peculiares a aposentadoria por idade.</w:t>
      </w:r>
    </w:p>
    <w:p>
      <w:pPr>
        <w:spacing w:before="260" w:after="80" w:line="240" w:lineRule="auto"/>
        <w:jc w:val="left"/>
      </w:pPr>
      <w:r>
        <w:rPr>
          <w:rFonts w:ascii="EB Garamond" w:hAnsi="EB Garamond" w:cs="EB Garamond"/>
          <w:b/>
          <w:i w:val="0"/>
          <w:color w:val="3A3128"/>
          <w:sz w:val="25"/>
          <w:lang w:val="pt-BR" w:bidi="ar-SA"/>
          <w:kern w:val="16"/>
          <w14:ligatures w14:val="standardContextual"/>
        </w:rPr>
        <w:t>10.11.1 Regime anterior</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N</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 aposentadoria por idade pré-EC 103/2019: RMI = 70% do salário de benefício + 1% por grupo de 12 contribuições, até 100% (art. 50, Lei 8.213/91). O fator previdenciário só se aplicava quando favorável ao segurado — o que raramente ocorria nessa modalidade. A fórmula e os exemplos numéricos constam do Capítulo 16, seção 16.4.</w:t>
      </w:r>
    </w:p>
    <w:p>
      <w:pPr>
        <w:spacing w:before="260" w:after="80" w:line="240" w:lineRule="auto"/>
        <w:jc w:val="left"/>
      </w:pPr>
      <w:r>
        <w:rPr>
          <w:rFonts w:ascii="EB Garamond" w:hAnsi="EB Garamond" w:cs="EB Garamond"/>
          <w:b/>
          <w:i w:val="0"/>
          <w:color w:val="3A3128"/>
          <w:sz w:val="25"/>
          <w:lang w:val="pt-BR" w:bidi="ar-SA"/>
          <w:kern w:val="16"/>
          <w14:ligatures w14:val="standardContextual"/>
        </w:rPr>
        <w:t>10.11.2 Regime posterior (EC 103/2019)</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coeficiente passou a ser de 60% + 2%/ano excedente a 20 (homem) ou 15 (mulher), sobre a média de 100% dos salários de contribuição (v. Cap. 16, seção 16.5, para tabela completa de coeficientes). A combinação de média integral e coeficiente a partir de 60% resulta, para o perfil típico da aposentadoria por idade (15 a 25 anos de TC), em benefícios significativamente inferiores ao regime anterior. A possibilidade de exclusão de salários de contribuição que resultem em redução do valor do benefício, desde que mantido o tempo mínimo de contribuição exigido (art. 26, § 6º, da EC 103/2019), pode atenuar o impacto, mas exige análise caso a caso, pois a exclusão reduz simultaneamente o tempo de contribuição e, consequentemente, o coeficiente (v. Cap. 16, seção 16.8, para exemplos).</w:t>
      </w:r>
    </w:p>
    <w:p>
      <w:pPr>
        <w:spacing w:before="260" w:after="80" w:line="240" w:lineRule="auto"/>
        <w:jc w:val="left"/>
      </w:pPr>
      <w:r>
        <w:rPr>
          <w:rFonts w:ascii="EB Garamond" w:hAnsi="EB Garamond" w:cs="EB Garamond"/>
          <w:b/>
          <w:i w:val="0"/>
          <w:color w:val="3A3128"/>
          <w:sz w:val="25"/>
          <w:lang w:val="pt-BR" w:bidi="ar-SA"/>
          <w:kern w:val="16"/>
          <w14:ligatures w14:val="standardContextual"/>
        </w:rPr>
        <w:t>10.11.3 Revisão da vida toda (STF Tema 1.102)</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trajetória do tema é didática quanto à instabilidade que decisões modulatórias podem produzir. Em 01/12/2022, ao julgar o Tema 1.102 (RE 1.276.977/DF), o STF acolheu, por maioria, a tese da revisão da vida toda, reconhecendo ao segurado o direito de optar pela regra definitiva do art. 29, I e II, da Lei 8.213/91, quando mais favorável. Esse entendimento, contudo, foi superado pelo próprio Supremo já em 2024: ao julgar o mérito das ADIs 2.110/DF e 2.111/DF, o Tribunal declarou a constitucionalidade do art. 3º da Lei 9.876/99 e impôs sua observância cogente em interpretação textual, o que esvaziou a opção antes admitida. O marco decisório vinculante, portanto, é o julgamento de 2024, e não um evento de 2025 ou 2026. A data-chave é 05/04/2024 — publicação da ata do julgamento de mérito das ADIs —, fixada pelo próprio STF como termo da modulação. Sustentamos, por isso, que toda a cronologia do instituto deve ser lida a partir desse marco: a tese que hoje prevalece é a de que "o segurado do INSS que se enquadre no dispositivo não pode optar pela regra definitiva prevista no art. 29, I e II, da Lei 8.213/1991, independentemente de lhe ser mais favorável".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modulação fixada pelo Supremo determinou: (i) a irrepetibilidade dos valores percebidos pelos segurados em virtude de decisões judiciais, definitivas ou provisórias, prolatadas até 05/04/2024; e (ii) a impossibilidade de cobrança de honorários sucumbenciais, custas e perícias contábeis dos autores cujas ações de revisão da vida toda estavam pendentes de conclusão até essa data. A análise aprofundada — histórico processual completo, fundamentação e orientação prática — encontra-se no Capítulo 16, seção 16.11.</w:t>
      </w:r>
    </w:p>
    <w:p>
      <w:pPr>
        <w:spacing w:before="260" w:after="80" w:line="240" w:lineRule="auto"/>
        <w:jc w:val="left"/>
      </w:pPr>
      <w:r>
        <w:rPr>
          <w:rFonts w:ascii="EB Garamond" w:hAnsi="EB Garamond" w:cs="EB Garamond"/>
          <w:b/>
          <w:i w:val="0"/>
          <w:color w:val="3A3128"/>
          <w:sz w:val="25"/>
          <w:lang w:val="pt-BR" w:bidi="ar-SA"/>
          <w:kern w:val="16"/>
          <w14:ligatures w14:val="standardContextual"/>
        </w:rPr>
        <w:t>10.11.4 Exclusão de salários de contribuição que reduzem a média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26, § 6º, da EC 103/2019 permite que o segurado exclua do cálculo da média os salários de contribuição que resultem em redução do valor do benefício, desde que, com a exclusão, permaneça cumprido o tempo mínimo de contribuição exigido.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Essa possibilidade funciona como um atenuante do impacto negativo da média de 100%. O segurado que teve períodos de contribuição sobre o salário-mínimo pode excluí-los do cálculo, elevando a média, desde que ainda mantenha o tempo de contribuição mínimo (20 anos para homem ou 15 para mulher). Na prática, o INSS e o Poder Judiciário devem calcular o benefício com e sem as exclusões e conceder o mais vantajoso.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Exemplo — Exclusão de salários de contribuição (art. 26, § 6º, EC 103)</w:t>
            </w:r>
          </w:p>
          <w:p>
            <w:pPr>
              <w:spacing w:before="0" w:after="60" w:line="247" w:lineRule="auto"/>
              <w:jc w:val="both"/>
            </w:pPr>
            <w:r>
              <w:rPr>
                <w:rFonts w:ascii="EB Garamond" w:hAnsi="EB Garamond" w:cs="EB Garamond"/>
                <w:b/>
                <w:i w:val="0"/>
                <w:color w:val="201B16"/>
                <w:sz w:val="19"/>
                <w:lang w:val="pt-BR" w:bidi="ar-SA"/>
                <w:kern w:val="16"/>
                <w14:ligatures w14:val="standardContextual"/>
              </w:rPr>
              <w:t>Pedro</w:t>
            </w:r>
            <w:r>
              <w:rPr>
                <w:rFonts w:ascii="EB Garamond" w:hAnsi="EB Garamond" w:cs="EB Garamond"/>
                <w:b w:val="0"/>
                <w:i w:val="0"/>
                <w:color w:val="201B16"/>
                <w:sz w:val="19"/>
                <w:lang w:val="pt-BR" w:bidi="ar-SA"/>
                <w:kern w:val="16"/>
                <w14:ligatures w14:val="standardContextual"/>
              </w:rPr>
              <w:t>, 65 anos, 25 anos de contribuição. Nos primeiros 5 anos, contribuiu sobre o salário-mínimo (R$ 1.621,00 em valores atualizados); nos 20 anos seguintes, contribuiu sobre R$ 5.000,00 em média.</w:t>
            </w:r>
          </w:p>
          <w:p>
            <w:pPr>
              <w:spacing w:before="0" w:after="60" w:line="247" w:lineRule="auto"/>
              <w:jc w:val="both"/>
            </w:pPr>
            <w:r>
              <w:rPr>
                <w:rFonts w:ascii="EB Garamond" w:hAnsi="EB Garamond" w:cs="EB Garamond"/>
                <w:b/>
                <w:i w:val="0"/>
                <w:color w:val="201B16"/>
                <w:sz w:val="19"/>
                <w:lang w:val="pt-BR" w:bidi="ar-SA"/>
                <w:kern w:val="16"/>
                <w14:ligatures w14:val="standardContextual"/>
              </w:rPr>
              <w:t>Sem exclusão:</w:t>
            </w:r>
            <w:r>
              <w:rPr>
                <w:rFonts w:ascii="EB Garamond" w:hAnsi="EB Garamond" w:cs="EB Garamond"/>
                <w:b w:val="0"/>
                <w:i w:val="0"/>
                <w:color w:val="201B16"/>
                <w:sz w:val="19"/>
                <w:lang w:val="pt-BR" w:bidi="ar-SA"/>
                <w:kern w:val="16"/>
                <w14:ligatures w14:val="standardContextual"/>
              </w:rPr>
              <w:t xml:space="preserve"> - Média de 100% dos salários: ~R$ 4.325,00 (puxada para baixo pelos 5 anos de SM) - Coeficiente: 60% + 2% × (25 - 20) = 70% - RMI: R$ 4.325,00 × 70% = </w:t>
            </w:r>
            <w:r>
              <w:rPr>
                <w:rFonts w:ascii="EB Garamond" w:hAnsi="EB Garamond" w:cs="EB Garamond"/>
                <w:b/>
                <w:i w:val="0"/>
                <w:color w:val="201B16"/>
                <w:sz w:val="19"/>
                <w:lang w:val="pt-BR" w:bidi="ar-SA"/>
                <w:kern w:val="16"/>
                <w14:ligatures w14:val="standardContextual"/>
              </w:rPr>
              <w:t>R$ 3.027,50</w:t>
            </w:r>
          </w:p>
          <w:p>
            <w:pPr>
              <w:spacing w:before="0" w:after="60" w:line="247" w:lineRule="auto"/>
              <w:jc w:val="both"/>
            </w:pPr>
            <w:r>
              <w:rPr>
                <w:rFonts w:ascii="EB Garamond" w:hAnsi="EB Garamond" w:cs="EB Garamond"/>
                <w:b/>
                <w:i w:val="0"/>
                <w:color w:val="201B16"/>
                <w:sz w:val="19"/>
                <w:lang w:val="pt-BR" w:bidi="ar-SA"/>
                <w:kern w:val="16"/>
                <w14:ligatures w14:val="standardContextual"/>
              </w:rPr>
              <w:t>Com exclusão dos 5 anos de SM (restam 20 anos de TC — mínimo exigido):</w:t>
            </w:r>
            <w:r>
              <w:rPr>
                <w:rFonts w:ascii="EB Garamond" w:hAnsi="EB Garamond" w:cs="EB Garamond"/>
                <w:b w:val="0"/>
                <w:i w:val="0"/>
                <w:color w:val="201B16"/>
                <w:sz w:val="19"/>
                <w:lang w:val="pt-BR" w:bidi="ar-SA"/>
                <w:kern w:val="16"/>
                <w14:ligatures w14:val="standardContextual"/>
              </w:rPr>
              <w:t xml:space="preserve"> - Média dos 20 anos restantes: ~R$ 5.000,00 - Coeficiente: 60% + 2% × (20 - 20) = 60% (reduziu!) - RMI: R$ 5.000,00 × 60% = </w:t>
            </w:r>
            <w:r>
              <w:rPr>
                <w:rFonts w:ascii="EB Garamond" w:hAnsi="EB Garamond" w:cs="EB Garamond"/>
                <w:b/>
                <w:i w:val="0"/>
                <w:color w:val="201B16"/>
                <w:sz w:val="19"/>
                <w:lang w:val="pt-BR" w:bidi="ar-SA"/>
                <w:kern w:val="16"/>
                <w14:ligatures w14:val="standardContextual"/>
              </w:rPr>
              <w:t>R$ 3.000,00</w:t>
            </w:r>
          </w:p>
          <w:p>
            <w:pPr>
              <w:spacing w:before="0" w:after="60" w:line="247" w:lineRule="auto"/>
              <w:jc w:val="both"/>
            </w:pPr>
            <w:r>
              <w:rPr>
                <w:rFonts w:ascii="EB Garamond" w:hAnsi="EB Garamond" w:cs="EB Garamond"/>
                <w:b/>
                <w:i w:val="0"/>
                <w:color w:val="201B16"/>
                <w:sz w:val="19"/>
                <w:lang w:val="pt-BR" w:bidi="ar-SA"/>
                <w:kern w:val="16"/>
                <w14:ligatures w14:val="standardContextual"/>
              </w:rPr>
              <w:t>Neste caso, a exclusão não é vantajosa</w:t>
            </w:r>
            <w:r>
              <w:rPr>
                <w:rFonts w:ascii="EB Garamond" w:hAnsi="EB Garamond" w:cs="EB Garamond"/>
                <w:b w:val="0"/>
                <w:i w:val="0"/>
                <w:color w:val="201B16"/>
                <w:sz w:val="19"/>
                <w:lang w:val="pt-BR" w:bidi="ar-SA"/>
                <w:kern w:val="16"/>
                <w14:ligatures w14:val="standardContextual"/>
              </w:rPr>
              <w:t xml:space="preserve"> (R$ 3.000 &lt; R$ 3.027,50), porque a redução do coeficiente (de 70% para 60%) anulou o ganho na média. A análise deve ser feita caso a caso.</w:t>
            </w:r>
          </w:p>
          <w:p>
            <w:pPr>
              <w:spacing w:before="0" w:after="60" w:line="247" w:lineRule="auto"/>
              <w:jc w:val="both"/>
            </w:pPr>
            <w:r>
              <w:rPr>
                <w:rFonts w:ascii="EB Garamond" w:hAnsi="EB Garamond" w:cs="EB Garamond"/>
                <w:b/>
                <w:i w:val="0"/>
                <w:color w:val="201B16"/>
                <w:sz w:val="19"/>
                <w:lang w:val="pt-BR" w:bidi="ar-SA"/>
                <w:kern w:val="16"/>
                <w14:ligatures w14:val="standardContextual"/>
              </w:rPr>
              <w:t>Quando a exclusão é vantajosa?</w:t>
            </w:r>
            <w:r>
              <w:rPr>
                <w:rFonts w:ascii="EB Garamond" w:hAnsi="EB Garamond" w:cs="EB Garamond"/>
                <w:b w:val="0"/>
                <w:i w:val="0"/>
                <w:color w:val="201B16"/>
                <w:sz w:val="19"/>
                <w:lang w:val="pt-BR" w:bidi="ar-SA"/>
                <w:kern w:val="16"/>
                <w14:ligatures w14:val="standardContextual"/>
              </w:rPr>
              <w:t xml:space="preserve"> Geralmente quando o segurado tem tempo de contribuição muito superior ao mínimo e os salários excluídos são significativamente inferiores à média dos restantes. Quanto mais tempo excedente o segurado tiver, mais salários poderá excluir sem reduzir o coeficiente abaixo do limiar de vantagem.</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10.12 O direito ao benefício mais vantajoso</w:t>
      </w:r>
    </w:p>
    <w:p>
      <w:pPr>
        <w:spacing w:before="260" w:after="80" w:line="240" w:lineRule="auto"/>
        <w:jc w:val="left"/>
      </w:pPr>
      <w:r>
        <w:rPr>
          <w:rFonts w:ascii="EB Garamond" w:hAnsi="EB Garamond" w:cs="EB Garamond"/>
          <w:b/>
          <w:i w:val="0"/>
          <w:color w:val="3A3128"/>
          <w:sz w:val="25"/>
          <w:lang w:val="pt-BR" w:bidi="ar-SA"/>
          <w:kern w:val="16"/>
          <w14:ligatures w14:val="standardContextual"/>
        </w:rPr>
        <w:t>10.12.1 Fundamento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princípio do direito ao benefício mais vantajoso é uma construção jurisprudencial com assento no art. 122 da Lei 8.213/91 (redação da Lei 9.032/95) e raízes no direito adquirido constitucional (art. 5º, XXXVI, CF). Segundo esse princípio, quando o segurado preenche os requisitos para mais de uma modalidade de aposentadoria ou mais de uma regra de cálculo, tem direito a receber o benefício de maior valor.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fundamento constitucional é duplo: de um lado, o direito adquirido (art. 5º, XXXVI) protege o segurado que implementou requisitos sob determinada regra de ter seu direito calculado por essa regra, mesmo que lei posterior tenha alterado os critérios. De outro lado, o princípio da dignidade da pessoa humana (art. 1º, III) e o objetivo de justiça social (art. 193) exigem que o benefício previdenciário cumpra sua função de manutenção do padrão de vida do segurado na inatividade.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dever de conceder o benefício mais vantajoso tem assento infralegal e jurisprudencial: o art. 122 da Lei 8.213/91 (redação da Lei 9.032/95) assegura ao segurado o direito ao benefício mais vantajoso a que fizer jus, e o Decreto 3.048/99 (com as alterações do Decreto 10.410/2020) regulamenta o dever do INSS de conceder de ofício a prestação mais favorável — confirmando o que a jurisprudência já reconhecia: o INSS deve conceder o benefício de maior valor, não apenas aquele expressamente requerido pelo segurado. O art. 26, § 2º, da EC 103/2019, por sua vez, cuida da fórmula de cálculo do coeficiente, e não desse princípio.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aplicação desse princípio exige que o INSS, e, em caso de litígio, o juiz, calcule o benefício por todas as regras aplicáveis e conceda o mais vantajoso. Na prática, o INSS nem sempre realiza essa análise comparativa de ofício, cabendo ao segurado ou ao seu advogado provocar a comparação. A omissão do INSS em realizar a comparação entre regras pode ensejar ação judicial de revisão do benefício, com pedido de diferenças retroativas à data de início do benefício concedido.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Decreto 3.048/99, com as alterações introduzidas pelo Decreto 10.410/2020, regulamentou o dever do INSS de conceder o benefício mais vantajoso, mas a implementação prática dessa obrigação ainda é falha. Muitos segurados são aposentados pela regra que primeiro aparece no sistema informatizado do INSS, sem a análise comparativa que a Constituição e o regulamento determinam. Essa deficiência institucional é fonte significativa de demandas nos JEFs, tanto para concessão quanto para revisão de benefícios.</w:t>
      </w:r>
    </w:p>
    <w:p>
      <w:pPr>
        <w:spacing w:before="260" w:after="80" w:line="240" w:lineRule="auto"/>
        <w:jc w:val="left"/>
      </w:pPr>
      <w:r>
        <w:rPr>
          <w:rFonts w:ascii="EB Garamond" w:hAnsi="EB Garamond" w:cs="EB Garamond"/>
          <w:b/>
          <w:i w:val="0"/>
          <w:color w:val="3A3128"/>
          <w:sz w:val="25"/>
          <w:lang w:val="pt-BR" w:bidi="ar-SA"/>
          <w:kern w:val="16"/>
          <w14:ligatures w14:val="standardContextual"/>
        </w:rPr>
        <w:t>10.12.2 Regras simultaneamente aplicáveis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U</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m segurado filiado antes de 13/11/2019 pode, simultaneamente, preencher os requisitos para: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1. </w:t>
      </w:r>
      <w:r>
        <w:rPr>
          <w:rFonts w:ascii="EB Garamond" w:hAnsi="EB Garamond" w:cs="EB Garamond"/>
          <w:b/>
          <w:i w:val="0"/>
          <w:color w:val="201B16"/>
          <w:sz w:val="20"/>
          <w:lang w:val="pt-BR" w:bidi="ar-SA"/>
          <w:kern w:val="16"/>
          <w14:ligatures w14:val="standardContextual"/>
        </w:rPr>
        <w:t>Direito adquirido à aposentadoria por idade</w:t>
      </w:r>
      <w:r>
        <w:rPr>
          <w:rFonts w:ascii="EB Garamond" w:hAnsi="EB Garamond" w:cs="EB Garamond"/>
          <w:b w:val="0"/>
          <w:i w:val="0"/>
          <w:color w:val="201B16"/>
          <w:sz w:val="20"/>
          <w:lang w:val="pt-BR" w:bidi="ar-SA"/>
          <w:kern w:val="16"/>
          <w14:ligatures w14:val="standardContextual"/>
        </w:rPr>
        <w:t xml:space="preserve"> (regra antiga): se implementou 65/60 anos + 180 contribuições antes de 13/11/2019.</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2. </w:t>
      </w:r>
      <w:r>
        <w:rPr>
          <w:rFonts w:ascii="EB Garamond" w:hAnsi="EB Garamond" w:cs="EB Garamond"/>
          <w:b/>
          <w:i w:val="0"/>
          <w:color w:val="201B16"/>
          <w:sz w:val="20"/>
          <w:lang w:val="pt-BR" w:bidi="ar-SA"/>
          <w:kern w:val="16"/>
          <w14:ligatures w14:val="standardContextual"/>
        </w:rPr>
        <w:t>Regra de transição do art. 18</w:t>
      </w:r>
      <w:r>
        <w:rPr>
          <w:rFonts w:ascii="EB Garamond" w:hAnsi="EB Garamond" w:cs="EB Garamond"/>
          <w:b w:val="0"/>
          <w:i w:val="0"/>
          <w:color w:val="201B16"/>
          <w:sz w:val="20"/>
          <w:lang w:val="pt-BR" w:bidi="ar-SA"/>
          <w:kern w:val="16"/>
          <w14:ligatures w14:val="standardContextual"/>
        </w:rPr>
        <w:t xml:space="preserve"> (aposentadoria por idade): se implementou 65/62 anos + 15 anos TC + 180 contribuições após 13/11/2019.</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3. </w:t>
      </w:r>
      <w:r>
        <w:rPr>
          <w:rFonts w:ascii="EB Garamond" w:hAnsi="EB Garamond" w:cs="EB Garamond"/>
          <w:b/>
          <w:i w:val="0"/>
          <w:color w:val="201B16"/>
          <w:sz w:val="20"/>
          <w:lang w:val="pt-BR" w:bidi="ar-SA"/>
          <w:kern w:val="16"/>
          <w14:ligatures w14:val="standardContextual"/>
        </w:rPr>
        <w:t>Regra de transição do art. 15</w:t>
      </w:r>
      <w:r>
        <w:rPr>
          <w:rFonts w:ascii="EB Garamond" w:hAnsi="EB Garamond" w:cs="EB Garamond"/>
          <w:b w:val="0"/>
          <w:i w:val="0"/>
          <w:color w:val="201B16"/>
          <w:sz w:val="20"/>
          <w:lang w:val="pt-BR" w:bidi="ar-SA"/>
          <w:kern w:val="16"/>
          <w14:ligatures w14:val="standardContextual"/>
        </w:rPr>
        <w:t xml:space="preserve"> (pontos): se atinge a pontuação exigida + 35/30 anos TC.</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4. </w:t>
      </w:r>
      <w:r>
        <w:rPr>
          <w:rFonts w:ascii="EB Garamond" w:hAnsi="EB Garamond" w:cs="EB Garamond"/>
          <w:b/>
          <w:i w:val="0"/>
          <w:color w:val="201B16"/>
          <w:sz w:val="20"/>
          <w:lang w:val="pt-BR" w:bidi="ar-SA"/>
          <w:kern w:val="16"/>
          <w14:ligatures w14:val="standardContextual"/>
        </w:rPr>
        <w:t>Regra de transição do art. 16</w:t>
      </w:r>
      <w:r>
        <w:rPr>
          <w:rFonts w:ascii="EB Garamond" w:hAnsi="EB Garamond" w:cs="EB Garamond"/>
          <w:b w:val="0"/>
          <w:i w:val="0"/>
          <w:color w:val="201B16"/>
          <w:sz w:val="20"/>
          <w:lang w:val="pt-BR" w:bidi="ar-SA"/>
          <w:kern w:val="16"/>
          <w14:ligatures w14:val="standardContextual"/>
        </w:rPr>
        <w:t xml:space="preserve"> (idade progressiva): se atinge a idade progressiva + 35/30 anos TC.</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5. </w:t>
      </w:r>
      <w:r>
        <w:rPr>
          <w:rFonts w:ascii="EB Garamond" w:hAnsi="EB Garamond" w:cs="EB Garamond"/>
          <w:b/>
          <w:i w:val="0"/>
          <w:color w:val="201B16"/>
          <w:sz w:val="20"/>
          <w:lang w:val="pt-BR" w:bidi="ar-SA"/>
          <w:kern w:val="16"/>
          <w14:ligatures w14:val="standardContextual"/>
        </w:rPr>
        <w:t>Regra de transição do art. 17</w:t>
      </w:r>
      <w:r>
        <w:rPr>
          <w:rFonts w:ascii="EB Garamond" w:hAnsi="EB Garamond" w:cs="EB Garamond"/>
          <w:b w:val="0"/>
          <w:i w:val="0"/>
          <w:color w:val="201B16"/>
          <w:sz w:val="20"/>
          <w:lang w:val="pt-BR" w:bidi="ar-SA"/>
          <w:kern w:val="16"/>
          <w14:ligatures w14:val="standardContextual"/>
        </w:rPr>
        <w:t xml:space="preserve"> (pedágio 50%): se faltava menos de 2 anos de TC em 13/11/2019.</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6. </w:t>
      </w:r>
      <w:r>
        <w:rPr>
          <w:rFonts w:ascii="EB Garamond" w:hAnsi="EB Garamond" w:cs="EB Garamond"/>
          <w:b/>
          <w:i w:val="0"/>
          <w:color w:val="201B16"/>
          <w:sz w:val="20"/>
          <w:lang w:val="pt-BR" w:bidi="ar-SA"/>
          <w:kern w:val="16"/>
          <w14:ligatures w14:val="standardContextual"/>
        </w:rPr>
        <w:t>Regra de transição do art. 20</w:t>
      </w:r>
      <w:r>
        <w:rPr>
          <w:rFonts w:ascii="EB Garamond" w:hAnsi="EB Garamond" w:cs="EB Garamond"/>
          <w:b w:val="0"/>
          <w:i w:val="0"/>
          <w:color w:val="201B16"/>
          <w:sz w:val="20"/>
          <w:lang w:val="pt-BR" w:bidi="ar-SA"/>
          <w:kern w:val="16"/>
          <w14:ligatures w14:val="standardContextual"/>
        </w:rPr>
        <w:t xml:space="preserve"> (pedágio 100%): se atinge 60/57 anos + 35/30 anos TC + pedágio.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7. </w:t>
      </w:r>
      <w:r>
        <w:rPr>
          <w:rFonts w:ascii="EB Garamond" w:hAnsi="EB Garamond" w:cs="EB Garamond"/>
          <w:b/>
          <w:i w:val="0"/>
          <w:color w:val="201B16"/>
          <w:sz w:val="20"/>
          <w:lang w:val="pt-BR" w:bidi="ar-SA"/>
          <w:kern w:val="16"/>
          <w14:ligatures w14:val="standardContextual"/>
        </w:rPr>
        <w:t>Regra permanente</w:t>
      </w:r>
      <w:r>
        <w:rPr>
          <w:rFonts w:ascii="EB Garamond" w:hAnsi="EB Garamond" w:cs="EB Garamond"/>
          <w:b w:val="0"/>
          <w:i w:val="0"/>
          <w:color w:val="201B16"/>
          <w:sz w:val="20"/>
          <w:lang w:val="pt-BR" w:bidi="ar-SA"/>
          <w:kern w:val="16"/>
          <w14:ligatures w14:val="standardContextual"/>
        </w:rPr>
        <w:t xml:space="preserve"> (aposentadoria programada): se implementou 65/62 anos + 20/15 anos TC.</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P</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ara cada regra em que o segurado se enquadra, o cálculo do benefício pode ser diferente. A regra do pedágio 100% (art. 20), por exemplo, garante coeficiente de 100% da média (sem o escalonamento de 60% + 2%/ano), o que pode resultar em valor significativamente superior ao das demais regras.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Tabela comparativa — escolha do benefício mais vantajoso</w:t>
            </w:r>
          </w:p>
          <w:p>
            <w:pPr>
              <w:spacing w:before="0" w:after="60" w:line="247" w:lineRule="auto"/>
              <w:jc w:val="both"/>
            </w:pPr>
            <w:r>
              <w:rPr>
                <w:rFonts w:ascii="EB Garamond" w:hAnsi="EB Garamond" w:cs="EB Garamond"/>
                <w:b/>
                <w:i w:val="0"/>
                <w:color w:val="201B16"/>
                <w:sz w:val="19"/>
                <w:lang w:val="pt-BR" w:bidi="ar-SA"/>
                <w:kern w:val="16"/>
                <w14:ligatures w14:val="standardContextual"/>
              </w:rPr>
              <w:t>Segurada Helena</w:t>
            </w:r>
            <w:r>
              <w:rPr>
                <w:rFonts w:ascii="EB Garamond" w:hAnsi="EB Garamond" w:cs="EB Garamond"/>
                <w:b w:val="0"/>
                <w:i w:val="0"/>
                <w:color w:val="201B16"/>
                <w:sz w:val="19"/>
                <w:lang w:val="pt-BR" w:bidi="ar-SA"/>
                <w:kern w:val="16"/>
                <w14:ligatures w14:val="standardContextual"/>
              </w:rPr>
              <w:t>, 63 anos em 2026, filiada em 1990, 33 anos de contribuição, média de 100% dos SC = R$ 4.000,00, média dos 80% maiores = R$ 4.500,00.</w:t>
            </w:r>
          </w:p>
          <w:tbl>
            <w:tblPr>
              <w:tblW w:type="auto" w:w="0"/>
              <w:jc w:val="center"/>
              <w:tblLook w:firstColumn="1" w:firstRow="1" w:lastColumn="0" w:lastRow="0" w:noHBand="0" w:noVBand="1" w:val="04A0"/>
              <w:tblW w:w="5000" w:type="pct"/>
            </w:tblPr>
            <w:tblGrid>
              <w:gridCol w:w="1270"/>
              <w:gridCol w:w="1270"/>
              <w:gridCol w:w="1270"/>
              <w:gridCol w:w="1270"/>
              <w:gridCol w:w="1270"/>
            </w:tblGrid>
            <w:tr>
              <w:trPr>
                <w:tblHeader/>
              </w:trPr>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Regra</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Requisitos</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Coeficiente</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Base</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RMI</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Direito adquirido (60F + 180 contrib.)</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 (completou 60 anos em 2023, após 13/11/2019)</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18 (62F + 15 TC)</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60% + 2%×(33-15) = 96%</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R$ 4.000,00 (100%)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R$ 3.840,00</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15 (pontos: 63+33=96 ≥ 93)</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60% + 2%×(33-15) = 96%</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R$ 4.000,00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R$ 3.840,00</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16 (59,5F + 30 TC)</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 (63 &gt; 59,5)</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60% + 2%×(33-15) = 96%</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R$ 4.000,00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R$ 3.840,00</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20 (57F + 30 TC + pedágio)</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Verificar pedágio</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100%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R$ 4.000,00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R$ 4.000,00</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Permanente (62F + 15 TC)</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96%</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R$ 4.000,00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R$ 3.840,00</w:t>
                  </w:r>
                </w:p>
              </w:tc>
            </w:tr>
          </w:tbl>
          <w:p/>
          <w:p>
            <w:pPr>
              <w:spacing w:before="0" w:after="0" w:line="240" w:lineRule="auto"/>
            </w:pPr>
          </w:p>
          <w:p>
            <w:pPr>
              <w:spacing w:before="0" w:after="60" w:line="247" w:lineRule="auto"/>
              <w:jc w:val="both"/>
            </w:pPr>
            <w:r>
              <w:rPr>
                <w:rFonts w:ascii="EB Garamond" w:hAnsi="EB Garamond" w:cs="EB Garamond"/>
                <w:b/>
                <w:i w:val="0"/>
                <w:color w:val="201B16"/>
                <w:sz w:val="19"/>
                <w:lang w:val="pt-BR" w:bidi="ar-SA"/>
                <w:kern w:val="16"/>
                <w14:ligatures w14:val="standardContextual"/>
              </w:rPr>
              <w:t>Resultado:</w:t>
            </w:r>
            <w:r>
              <w:rPr>
                <w:rFonts w:ascii="EB Garamond" w:hAnsi="EB Garamond" w:cs="EB Garamond"/>
                <w:b w:val="0"/>
                <w:i w:val="0"/>
                <w:color w:val="201B16"/>
                <w:sz w:val="19"/>
                <w:lang w:val="pt-BR" w:bidi="ar-SA"/>
                <w:kern w:val="16"/>
                <w14:ligatures w14:val="standardContextual"/>
              </w:rPr>
              <w:t xml:space="preserve"> Helena NÃO tem direito adquirido (completou 60 anos em 2023, após 13/11/2019). A regra mais vantajosa é a do pedágio 100% (art. 20), se o pedágio estiver cumprido, ou a regra de pontos (art. 15), com RMI de R$ 3.840,00 a R$ 4.000,00.</w:t>
            </w:r>
          </w:p>
          <w:p>
            <w:pPr>
              <w:spacing w:before="0" w:after="60" w:line="247" w:lineRule="auto"/>
              <w:jc w:val="both"/>
            </w:pPr>
            <w:r>
              <w:rPr>
                <w:rFonts w:ascii="EB Garamond" w:hAnsi="EB Garamond" w:cs="EB Garamond"/>
                <w:b/>
                <w:i w:val="0"/>
                <w:color w:val="201B16"/>
                <w:sz w:val="19"/>
                <w:lang w:val="pt-BR" w:bidi="ar-SA"/>
                <w:kern w:val="16"/>
                <w14:ligatures w14:val="standardContextual"/>
              </w:rPr>
              <w:t>Lição:</w:t>
            </w:r>
            <w:r>
              <w:rPr>
                <w:rFonts w:ascii="EB Garamond" w:hAnsi="EB Garamond" w:cs="EB Garamond"/>
                <w:b w:val="0"/>
                <w:i w:val="0"/>
                <w:color w:val="201B16"/>
                <w:sz w:val="19"/>
                <w:lang w:val="pt-BR" w:bidi="ar-SA"/>
                <w:kern w:val="16"/>
                <w14:ligatures w14:val="standardContextual"/>
              </w:rPr>
              <w:t xml:space="preserve"> Verificar sempre se a idade mínima foi implementada ANTES de 13/11/2019 para configurar direito adquirido. Seguradas nascidas após 1959 completaram 60 anos depois da EC 103 e não têm direito adquirido à regra antiga.</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10.12.3 O papel do advogado na escolha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advogado previdenciário que atua nos JEFs tem o dever de orientar o cliente sobre a regra mais vantajosa. Essa orientação exige:</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1. </w:t>
      </w:r>
      <w:r>
        <w:rPr>
          <w:rFonts w:ascii="EB Garamond" w:hAnsi="EB Garamond" w:cs="EB Garamond"/>
          <w:b/>
          <w:i w:val="0"/>
          <w:color w:val="201B16"/>
          <w:sz w:val="20"/>
          <w:lang w:val="pt-BR" w:bidi="ar-SA"/>
          <w:kern w:val="16"/>
          <w14:ligatures w14:val="standardContextual"/>
        </w:rPr>
        <w:t>Levantamento completo do histórico contributivo</w:t>
      </w:r>
      <w:r>
        <w:rPr>
          <w:rFonts w:ascii="EB Garamond" w:hAnsi="EB Garamond" w:cs="EB Garamond"/>
          <w:b w:val="0"/>
          <w:i w:val="0"/>
          <w:color w:val="201B16"/>
          <w:sz w:val="20"/>
          <w:lang w:val="pt-BR" w:bidi="ar-SA"/>
          <w:kern w:val="16"/>
          <w14:ligatures w14:val="standardContextual"/>
        </w:rPr>
        <w:t xml:space="preserve"> (CNIS + CTPS + outros documentos);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2. </w:t>
      </w:r>
      <w:r>
        <w:rPr>
          <w:rFonts w:ascii="EB Garamond" w:hAnsi="EB Garamond" w:cs="EB Garamond"/>
          <w:b/>
          <w:i w:val="0"/>
          <w:color w:val="201B16"/>
          <w:sz w:val="20"/>
          <w:lang w:val="pt-BR" w:bidi="ar-SA"/>
          <w:kern w:val="16"/>
          <w14:ligatures w14:val="standardContextual"/>
        </w:rPr>
        <w:t>Cálculo do benefício por cada regra aplicável</w:t>
      </w:r>
      <w:r>
        <w:rPr>
          <w:rFonts w:ascii="EB Garamond" w:hAnsi="EB Garamond" w:cs="EB Garamond"/>
          <w:b w:val="0"/>
          <w:i w:val="0"/>
          <w:color w:val="201B16"/>
          <w:sz w:val="20"/>
          <w:lang w:val="pt-BR" w:bidi="ar-SA"/>
          <w:kern w:val="16"/>
          <w14:ligatures w14:val="standardContextual"/>
        </w:rPr>
        <w:t>, tarefa que pode ser facilitada por softwares especializados, mas que o advogado deve ser capaz de conferir manualmente;</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3. </w:t>
      </w:r>
      <w:r>
        <w:rPr>
          <w:rFonts w:ascii="EB Garamond" w:hAnsi="EB Garamond" w:cs="EB Garamond"/>
          <w:b/>
          <w:i w:val="0"/>
          <w:color w:val="201B16"/>
          <w:sz w:val="20"/>
          <w:lang w:val="pt-BR" w:bidi="ar-SA"/>
          <w:kern w:val="16"/>
          <w14:ligatures w14:val="standardContextual"/>
        </w:rPr>
        <w:t>Análise de cenários futuros:</w:t>
      </w:r>
      <w:r>
        <w:rPr>
          <w:rFonts w:ascii="EB Garamond" w:hAnsi="EB Garamond" w:cs="EB Garamond"/>
          <w:b w:val="0"/>
          <w:i w:val="0"/>
          <w:color w:val="201B16"/>
          <w:sz w:val="20"/>
          <w:lang w:val="pt-BR" w:bidi="ar-SA"/>
          <w:kern w:val="16"/>
          <w14:ligatures w14:val="standardContextual"/>
        </w:rPr>
        <w:t xml:space="preserve"> Em alguns casos, aguardar mais alguns meses ou anos pode garantir um benefício significativamente superior (por exemplo, alcançando o coeficiente de 100% pela regra do pedágio);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4. </w:t>
      </w:r>
      <w:r>
        <w:rPr>
          <w:rFonts w:ascii="EB Garamond" w:hAnsi="EB Garamond" w:cs="EB Garamond"/>
          <w:b/>
          <w:i w:val="0"/>
          <w:color w:val="201B16"/>
          <w:sz w:val="20"/>
          <w:lang w:val="pt-BR" w:bidi="ar-SA"/>
          <w:kern w:val="16"/>
          <w14:ligatures w14:val="standardContextual"/>
        </w:rPr>
        <w:t>Formulação precisa do pedido judicial:</w:t>
      </w:r>
      <w:r>
        <w:rPr>
          <w:rFonts w:ascii="EB Garamond" w:hAnsi="EB Garamond" w:cs="EB Garamond"/>
          <w:b w:val="0"/>
          <w:i w:val="0"/>
          <w:color w:val="201B16"/>
          <w:sz w:val="20"/>
          <w:lang w:val="pt-BR" w:bidi="ar-SA"/>
          <w:kern w:val="16"/>
          <w14:ligatures w14:val="standardContextual"/>
        </w:rPr>
        <w:t xml:space="preserve"> O pedido deve especificar a regra pela qual se requer a aposentadoria, ou, alternativamente, requerer a concessão pela regra mais vantajosa entre todas as aplicáveis.</w:t>
      </w:r>
    </w:p>
    <w:p>
      <w:pPr>
        <w:spacing w:before="0" w:after="6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Pedido genérico vs. Pedido específico nos JEFs</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formulação do pedido na petição inicial é relevante. O advogado pode:</w:t>
            </w:r>
          </w:p>
          <w:p>
            <w:pPr>
              <w:spacing w:before="0" w:after="60" w:line="247" w:lineRule="auto"/>
              <w:jc w:val="both"/>
            </w:pPr>
            <w:r>
              <w:rPr>
                <w:rFonts w:ascii="EB Garamond" w:hAnsi="EB Garamond" w:cs="EB Garamond"/>
                <w:b/>
                <w:i w:val="0"/>
                <w:color w:val="201B16"/>
                <w:sz w:val="19"/>
                <w:lang w:val="pt-BR" w:bidi="ar-SA"/>
                <w:kern w:val="16"/>
                <w14:ligatures w14:val="standardContextual"/>
              </w:rPr>
              <w:t>Opção A — Pedido específico:</w:t>
            </w:r>
            <w:r>
              <w:rPr>
                <w:rFonts w:ascii="EB Garamond" w:hAnsi="EB Garamond" w:cs="EB Garamond"/>
                <w:b w:val="0"/>
                <w:i w:val="0"/>
                <w:color w:val="201B16"/>
                <w:sz w:val="19"/>
                <w:lang w:val="pt-BR" w:bidi="ar-SA"/>
                <w:kern w:val="16"/>
                <w14:ligatures w14:val="standardContextual"/>
              </w:rPr>
              <w:t xml:space="preserve"> "Requer a concessão de aposentadoria por idade com base no direito adquirido (art. 3º, EC 103/2019), com cálculo nos termos do art. 29, I, da Lei 8.213/91 (80% maiores salários) e coeficiente do art. 50 (70% + 1% por grupo de 12 contribuições)."</w:t>
            </w:r>
          </w:p>
          <w:p>
            <w:pPr>
              <w:spacing w:before="0" w:after="60" w:line="247" w:lineRule="auto"/>
              <w:jc w:val="both"/>
            </w:pPr>
            <w:r>
              <w:rPr>
                <w:rFonts w:ascii="EB Garamond" w:hAnsi="EB Garamond" w:cs="EB Garamond"/>
                <w:b/>
                <w:i w:val="0"/>
                <w:color w:val="201B16"/>
                <w:sz w:val="19"/>
                <w:lang w:val="pt-BR" w:bidi="ar-SA"/>
                <w:kern w:val="16"/>
                <w14:ligatures w14:val="standardContextual"/>
              </w:rPr>
              <w:t>Opção B — Pedido alternativo/subsidiário:</w:t>
            </w:r>
            <w:r>
              <w:rPr>
                <w:rFonts w:ascii="EB Garamond" w:hAnsi="EB Garamond" w:cs="EB Garamond"/>
                <w:b w:val="0"/>
                <w:i w:val="0"/>
                <w:color w:val="201B16"/>
                <w:sz w:val="19"/>
                <w:lang w:val="pt-BR" w:bidi="ar-SA"/>
                <w:kern w:val="16"/>
                <w14:ligatures w14:val="standardContextual"/>
              </w:rPr>
              <w:t xml:space="preserve"> "Requer a concessão da aposentadoria pela regra mais vantajosa entre: (i) direito adquirido à regra anterior; (ii) regra de transição do art. 18 da EC 103/2019; e (iii) regra permanente do art. 201, § 7º, I, CF."</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Opção B é mais segura, porque garante que o juiz analisará todas as possibilidades. Nos JEFs, os juízes frequentemente determinam que o INSS calcule o benefício por todas as regras aplicáveis e implante o mais vantajoso, mas isso depende de provocação adequada.</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10.13 Aposentadoria por idade e a interface com o segurado rural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aposentadoria por idade rural (55/60 anos + 180 meses de atividade rural) e a aposentadoria por idade hibrida (art. 48, para. 3o, Lei 8.213/91) são tratadas em profundidade no Capítulo 9. Nesta seção, examina-se apenas a interface pratica entre o trabalho rural e a aposentadoria por idade urbana — questão frequente nos JEFs, dada a quantidade de segurados com histórico laboral misto (períodos rurais na juventude seguidos de atividade urbana formal).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regra-chave: o período de atividade rural anterior a novembro de 1991 pode ser computado como tempo de contribuição (art. 55, para. 2o, Lei 8.213/91), mas não como carência na aposentadoria por idade urbana comum (Tema 358/TNU, seção 10.6). A exceção e a aposentadoria hibrida (Tema 1007/STJ), que permite a soma de períodos rurais e urbanos para completar a carência — alternativa que o advogado deve considerar quando o segurado não alcança 180 contribuições urbanas.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Situação prática — Segurado com período rural e urbano</w:t>
            </w:r>
          </w:p>
          <w:p>
            <w:pPr>
              <w:spacing w:before="0" w:after="60" w:line="247" w:lineRule="auto"/>
              <w:jc w:val="both"/>
            </w:pPr>
            <w:r>
              <w:rPr>
                <w:rFonts w:ascii="EB Garamond" w:hAnsi="EB Garamond" w:cs="EB Garamond"/>
                <w:b/>
                <w:i w:val="0"/>
                <w:color w:val="201B16"/>
                <w:sz w:val="19"/>
                <w:lang w:val="pt-BR" w:bidi="ar-SA"/>
                <w:kern w:val="16"/>
                <w14:ligatures w14:val="standardContextual"/>
              </w:rPr>
              <w:t>Seu Joaquim</w:t>
            </w:r>
            <w:r>
              <w:rPr>
                <w:rFonts w:ascii="EB Garamond" w:hAnsi="EB Garamond" w:cs="EB Garamond"/>
                <w:b w:val="0"/>
                <w:i w:val="0"/>
                <w:color w:val="201B16"/>
                <w:sz w:val="19"/>
                <w:lang w:val="pt-BR" w:bidi="ar-SA"/>
                <w:kern w:val="16"/>
                <w14:ligatures w14:val="standardContextual"/>
              </w:rPr>
              <w:t>, 66 anos, trabalhou na agricultura de 1975 a 1995 (20 anos de atividade rural) e depois como empregado urbano de 1996 a 2020 (24 anos, 288 contribuições urbanas).</w:t>
            </w:r>
          </w:p>
          <w:p>
            <w:pPr>
              <w:spacing w:before="0" w:after="60" w:line="247" w:lineRule="auto"/>
              <w:jc w:val="both"/>
            </w:pPr>
            <w:r>
              <w:rPr>
                <w:rFonts w:ascii="EB Garamond" w:hAnsi="EB Garamond" w:cs="EB Garamond"/>
                <w:b/>
                <w:i w:val="0"/>
                <w:color w:val="201B16"/>
                <w:sz w:val="19"/>
                <w:lang w:val="pt-BR" w:bidi="ar-SA"/>
                <w:kern w:val="16"/>
                <w14:ligatures w14:val="standardContextual"/>
              </w:rPr>
              <w:t>Aposentadoria por idade urbana (art. 18, EC 103):</w:t>
            </w:r>
            <w:r>
              <w:rPr>
                <w:rFonts w:ascii="EB Garamond" w:hAnsi="EB Garamond" w:cs="EB Garamond"/>
                <w:b w:val="0"/>
                <w:i w:val="0"/>
                <w:color w:val="201B16"/>
                <w:sz w:val="19"/>
                <w:lang w:val="pt-BR" w:bidi="ar-SA"/>
                <w:kern w:val="16"/>
                <w14:ligatures w14:val="standardContextual"/>
              </w:rPr>
              <w:t xml:space="preserve"> - Idade: 66 anos ✅ (&gt; 65 anos) - Tempo de contribuição: 20 anos rurais + 24 anos urbanos = </w:t>
            </w:r>
            <w:r>
              <w:rPr>
                <w:rFonts w:ascii="EB Garamond" w:hAnsi="EB Garamond" w:cs="EB Garamond"/>
                <w:b/>
                <w:i w:val="0"/>
                <w:color w:val="201B16"/>
                <w:sz w:val="19"/>
                <w:lang w:val="pt-BR" w:bidi="ar-SA"/>
                <w:kern w:val="16"/>
                <w14:ligatures w14:val="standardContextual"/>
              </w:rPr>
              <w:t>44 anos</w:t>
            </w:r>
            <w:r>
              <w:rPr>
                <w:rFonts w:ascii="EB Garamond" w:hAnsi="EB Garamond" w:cs="EB Garamond"/>
                <w:b w:val="0"/>
                <w:i w:val="0"/>
                <w:color w:val="201B16"/>
                <w:sz w:val="19"/>
                <w:lang w:val="pt-BR" w:bidi="ar-SA"/>
                <w:kern w:val="16"/>
                <w14:ligatures w14:val="standardContextual"/>
              </w:rPr>
              <w:t xml:space="preserve"> ✅ (&gt; 15 anos) - Carência: </w:t>
            </w:r>
            <w:r>
              <w:rPr>
                <w:rFonts w:ascii="EB Garamond" w:hAnsi="EB Garamond" w:cs="EB Garamond"/>
                <w:b/>
                <w:i w:val="0"/>
                <w:color w:val="201B16"/>
                <w:sz w:val="19"/>
                <w:lang w:val="pt-BR" w:bidi="ar-SA"/>
                <w:kern w:val="16"/>
                <w14:ligatures w14:val="standardContextual"/>
              </w:rPr>
              <w:t>288 contribuições urbanas</w:t>
            </w:r>
            <w:r>
              <w:rPr>
                <w:rFonts w:ascii="EB Garamond" w:hAnsi="EB Garamond" w:cs="EB Garamond"/>
                <w:b w:val="0"/>
                <w:i w:val="0"/>
                <w:color w:val="201B16"/>
                <w:sz w:val="19"/>
                <w:lang w:val="pt-BR" w:bidi="ar-SA"/>
                <w:kern w:val="16"/>
                <w14:ligatures w14:val="standardContextual"/>
              </w:rPr>
              <w:t xml:space="preserve"> ✅ (&gt; 180 contribuições), o período rural anterior a nov/1991 não conta como carência na aposentadoria por idade urbana - Coeficiente: 60% + 2% × (44 - 20) = 60% + 48% = 108%, </w:t>
            </w:r>
            <w:r>
              <w:rPr>
                <w:rFonts w:ascii="EB Garamond" w:hAnsi="EB Garamond" w:cs="EB Garamond"/>
                <w:b/>
                <w:i w:val="0"/>
                <w:color w:val="201B16"/>
                <w:sz w:val="19"/>
                <w:lang w:val="pt-BR" w:bidi="ar-SA"/>
                <w:kern w:val="16"/>
                <w14:ligatures w14:val="standardContextual"/>
              </w:rPr>
              <w:t>limitado a 100%</w:t>
            </w:r>
            <w:r>
              <w:rPr>
                <w:rFonts w:ascii="EB Garamond" w:hAnsi="EB Garamond" w:cs="EB Garamond"/>
                <w:b w:val="0"/>
                <w:i w:val="0"/>
                <w:color w:val="201B16"/>
                <w:sz w:val="19"/>
                <w:lang w:val="pt-BR" w:bidi="ar-SA"/>
                <w:kern w:val="16"/>
                <w14:ligatures w14:val="standardContextual"/>
              </w:rPr>
              <w:t xml:space="preserve"> - Resultado: Joaquim tem direito à aposentadoria por idade urbana com coeficiente de 100%.</w:t>
            </w:r>
          </w:p>
          <w:p>
            <w:pPr>
              <w:spacing w:before="0" w:after="60" w:line="247" w:lineRule="auto"/>
              <w:jc w:val="both"/>
            </w:pPr>
            <w:r>
              <w:rPr>
                <w:rFonts w:ascii="EB Garamond" w:hAnsi="EB Garamond" w:cs="EB Garamond"/>
                <w:b/>
                <w:i w:val="0"/>
                <w:color w:val="201B16"/>
                <w:sz w:val="19"/>
                <w:lang w:val="pt-BR" w:bidi="ar-SA"/>
                <w:kern w:val="16"/>
                <w14:ligatures w14:val="standardContextual"/>
              </w:rPr>
              <w:t>Se Joaquim tivesse apenas 160 contribuições urbanas</w:t>
            </w:r>
            <w:r>
              <w:rPr>
                <w:rFonts w:ascii="EB Garamond" w:hAnsi="EB Garamond" w:cs="EB Garamond"/>
                <w:b w:val="0"/>
                <w:i w:val="0"/>
                <w:color w:val="201B16"/>
                <w:sz w:val="19"/>
                <w:lang w:val="pt-BR" w:bidi="ar-SA"/>
                <w:kern w:val="16"/>
                <w14:ligatures w14:val="standardContextual"/>
              </w:rPr>
              <w:t xml:space="preserve"> (e não 288): - Carência: 160 &lt; 180 → </w:t>
            </w:r>
            <w:r>
              <w:rPr>
                <w:rFonts w:ascii="EB Garamond" w:hAnsi="EB Garamond" w:cs="EB Garamond"/>
                <w:b/>
                <w:i w:val="0"/>
                <w:color w:val="201B16"/>
                <w:sz w:val="19"/>
                <w:lang w:val="pt-BR" w:bidi="ar-SA"/>
                <w:kern w:val="16"/>
                <w14:ligatures w14:val="standardContextual"/>
              </w:rPr>
              <w:t>não preenche</w:t>
            </w:r>
            <w:r>
              <w:rPr>
                <w:rFonts w:ascii="EB Garamond" w:hAnsi="EB Garamond" w:cs="EB Garamond"/>
                <w:b w:val="0"/>
                <w:i w:val="0"/>
                <w:color w:val="201B16"/>
                <w:sz w:val="19"/>
                <w:lang w:val="pt-BR" w:bidi="ar-SA"/>
                <w:kern w:val="16"/>
                <w14:ligatures w14:val="standardContextual"/>
              </w:rPr>
              <w:t xml:space="preserve"> carência para aposentadoria por idade urbana - Alternativa: Aposentadoria por idade </w:t>
            </w:r>
            <w:r>
              <w:rPr>
                <w:rFonts w:ascii="EB Garamond" w:hAnsi="EB Garamond" w:cs="EB Garamond"/>
                <w:b/>
                <w:i w:val="0"/>
                <w:color w:val="201B16"/>
                <w:sz w:val="19"/>
                <w:lang w:val="pt-BR" w:bidi="ar-SA"/>
                <w:kern w:val="16"/>
                <w14:ligatures w14:val="standardContextual"/>
              </w:rPr>
              <w:t>híbrida</w:t>
            </w:r>
            <w:r>
              <w:rPr>
                <w:rFonts w:ascii="EB Garamond" w:hAnsi="EB Garamond" w:cs="EB Garamond"/>
                <w:b w:val="0"/>
                <w:i w:val="0"/>
                <w:color w:val="201B16"/>
                <w:sz w:val="19"/>
                <w:lang w:val="pt-BR" w:bidi="ar-SA"/>
                <w:kern w:val="16"/>
                <w14:ligatures w14:val="standardContextual"/>
              </w:rPr>
              <w:t xml:space="preserve"> (Tema 1007/STJ — Cap. 9), somando período rural para completar carência - Outra alternativa: Aposentadoria por idade </w:t>
            </w:r>
            <w:r>
              <w:rPr>
                <w:rFonts w:ascii="EB Garamond" w:hAnsi="EB Garamond" w:cs="EB Garamond"/>
                <w:b/>
                <w:i w:val="0"/>
                <w:color w:val="201B16"/>
                <w:sz w:val="19"/>
                <w:lang w:val="pt-BR" w:bidi="ar-SA"/>
                <w:kern w:val="16"/>
                <w14:ligatures w14:val="standardContextual"/>
              </w:rPr>
              <w:t>rural</w:t>
            </w:r>
            <w:r>
              <w:rPr>
                <w:rFonts w:ascii="EB Garamond" w:hAnsi="EB Garamond" w:cs="EB Garamond"/>
                <w:b w:val="0"/>
                <w:i w:val="0"/>
                <w:color w:val="201B16"/>
                <w:sz w:val="19"/>
                <w:lang w:val="pt-BR" w:bidi="ar-SA"/>
                <w:kern w:val="16"/>
                <w14:ligatures w14:val="standardContextual"/>
              </w:rPr>
              <w:t xml:space="preserve"> (se manteve atividade rural até próximo do requerimento)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Casos de histórico misto como o de Seu Joaquim exigem que se mapeiem, lado a lado, a via urbana, a híbrida e a rural, antes de definir o pedido — é da comparação entre elas, e não da escolha apressada de uma só, que costuma emergir o benefício mais vantajoso.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10.14 Tutela provisória na aposentadoria por idade</w:t>
      </w:r>
    </w:p>
    <w:p>
      <w:pPr>
        <w:spacing w:before="260" w:after="80" w:line="240" w:lineRule="auto"/>
        <w:jc w:val="left"/>
      </w:pPr>
      <w:r>
        <w:rPr>
          <w:rFonts w:ascii="EB Garamond" w:hAnsi="EB Garamond" w:cs="EB Garamond"/>
          <w:b/>
          <w:i w:val="0"/>
          <w:color w:val="3A3128"/>
          <w:sz w:val="25"/>
          <w:lang w:val="pt-BR" w:bidi="ar-SA"/>
          <w:kern w:val="16"/>
          <w14:ligatures w14:val="standardContextual"/>
        </w:rPr>
        <w:t>10.14.1 Cabimento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tutela provisória de urgência (art. 300, CPC) é cabível na aposentadoria por idade quando presentes a probabilidade do direito e o perigo de dano ou risco ao resultado útil do processo. Nos JEFs, a concessão de tutela antecipada em matéria previdenciária é prática corrente e desempenha papel de enorme relevância social, considerando que os segurados que buscam a aposentadoria por idade são, via de regra, pessoas idosas em situação de vulnerabilidade econômica.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juiz deve avaliar o cabimento da tutela antecipada a partir de dois requisitos cumulativos: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 Probabilidade do direito (fumus boni iuris):</w:t>
      </w:r>
      <w:r>
        <w:rPr>
          <w:rFonts w:ascii="EB Garamond" w:hAnsi="EB Garamond" w:cs="EB Garamond"/>
          <w:b w:val="0"/>
          <w:i w:val="0"/>
          <w:color w:val="201B16"/>
          <w:sz w:val="21"/>
          <w:lang w:val="pt-BR" w:bidi="ar-SA"/>
          <w:kern w:val="16"/>
          <w14:ligatures w14:val="standardContextual"/>
        </w:rPr>
        <w:t xml:space="preserve"> Na aposentadoria por idade, a probabilidade do direito se demonstra pela comprovação de que o segurado atingiu a idade mínima exigida e preencheu a carência de 180 contribuições (ou o tempo de contribuição mínimo, conforme a regra aplicável). Quando o CNIS registra vínculos suficientes e não há controvérsia sobre sua validade, a probabilidade é elevada. Situações típicas de alta probabilidade: indeferimento por não reconhecimento de período urbano devidamente anotado na CTPS; indeferimento por não cômputo de período de benefício por incapacidade intercalado com atividade contributiva; indeferimento por erro no cálculo da carência.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b) Perigo de dano ou risco ao resultado útil do processo (periculum in mora):</w:t>
      </w:r>
      <w:r>
        <w:rPr>
          <w:rFonts w:ascii="EB Garamond" w:hAnsi="EB Garamond" w:cs="EB Garamond"/>
          <w:b w:val="0"/>
          <w:i w:val="0"/>
          <w:color w:val="201B16"/>
          <w:sz w:val="21"/>
          <w:lang w:val="pt-BR" w:bidi="ar-SA"/>
          <w:kern w:val="16"/>
          <w14:ligatures w14:val="standardContextual"/>
        </w:rPr>
        <w:t xml:space="preserve"> O perigo de dano é quase inerente às ações previdenciárias envolvendo segurados idosos. A jurisprudência dos Juizados tem admitido a presunção de urgência quando o segurado é idoso (acima de 60 anos, nos termos do Estatuto da Pessoa Idosa — Lei 10.741/2003) e não dispõe de outra fonte de renda. Alguns juízes exigem comprovação concreta da situação de vulnerabilidade (declaração de hipossuficiência, comprovação de ausência de rendimentos, relatório de assistência social), enquanto outros presumem o perigo de dano pela própria natureza alimentar do benefício previdenciário.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concessão de tutela antecipada em matéria previdenciária é especialmente relevante quando se consideram os prazos de tramitação. Mesmo nos JEFs, cujo procedimento é sumaríssimo, o processo pode levar de seis meses a dois anos até o trânsito em julgado. Para um segurado idoso sem renda, esse período pode representar privação alimentar e de saúde concreta e irreversível.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Modelo de argumentação para tutela antecipada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Na petição inicial da ação de concessão de aposentadoria por idade nos JEFs, o advogado deve estruturar o pedido de tutela antecipada com os seguintes elementos:</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 xml:space="preserve">1. </w:t>
            </w:r>
            <w:r>
              <w:rPr>
                <w:rFonts w:ascii="EB Garamond" w:hAnsi="EB Garamond" w:cs="EB Garamond"/>
                <w:b/>
                <w:i w:val="0"/>
                <w:color w:val="201B16"/>
                <w:sz w:val="19"/>
                <w:lang w:val="pt-BR" w:bidi="ar-SA"/>
                <w:kern w:val="16"/>
                <w14:ligatures w14:val="standardContextual"/>
              </w:rPr>
              <w:t>Demonstrar a probabilidade do direito:</w:t>
            </w:r>
            <w:r>
              <w:rPr>
                <w:rFonts w:ascii="EB Garamond" w:hAnsi="EB Garamond" w:cs="EB Garamond"/>
                <w:b w:val="0"/>
                <w:i w:val="0"/>
                <w:color w:val="201B16"/>
                <w:sz w:val="19"/>
                <w:lang w:val="pt-BR" w:bidi="ar-SA"/>
                <w:kern w:val="16"/>
                <w14:ligatures w14:val="standardContextual"/>
              </w:rPr>
              <w:t xml:space="preserve">  - Apresentar CNIS atualizado, destacando os vínculos e contribuições que compõem a carência;  - Juntar CTPS com anotações claras dos vínculos não reconhecidos pelo INSS;  - Demonstrar, em tabela ou planilha, que o segurado atinge a carência de 180 contribuições e/ou o tempo de contribuição mínimo exigido;  - Indicar expressamente a regra pela qual se requer a aposentadoria (art. 18 EC 103, regra permanente ou direito adquirido).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 xml:space="preserve">2. </w:t>
            </w:r>
            <w:r>
              <w:rPr>
                <w:rFonts w:ascii="EB Garamond" w:hAnsi="EB Garamond" w:cs="EB Garamond"/>
                <w:b/>
                <w:i w:val="0"/>
                <w:color w:val="201B16"/>
                <w:sz w:val="19"/>
                <w:lang w:val="pt-BR" w:bidi="ar-SA"/>
                <w:kern w:val="16"/>
                <w14:ligatures w14:val="standardContextual"/>
              </w:rPr>
              <w:t>Demonstrar o perigo de dano:</w:t>
            </w:r>
            <w:r>
              <w:rPr>
                <w:rFonts w:ascii="EB Garamond" w:hAnsi="EB Garamond" w:cs="EB Garamond"/>
                <w:b w:val="0"/>
                <w:i w:val="0"/>
                <w:color w:val="201B16"/>
                <w:sz w:val="19"/>
                <w:lang w:val="pt-BR" w:bidi="ar-SA"/>
                <w:kern w:val="16"/>
                <w14:ligatures w14:val="standardContextual"/>
              </w:rPr>
              <w:t xml:space="preserve">  - Alegar e comprovar a idade avançada do segurado (certidão de nascimento ou RG);  - Demonstrar a dependência econômica do benefício (declaração de hipossuficiência, ausência de registro no CNIS após o indeferimento, ou comprovação de que o segurado está desempregado);  - Se disponível, juntar relatório médico que evidencie condição de saúde frágil;  - Invocar o caráter alimentar do benefício previdenciário e a irreversibilidade do dano pela demora processual.</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 xml:space="preserve">3. </w:t>
            </w:r>
            <w:r>
              <w:rPr>
                <w:rFonts w:ascii="EB Garamond" w:hAnsi="EB Garamond" w:cs="EB Garamond"/>
                <w:b/>
                <w:i w:val="0"/>
                <w:color w:val="201B16"/>
                <w:sz w:val="19"/>
                <w:lang w:val="pt-BR" w:bidi="ar-SA"/>
                <w:kern w:val="16"/>
                <w14:ligatures w14:val="standardContextual"/>
              </w:rPr>
              <w:t>Requerer a implantação imediata:</w:t>
            </w:r>
            <w:r>
              <w:rPr>
                <w:rFonts w:ascii="EB Garamond" w:hAnsi="EB Garamond" w:cs="EB Garamond"/>
                <w:b w:val="0"/>
                <w:i w:val="0"/>
                <w:color w:val="201B16"/>
                <w:sz w:val="19"/>
                <w:lang w:val="pt-BR" w:bidi="ar-SA"/>
                <w:kern w:val="16"/>
                <w14:ligatures w14:val="standardContextual"/>
              </w:rPr>
              <w:t xml:space="preserve">  - "Requer a concessão de tutela provisória de urgência para determinar ao INSS que implante o benefício de aposentadoria por idade, com DIP na data da citação ou da intimação da decisão, no prazo de 30 dias, sob pena de multa diária de R$ 200,00."</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 xml:space="preserve">4. </w:t>
            </w:r>
            <w:r>
              <w:rPr>
                <w:rFonts w:ascii="EB Garamond" w:hAnsi="EB Garamond" w:cs="EB Garamond"/>
                <w:b/>
                <w:i w:val="0"/>
                <w:color w:val="201B16"/>
                <w:sz w:val="19"/>
                <w:lang w:val="pt-BR" w:bidi="ar-SA"/>
                <w:kern w:val="16"/>
                <w14:ligatures w14:val="standardContextual"/>
              </w:rPr>
              <w:t>Sobre as astreintes:</w:t>
            </w:r>
            <w:r>
              <w:rPr>
                <w:rFonts w:ascii="EB Garamond" w:hAnsi="EB Garamond" w:cs="EB Garamond"/>
                <w:b w:val="0"/>
                <w:i w:val="0"/>
                <w:color w:val="201B16"/>
                <w:sz w:val="19"/>
                <w:lang w:val="pt-BR" w:bidi="ar-SA"/>
                <w:kern w:val="16"/>
                <w14:ligatures w14:val="standardContextual"/>
              </w:rPr>
              <w:t xml:space="preserve">  - A fixação de multa diária (astreintes) é admitida nos JEFs contra o INSS, embora haja divergência sobre a razoabilidade do valor;  - A tendência jurisprudencial é fixar astreintes entre R$ 100,00 e R$ 500,00 por dia de atraso, com limitação temporal (geralmente 30 a 60 dias de multa, ou limite pecuniário equivalente a R$ 10.000,00 a R$ 30.000,00);  - Algumas Turmas Recursais têm admitido a intimação pessoal do gerente da agência do INSS para cumprimento, sob pena de responsabilização por crime de desobediência.</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10.14.2 Irreversibilidade e devolução de valores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U</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m aspecto sensível da tutela antecipada em matéria previdenciária é a questão da irreversibilidade. O art. 300, § 3º, do CPC estabelece que a tutela de urgência de natureza antecipada não será concedida quando houver perigo de irreversibilidade dos efeitos da decisão. Contudo, a jurisprudência do STJ consolidou o entendimento de que os valores recebidos de boa-fé pelo segurado em decorrência de tutela antecipada são irrepetíveis, mesmo que a decisão final lhe seja desfavorável.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Esse entendimento, que se aplica a todos os benefícios previdenciários, tem especial relevância na aposentadoria por idade, porque o segurado idoso que recebe proventos em caráter provisório geralmente os consome para sua subsistência. A exigência de devolução representaria enriquecimento sem causa do INSS às custas de um segurado vulnerável.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TNU e o STJ firmaram tese no sentido de que os valores alimentares recebidos por força de decisão judicial provisória, de boa-fé, são irrepetíveis. O fundamento está na natureza alimentar do benefício previdenciário e na boa-fé objetiva do segurado que agiu amparado por decisão judicial. Contudo, há precedentes que ressalvam a possibilidade de desconto em caso de má-fé comprovada (por exemplo, quando o segurado apresentou documentos falsos para obter a tutela).</w:t>
      </w:r>
    </w:p>
    <w:p>
      <w:pPr>
        <w:spacing w:before="260" w:after="80" w:line="240" w:lineRule="auto"/>
        <w:jc w:val="left"/>
      </w:pPr>
      <w:r>
        <w:rPr>
          <w:rFonts w:ascii="EB Garamond" w:hAnsi="EB Garamond" w:cs="EB Garamond"/>
          <w:b/>
          <w:i w:val="0"/>
          <w:color w:val="3A3128"/>
          <w:sz w:val="25"/>
          <w:lang w:val="pt-BR" w:bidi="ar-SA"/>
          <w:kern w:val="16"/>
          <w14:ligatures w14:val="standardContextual"/>
        </w:rPr>
        <w:t>10.14.3 Tutela de evidência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tutela de evidência (art. 311, CPC) pode ser requerida quando o direito do segurado é líquido e certo, independentemente de demonstração de urgência. No contexto da aposentadoria por idade, a tutela de evidência é cabível quando o INSS indeferiu o benefício em contrariedade a entendimento consolidado (por exemplo, recusando a contagem de tempo de contribuição que o CNIS comprova de forma inequívoca).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tutela de evidência e menos frequente do que a de urgência nos JEFs, mas e ferramenta relevante para casos de indeferimento administrativo infundado. O art. 311, II, do CPC prevê a concessão de tutela de evidência quando as alegações de fato puderem ser comprovadas apenas documentalmente e houver tese firmada em julgamento de casos repetitivos ou em súmula vinculante. Essa hipótese é particularmente aplicável quando o segurado tem CNIS e CTPS que demonstram, sem margem de dúvida, o preenchimento dos requisitos da aposentadoria por idade, e o indeferimento administrativo se baseou em interpretação jurídica superada por tese vinculante do STJ ou da TNU.</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Outra hipótese relevante de tutela de evidência é a prevista no art. 311, IV, do CPC: quando a petição inicial é instruída com prova documental suficiente dos fatos constitutivos do direito do autor, a que o réu não oponha prova capaz de gerar dúvida razoável. Na aposentadoria por idade, essa situação ocorre quando o INSS contesta a ação sem impugnar especificamente os documentos apresentados — limitando-se a alegar genericamente que o segurado não preenche os requisitos, sem demonstrar qual documento é insuficiente ou qual período é controverso.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vantagem prática da tutela de evidência sobre a tutela de urgência é que aquela dispensa a demonstração do periculum in mora. Para segurados que, embora idosos, não se encontram em situação de vulnerabilidade extrema (por exemplo, porque contam com outra fonte de renda, como pensão por morte de cônjuge), a tutela de evidência pode ser o caminho mais adequado para obter a implantação imediata do benefício.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10.15 Aspectos processuais nos juizados especiais federais</w:t>
      </w:r>
    </w:p>
    <w:p>
      <w:pPr>
        <w:spacing w:before="260" w:after="80" w:line="240" w:lineRule="auto"/>
        <w:jc w:val="left"/>
      </w:pPr>
      <w:r>
        <w:rPr>
          <w:rFonts w:ascii="EB Garamond" w:hAnsi="EB Garamond" w:cs="EB Garamond"/>
          <w:b/>
          <w:i w:val="0"/>
          <w:color w:val="3A3128"/>
          <w:sz w:val="25"/>
          <w:lang w:val="pt-BR" w:bidi="ar-SA"/>
          <w:kern w:val="16"/>
          <w14:ligatures w14:val="standardContextual"/>
        </w:rPr>
        <w:t>10.15.1 Competência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competência para processar e julgar ações de aposentadoria por idade contra o INSS é dos Juizados Especiais Federais quando o valor da causa não ultrapassa 60 salários-mínimos (R$ 97.260,00 em 2026), nos termos do art. 3º da Lei 10.259/2001. O valor da causa é apurado pela soma das prestações vencidas acrescidas de 12 prestações vincendas (art. 260, CPC).</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maioria das ações de concessão de aposentadoria por idade, o valor da causa situa-se dentro da competência dos JEFs, pois o período de prestações vencidas raramente ultrapassa alguns anos e o valor do benefício geralmente é próximo ao salário-mínimo. Entretanto, em ações de revisão do valor do benefício ou em casos de longo período entre o indeferimento e o ajuizamento, o valor pode exceder o teto dos JEFs, deslocando a competência para as Varas Federais comuns.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competência territorial, nos termos do art. 4º da Lei 10.259/2001, combinado com o art. 109, § 3º, da CF/88, é determinada pelo domicílio do segurado. Quando a localidade não é sede de Vara Federal ou de JEF, a competência é delegada à Justiça Estadual, que aplica a legislação federal. Essa regra é especialmente relevante para segurados que residem em municípios do interior, distantes das sedes dos JEFs, e que podem ajuizar a ação perante a Justiça Estadual com competência delegada.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Destaca-se a questão da renúncia ao valor excedente. O segurado que tem direito a valor superior a 60 salários-mínimos pode optar por ajuizar a ação perante os JEFs, renunciando ao montante que exceder o teto (art. 3º, § 3º, Lei 10.259/2001). Essa opção pode ser vantajosa em razão da celeridade do procedimento sumaríssimo, da dispensa de custas e honorários advocatícios sucumbenciais em primeira instância, e da maior informalidade na instrução processual. O advogado deve orientar o cliente sobre as vantagens e desvantagens de cada foro, considerando o valor envolvido, a complexidade da prova e a expectativa de duração do processo.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Outra questão processual relevante é a competência para ações que envolvem simultaneamente pedido de aposentadoria por idade e pedido de reconhecimento de tempo de contribuição ou revisão de dados do CNIS. Nesses casos, a competência é do JEF quando o valor total da pretensão (soma das parcelas vencidas relativas a todos os pedidos) não ultrapassa o teto. A cumulação de pedidos é admitida e, na prática, é extremamente comum: o segurado pede o reconhecimento de vínculos não registrados no CNIS e, como consequência, a concessão da aposentadoria por idade.</w:t>
      </w:r>
    </w:p>
    <w:p>
      <w:pPr>
        <w:spacing w:before="260" w:after="80" w:line="240" w:lineRule="auto"/>
        <w:jc w:val="left"/>
      </w:pPr>
      <w:r>
        <w:rPr>
          <w:rFonts w:ascii="EB Garamond" w:hAnsi="EB Garamond" w:cs="EB Garamond"/>
          <w:b/>
          <w:i w:val="0"/>
          <w:color w:val="3A3128"/>
          <w:sz w:val="25"/>
          <w:lang w:val="pt-BR" w:bidi="ar-SA"/>
          <w:kern w:val="16"/>
          <w14:ligatures w14:val="standardContextual"/>
        </w:rPr>
        <w:t>10.15.2 Documentação essencial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advogado que atua nos JEFs em matéria previdenciária deve instruir a petição inicial com a seguinte documentação mínima: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1. </w:t>
      </w:r>
      <w:r>
        <w:rPr>
          <w:rFonts w:ascii="EB Garamond" w:hAnsi="EB Garamond" w:cs="EB Garamond"/>
          <w:b/>
          <w:i w:val="0"/>
          <w:color w:val="201B16"/>
          <w:sz w:val="20"/>
          <w:lang w:val="pt-BR" w:bidi="ar-SA"/>
          <w:kern w:val="16"/>
          <w14:ligatures w14:val="standardContextual"/>
        </w:rPr>
        <w:t>Documentos pessoais:</w:t>
      </w:r>
      <w:r>
        <w:rPr>
          <w:rFonts w:ascii="EB Garamond" w:hAnsi="EB Garamond" w:cs="EB Garamond"/>
          <w:b w:val="0"/>
          <w:i w:val="0"/>
          <w:color w:val="201B16"/>
          <w:sz w:val="20"/>
          <w:lang w:val="pt-BR" w:bidi="ar-SA"/>
          <w:kern w:val="16"/>
          <w14:ligatures w14:val="standardContextual"/>
        </w:rPr>
        <w:t xml:space="preserve"> RG, CPF, comprovante de residência;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2. </w:t>
      </w:r>
      <w:r>
        <w:rPr>
          <w:rFonts w:ascii="EB Garamond" w:hAnsi="EB Garamond" w:cs="EB Garamond"/>
          <w:b/>
          <w:i w:val="0"/>
          <w:color w:val="201B16"/>
          <w:sz w:val="20"/>
          <w:lang w:val="pt-BR" w:bidi="ar-SA"/>
          <w:kern w:val="16"/>
          <w14:ligatures w14:val="standardContextual"/>
        </w:rPr>
        <w:t>CNIS atualizado:</w:t>
      </w:r>
      <w:r>
        <w:rPr>
          <w:rFonts w:ascii="EB Garamond" w:hAnsi="EB Garamond" w:cs="EB Garamond"/>
          <w:b w:val="0"/>
          <w:i w:val="0"/>
          <w:color w:val="201B16"/>
          <w:sz w:val="20"/>
          <w:lang w:val="pt-BR" w:bidi="ar-SA"/>
          <w:kern w:val="16"/>
          <w14:ligatures w14:val="standardContextual"/>
        </w:rPr>
        <w:t xml:space="preserve"> Extrato do Cadastro Nacional de Informações Sociais (obtido via Meu INSS ou requisitado judicialmente);</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3. </w:t>
      </w:r>
      <w:r>
        <w:rPr>
          <w:rFonts w:ascii="EB Garamond" w:hAnsi="EB Garamond" w:cs="EB Garamond"/>
          <w:b/>
          <w:i w:val="0"/>
          <w:color w:val="201B16"/>
          <w:sz w:val="20"/>
          <w:lang w:val="pt-BR" w:bidi="ar-SA"/>
          <w:kern w:val="16"/>
          <w14:ligatures w14:val="standardContextual"/>
        </w:rPr>
        <w:t>CTPS:</w:t>
      </w:r>
      <w:r>
        <w:rPr>
          <w:rFonts w:ascii="EB Garamond" w:hAnsi="EB Garamond" w:cs="EB Garamond"/>
          <w:b w:val="0"/>
          <w:i w:val="0"/>
          <w:color w:val="201B16"/>
          <w:sz w:val="20"/>
          <w:lang w:val="pt-BR" w:bidi="ar-SA"/>
          <w:kern w:val="16"/>
          <w14:ligatures w14:val="standardContextual"/>
        </w:rPr>
        <w:t xml:space="preserve"> Todas as carteiras de trabalho, com cópias de todas as páginas com anotações (inclusive contratos encerrados);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4. </w:t>
      </w:r>
      <w:r>
        <w:rPr>
          <w:rFonts w:ascii="EB Garamond" w:hAnsi="EB Garamond" w:cs="EB Garamond"/>
          <w:b/>
          <w:i w:val="0"/>
          <w:color w:val="201B16"/>
          <w:sz w:val="20"/>
          <w:lang w:val="pt-BR" w:bidi="ar-SA"/>
          <w:kern w:val="16"/>
          <w14:ligatures w14:val="standardContextual"/>
        </w:rPr>
        <w:t>Carta de indeferimento do INSS:</w:t>
      </w:r>
      <w:r>
        <w:rPr>
          <w:rFonts w:ascii="EB Garamond" w:hAnsi="EB Garamond" w:cs="EB Garamond"/>
          <w:b w:val="0"/>
          <w:i w:val="0"/>
          <w:color w:val="201B16"/>
          <w:sz w:val="20"/>
          <w:lang w:val="pt-BR" w:bidi="ar-SA"/>
          <w:kern w:val="16"/>
          <w14:ligatures w14:val="standardContextual"/>
        </w:rPr>
        <w:t xml:space="preserve"> Comunicação de decisão administrativa com os motivos do indeferimento;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5. </w:t>
      </w:r>
      <w:r>
        <w:rPr>
          <w:rFonts w:ascii="EB Garamond" w:hAnsi="EB Garamond" w:cs="EB Garamond"/>
          <w:b/>
          <w:i w:val="0"/>
          <w:color w:val="201B16"/>
          <w:sz w:val="20"/>
          <w:lang w:val="pt-BR" w:bidi="ar-SA"/>
          <w:kern w:val="16"/>
          <w14:ligatures w14:val="standardContextual"/>
        </w:rPr>
        <w:t>Documentos comprobatórios adicionais:</w:t>
      </w:r>
      <w:r>
        <w:rPr>
          <w:rFonts w:ascii="EB Garamond" w:hAnsi="EB Garamond" w:cs="EB Garamond"/>
          <w:b w:val="0"/>
          <w:i w:val="0"/>
          <w:color w:val="201B16"/>
          <w:sz w:val="20"/>
          <w:lang w:val="pt-BR" w:bidi="ar-SA"/>
          <w:kern w:val="16"/>
          <w14:ligatures w14:val="standardContextual"/>
        </w:rPr>
        <w:t xml:space="preserve"> Contracheques, carnês de contribuição (GPS), declarações de empregadores, certidões de tempo de contribuição, laudos médicos (se houver período de benefício por incapacidade a ser computado);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6. </w:t>
      </w:r>
      <w:r>
        <w:rPr>
          <w:rFonts w:ascii="EB Garamond" w:hAnsi="EB Garamond" w:cs="EB Garamond"/>
          <w:b/>
          <w:i w:val="0"/>
          <w:color w:val="201B16"/>
          <w:sz w:val="20"/>
          <w:lang w:val="pt-BR" w:bidi="ar-SA"/>
          <w:kern w:val="16"/>
          <w14:ligatures w14:val="standardContextual"/>
        </w:rPr>
        <w:t>Simulação de cálculo:</w:t>
      </w:r>
      <w:r>
        <w:rPr>
          <w:rFonts w:ascii="EB Garamond" w:hAnsi="EB Garamond" w:cs="EB Garamond"/>
          <w:b w:val="0"/>
          <w:i w:val="0"/>
          <w:color w:val="201B16"/>
          <w:sz w:val="20"/>
          <w:lang w:val="pt-BR" w:bidi="ar-SA"/>
          <w:kern w:val="16"/>
          <w14:ligatures w14:val="standardContextual"/>
        </w:rPr>
        <w:t xml:space="preserve"> Demonstrativo do cálculo do benefício por cada regra aplicável, com indicação da mais vantajosa.</w:t>
      </w:r>
    </w:p>
    <w:p>
      <w:pPr>
        <w:spacing w:before="0" w:after="6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Requerimento administrativo prévio — é obrigatório?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jurisprudência do STF (Tema 350 — RE 631.240) firmou que, em regra, é necessário o prévio requerimento administrativo antes do ajuizamento de ação previdenciária. Contudo, a exigência é dispensada quando: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1. O INSS tiver posição institucional notoriamente contrária ao pedido (resistência presumida);</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2. O segurado demonstrar que o INSS recusou o protocolo do requerimento;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3. A demora administrativa for irrazoável (mais de 45 dias sem resposta, nos termos da Lei 9.784/99).</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Na aposentadoria por idade, o requerimento administrativo prévio é quase sempre exigido, porque o benefício depende de análise documental que o INSS deve ter a oportunidade de realizar. A exceção mais comum é o caso em que o INSS já indeferiu benefício idêntico anteriormente e mantém a posição contrária.</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10.15.3 Audiência e instrução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N</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as ações de aposentadoria por idade nos JEFs, a instrução processual é predominantemente documental. A maior parte dos casos pode ser resolvida sem audiência, com base no CNIS, na CTPS e nos documentos que acompanham a petição inicial. O juiz, ao receber a contestação do INSS e verificar que a controvérsia é exclusivamente jurídica (por exemplo, divergência sobre a interpretação da norma aplicável ao caso) ou que a prova documental é suficiente para decidir, pode proferir sentença de plano, sem designar audiência.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designação de audiência é necessária quando há controvérsia sobre fatos que dependem de prova oral, como: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Reconhecimento de vínculo empregatício não registrado no CNIS e não constante da CTPS;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Comprovação de atividade como contribuinte individual sem carnê de contribuição;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Ratificação de informações constantes de declarações de ex-empregadores;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Verificação da data de início ou término de vínculo quando há divergência entre CNIS e CTPS;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Comprovação de que o segurado manteve a qualidade de segurado durante período sem contribuição.</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prova testemunhal, nos JEFs, é colhida em audiência de instrução e julgamento (audiência una), conforme o procedimento sumaríssimo da Lei 10.259/2001. A oitiva de testemunhas é limitada a três por fato controvertido, e o depoimento pode ser tomado informalmente, sem compromisso formal de dizer a verdade (art. 36, Lei 9.099/95, c/c art. 1º, Lei 10.259/2001). Essa informalidade, contudo, não afasta as consequências penais do falso testemunho (art. 342, CP).</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a comprovação de tempo de contribuição urbano, a prova testemunhal tem valor complementar — ela não pode ser a prova exclusiva do vínculo (aplicação analógica da Súmula 149/STJ). A testemunha pode confirmar a existência de um vínculo empregatício não registrado, mas é necessário um início de prova material (CTPS, recibos, declarações, fichas de registro de empregados, etc.). Essa exigência de início de prova material é mais rigorosa no caso de vínculos urbanos do que no caso de atividade rural, porque a expectativa é de que o emprego urbano formal deixe rastros documentais.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As audiências nos JEFs previdenciários apresentam peculiaridades que o advogado deve conhecer:</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 Audiência de conciliação:</w:t>
      </w:r>
      <w:r>
        <w:rPr>
          <w:rFonts w:ascii="EB Garamond" w:hAnsi="EB Garamond" w:cs="EB Garamond"/>
          <w:b w:val="0"/>
          <w:i w:val="0"/>
          <w:color w:val="201B16"/>
          <w:sz w:val="21"/>
          <w:lang w:val="pt-BR" w:bidi="ar-SA"/>
          <w:kern w:val="16"/>
          <w14:ligatures w14:val="standardContextual"/>
        </w:rPr>
        <w:t xml:space="preserve"> O art. 10 da Lei 10.259/2001 prevê a tentativa de conciliação em audiência. Nas ações previdenciárias, a conciliação com o INSS segue parâmetros institucionais estabelecidos pela Procuradoria Federal Especializada junto ao INSS, que autoriza a celebração de acordos em determinadas faixas de valor e mediante certas condições. O juiz deve verificar se o representante do INSS tem poderes para transigir. Na prática, muitos JEFs realizam "mutirões de conciliação" previdenciários, nos quais procuradores do INSS com poderes especiais analisam os casos e propõem acordos — modalidade que tem obtido resultados expressivos na redução do acervo processual.</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b) Audiência por videoconferência:</w:t>
      </w:r>
      <w:r>
        <w:rPr>
          <w:rFonts w:ascii="EB Garamond" w:hAnsi="EB Garamond" w:cs="EB Garamond"/>
          <w:b w:val="0"/>
          <w:i w:val="0"/>
          <w:color w:val="201B16"/>
          <w:sz w:val="21"/>
          <w:lang w:val="pt-BR" w:bidi="ar-SA"/>
          <w:kern w:val="16"/>
          <w14:ligatures w14:val="standardContextual"/>
        </w:rPr>
        <w:t xml:space="preserve"> A pandemia de COVID-19 acelerou a adoção de audiências por videoconferência nos JEFs, prática que permaneceu mesmo após o retorno às atividades presenciais. A Resolução CJF n. 758/2022, complementada por atos normativos de cada Seção Judiciária, autoriza a realização de audiências telepresenciais no âmbito da Justiça Federal. Para o segurado idoso, a possibilidade de participar da audiência por videoconferência, de sua residência ou do escritório do advogado, representa significativa redução de custos e deslocamento.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 Depoimento pessoal do segurado:</w:t>
      </w:r>
      <w:r>
        <w:rPr>
          <w:rFonts w:ascii="EB Garamond" w:hAnsi="EB Garamond" w:cs="EB Garamond"/>
          <w:b w:val="0"/>
          <w:i w:val="0"/>
          <w:color w:val="201B16"/>
          <w:sz w:val="21"/>
          <w:lang w:val="pt-BR" w:bidi="ar-SA"/>
          <w:kern w:val="16"/>
          <w14:ligatures w14:val="standardContextual"/>
        </w:rPr>
        <w:t xml:space="preserve"> O juiz pode determinar o depoimento pessoal do segurado, especialmente quando há dúvida sobre a natureza das atividades exercidas, sobre a manutenção da qualidade de segurado ou sobre períodos sem contribuição. O depoimento pessoal, nos JEFs, é tomado de forma informal, e o juiz pode dialogar diretamente com a parte para esclarecimento dos fatos.</w:t>
      </w:r>
    </w:p>
    <w:p>
      <w:pPr>
        <w:spacing w:before="260" w:after="80" w:line="240" w:lineRule="auto"/>
        <w:jc w:val="left"/>
      </w:pPr>
      <w:r>
        <w:rPr>
          <w:rFonts w:ascii="EB Garamond" w:hAnsi="EB Garamond" w:cs="EB Garamond"/>
          <w:b/>
          <w:i w:val="0"/>
          <w:color w:val="3A3128"/>
          <w:sz w:val="25"/>
          <w:lang w:val="pt-BR" w:bidi="ar-SA"/>
          <w:kern w:val="16"/>
          <w14:ligatures w14:val="standardContextual"/>
        </w:rPr>
        <w:t>10.15.4 Sentença e recursos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sentença nos JEFs é irrecorrível por meio de apelação. O recurso cabível é o recurso inominado (art. 41, Lei 9.099/95, c/c art. 1º, Lei 10.259/2001), dirigido à Turma Recursal. O prazo é de 10 dias (dias úteis, conforme art. 219 do CPC, aplicável aos JEFs por força do art. 12, Lei 10.259/2001), e não é cabível recurso adesivo. O preparo é dispensado para o INSS (autarquia federal) e para o segurado beneficiário da justiça gratuita.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sentença de procedência na ação de aposentadoria por idade deve especificar: (i) a regra pela qual a aposentadoria é concedida (direito adquirido, art. 18, regra permanente); (ii) a data de início do benefício (DIB); (iii) a data de início do pagamento (DIP); (iv) a renda mensal inicial (RMI) ou, alternativamente, a determinação de que o INSS calcule a RMI pela regra mais vantajosa; (v) a condenação em prestações vencidas, corrigidas monetariamente e acrescidas de juros de mora; (vi) os honorários advocatícios, fixados sobre as parcelas vencidas até a sentença (Súmula 111/STJ).</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Quanto a correção monetária e aos juros de mora, aplica-se o Manual de Cálculos da Justiça Federal (aprovado pela Resolução CJF n. 784/2022), que estabelece a utilização do IPCA-E como índice de correção monetária até novembro de 2021 e da taxa SELIC a partir de dezembro de 2021 (EC 113/2021, art. 3o), esta última englobando juros e correção em parcela única.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Turma Recursal julga o recurso com base na prova dos autos, podendo reformar a sentença no mérito. Não há reexame necessário nos JEFs (art. 13, Lei 10.259/2001). Contra o acórdão da Turma Recursal, cabem:</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 Embargos de declaração:</w:t>
      </w:r>
      <w:r>
        <w:rPr>
          <w:rFonts w:ascii="EB Garamond" w:hAnsi="EB Garamond" w:cs="EB Garamond"/>
          <w:b w:val="0"/>
          <w:i w:val="0"/>
          <w:color w:val="201B16"/>
          <w:sz w:val="21"/>
          <w:lang w:val="pt-BR" w:bidi="ar-SA"/>
          <w:kern w:val="16"/>
          <w14:ligatures w14:val="standardContextual"/>
        </w:rPr>
        <w:t xml:space="preserve"> Para suprir omissão, contradição, obscuridade ou erro material (art. 48, Lei 9.099/95). O prazo é de 5 dias.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b) Pedido de uniformização regional:</w:t>
      </w:r>
      <w:r>
        <w:rPr>
          <w:rFonts w:ascii="EB Garamond" w:hAnsi="EB Garamond" w:cs="EB Garamond"/>
          <w:b w:val="0"/>
          <w:i w:val="0"/>
          <w:color w:val="201B16"/>
          <w:sz w:val="21"/>
          <w:lang w:val="pt-BR" w:bidi="ar-SA"/>
          <w:kern w:val="16"/>
          <w14:ligatures w14:val="standardContextual"/>
        </w:rPr>
        <w:t xml:space="preserve"> Dirigido à Turma Regional de Uniformização (TRU), quando houver divergência entre Turmas Recursais da mesma Região (art. 14, § 1º, Lei 10.259/2001).</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 Pedido de uniformização nacional:</w:t>
      </w:r>
      <w:r>
        <w:rPr>
          <w:rFonts w:ascii="EB Garamond" w:hAnsi="EB Garamond" w:cs="EB Garamond"/>
          <w:b w:val="0"/>
          <w:i w:val="0"/>
          <w:color w:val="201B16"/>
          <w:sz w:val="21"/>
          <w:lang w:val="pt-BR" w:bidi="ar-SA"/>
          <w:kern w:val="16"/>
          <w14:ligatures w14:val="standardContextual"/>
        </w:rPr>
        <w:t xml:space="preserve"> Dirigido à Turma Nacional de Uniformização (TNU), quando houver divergência entre Turmas Recursais de Regiões diferentes ou entre Turma Recursal e jurisprudência do STJ (art. 14, § 2º, Lei 10.259/2001). A TNU tem desempenhado papel fundamental na fixação de teses sobre aposentadoria por idade, como as Súmulas 44 (tabela de carência) e o Tema 358 (carência pós-EC 103).</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d) Recurso extraordinário:</w:t>
      </w:r>
      <w:r>
        <w:rPr>
          <w:rFonts w:ascii="EB Garamond" w:hAnsi="EB Garamond" w:cs="EB Garamond"/>
          <w:b w:val="0"/>
          <w:i w:val="0"/>
          <w:color w:val="201B16"/>
          <w:sz w:val="21"/>
          <w:lang w:val="pt-BR" w:bidi="ar-SA"/>
          <w:kern w:val="16"/>
          <w14:ligatures w14:val="standardContextual"/>
        </w:rPr>
        <w:t xml:space="preserve"> Excepcionalmente, cabe recurso extraordinário ao STF quando a decisão contrariar dispositivo constitucional, nos termos do art. 102, III, da CF/88. O STF exige a demonstração de repercussão geral.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Execução da sentença nos JEFs — particularidades</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Após o trânsito em julgado, a execução da sentença previdenciária nos JEFs segue procedimento próprio: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1. </w:t>
            </w:r>
            <w:r>
              <w:rPr>
                <w:rFonts w:ascii="EB Garamond" w:hAnsi="EB Garamond" w:cs="EB Garamond"/>
                <w:b/>
                <w:i w:val="0"/>
                <w:color w:val="201B16"/>
                <w:sz w:val="19"/>
                <w:lang w:val="pt-BR" w:bidi="ar-SA"/>
                <w:kern w:val="16"/>
                <w14:ligatures w14:val="standardContextual"/>
              </w:rPr>
              <w:t>Implantação do benefício:</w:t>
            </w:r>
            <w:r>
              <w:rPr>
                <w:rFonts w:ascii="EB Garamond" w:hAnsi="EB Garamond" w:cs="EB Garamond"/>
                <w:b w:val="0"/>
                <w:i w:val="0"/>
                <w:color w:val="201B16"/>
                <w:sz w:val="19"/>
                <w:lang w:val="pt-BR" w:bidi="ar-SA"/>
                <w:kern w:val="16"/>
                <w14:ligatures w14:val="standardContextual"/>
              </w:rPr>
              <w:t xml:space="preserve"> O INSS deve implantar o benefício no prazo fixado na sentença (geralmente 30 a 45 dias após a intimação). O descumprimento pode ensejar multa diária (astreintes) e, em último caso, sequestro de valores (art. 17, Lei 10.259/2001).</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2. </w:t>
            </w:r>
            <w:r>
              <w:rPr>
                <w:rFonts w:ascii="EB Garamond" w:hAnsi="EB Garamond" w:cs="EB Garamond"/>
                <w:b/>
                <w:i w:val="0"/>
                <w:color w:val="201B16"/>
                <w:sz w:val="19"/>
                <w:lang w:val="pt-BR" w:bidi="ar-SA"/>
                <w:kern w:val="16"/>
                <w14:ligatures w14:val="standardContextual"/>
              </w:rPr>
              <w:t>Pagamento das parcelas vencidas:</w:t>
            </w:r>
            <w:r>
              <w:rPr>
                <w:rFonts w:ascii="EB Garamond" w:hAnsi="EB Garamond" w:cs="EB Garamond"/>
                <w:b w:val="0"/>
                <w:i w:val="0"/>
                <w:color w:val="201B16"/>
                <w:sz w:val="19"/>
                <w:lang w:val="pt-BR" w:bidi="ar-SA"/>
                <w:kern w:val="16"/>
                <w14:ligatures w14:val="standardContextual"/>
              </w:rPr>
              <w:t xml:space="preserve"> As parcelas vencidas são pagas mediante Requisição de Pequeno Valor (RPV) quando o montante não ultrapassa 60 salários-mínimos (R$ 97.260,00 em 2026). O pagamento deve ser efetuado em até 60 dias após a requisição (art. 17, § 1º, Lei 10.259/2001). Se o valor exceder 60 SM, o pagamento se dá por precatório (art. 100, CF), com prazo significativamente mais longo.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3. </w:t>
            </w:r>
            <w:r>
              <w:rPr>
                <w:rFonts w:ascii="EB Garamond" w:hAnsi="EB Garamond" w:cs="EB Garamond"/>
                <w:b/>
                <w:i w:val="0"/>
                <w:color w:val="201B16"/>
                <w:sz w:val="19"/>
                <w:lang w:val="pt-BR" w:bidi="ar-SA"/>
                <w:kern w:val="16"/>
                <w14:ligatures w14:val="standardContextual"/>
              </w:rPr>
              <w:t>Honorários advocatícios:</w:t>
            </w:r>
            <w:r>
              <w:rPr>
                <w:rFonts w:ascii="EB Garamond" w:hAnsi="EB Garamond" w:cs="EB Garamond"/>
                <w:b w:val="0"/>
                <w:i w:val="0"/>
                <w:color w:val="201B16"/>
                <w:sz w:val="19"/>
                <w:lang w:val="pt-BR" w:bidi="ar-SA"/>
                <w:kern w:val="16"/>
                <w14:ligatures w14:val="standardContextual"/>
              </w:rPr>
              <w:t xml:space="preserve"> São fixados sobre as parcelas vencidas até a sentença (Súmula 111/STJ) e pagos juntamente com o principal, na mesma RPV ou precatório. A sucumbência recíproca nos JEFs não implica compensação de honorários quando o segurado é beneficiário da justiça gratuita.</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10.16 Questões especiais</w:t>
      </w:r>
    </w:p>
    <w:p>
      <w:pPr>
        <w:spacing w:before="260" w:after="80" w:line="240" w:lineRule="auto"/>
        <w:jc w:val="left"/>
      </w:pPr>
      <w:r>
        <w:rPr>
          <w:rFonts w:ascii="EB Garamond" w:hAnsi="EB Garamond" w:cs="EB Garamond"/>
          <w:b/>
          <w:i w:val="0"/>
          <w:color w:val="3A3128"/>
          <w:sz w:val="25"/>
          <w:lang w:val="pt-BR" w:bidi="ar-SA"/>
          <w:kern w:val="16"/>
          <w14:ligatures w14:val="standardContextual"/>
        </w:rPr>
        <w:t>10.16.1 Aposentadoria por idade do MEI</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Microempreendedor Individual (MEI) contribui com 5% do salário-mínimo, nos termos do art. 21, § 2º, I, da Lei 8.212/91, com redação dada pela LC 123/2006. Essa contribuição reduzida garante ao MEI o direito à aposentadoria por idade (regra de transição do art. 18 ou regra permanente), mas não à aposentadoria por tempo de contribuição — salvo se o MEI complementar a contribuição até o percentual de 20% sobre o salário-mínimo (diferença de 15%, conforme art. 21, § 3º, da Lei 8.212/91).</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MEI e aposentadoria por idade — questões práticas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1. </w:t>
            </w:r>
            <w:r>
              <w:rPr>
                <w:rFonts w:ascii="EB Garamond" w:hAnsi="EB Garamond" w:cs="EB Garamond"/>
                <w:b/>
                <w:i w:val="0"/>
                <w:color w:val="201B16"/>
                <w:sz w:val="19"/>
                <w:lang w:val="pt-BR" w:bidi="ar-SA"/>
                <w:kern w:val="16"/>
                <w14:ligatures w14:val="standardContextual"/>
              </w:rPr>
              <w:t>Contribuição de 5%:</w:t>
            </w:r>
            <w:r>
              <w:rPr>
                <w:rFonts w:ascii="EB Garamond" w:hAnsi="EB Garamond" w:cs="EB Garamond"/>
                <w:b w:val="0"/>
                <w:i w:val="0"/>
                <w:color w:val="201B16"/>
                <w:sz w:val="19"/>
                <w:lang w:val="pt-BR" w:bidi="ar-SA"/>
                <w:kern w:val="16"/>
                <w14:ligatures w14:val="standardContextual"/>
              </w:rPr>
              <w:t xml:space="preserve"> Garante aposentadoria por idade no valor de 1 SM (a contribuição é apenas sobre o SM, logo a média será o SM).</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2. </w:t>
            </w:r>
            <w:r>
              <w:rPr>
                <w:rFonts w:ascii="EB Garamond" w:hAnsi="EB Garamond" w:cs="EB Garamond"/>
                <w:b/>
                <w:i w:val="0"/>
                <w:color w:val="201B16"/>
                <w:sz w:val="19"/>
                <w:lang w:val="pt-BR" w:bidi="ar-SA"/>
                <w:kern w:val="16"/>
                <w14:ligatures w14:val="standardContextual"/>
              </w:rPr>
              <w:t>Complementação para TC:</w:t>
            </w:r>
            <w:r>
              <w:rPr>
                <w:rFonts w:ascii="EB Garamond" w:hAnsi="EB Garamond" w:cs="EB Garamond"/>
                <w:b w:val="0"/>
                <w:i w:val="0"/>
                <w:color w:val="201B16"/>
                <w:sz w:val="19"/>
                <w:lang w:val="pt-BR" w:bidi="ar-SA"/>
                <w:kern w:val="16"/>
                <w14:ligatures w14:val="standardContextual"/>
              </w:rPr>
              <w:t xml:space="preserve"> Se o MEI quiser que o período conte para aposentadoria por tempo de contribuição, deve complementar os 15% restantes, mediante GPS com código 1910.</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3. </w:t>
            </w:r>
            <w:r>
              <w:rPr>
                <w:rFonts w:ascii="EB Garamond" w:hAnsi="EB Garamond" w:cs="EB Garamond"/>
                <w:b/>
                <w:i w:val="0"/>
                <w:color w:val="201B16"/>
                <w:sz w:val="19"/>
                <w:lang w:val="pt-BR" w:bidi="ar-SA"/>
                <w:kern w:val="16"/>
                <w14:ligatures w14:val="standardContextual"/>
              </w:rPr>
              <w:t>MEI com atividade simultânea:</w:t>
            </w:r>
            <w:r>
              <w:rPr>
                <w:rFonts w:ascii="EB Garamond" w:hAnsi="EB Garamond" w:cs="EB Garamond"/>
                <w:b w:val="0"/>
                <w:i w:val="0"/>
                <w:color w:val="201B16"/>
                <w:sz w:val="19"/>
                <w:lang w:val="pt-BR" w:bidi="ar-SA"/>
                <w:kern w:val="16"/>
                <w14:ligatures w14:val="standardContextual"/>
              </w:rPr>
              <w:t xml:space="preserve"> Se o MEI é também empregado CLT, as contribuições são somadas (seção 10.9). A contribuição como empregado gera salário de contribuição proporcional à remuneração; a do MEI, sobre o SM.</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4. </w:t>
            </w:r>
            <w:r>
              <w:rPr>
                <w:rFonts w:ascii="EB Garamond" w:hAnsi="EB Garamond" w:cs="EB Garamond"/>
                <w:b/>
                <w:i w:val="0"/>
                <w:color w:val="201B16"/>
                <w:sz w:val="19"/>
                <w:lang w:val="pt-BR" w:bidi="ar-SA"/>
                <w:kern w:val="16"/>
                <w14:ligatures w14:val="standardContextual"/>
              </w:rPr>
              <w:t>Carência:</w:t>
            </w:r>
            <w:r>
              <w:rPr>
                <w:rFonts w:ascii="EB Garamond" w:hAnsi="EB Garamond" w:cs="EB Garamond"/>
                <w:b w:val="0"/>
                <w:i w:val="0"/>
                <w:color w:val="201B16"/>
                <w:sz w:val="19"/>
                <w:lang w:val="pt-BR" w:bidi="ar-SA"/>
                <w:kern w:val="16"/>
                <w14:ligatures w14:val="standardContextual"/>
              </w:rPr>
              <w:t xml:space="preserve"> As contribuições do MEI contam normalmente para carência, desde que recolhidas em dia.</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5. </w:t>
            </w:r>
            <w:r>
              <w:rPr>
                <w:rFonts w:ascii="EB Garamond" w:hAnsi="EB Garamond" w:cs="EB Garamond"/>
                <w:b/>
                <w:i w:val="0"/>
                <w:color w:val="201B16"/>
                <w:sz w:val="19"/>
                <w:lang w:val="pt-BR" w:bidi="ar-SA"/>
                <w:kern w:val="16"/>
                <w14:ligatures w14:val="standardContextual"/>
              </w:rPr>
              <w:t>Desenquadramento:</w:t>
            </w:r>
            <w:r>
              <w:rPr>
                <w:rFonts w:ascii="EB Garamond" w:hAnsi="EB Garamond" w:cs="EB Garamond"/>
                <w:b w:val="0"/>
                <w:i w:val="0"/>
                <w:color w:val="201B16"/>
                <w:sz w:val="19"/>
                <w:lang w:val="pt-BR" w:bidi="ar-SA"/>
                <w:kern w:val="16"/>
                <w14:ligatures w14:val="standardContextual"/>
              </w:rPr>
              <w:t xml:space="preserve"> Se o MEI ultrapassar o limite de faturamento e for desenquadrado, passa a contribuir como contribuinte individual (20% sobre a remuneração ou 11% sobre o SM pelo plano simplificado). O tratamento detalhado está no Capítulo 4 (seção 4.7).</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10.16.2 Aposentadoria por idade do segurado facultativo de baixa renda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segurado facultativo de baixa renda (art. 21, § 2º, II, Lei 8.212/91) contribui com 5% do salário-mínimo, tal como o MEI. Os requisitos e as limitações são semelhantes: direito à aposentadoria por idade, mas não à aposentadoria por tempo de contribuição (salvo complementação). A base de cálculo é sempre o salário-mínimo, o que significa que a aposentadoria será concedida no valor de um salário-mínimo.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enquadrar-se como facultativo de baixa renda, o segurado deve comprovar cumulativamente: (a) não exercer atividade remunerada; (b) dedicar-se exclusivamente ao trabalho doméstico no âmbito de sua residência; e (c) pertencer a família de baixa renda inscrita no CadÚnico (Cadastro Único para Programas Sociais do Governo Federal), com renda mensal familiar de até dois salários-mínimos. A perda de qualquer dessas condições implica a necessidade de recolhimento pela alíquota normal (20% ou 11%).</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perfil típico do segurado facultativo de baixa renda é o da dona de casa (ou dono de casa) de família vulnerável que não exerce atividade remunerada fora do lar. A modalidade foi criada pela Lei 12.470/2011 com o objetivo de ampliar a cobertura previdenciária a pessoas economicamente vulneráveis que, pela alíquota regular de 20%, não teriam condições de contribuir para o RGPS.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dos JEFs, surgem controvérsias sobre o enquadramento do segurado como facultativo de baixa renda, especialmente quando: (i) a inscrição no CadÚnico foi realizada após o período de contribuição, suscitando dúvida sobre a contemporaneidade da condição de baixa renda; (ii) o segurado exerceu atividade remunerada informal concomitantemente à contribuição como facultativo de baixa renda, o que pode configurar irregularidade no enquadramento; e (iii) a renda familiar declarada no CadÚnico não corresponde à realidade, conforme apurado em diligências do INSS ou da Caixa Econômica Federal.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Facultativo de baixa renda — Questões frequentes nos JEFs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1. </w:t>
            </w:r>
            <w:r>
              <w:rPr>
                <w:rFonts w:ascii="EB Garamond" w:hAnsi="EB Garamond" w:cs="EB Garamond"/>
                <w:b/>
                <w:i w:val="0"/>
                <w:color w:val="201B16"/>
                <w:sz w:val="19"/>
                <w:lang w:val="pt-BR" w:bidi="ar-SA"/>
                <w:kern w:val="16"/>
                <w14:ligatures w14:val="standardContextual"/>
              </w:rPr>
              <w:t>Validação das contribuições:</w:t>
            </w:r>
            <w:r>
              <w:rPr>
                <w:rFonts w:ascii="EB Garamond" w:hAnsi="EB Garamond" w:cs="EB Garamond"/>
                <w:b w:val="0"/>
                <w:i w:val="0"/>
                <w:color w:val="201B16"/>
                <w:sz w:val="19"/>
                <w:lang w:val="pt-BR" w:bidi="ar-SA"/>
                <w:kern w:val="16"/>
                <w14:ligatures w14:val="standardContextual"/>
              </w:rPr>
              <w:t xml:space="preserve"> O INSS pode realizar validação posterior das contribuições do facultativo de baixa renda, verificando a manutenção da condição junto ao CadÚnico. Contribuições recolhidas em período no qual o segurado não atendia aos requisitos podem ser invalidadas, mas o INSS deve assegurar o contraditório antes da exclusão.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2. </w:t>
            </w:r>
            <w:r>
              <w:rPr>
                <w:rFonts w:ascii="EB Garamond" w:hAnsi="EB Garamond" w:cs="EB Garamond"/>
                <w:b/>
                <w:i w:val="0"/>
                <w:color w:val="201B16"/>
                <w:sz w:val="19"/>
                <w:lang w:val="pt-BR" w:bidi="ar-SA"/>
                <w:kern w:val="16"/>
                <w14:ligatures w14:val="standardContextual"/>
              </w:rPr>
              <w:t>Complementação retroativa:</w:t>
            </w:r>
            <w:r>
              <w:rPr>
                <w:rFonts w:ascii="EB Garamond" w:hAnsi="EB Garamond" w:cs="EB Garamond"/>
                <w:b w:val="0"/>
                <w:i w:val="0"/>
                <w:color w:val="201B16"/>
                <w:sz w:val="19"/>
                <w:lang w:val="pt-BR" w:bidi="ar-SA"/>
                <w:kern w:val="16"/>
                <w14:ligatures w14:val="standardContextual"/>
              </w:rPr>
              <w:t xml:space="preserve"> Se o segurado contribuiu como facultativo de baixa renda (5%) mas não atendia aos requisitos, pode complementar a diferença até 20% para regularizar o período. O prazo para complementação é de até cinco anos (prazo prescricional tributário, art. 150, § 4º, CTN).</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3. </w:t>
            </w:r>
            <w:r>
              <w:rPr>
                <w:rFonts w:ascii="EB Garamond" w:hAnsi="EB Garamond" w:cs="EB Garamond"/>
                <w:b/>
                <w:i w:val="0"/>
                <w:color w:val="201B16"/>
                <w:sz w:val="19"/>
                <w:lang w:val="pt-BR" w:bidi="ar-SA"/>
                <w:kern w:val="16"/>
                <w14:ligatures w14:val="standardContextual"/>
              </w:rPr>
              <w:t>Aposentadoria programada vs. Aposentadoria por idade:</w:t>
            </w:r>
            <w:r>
              <w:rPr>
                <w:rFonts w:ascii="EB Garamond" w:hAnsi="EB Garamond" w:cs="EB Garamond"/>
                <w:b w:val="0"/>
                <w:i w:val="0"/>
                <w:color w:val="201B16"/>
                <w:sz w:val="19"/>
                <w:lang w:val="pt-BR" w:bidi="ar-SA"/>
                <w:kern w:val="16"/>
                <w14:ligatures w14:val="standardContextual"/>
              </w:rPr>
              <w:t xml:space="preserve"> Na regra permanente (pós-EC 103), o facultativo de baixa renda que contribui com 5% pode requerer aposentadoria programada (65H/62M + 15F/20H anos TC), mas o benefício será de um salário-mínimo. Se desejar benefício superior, deve complementar para 20% e contribuir sobre base maior.</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10.16.3 Aposentadoria por idade e tempo de contribuição no exterior</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S</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egurados que trabalharam em países com os quais o Brasil mantém acordo internacional de previdência social podem computar o tempo de contribuição no exterior para fins de aposentadoria por idade no RGPS. A matéria é regulada pelos acordos bilaterais e multilaterais celebrados pelo Brasil, cuja aplicação é detalhada no Capítulo 5 (seção 5.12).</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Brasil mantém acordos de previdência social com diversos países, incluindo: Portugal, Espanha, Itália, Alemanha, França, Japão, Cabo Verde, Grécia, Argentina, Uruguai, Paraguai, Chile, e os países do Mercosul (Acordo Multilateral de Seguridade Social do Mercosul). Cada acordo tem regras específicas sobre totalização de períodos, cálculo proporcional e procedimento de requerimento, mas todos seguem o princípio geral da totalização: os períodos cumpridos em cada país são somados para verificar se o segurado atinge os requisitos mínimos de carência ou tempo de contribuição.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aposentadoria por idade, a totalização dos períodos de contribuição no Brasil e no exterior permite que o segurado atinja a carência exigida, computando contribuições efetuadas em ambos os países. O benefício, contudo, é calculado proporcionalmente ao tempo de contribuição efetivamente cumprido em cada país (princípio pro rata temporis). Isso significa que o segurado receberá dois benefícios proporcionais, um de cada país, e não um benefício único calculado sobre a totalidade do tempo de contribuição.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procedimento para aposentadoria por totalização internacional segue rito específico: o segurado deve requerer o benefício ao organismo de ligação do país onde reside (no Brasil, o INSS). O INSS comunica-se com o organismo de ligação do país estrangeiro, que confirma os períodos de contribuição e, se for o caso, concede a parcela proporcional do benefício. Esse procedimento pode ser demorado, envolvendo troca de formulários específicos entre os países.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Totalização internacional — armadilhas comuns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1. </w:t>
            </w:r>
            <w:r>
              <w:rPr>
                <w:rFonts w:ascii="EB Garamond" w:hAnsi="EB Garamond" w:cs="EB Garamond"/>
                <w:b/>
                <w:i w:val="0"/>
                <w:color w:val="201B16"/>
                <w:sz w:val="19"/>
                <w:lang w:val="pt-BR" w:bidi="ar-SA"/>
                <w:kern w:val="16"/>
                <w14:ligatures w14:val="standardContextual"/>
              </w:rPr>
              <w:t>Acordo deve estar vigente:</w:t>
            </w:r>
            <w:r>
              <w:rPr>
                <w:rFonts w:ascii="EB Garamond" w:hAnsi="EB Garamond" w:cs="EB Garamond"/>
                <w:b w:val="0"/>
                <w:i w:val="0"/>
                <w:color w:val="201B16"/>
                <w:sz w:val="19"/>
                <w:lang w:val="pt-BR" w:bidi="ar-SA"/>
                <w:kern w:val="16"/>
                <w14:ligatures w14:val="standardContextual"/>
              </w:rPr>
              <w:t xml:space="preserve"> Somente períodos em países com acordo vigente podem ser totalizados. Trabalho em país sem acordo (exemplo: Estados Unidos, China, Índia) não pode ser computado para a aposentadoria brasileira.</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2. </w:t>
            </w:r>
            <w:r>
              <w:rPr>
                <w:rFonts w:ascii="EB Garamond" w:hAnsi="EB Garamond" w:cs="EB Garamond"/>
                <w:b/>
                <w:i w:val="0"/>
                <w:color w:val="201B16"/>
                <w:sz w:val="19"/>
                <w:lang w:val="pt-BR" w:bidi="ar-SA"/>
                <w:kern w:val="16"/>
                <w14:ligatures w14:val="standardContextual"/>
              </w:rPr>
              <w:t>O período totalizado não gera carência plena:</w:t>
            </w:r>
            <w:r>
              <w:rPr>
                <w:rFonts w:ascii="EB Garamond" w:hAnsi="EB Garamond" w:cs="EB Garamond"/>
                <w:b w:val="0"/>
                <w:i w:val="0"/>
                <w:color w:val="201B16"/>
                <w:sz w:val="19"/>
                <w:lang w:val="pt-BR" w:bidi="ar-SA"/>
                <w:kern w:val="16"/>
                <w14:ligatures w14:val="standardContextual"/>
              </w:rPr>
              <w:t xml:space="preserve"> O tempo no exterior é utilizado para atingir o requisito mínimo, mas o benefício brasileiro será proporcional apenas ao tempo cumprido no Brasil.</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3. </w:t>
            </w:r>
            <w:r>
              <w:rPr>
                <w:rFonts w:ascii="EB Garamond" w:hAnsi="EB Garamond" w:cs="EB Garamond"/>
                <w:b/>
                <w:i w:val="0"/>
                <w:color w:val="201B16"/>
                <w:sz w:val="19"/>
                <w:lang w:val="pt-BR" w:bidi="ar-SA"/>
                <w:kern w:val="16"/>
                <w14:ligatures w14:val="standardContextual"/>
              </w:rPr>
              <w:t>Contribuições em moeda estrangeira:</w:t>
            </w:r>
            <w:r>
              <w:rPr>
                <w:rFonts w:ascii="EB Garamond" w:hAnsi="EB Garamond" w:cs="EB Garamond"/>
                <w:b w:val="0"/>
                <w:i w:val="0"/>
                <w:color w:val="201B16"/>
                <w:sz w:val="19"/>
                <w:lang w:val="pt-BR" w:bidi="ar-SA"/>
                <w:kern w:val="16"/>
                <w14:ligatures w14:val="standardContextual"/>
              </w:rPr>
              <w:t xml:space="preserve"> Os salários de contribuição no exterior não são utilizados no cálculo do benefício brasileiro; apenas os salários de contribuição pagos ao RGPS são considerados.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4. </w:t>
            </w:r>
            <w:r>
              <w:rPr>
                <w:rFonts w:ascii="EB Garamond" w:hAnsi="EB Garamond" w:cs="EB Garamond"/>
                <w:b/>
                <w:i w:val="0"/>
                <w:color w:val="201B16"/>
                <w:sz w:val="19"/>
                <w:lang w:val="pt-BR" w:bidi="ar-SA"/>
                <w:kern w:val="16"/>
                <w14:ligatures w14:val="standardContextual"/>
              </w:rPr>
              <w:t>Competência:</w:t>
            </w:r>
            <w:r>
              <w:rPr>
                <w:rFonts w:ascii="EB Garamond" w:hAnsi="EB Garamond" w:cs="EB Garamond"/>
                <w:b w:val="0"/>
                <w:i w:val="0"/>
                <w:color w:val="201B16"/>
                <w:sz w:val="19"/>
                <w:lang w:val="pt-BR" w:bidi="ar-SA"/>
                <w:kern w:val="16"/>
                <w14:ligatures w14:val="standardContextual"/>
              </w:rPr>
              <w:t xml:space="preserve"> Ações judiciais envolvendo acordo internacional de previdência são da competência da Justiça Federal (art. 109, III, CF/88 — causas fundadas em tratado internacional), podendo tramitar nos JEFs quando o valor da causa estiver dentro do teto.</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10.16.4 Aposentadoria por idade e pessoa com deficiência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aposentadoria por idade da pessoa com deficiência é disciplinada pela LC 142/2013 e tem requisitos diferenciados: 60 anos (homem) ou 55 anos (mulher), independentemente do grau de deficiência, com 15 anos de contribuição na condição de pessoa com deficiência. Essa modalidade é objeto do Capítulo 12.</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interface com a aposentadoria por idade comum (Capítulo 10) surge quando o segurado com deficiência não comprova a condição durante todo o período contributivo. Nesse caso, o período de contribuição como pessoa com deficiência pode ser convertido em tempo comum (e vice-versa), conforme os fatores de conversão estabelecidos na LC 142/2013 e no Decreto 8.145/2013.</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Deficiência e aposentadoria por idade — quando escolher cada via</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1. </w:t>
            </w:r>
            <w:r>
              <w:rPr>
                <w:rFonts w:ascii="EB Garamond" w:hAnsi="EB Garamond" w:cs="EB Garamond"/>
                <w:b/>
                <w:i w:val="0"/>
                <w:color w:val="201B16"/>
                <w:sz w:val="19"/>
                <w:lang w:val="pt-BR" w:bidi="ar-SA"/>
                <w:kern w:val="16"/>
                <w14:ligatures w14:val="standardContextual"/>
              </w:rPr>
              <w:t>LC 142/2013:</w:t>
            </w:r>
            <w:r>
              <w:rPr>
                <w:rFonts w:ascii="EB Garamond" w:hAnsi="EB Garamond" w:cs="EB Garamond"/>
                <w:b w:val="0"/>
                <w:i w:val="0"/>
                <w:color w:val="201B16"/>
                <w:sz w:val="19"/>
                <w:lang w:val="pt-BR" w:bidi="ar-SA"/>
                <w:kern w:val="16"/>
                <w14:ligatures w14:val="standardContextual"/>
              </w:rPr>
              <w:t xml:space="preserve"> Exige 60H/55M + 15 anos TC na condição de PcD + avaliação biopsicossocial. O coeficiente é de 70% + 1% por grupo de 12 contribuições (regra anterior, não afetada pela EC 103/2019 para a PcD). Não incide fator previdenciário.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2. </w:t>
            </w:r>
            <w:r>
              <w:rPr>
                <w:rFonts w:ascii="EB Garamond" w:hAnsi="EB Garamond" w:cs="EB Garamond"/>
                <w:b/>
                <w:i w:val="0"/>
                <w:color w:val="201B16"/>
                <w:sz w:val="19"/>
                <w:lang w:val="pt-BR" w:bidi="ar-SA"/>
                <w:kern w:val="16"/>
                <w14:ligatures w14:val="standardContextual"/>
              </w:rPr>
              <w:t>Regra geral (art. 18, EC 103):</w:t>
            </w:r>
            <w:r>
              <w:rPr>
                <w:rFonts w:ascii="EB Garamond" w:hAnsi="EB Garamond" w:cs="EB Garamond"/>
                <w:b w:val="0"/>
                <w:i w:val="0"/>
                <w:color w:val="201B16"/>
                <w:sz w:val="19"/>
                <w:lang w:val="pt-BR" w:bidi="ar-SA"/>
                <w:kern w:val="16"/>
                <w14:ligatures w14:val="standardContextual"/>
              </w:rPr>
              <w:t xml:space="preserve"> Exige 65H/62M + 15 anos TC + 180 contribuições. Coeficiente de 60% + 2%/ano excedente.</w:t>
            </w:r>
          </w:p>
          <w:p>
            <w:pPr>
              <w:spacing w:before="0" w:after="60" w:line="247" w:lineRule="auto"/>
              <w:jc w:val="both"/>
            </w:pPr>
            <w:r>
              <w:rPr>
                <w:rFonts w:ascii="EB Garamond" w:hAnsi="EB Garamond" w:cs="EB Garamond"/>
                <w:b/>
                <w:i w:val="0"/>
                <w:color w:val="201B16"/>
                <w:sz w:val="19"/>
                <w:lang w:val="pt-BR" w:bidi="ar-SA"/>
                <w:kern w:val="16"/>
                <w14:ligatures w14:val="standardContextual"/>
              </w:rPr>
              <w:t>Quando a LC 142 é mais vantajosa:</w:t>
            </w:r>
            <w:r>
              <w:rPr>
                <w:rFonts w:ascii="EB Garamond" w:hAnsi="EB Garamond" w:cs="EB Garamond"/>
                <w:b w:val="0"/>
                <w:i w:val="0"/>
                <w:color w:val="201B16"/>
                <w:sz w:val="19"/>
                <w:lang w:val="pt-BR" w:bidi="ar-SA"/>
                <w:kern w:val="16"/>
                <w14:ligatures w14:val="standardContextual"/>
              </w:rPr>
              <w:t xml:space="preserve"> (a) idade inferior a 65H/62M; (b) coeficiente de 70%+1% é superior ao de 60%+2%; (c) ausência de fator previdenciário.</w:t>
            </w:r>
          </w:p>
          <w:p>
            <w:pPr>
              <w:spacing w:before="0" w:after="60" w:line="247" w:lineRule="auto"/>
              <w:jc w:val="both"/>
            </w:pPr>
            <w:r>
              <w:rPr>
                <w:rFonts w:ascii="EB Garamond" w:hAnsi="EB Garamond" w:cs="EB Garamond"/>
                <w:b/>
                <w:i w:val="0"/>
                <w:color w:val="201B16"/>
                <w:sz w:val="19"/>
                <w:lang w:val="pt-BR" w:bidi="ar-SA"/>
                <w:kern w:val="16"/>
                <w14:ligatures w14:val="standardContextual"/>
              </w:rPr>
              <w:t>Quando a regra geral pode ser preferível:</w:t>
            </w:r>
            <w:r>
              <w:rPr>
                <w:rFonts w:ascii="EB Garamond" w:hAnsi="EB Garamond" w:cs="EB Garamond"/>
                <w:b w:val="0"/>
                <w:i w:val="0"/>
                <w:color w:val="201B16"/>
                <w:sz w:val="19"/>
                <w:lang w:val="pt-BR" w:bidi="ar-SA"/>
                <w:kern w:val="16"/>
                <w14:ligatures w14:val="standardContextual"/>
              </w:rPr>
              <w:t xml:space="preserve"> Quando o segurado tem deficiência apenas parcial do período contributivo e não consegue comprovar 15 anos como PcD.</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escolha entre a LC 142/2013 e a regra geral, portanto, não é automática: depende de simular o benefício pelas duas vias e confrontar idade, coeficiente e incidência (ou não) do fator previdenciário no caso concreto.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10.17 Síntese e fluxograma decisório</w:t>
      </w:r>
    </w:p>
    <w:p>
      <w:pPr>
        <w:spacing w:before="260" w:after="80" w:line="240" w:lineRule="auto"/>
        <w:jc w:val="left"/>
      </w:pPr>
      <w:r>
        <w:rPr>
          <w:rFonts w:ascii="EB Garamond" w:hAnsi="EB Garamond" w:cs="EB Garamond"/>
          <w:b/>
          <w:i w:val="0"/>
          <w:color w:val="3A3128"/>
          <w:sz w:val="25"/>
          <w:lang w:val="pt-BR" w:bidi="ar-SA"/>
          <w:kern w:val="16"/>
          <w14:ligatures w14:val="standardContextual"/>
        </w:rPr>
        <w:t>10.17.1 Quadro-resumo das regras</w:t>
      </w:r>
    </w:p>
    <w:tbl>
      <w:tblPr>
        <w:tblW w:type="auto" w:w="0"/>
        <w:jc w:val="center"/>
        <w:tblLook w:firstColumn="1" w:firstRow="1" w:lastColumn="0" w:lastRow="0" w:noHBand="0" w:noVBand="1" w:val="04A0"/>
        <w:tblW w:w="5000" w:type="pct"/>
      </w:tblPr>
      <w:tblGrid>
        <w:gridCol w:w="1270"/>
        <w:gridCol w:w="1270"/>
        <w:gridCol w:w="1270"/>
        <w:gridCol w:w="1270"/>
        <w:gridCol w:w="1270"/>
      </w:tblGrid>
      <w:tr>
        <w:trPr>
          <w:tblHeader/>
        </w:trPr>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Regra</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Idade (H/M)</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TC mínimo (H/M)</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Carência</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Cálculo</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Pré-EC 103 (direito adquirido)</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65/60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180 contrib.</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80% maiores SC × (70% + 1%/12 contrib.)</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Art. 18 EC 103 (transição)</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65/62</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15/15</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180 contrib.</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 SC × (60% + 2%/ano excedente)</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Regra permanente (programada)</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65/62</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20/15</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180 contrib.</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 SC × (60% + 2%/ano excedente)</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Art. 20 EC 103 (pedágio 100%)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60/57</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35+ped./30+ped.</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180 contrib.</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 xml:space="preserve">100% SC × </w:t>
            </w:r>
            <w:r>
              <w:rPr>
                <w:rFonts w:ascii="EB Garamond" w:hAnsi="EB Garamond" w:cs="EB Garamond"/>
                <w:b/>
                <w:i w:val="0"/>
                <w:color w:val="201B16"/>
                <w:sz w:val="18"/>
                <w:lang w:val="pt-BR" w:bidi="ar-SA"/>
                <w:kern w:val="16"/>
                <w14:ligatures w14:val="standardContextual"/>
              </w:rPr>
              <w:t>100%</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PcD (LC 142/2013)</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60/55</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15 PcD</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180 contrib.</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80% maiores × (70% + 1%/12 contrib.)</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10.17.2 Fluxograma de orientação ao segurado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advogado que recebe um cliente buscando aposentadoria por idade deve seguir o seguinte roteiro decisório: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Passo 1:</w:t>
      </w:r>
      <w:r>
        <w:rPr>
          <w:rFonts w:ascii="EB Garamond" w:hAnsi="EB Garamond" w:cs="EB Garamond"/>
          <w:b w:val="0"/>
          <w:i w:val="0"/>
          <w:color w:val="201B16"/>
          <w:sz w:val="21"/>
          <w:lang w:val="pt-BR" w:bidi="ar-SA"/>
          <w:kern w:val="16"/>
          <w14:ligatures w14:val="standardContextual"/>
        </w:rPr>
        <w:t xml:space="preserve"> Verificar a data de nascimento e calcular a idade atual.</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Passo 2:</w:t>
      </w:r>
      <w:r>
        <w:rPr>
          <w:rFonts w:ascii="EB Garamond" w:hAnsi="EB Garamond" w:cs="EB Garamond"/>
          <w:b w:val="0"/>
          <w:i w:val="0"/>
          <w:color w:val="201B16"/>
          <w:sz w:val="21"/>
          <w:lang w:val="pt-BR" w:bidi="ar-SA"/>
          <w:kern w:val="16"/>
          <w14:ligatures w14:val="standardContextual"/>
        </w:rPr>
        <w:t xml:space="preserve"> Obter o CNIS e apurar: (a) data da primeira filiação ao RGPS; (b) total de contribuições de carência; (c) total de tempo de contribuição.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Passo 3:</w:t>
      </w:r>
      <w:r>
        <w:rPr>
          <w:rFonts w:ascii="EB Garamond" w:hAnsi="EB Garamond" w:cs="EB Garamond"/>
          <w:b w:val="0"/>
          <w:i w:val="0"/>
          <w:color w:val="201B16"/>
          <w:sz w:val="21"/>
          <w:lang w:val="pt-BR" w:bidi="ar-SA"/>
          <w:kern w:val="16"/>
          <w14:ligatures w14:val="standardContextual"/>
        </w:rPr>
        <w:t xml:space="preserve"> Verificar se há direito adquirido à regra anterior:</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Homem: tinha 65 anos + 180 contribuições em 13/11/2019?</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Mulher: tinha 60 anos + 180 contribuições em 13/11/2019?</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Se sim → calcular pela regra antiga e comparar.</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P</w:t>
      </w:r>
    </w:p>
    <w:p>
      <w:pPr>
        <w:spacing w:before="0" w:after="70" w:line="259" w:lineRule="auto"/>
        <w:jc w:val="both"/>
      </w:pPr>
      <w:r>
        <w:rPr>
          <w:rFonts w:ascii="EB Garamond" w:hAnsi="EB Garamond" w:cs="EB Garamond"/>
          <w:b/>
          <w:i w:val="0"/>
          <w:color w:val="201B16"/>
          <w:sz w:val="21"/>
          <w:lang w:val="pt-BR" w:bidi="ar-SA"/>
          <w:kern w:val="16"/>
          <w14:ligatures w14:val="standardContextual"/>
        </w:rPr>
        <w:t>asso 4:</w:t>
      </w:r>
      <w:r>
        <w:rPr>
          <w:rFonts w:ascii="EB Garamond" w:hAnsi="EB Garamond" w:cs="EB Garamond"/>
          <w:b w:val="0"/>
          <w:i w:val="0"/>
          <w:color w:val="201B16"/>
          <w:sz w:val="21"/>
          <w:lang w:val="pt-BR" w:bidi="ar-SA"/>
          <w:kern w:val="16"/>
          <w14:ligatures w14:val="standardContextual"/>
        </w:rPr>
        <w:t xml:space="preserve"> Verificar enquadramento nas regras de transição (arts. 15, 16, 17, 18, 20, EC 103).</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Passo 5:</w:t>
      </w:r>
      <w:r>
        <w:rPr>
          <w:rFonts w:ascii="EB Garamond" w:hAnsi="EB Garamond" w:cs="EB Garamond"/>
          <w:b w:val="0"/>
          <w:i w:val="0"/>
          <w:color w:val="201B16"/>
          <w:sz w:val="21"/>
          <w:lang w:val="pt-BR" w:bidi="ar-SA"/>
          <w:kern w:val="16"/>
          <w14:ligatures w14:val="standardContextual"/>
        </w:rPr>
        <w:t xml:space="preserve"> Calcular o benefício por cada regra aplicável.</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Passo 6:</w:t>
      </w:r>
      <w:r>
        <w:rPr>
          <w:rFonts w:ascii="EB Garamond" w:hAnsi="EB Garamond" w:cs="EB Garamond"/>
          <w:b w:val="0"/>
          <w:i w:val="0"/>
          <w:color w:val="201B16"/>
          <w:sz w:val="21"/>
          <w:lang w:val="pt-BR" w:bidi="ar-SA"/>
          <w:kern w:val="16"/>
          <w14:ligatures w14:val="standardContextual"/>
        </w:rPr>
        <w:t xml:space="preserve"> Identificar a regra mais vantajosa e formular o pedido.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Passo 7:</w:t>
      </w:r>
      <w:r>
        <w:rPr>
          <w:rFonts w:ascii="EB Garamond" w:hAnsi="EB Garamond" w:cs="EB Garamond"/>
          <w:b w:val="0"/>
          <w:i w:val="0"/>
          <w:color w:val="201B16"/>
          <w:sz w:val="21"/>
          <w:lang w:val="pt-BR" w:bidi="ar-SA"/>
          <w:kern w:val="16"/>
          <w14:ligatures w14:val="standardContextual"/>
        </w:rPr>
        <w:t xml:space="preserve"> Se nenhuma regra é atendida atualmente, projetar cenários futuros (em quantos meses/anos o segurado atingirá os requisitos por cada regra).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Checklist do advogado — Aposentadoria por idade nos JEFs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CNIS obtido e analisado (vínculos, remunerações, indicadores)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CTPS conferida contra o CNIS (vínculos faltantes identificados)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Idade mínima verificada (65H/62M para regra de transição; 65H/62M para regra permanente; 60F para direito adquirido pré-EC 103)</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Carência contada mês a mês (180 contribuições efetivas)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Tempo de contribuição calculado (incluindo períodos rurais, benefícios por incapacidade intercalados, tempo militar)</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Direito adquirido à regra anterior verificado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Cálculo por todas as regras aplicáveis realizado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Regra mais vantajosa identificada</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Requerimento administrativo prévio realizado (ou hipótese de dispensa justificada)</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Pedido formulado com indicação da regra mais vantajosa (principal) e alternativa (subsidiário)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Tutela provisória requerida, se cabível</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Documentação completa juntada à inicial</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10.17.3 Tabela de atualização das regras de transição (2019-2033)</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P</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ara facilitar a consulta, a tabela abaixo apresenta a evolução progressiva dos requisitos das regras de transição dos arts. 15, 16 e 18 da EC 103/2019, ano a ano, para homens e mulheres:</w:t>
      </w:r>
    </w:p>
    <w:tbl>
      <w:tblPr>
        <w:tblW w:type="auto" w:w="0"/>
        <w:jc w:val="center"/>
        <w:tblLook w:firstColumn="1" w:firstRow="1" w:lastColumn="0" w:lastRow="0" w:noHBand="0" w:noVBand="1" w:val="04A0"/>
        <w:tblW w:w="5000" w:type="pct"/>
      </w:tblPr>
      <w:tblGrid>
        <w:gridCol w:w="1058"/>
        <w:gridCol w:w="1058"/>
        <w:gridCol w:w="1058"/>
        <w:gridCol w:w="1058"/>
        <w:gridCol w:w="1058"/>
        <w:gridCol w:w="1058"/>
      </w:tblGrid>
      <w:tr>
        <w:trPr>
          <w:tblHeader/>
        </w:trPr>
        <w:tc>
          <w:tcPr>
            <w:tcW w:type="dxa" w:w="1058"/>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Ano</w:t>
            </w:r>
          </w:p>
        </w:tc>
        <w:tc>
          <w:tcPr>
            <w:tcW w:type="dxa" w:w="1058"/>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Art. 15 — Pontos (M)</w:t>
            </w:r>
          </w:p>
        </w:tc>
        <w:tc>
          <w:tcPr>
            <w:tcW w:type="dxa" w:w="1058"/>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Art. 15 — Pontos (H)</w:t>
            </w:r>
          </w:p>
        </w:tc>
        <w:tc>
          <w:tcPr>
            <w:tcW w:type="dxa" w:w="1058"/>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Art. 16 — Idade (M)</w:t>
            </w:r>
          </w:p>
        </w:tc>
        <w:tc>
          <w:tcPr>
            <w:tcW w:type="dxa" w:w="1058"/>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Art. 16 — Idade (H)</w:t>
            </w:r>
          </w:p>
        </w:tc>
        <w:tc>
          <w:tcPr>
            <w:tcW w:type="dxa" w:w="1058"/>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Art. 18 — Idade (M)</w:t>
            </w:r>
          </w:p>
        </w:tc>
      </w:tr>
      <w:tr>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2019</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86</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96</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56</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61</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60</w:t>
            </w:r>
          </w:p>
        </w:tc>
      </w:tr>
      <w:tr>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2020</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87</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97</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56,5</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61,5</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60,5</w:t>
            </w:r>
          </w:p>
        </w:tc>
      </w:tr>
      <w:tr>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2021</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88</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98</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57</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62</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61</w:t>
            </w:r>
          </w:p>
        </w:tc>
      </w:tr>
      <w:tr>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2022</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89</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99</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57,5</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62,5</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61,5</w:t>
            </w:r>
          </w:p>
        </w:tc>
      </w:tr>
      <w:tr>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2023</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90</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58</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63</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62 (estabiliza)</w:t>
            </w:r>
          </w:p>
        </w:tc>
      </w:tr>
      <w:tr>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2024</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91</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101</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58,5</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63,5</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62</w:t>
            </w:r>
          </w:p>
        </w:tc>
      </w:tr>
      <w:tr>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2025</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92</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102</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59</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64</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62</w:t>
            </w:r>
          </w:p>
        </w:tc>
      </w:tr>
      <w:tr>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2026</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93</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103</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59,5</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64,5</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62</w:t>
            </w:r>
          </w:p>
        </w:tc>
      </w:tr>
      <w:tr>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2027</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94</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104</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60</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65 (estabiliza)</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62</w:t>
            </w:r>
          </w:p>
        </w:tc>
      </w:tr>
      <w:tr>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2028</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95</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105 (estabiliza)</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60,5</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65</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62</w:t>
            </w:r>
          </w:p>
        </w:tc>
      </w:tr>
      <w:tr>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2029</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96</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105</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61</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65</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62</w:t>
            </w:r>
          </w:p>
        </w:tc>
      </w:tr>
      <w:tr>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2030</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97</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105</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61,5</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65</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62</w:t>
            </w:r>
          </w:p>
        </w:tc>
      </w:tr>
      <w:tr>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2031</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98</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105</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62 (estabiliza)</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65</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62</w:t>
            </w:r>
          </w:p>
        </w:tc>
      </w:tr>
      <w:tr>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2032</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99</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105</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62</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65</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62</w:t>
            </w:r>
          </w:p>
        </w:tc>
      </w:tr>
      <w:tr>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2033</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 (estabiliza)</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105</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62</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65</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62</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i w:val="0"/>
          <w:color w:val="201B16"/>
          <w:sz w:val="21"/>
          <w:lang w:val="pt-BR" w:bidi="ar-SA"/>
          <w:kern w:val="16"/>
          <w14:ligatures w14:val="standardContextual"/>
        </w:rPr>
        <w:t>bservações:</w:t>
      </w:r>
      <w:r>
        <w:rPr>
          <w:rFonts w:ascii="EB Garamond" w:hAnsi="EB Garamond" w:cs="EB Garamond"/>
          <w:b w:val="0"/>
          <w:i w:val="0"/>
          <w:color w:val="201B16"/>
          <w:sz w:val="21"/>
          <w:lang w:val="pt-BR" w:bidi="ar-SA"/>
          <w:kern w:val="16"/>
          <w14:ligatures w14:val="standardContextual"/>
        </w:rPr>
        <w:t xml:space="preserve"> (i) Art. 15 exige 30 anos TC para mulher e 35 para homem; (ii) Art. 16 exige 30 anos TC para mulher e 35 para homem; (iii) Art. 18 exige apenas 15 anos TC (e 180 contribuições de carência); (iv) A idade do homem no art. 18 é 65 anos desde 2019, sem progressão.</w:t>
      </w:r>
    </w:p>
    <w:p>
      <w:pPr>
        <w:spacing w:before="260" w:after="80" w:line="240" w:lineRule="auto"/>
        <w:jc w:val="left"/>
      </w:pPr>
      <w:r>
        <w:rPr>
          <w:rFonts w:ascii="EB Garamond" w:hAnsi="EB Garamond" w:cs="EB Garamond"/>
          <w:b/>
          <w:i w:val="0"/>
          <w:color w:val="3A3128"/>
          <w:sz w:val="25"/>
          <w:lang w:val="pt-BR" w:bidi="ar-SA"/>
          <w:kern w:val="16"/>
          <w14:ligatures w14:val="standardContextual"/>
        </w:rPr>
        <w:t>10.17.4 Análise comparativa: qual regra escolher?</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multiplicidade de regras torna o planejamento previdenciário uma tarefa de alta complexidade. A escolha da regra mais vantajosa depende do perfil individual do segurado e envolve variáveis como idade, tempo de contribuição total, valor dos salários de contribuição e data de filiação ao RGPS.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Em linhas gerais, pode-se estabelecer as seguintes orientações: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Segurado com muito tempo de contribuição (30+F / 35+H anos) e idade elevada:</w:t>
      </w:r>
      <w:r>
        <w:rPr>
          <w:rFonts w:ascii="EB Garamond" w:hAnsi="EB Garamond" w:cs="EB Garamond"/>
          <w:b w:val="0"/>
          <w:i w:val="0"/>
          <w:color w:val="201B16"/>
          <w:sz w:val="21"/>
          <w:lang w:val="pt-BR" w:bidi="ar-SA"/>
          <w:kern w:val="16"/>
          <w14:ligatures w14:val="standardContextual"/>
        </w:rPr>
        <w:t xml:space="preserve"> Deve verificar prioritariamente a regra do pedágio 100% (art. 20, EC 103), que garante coeficiente de 100% da média (sem o escalonamento de 60%+2%). Essa regra é geralmente a mais vantajosa quando o segurado tem idade suficiente (57M/60H) e o pedágio (tempo adicional) é curto.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Segurado com pouco tempo de contribuição (15-20 anos) e idade elevada:</w:t>
      </w:r>
      <w:r>
        <w:rPr>
          <w:rFonts w:ascii="EB Garamond" w:hAnsi="EB Garamond" w:cs="EB Garamond"/>
          <w:b w:val="0"/>
          <w:i w:val="0"/>
          <w:color w:val="201B16"/>
          <w:sz w:val="21"/>
          <w:lang w:val="pt-BR" w:bidi="ar-SA"/>
          <w:kern w:val="16"/>
          <w14:ligatures w14:val="standardContextual"/>
        </w:rPr>
        <w:t xml:space="preserve"> Deve utilizar a regra de transição do art. 18 (aposentadoria por idade) ou a regra permanente (aposentadoria programada). O coeficiente será baixo (60-70%), mas é a única via disponível para quem não atingiu 30/35 anos de TC.</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Segurado que implementou requisitos antes de 13/11/2019:</w:t>
      </w:r>
      <w:r>
        <w:rPr>
          <w:rFonts w:ascii="EB Garamond" w:hAnsi="EB Garamond" w:cs="EB Garamond"/>
          <w:b w:val="0"/>
          <w:i w:val="0"/>
          <w:color w:val="201B16"/>
          <w:sz w:val="21"/>
          <w:lang w:val="pt-BR" w:bidi="ar-SA"/>
          <w:kern w:val="16"/>
          <w14:ligatures w14:val="standardContextual"/>
        </w:rPr>
        <w:t xml:space="preserve"> Deve verificar o direito adquirido à regra antiga, que frequentemente é a mais vantajosa por utilizar a média dos 80% maiores salários e o coeficiente de 70%+1% por grupo de 12 contribuições.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Segurado próximo de completar requisitos:</w:t>
      </w:r>
      <w:r>
        <w:rPr>
          <w:rFonts w:ascii="EB Garamond" w:hAnsi="EB Garamond" w:cs="EB Garamond"/>
          <w:b w:val="0"/>
          <w:i w:val="0"/>
          <w:color w:val="201B16"/>
          <w:sz w:val="21"/>
          <w:lang w:val="pt-BR" w:bidi="ar-SA"/>
          <w:kern w:val="16"/>
          <w14:ligatures w14:val="standardContextual"/>
        </w:rPr>
        <w:t xml:space="preserve"> Deve avaliar se vale a pena aguardar alguns meses para atingir pontuação, idade ou tempo que garantam regra mais favorável. O custo de esperar (meses sem benefício) deve ser comparado ao ganho permanente no valor do benefício.</w:t>
      </w:r>
    </w:p>
    <w:p>
      <w:pPr>
        <w:spacing w:before="260" w:after="80" w:line="240" w:lineRule="auto"/>
        <w:jc w:val="left"/>
      </w:pPr>
      <w:r>
        <w:rPr>
          <w:rFonts w:ascii="EB Garamond" w:hAnsi="EB Garamond" w:cs="EB Garamond"/>
          <w:b/>
          <w:i w:val="0"/>
          <w:color w:val="3A3128"/>
          <w:sz w:val="25"/>
          <w:lang w:val="pt-BR" w:bidi="ar-SA"/>
          <w:kern w:val="16"/>
          <w14:ligatures w14:val="standardContextual"/>
        </w:rPr>
        <w:t>10.17.5 Perspectivas e tendências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aposentadoria por idade, em sua nova roupagem de aposentadoria programada, tende a se consolidar como a principal modalidade de aposentadoria no RGPS. Com a extinção da aposentadoria por tempo de contribuição para novos filiados após 13/11/2019, a via da idade será, progressivamente, a única disponível para esses segurados, exceto para segurados especiais (rurais) e pessoas com deficiência (LC 142/2013), que mantêm regras próprias.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transição entre o regime antigo e o novo será longa. As regras de transição da EC 103/2019 se aplicam a todos os segurados filiados antes de 13/11/2019 que não implementaram os requisitos para a aposentadoria até aquela data. Considerando que uma pessoa que se filiou ao RGPS em novembro de 2019, com 18 anos de idade, atingirá a idade de 62 anos (mulher) ou 65 anos (homem) somente por volta de 2063-2066, as regras de transição permanecerão relevantes por pelo menos quatro décadas. A coexistência de múltiplas regras — direito adquirido, transição (arts. 15, 16, 17, 18, 20) e permanente — criou um sistema de elevada complexidade normativa que demandará do Poder Judiciário, por muitos anos, a tarefa de interpretar e compatibilizar os diversos dispositivos.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tendência demográfica de envelhecimento populacional brasileiro exercerá pressão crescente sobre o sistema, potencialmente levando a novas reformas que elevem as idades mínimas ou modifiquem os critérios de cálculo. O Poder Judiciário, especialmente os JEFs, continuará sendo palco relevante das controvérsias, tanto na concessão de benefícios quanto na revisão dos já concedidos. Temas como a reafirmação da DER, a revisão da vida toda, a contagem de tempo rural como carência urbana e a exclusão de salários de contribuição da média continuarão gerando demandas nos próximos anos.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o advogado previdenciário, o domínio das múltiplas regras coexistentes, direito adquirido, transição e permanente, é competência essencial que permanecerá relevante por décadas. Mais do que conhecer cada regra isoladamente, o profissional deve ser capaz de compará-las e identificar, para cada cliente individual, a combinação que resulta no benefício mais vantajoso. Essa análise comparativa, feita com rigor e atenção aos detalhes, é o que distingue a advocacia previdenciária de excelência da mera reprodução mecânica de fórmulas legais.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As regras de transição por tempo de contribuição (arts. 15, 16, 17 e 20 da EC 103/2019), incluindo fator previdenciário, regra 85/95, contagem recíproca e conversão de tempo especial, são tratadas no Capítulo 11.</w:t>
      </w:r>
    </w:p>
    <w:p>
      <w:pPr>
        <w:sectPr>
          <w:headerReference w:type="default" r:id="rId123"/>
          <w:headerReference w:type="even" r:id="rId124"/>
          <w:footerReference w:type="default" r:id="rId125"/>
          <w:footerReference w:type="even" r:id="rId126"/>
          <w:headerReference w:type="first" r:id="rId127"/>
          <w:footerReference w:type="first" r:id="rId128"/>
          <w:pgSz w:w="8391" w:h="11906"/>
          <w:pgMar w:top="935" w:right="879" w:bottom="964" w:left="1162" w:header="454" w:footer="425" w:gutter="0" w:mirrorMargins="1"/>
          <w:cols w:space="720"/>
          <w:titlePg/>
          <w:docGrid w:linePitch="360"/>
        </w:sectPr>
      </w:pPr>
    </w:p>
    <w:p>
      <w:pPr>
        <w:spacing w:before="240" w:after="80" w:line="240" w:lineRule="auto"/>
        <w:jc w:val="center"/>
        <w:keepNext/>
      </w:pPr>
      <w:r>
        <w:rPr>
          <w:rFonts w:ascii="Noto Sans" w:hAnsi="Noto Sans" w:cs="Noto Sans"/>
          <w:b/>
          <w:i w:val="0"/>
          <w:caps/>
          <w:color w:val="8A6A2A"/>
          <w:sz w:val="19"/>
          <w:lang w:val="pt-BR" w:bidi="ar-SA"/>
          <w:kern w:val="16"/>
          <w14:ligatures w14:val="standardContextual"/>
        </w:rPr>
        <w:t>CAPÍTULO 11</w:t>
      </w:r>
    </w:p>
    <w:p>
      <w:pPr>
        <w:pStyle w:val="Heading2"/>
        <w:spacing w:before="0" w:after="160" w:line="240" w:lineRule="auto"/>
        <w:jc w:val="center"/>
        <w:keepNext/>
      </w:pPr>
      <w:r>
        <w:rPr>
          <w:rFonts w:ascii="EB Garamond" w:hAnsi="EB Garamond" w:cs="EB Garamond"/>
          <w:b/>
          <w:i w:val="0"/>
          <w:caps/>
          <w:color w:val="2F2923"/>
          <w:sz w:val="40"/>
          <w:lang w:val="pt-BR" w:bidi="ar-SA"/>
          <w:kern w:val="16"/>
          <w14:ligatures w14:val="standardContextual"/>
        </w:rPr>
        <w:t>Aposentadoria por Tempo de Contribuição e Regras de Transição</w:t>
      </w:r>
    </w:p>
    <w:p>
      <w:pPr>
        <w:spacing w:before="0" w:after="240" w:line="240" w:lineRule="auto"/>
        <w:jc w:val="center"/>
      </w:pPr>
      <w:r>
        <w:rPr>
          <w:rFonts w:ascii="EB Garamond" w:hAnsi="EB Garamond" w:cs="EB Garamond"/>
          <w:b w:val="0"/>
          <w:i w:val="0"/>
          <w:color w:val="B78B37"/>
          <w:sz w:val="18"/>
          <w:lang w:val="pt-BR" w:bidi="ar-SA"/>
          <w:kern w:val="16"/>
          <w14:ligatures w14:val="standardContextual"/>
        </w:rPr>
        <w:t>━━━━  ◆  ━━━━</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Introdução e escopo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N</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enhuma espécie de benefício acumulou tantas regras de transição quanto a aposentadoria por tempo de contribuição. Quatro regimes convivem: as regras pré-EC 20/1998, as regras intermediárias (fator previdenciário e regra 85/95), as transições da EC 103/2019 e a regra permanente. O segurado que busca essa aposentadoria em 2026 depara com até seis caminhos distintos, cada qual com requisitos, base de cálculo e coeficiente próprios.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EC 103/2019 extinguiu a aposentadoria por tempo de contribuição como espécie autônoma para quem se filiou ao RGPS a partir de 13/11/2019 — esses novos segurados só acessam a aposentadoria programada (Cap. 10). Para os filiados anteriores, que ainda representam a ampla maioria dos segurados em atividade, quatro regras de transição (arts. 15, 16, 17 e 20 da EC 103) mantêm aberta a via da aposentadoria por tempo de contribuição. Cada regra favorece um perfil distinto de segurado, e a escolha equivocada pode significar prejuízo financeiro irreversível — razão pela qual a simulação comparativa por todas as regras se impõe como dever profissional do advogado previdenciarista.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Este capítulo trata das regras de transição por tempo de contribuição, do fator previdenciário (ainda aplicável em situações específicas), da regra 85/95 (aplicação residual por direito adquirido), da aposentadoria proporcional da EC 20/1998 e de temas correlatos: contagem recíproca, tempo fictício, conversão de tempo especial e planejamento previdenciário. As regras gerais de cálculo do SB/RMI estão no Cap. 16; tempo de contribuição e CNIS, no Cap. 5; aposentadoria especial e conversão, no Cap. 8; regras de transição por idade, no Cap. 10.</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Escopo do Capítulo 11</w:t>
            </w:r>
          </w:p>
          <w:tbl>
            <w:tblPr>
              <w:tblW w:type="auto" w:w="0"/>
              <w:jc w:val="center"/>
              <w:tblLook w:firstColumn="1" w:firstRow="1" w:lastColumn="0" w:lastRow="0" w:noHBand="0" w:noVBand="1" w:val="04A0"/>
              <w:tblW w:w="5000" w:type="pct"/>
            </w:tblPr>
            <w:tblGrid>
              <w:gridCol w:w="3175"/>
              <w:gridCol w:w="3175"/>
            </w:tblGrid>
            <w:tr>
              <w:trPr>
                <w:tblHeader/>
              </w:trPr>
              <w:tc>
                <w:tcPr>
                  <w:tcW w:type="dxa" w:w="3175"/>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Tema</w:t>
                  </w:r>
                </w:p>
              </w:tc>
              <w:tc>
                <w:tcPr>
                  <w:tcW w:type="dxa" w:w="3175"/>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Capítulo-sede</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Tempo de contribuição: conceito, cômputo, CNIS, CTC</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Cap. 5</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Aposentadoria especial, conversão de tempo especial</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Cap. 8</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Aposentadoria programada, regra de transição por idade (art. 18)</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Cap. 10</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Cálculo do SB/RMI, fórmula do fator previdenciário</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Cap. 16</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Carência, tabela do art. 142 (segurados filiados antes de 24/07/1991)</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Cap. 3</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Regras de transição por TC (arts. 15-20), fator previd. (aplicação), regra 85/95, aposentadoria proporcional, professor</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Este capítulo</w:t>
                  </w:r>
                </w:p>
              </w:tc>
            </w:tr>
          </w:tbl>
          <w:p/>
          <w:p>
            <w:pPr>
              <w:spacing w:before="0" w:after="0" w:line="240" w:lineRule="auto"/>
            </w:pP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11.2 Evolução histórica da aposentadoria por tempo de serviço/contribuição</w:t>
      </w:r>
    </w:p>
    <w:p>
      <w:pPr>
        <w:spacing w:before="260" w:after="80" w:line="240" w:lineRule="auto"/>
        <w:jc w:val="left"/>
      </w:pPr>
      <w:r>
        <w:rPr>
          <w:rFonts w:ascii="EB Garamond" w:hAnsi="EB Garamond" w:cs="EB Garamond"/>
          <w:b/>
          <w:i w:val="0"/>
          <w:color w:val="3A3128"/>
          <w:sz w:val="25"/>
          <w:lang w:val="pt-BR" w:bidi="ar-SA"/>
          <w:kern w:val="16"/>
          <w14:ligatures w14:val="standardContextual"/>
        </w:rPr>
        <w:t>11.2.1 Da aposentadoria por tempo de serviço à aposentadoria por tempo de contribuição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aposentadoria por tempo de serviço tem raízes na Lei Orgânica da Previdência Social (LOPS — Lei 3.807/1960), que a previa como direito do segurado após 30 anos de serviço (mulher) ou 35 anos (homem), sem exigência de idade mínima. O benefício correspondia à integralidade do salário de benefício, o que fazia dessa modalidade a mais procurada pelos segurados com longos vínculos empregatícios.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Constituição de 1988, em sua redação original (art. 202), manteve a aposentadoria por tempo de serviço com os mesmos requisitos de 30/35 anos, igualmente sem idade mínima. Essa ausência de requisito etário permitia aposentadorias precoces, não raro aos 48 ou 50 anos de idade, o que gerava pressão sobre o equilíbrio atuarial do sistema.</w:t>
      </w:r>
    </w:p>
    <w:p>
      <w:pPr>
        <w:spacing w:before="260" w:after="80" w:line="240" w:lineRule="auto"/>
        <w:jc w:val="left"/>
      </w:pPr>
      <w:r>
        <w:rPr>
          <w:rFonts w:ascii="EB Garamond" w:hAnsi="EB Garamond" w:cs="EB Garamond"/>
          <w:b/>
          <w:i w:val="0"/>
          <w:color w:val="3A3128"/>
          <w:sz w:val="25"/>
          <w:lang w:val="pt-BR" w:bidi="ar-SA"/>
          <w:kern w:val="16"/>
          <w14:ligatures w14:val="standardContextual"/>
        </w:rPr>
        <w:t>11.2.2 A EC 20/1998: idade mínima frustrada e fator previdenciário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EC 20/1998 tentou introduzir idade mínima para a aposentadoria por tempo de contribuição, mas a resistência política impediu a medida. Em compensação, duas mudanças relevantes foram implementadas: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Primeira:</w:t>
      </w:r>
      <w:r>
        <w:rPr>
          <w:rFonts w:ascii="EB Garamond" w:hAnsi="EB Garamond" w:cs="EB Garamond"/>
          <w:b w:val="0"/>
          <w:i w:val="0"/>
          <w:color w:val="201B16"/>
          <w:sz w:val="21"/>
          <w:lang w:val="pt-BR" w:bidi="ar-SA"/>
          <w:kern w:val="16"/>
          <w14:ligatures w14:val="standardContextual"/>
        </w:rPr>
        <w:t xml:space="preserve"> A substituição do conceito de "tempo de serviço" por "tempo de contribuição" (art. 201, § 7º, nova redação), exigindo contribuição efetiva ao sistema, e não apenas exercício de atividade. Essa mudança conceitual vedou a contagem de tempo fictício (art. 40, § 10, CF), eliminando benefícios como a contagem em dobro de licença-prêmio não gozada.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Segunda:</w:t>
      </w:r>
      <w:r>
        <w:rPr>
          <w:rFonts w:ascii="EB Garamond" w:hAnsi="EB Garamond" w:cs="EB Garamond"/>
          <w:b w:val="0"/>
          <w:i w:val="0"/>
          <w:color w:val="201B16"/>
          <w:sz w:val="21"/>
          <w:lang w:val="pt-BR" w:bidi="ar-SA"/>
          <w:kern w:val="16"/>
          <w14:ligatures w14:val="standardContextual"/>
        </w:rPr>
        <w:t xml:space="preserve"> A criação de uma regra de transição (art. 9º da EC 20/98) que previa aposentadoria proporcional para segurados com idade mínima de 48/53 anos e pedágio de 40% sobre o tempo faltante. Essa regra de transição, posteriormente revogada pelo art. 35 da EC 103/2019, ainda produz efeitos para segurados que implementaram seus requisitos antes de 13/11/2019 (direito adquirido).</w:t>
      </w:r>
    </w:p>
    <w:p>
      <w:pPr>
        <w:spacing w:before="260" w:after="80" w:line="240" w:lineRule="auto"/>
        <w:jc w:val="left"/>
      </w:pPr>
      <w:r>
        <w:rPr>
          <w:rFonts w:ascii="EB Garamond" w:hAnsi="EB Garamond" w:cs="EB Garamond"/>
          <w:b/>
          <w:i w:val="0"/>
          <w:color w:val="3A3128"/>
          <w:sz w:val="25"/>
          <w:lang w:val="pt-BR" w:bidi="ar-SA"/>
          <w:kern w:val="16"/>
          <w14:ligatures w14:val="standardContextual"/>
        </w:rPr>
        <w:t>11.2.3 A Lei 9.876/1999: o fator previdenciário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S</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em a idade mínima, o governo recorreu a um mecanismo indireto: o fator previdenciário (Lei 9.876/1999, inserido no art. 29 da Lei 8.213/91). A fórmula relaciona tempo de contribuição, idade e expectativa de sobrevida (tabela IBGE), produzindo um coeficiente que, na maioria dos casos de aposentadoria precoce, reduz o valor do benefício — por vezes em mais de 30%.</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STF indeferiu a medida cautelar na ADI 2.111 (julgada em 16/03/2000), sinalizando a constitucionalidade do fator previdenciário como mecanismo legítimo de equilíbrio financeiro do sistema. O mérito das ADIs 2.110 e 2.111 foi concluído em 21/03/2024 (ata publicada em 05/04/2024), quando o STF declarou constitucional a Lei 9.876/1999 — inclusive a regra de transição do art. 3º —, afastando, no mesmo julgamento, a tese da "revisão da vida toda" (v. Caps. 16 e 17).</w:t>
      </w:r>
    </w:p>
    <w:p>
      <w:pPr>
        <w:spacing w:before="260" w:after="80" w:line="240" w:lineRule="auto"/>
        <w:jc w:val="left"/>
      </w:pPr>
      <w:r>
        <w:rPr>
          <w:rFonts w:ascii="EB Garamond" w:hAnsi="EB Garamond" w:cs="EB Garamond"/>
          <w:b/>
          <w:i w:val="0"/>
          <w:color w:val="3A3128"/>
          <w:sz w:val="25"/>
          <w:lang w:val="pt-BR" w:bidi="ar-SA"/>
          <w:kern w:val="16"/>
          <w14:ligatures w14:val="standardContextual"/>
        </w:rPr>
        <w:t>11.2.4 A Lei 13.183/2015: a regra 85/95</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E</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m resposta à insatisfação generalizada com o fator, a Lei 13.183/2015 criou a regra 85/95 (art. 29-C da Lei 8.213/91): quem atingisse pontuação mínima (idade + TC) aposentava-se com 100% do SB, sem incidência do fator previdenciário. A pontuação era progressiva (85/95 em 2015, até 90/100). A seção 11.9 examina a regra em detalhe e sua aplicação residual como direito adquirido.</w:t>
      </w:r>
    </w:p>
    <w:p>
      <w:pPr>
        <w:spacing w:before="260" w:after="80" w:line="240" w:lineRule="auto"/>
        <w:jc w:val="left"/>
      </w:pPr>
      <w:r>
        <w:rPr>
          <w:rFonts w:ascii="EB Garamond" w:hAnsi="EB Garamond" w:cs="EB Garamond"/>
          <w:b/>
          <w:i w:val="0"/>
          <w:color w:val="3A3128"/>
          <w:sz w:val="25"/>
          <w:lang w:val="pt-BR" w:bidi="ar-SA"/>
          <w:kern w:val="16"/>
          <w14:ligatures w14:val="standardContextual"/>
        </w:rPr>
        <w:t>11.2.5 A EC 103/2019: extinção e transição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EC 103/2019 foi o golpe definitivo na aposentadoria por tempo de contribuição como espécie autônoma. Para novos filiados, o inciso II do art. 201, § 7º, da CF/88, que previa a aposentadoria por tempo de contribuição, foi tacitamente superado pela nova redação do inciso I, que instituiu a aposentadoria programada com requisitos cumulativos de idade e tempo de contribuição.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os filiados anteriores, quatro regras de transição foram estabelecidas, cada uma com características distintas que as tornam mais ou menos vantajosas conforme o perfil do segurado. A tabela abaixo sintetiza a evolução legislativa:</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Período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Marco legal</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Regime</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1960-1988</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LOPS (Lei 3.807/60)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Aposentadoria por tempo de serviço (30M/35H), sem idade</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1988-1998</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CF/88 (art. 202 original)</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Aposentadoria por tempo de serviço (30M/35H), sem idade</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1998-1999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EC 20/98</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"Tempo de contribuição", vedação tempo fictício, regra de transição proporcional</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1999-2015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Lei 9.876/99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Fator previdenciário obrigatório na aposentadoria por TC</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2015-2019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Lei 13.183/15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Regra 85/95 alternativa (afasta fator se atingir pontos)</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2019+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EC 103/19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Extinção da aposentadoria por TC para novos filiados; 4 regras de transição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11.3 Direito adquirido à regra anterior (art. 3º, EC 103/2019)</w:t>
      </w:r>
    </w:p>
    <w:p>
      <w:pPr>
        <w:spacing w:before="260" w:after="80" w:line="240" w:lineRule="auto"/>
        <w:jc w:val="left"/>
      </w:pPr>
      <w:r>
        <w:rPr>
          <w:rFonts w:ascii="EB Garamond" w:hAnsi="EB Garamond" w:cs="EB Garamond"/>
          <w:b/>
          <w:i w:val="0"/>
          <w:color w:val="3A3128"/>
          <w:sz w:val="25"/>
          <w:lang w:val="pt-BR" w:bidi="ar-SA"/>
          <w:kern w:val="16"/>
          <w14:ligatures w14:val="standardContextual"/>
        </w:rPr>
        <w:t>11.3.1 Fundamento constitucional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3º da EC 103/2019 expressamente preserva o direito adquirido dos segurados que implementaram os requisitos para qualquer modalidade de aposentadoria prevista na legislação anterior até a data de entrada em vigor da Emenda (13/11/2019). Essa preservação decorre diretamente do art. 5º, XXXVI, da CF/88 (proteção ao direito adquirido) e do princípio tempus regit actum.</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a aposentadoria por tempo de contribuição, o direito adquirido se configura quando o segurado, até 12/11/2019 (último dia antes da EC 103), completou:</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 Aposentadoria por TC integral (regra anterior):</w:t>
      </w:r>
      <w:r>
        <w:rPr>
          <w:rFonts w:ascii="EB Garamond" w:hAnsi="EB Garamond" w:cs="EB Garamond"/>
          <w:b w:val="0"/>
          <w:i w:val="0"/>
          <w:color w:val="201B16"/>
          <w:sz w:val="21"/>
          <w:lang w:val="pt-BR" w:bidi="ar-SA"/>
          <w:kern w:val="16"/>
          <w14:ligatures w14:val="standardContextual"/>
        </w:rPr>
        <w:t xml:space="preserve"> 35 anos de contribuição (homem) ou 30 anos (mulher), sem exigência de idade mínima. O cálculo se dá pela média dos 80% maiores salários de contribuição desde julho/1994, com aplicação obrigatória do fator previdenciário.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b) Aposentadoria por TC com regra 85/95 (Lei 13.183/2015):</w:t>
      </w:r>
      <w:r>
        <w:rPr>
          <w:rFonts w:ascii="EB Garamond" w:hAnsi="EB Garamond" w:cs="EB Garamond"/>
          <w:b w:val="0"/>
          <w:i w:val="0"/>
          <w:color w:val="201B16"/>
          <w:sz w:val="21"/>
          <w:lang w:val="pt-BR" w:bidi="ar-SA"/>
          <w:kern w:val="16"/>
          <w14:ligatures w14:val="standardContextual"/>
        </w:rPr>
        <w:t xml:space="preserve"> 35H/30M anos de TC + pontuação mínima de 96H/86M (em 2019). O fator previdenciário é afastado e o benefício corresponde a 100% do salário de benefício (média dos 80% maiores SC).</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 Aposentadoria proporcional (EC 20/98):</w:t>
      </w:r>
      <w:r>
        <w:rPr>
          <w:rFonts w:ascii="EB Garamond" w:hAnsi="EB Garamond" w:cs="EB Garamond"/>
          <w:b w:val="0"/>
          <w:i w:val="0"/>
          <w:color w:val="201B16"/>
          <w:sz w:val="21"/>
          <w:lang w:val="pt-BR" w:bidi="ar-SA"/>
          <w:kern w:val="16"/>
          <w14:ligatures w14:val="standardContextual"/>
        </w:rPr>
        <w:t xml:space="preserve"> 30/25 anos de TC + idade mínima 53/48 + pedágio de 40% do tempo que faltava em 16/12/1998. Benefício: 70% do SB + 5% por ano adicional.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Direito adquirido — Aplicação do princípio tempus regit actum</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STF e o STJ reiteradamente reconhecem que o segurado que implementa os requisitos para a aposentadoria sob determinada legislação tem direito adquirido à concessão segundo as regras vigentes naquele momento, mesmo que requeira o benefício em data posterior. Esse entendimento foi reafirmado pelo art. 3º da EC 103/2019 e constitui garantia fundamental do sistema previdenciário.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Na prática, significa que um segurado que completou 35 anos de TC em outubro de 2019 (antes da EC 103) pode requerer a aposentadoria em 2026 e terá o benefício calculado pela regra antiga — média dos 80% maiores salários, com aplicação do fator previdenciário (ou pela regra 85/95, se atingiu os pontos). A data de implementação dos requisitos é o marco; a data do requerimento é irrelevante para a escolha da regra.</w:t>
            </w:r>
          </w:p>
          <w:p>
            <w:pPr>
              <w:spacing w:before="0" w:after="60" w:line="247" w:lineRule="auto"/>
              <w:jc w:val="both"/>
            </w:pPr>
            <w:r>
              <w:rPr>
                <w:rFonts w:ascii="EB Garamond" w:hAnsi="EB Garamond" w:cs="EB Garamond"/>
                <w:b/>
                <w:i w:val="0"/>
                <w:color w:val="201B16"/>
                <w:sz w:val="19"/>
                <w:lang w:val="pt-BR" w:bidi="ar-SA"/>
                <w:kern w:val="16"/>
                <w14:ligatures w14:val="standardContextual"/>
              </w:rPr>
              <w:t>Atenção:</w:t>
            </w:r>
            <w:r>
              <w:rPr>
                <w:rFonts w:ascii="EB Garamond" w:hAnsi="EB Garamond" w:cs="EB Garamond"/>
                <w:b w:val="0"/>
                <w:i w:val="0"/>
                <w:color w:val="201B16"/>
                <w:sz w:val="19"/>
                <w:lang w:val="pt-BR" w:bidi="ar-SA"/>
                <w:kern w:val="16"/>
                <w14:ligatures w14:val="standardContextual"/>
              </w:rPr>
              <w:t xml:space="preserve"> O direito adquirido refere-se aos requisitos e ao cálculo, mas a DIB será fixada na data do requerimento administrativo (ou da reafirmação da DER, se aplicável, seção 10.8).</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11.3.2 Identificação prática do direito adquirido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advogado deve verificar, para cada cliente:</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1. </w:t>
      </w:r>
      <w:r>
        <w:rPr>
          <w:rFonts w:ascii="EB Garamond" w:hAnsi="EB Garamond" w:cs="EB Garamond"/>
          <w:b/>
          <w:i w:val="0"/>
          <w:color w:val="201B16"/>
          <w:sz w:val="20"/>
          <w:lang w:val="pt-BR" w:bidi="ar-SA"/>
          <w:kern w:val="16"/>
          <w14:ligatures w14:val="standardContextual"/>
        </w:rPr>
        <w:t>Data da primeira filiação ao RGPS:</w:t>
      </w:r>
      <w:r>
        <w:rPr>
          <w:rFonts w:ascii="EB Garamond" w:hAnsi="EB Garamond" w:cs="EB Garamond"/>
          <w:b w:val="0"/>
          <w:i w:val="0"/>
          <w:color w:val="201B16"/>
          <w:sz w:val="20"/>
          <w:lang w:val="pt-BR" w:bidi="ar-SA"/>
          <w:kern w:val="16"/>
          <w14:ligatures w14:val="standardContextual"/>
        </w:rPr>
        <w:t xml:space="preserve"> Determina se o segurado é "pré-EC 103" (filiado antes de 13/11/2019).</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2. </w:t>
      </w:r>
      <w:r>
        <w:rPr>
          <w:rFonts w:ascii="EB Garamond" w:hAnsi="EB Garamond" w:cs="EB Garamond"/>
          <w:b/>
          <w:i w:val="0"/>
          <w:color w:val="201B16"/>
          <w:sz w:val="20"/>
          <w:lang w:val="pt-BR" w:bidi="ar-SA"/>
          <w:kern w:val="16"/>
          <w14:ligatures w14:val="standardContextual"/>
        </w:rPr>
        <w:t>TC acumulado até 12/11/2019:</w:t>
      </w:r>
      <w:r>
        <w:rPr>
          <w:rFonts w:ascii="EB Garamond" w:hAnsi="EB Garamond" w:cs="EB Garamond"/>
          <w:b w:val="0"/>
          <w:i w:val="0"/>
          <w:color w:val="201B16"/>
          <w:sz w:val="20"/>
          <w:lang w:val="pt-BR" w:bidi="ar-SA"/>
          <w:kern w:val="16"/>
          <w14:ligatures w14:val="standardContextual"/>
        </w:rPr>
        <w:t xml:space="preserve"> Se o segurado tinha 35H/30M anos de TC nessa data, tem direito adquirido à aposentadoria por TC integral pela regra anterior.</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3. </w:t>
      </w:r>
      <w:r>
        <w:rPr>
          <w:rFonts w:ascii="EB Garamond" w:hAnsi="EB Garamond" w:cs="EB Garamond"/>
          <w:b/>
          <w:i w:val="0"/>
          <w:color w:val="201B16"/>
          <w:sz w:val="20"/>
          <w:lang w:val="pt-BR" w:bidi="ar-SA"/>
          <w:kern w:val="16"/>
          <w14:ligatures w14:val="standardContextual"/>
        </w:rPr>
        <w:t>Pontuação em 12/11/2019:</w:t>
      </w:r>
      <w:r>
        <w:rPr>
          <w:rFonts w:ascii="EB Garamond" w:hAnsi="EB Garamond" w:cs="EB Garamond"/>
          <w:b w:val="0"/>
          <w:i w:val="0"/>
          <w:color w:val="201B16"/>
          <w:sz w:val="20"/>
          <w:lang w:val="pt-BR" w:bidi="ar-SA"/>
          <w:kern w:val="16"/>
          <w14:ligatures w14:val="standardContextual"/>
        </w:rPr>
        <w:t xml:space="preserve"> Se o segurado tinha 96H/86M pontos (idade + TC) + 35H/30M anos TC, tem direito adquirido à regra 85/95 (sem fator previdenciário).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4. </w:t>
      </w:r>
      <w:r>
        <w:rPr>
          <w:rFonts w:ascii="EB Garamond" w:hAnsi="EB Garamond" w:cs="EB Garamond"/>
          <w:b/>
          <w:i w:val="0"/>
          <w:color w:val="201B16"/>
          <w:sz w:val="20"/>
          <w:lang w:val="pt-BR" w:bidi="ar-SA"/>
          <w:kern w:val="16"/>
          <w14:ligatures w14:val="standardContextual"/>
        </w:rPr>
        <w:t>Requisitos da EC 20/98:</w:t>
      </w:r>
      <w:r>
        <w:rPr>
          <w:rFonts w:ascii="EB Garamond" w:hAnsi="EB Garamond" w:cs="EB Garamond"/>
          <w:b w:val="0"/>
          <w:i w:val="0"/>
          <w:color w:val="201B16"/>
          <w:sz w:val="20"/>
          <w:lang w:val="pt-BR" w:bidi="ar-SA"/>
          <w:kern w:val="16"/>
          <w14:ligatures w14:val="standardContextual"/>
        </w:rPr>
        <w:t xml:space="preserve"> Se o segurado tinha 53H/48M anos + 30H/25M TC + pedágio 40% em 12/11/2019, tem direito adquirido à aposentadoria proporcional.</w:t>
      </w:r>
    </w:p>
    <w:p>
      <w:pPr>
        <w:spacing w:before="0" w:after="6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Exemplo — Identificação de direito adquirido</w:t>
            </w:r>
          </w:p>
          <w:p>
            <w:pPr>
              <w:spacing w:before="0" w:after="60" w:line="247" w:lineRule="auto"/>
              <w:jc w:val="both"/>
            </w:pPr>
            <w:r>
              <w:rPr>
                <w:rFonts w:ascii="EB Garamond" w:hAnsi="EB Garamond" w:cs="EB Garamond"/>
                <w:b/>
                <w:i w:val="0"/>
                <w:color w:val="201B16"/>
                <w:sz w:val="19"/>
                <w:lang w:val="pt-BR" w:bidi="ar-SA"/>
                <w:kern w:val="16"/>
                <w14:ligatures w14:val="standardContextual"/>
              </w:rPr>
              <w:t>Roberto</w:t>
            </w:r>
            <w:r>
              <w:rPr>
                <w:rFonts w:ascii="EB Garamond" w:hAnsi="EB Garamond" w:cs="EB Garamond"/>
                <w:b w:val="0"/>
                <w:i w:val="0"/>
                <w:color w:val="201B16"/>
                <w:sz w:val="19"/>
                <w:lang w:val="pt-BR" w:bidi="ar-SA"/>
                <w:kern w:val="16"/>
                <w14:ligatures w14:val="standardContextual"/>
              </w:rPr>
              <w:t>, 64 anos em 2026, filiado ao RGPS em 1984. Em 12/11/2019, Roberto tinha: - Idade: 57 anos - TC: 35 anos (1984-2019) - Pontos: 57 + 35 = 92</w:t>
            </w:r>
          </w:p>
          <w:p>
            <w:pPr>
              <w:spacing w:before="0" w:after="60" w:line="247" w:lineRule="auto"/>
              <w:jc w:val="both"/>
            </w:pPr>
            <w:r>
              <w:rPr>
                <w:rFonts w:ascii="EB Garamond" w:hAnsi="EB Garamond" w:cs="EB Garamond"/>
                <w:b/>
                <w:i w:val="0"/>
                <w:color w:val="201B16"/>
                <w:sz w:val="19"/>
                <w:lang w:val="pt-BR" w:bidi="ar-SA"/>
                <w:kern w:val="16"/>
                <w14:ligatures w14:val="standardContextual"/>
              </w:rPr>
              <w:t>Verificação:</w:t>
            </w:r>
            <w:r>
              <w:rPr>
                <w:rFonts w:ascii="EB Garamond" w:hAnsi="EB Garamond" w:cs="EB Garamond"/>
                <w:b w:val="0"/>
                <w:i w:val="0"/>
                <w:color w:val="201B16"/>
                <w:sz w:val="19"/>
                <w:lang w:val="pt-BR" w:bidi="ar-SA"/>
                <w:kern w:val="16"/>
                <w14:ligatures w14:val="standardContextual"/>
              </w:rPr>
              <w:t xml:space="preserve"> - Aposentadoria por TC integral (regra anterior): 35 anos TC ✅ → </w:t>
            </w:r>
            <w:r>
              <w:rPr>
                <w:rFonts w:ascii="EB Garamond" w:hAnsi="EB Garamond" w:cs="EB Garamond"/>
                <w:b/>
                <w:i w:val="0"/>
                <w:color w:val="201B16"/>
                <w:sz w:val="19"/>
                <w:lang w:val="pt-BR" w:bidi="ar-SA"/>
                <w:kern w:val="16"/>
                <w14:ligatures w14:val="standardContextual"/>
              </w:rPr>
              <w:t>tem direito adquirido</w:t>
            </w:r>
            <w:r>
              <w:rPr>
                <w:rFonts w:ascii="EB Garamond" w:hAnsi="EB Garamond" w:cs="EB Garamond"/>
                <w:b w:val="0"/>
                <w:i w:val="0"/>
                <w:color w:val="201B16"/>
                <w:sz w:val="19"/>
                <w:lang w:val="pt-BR" w:bidi="ar-SA"/>
                <w:kern w:val="16"/>
                <w14:ligatures w14:val="standardContextual"/>
              </w:rPr>
              <w:t xml:space="preserve"> - Regra 85/95: pontuação em 2019 = 92 ≥ 96? Não (92 &lt; 96) → </w:t>
            </w:r>
            <w:r>
              <w:rPr>
                <w:rFonts w:ascii="EB Garamond" w:hAnsi="EB Garamond" w:cs="EB Garamond"/>
                <w:b/>
                <w:i w:val="0"/>
                <w:color w:val="201B16"/>
                <w:sz w:val="19"/>
                <w:lang w:val="pt-BR" w:bidi="ar-SA"/>
                <w:kern w:val="16"/>
                <w14:ligatures w14:val="standardContextual"/>
              </w:rPr>
              <w:t>não tem direito adquirido à regra 85/95</w:t>
            </w:r>
            <w:r>
              <w:rPr>
                <w:rFonts w:ascii="EB Garamond" w:hAnsi="EB Garamond" w:cs="EB Garamond"/>
                <w:b w:val="0"/>
                <w:i w:val="0"/>
                <w:color w:val="201B16"/>
                <w:sz w:val="19"/>
                <w:lang w:val="pt-BR" w:bidi="ar-SA"/>
                <w:kern w:val="16"/>
                <w14:ligatures w14:val="standardContextual"/>
              </w:rPr>
              <w:t xml:space="preserve"> - Conclusão: Roberto tem direito adquirido à aposentadoria por TC com fator previdenciário.</w:t>
            </w:r>
          </w:p>
          <w:p>
            <w:pPr>
              <w:spacing w:before="0" w:after="60" w:line="247" w:lineRule="auto"/>
              <w:jc w:val="both"/>
            </w:pPr>
            <w:r>
              <w:rPr>
                <w:rFonts w:ascii="EB Garamond" w:hAnsi="EB Garamond" w:cs="EB Garamond"/>
                <w:b/>
                <w:i w:val="0"/>
                <w:color w:val="201B16"/>
                <w:sz w:val="19"/>
                <w:lang w:val="pt-BR" w:bidi="ar-SA"/>
                <w:kern w:val="16"/>
                <w14:ligatures w14:val="standardContextual"/>
              </w:rPr>
              <w:t>Cálculo do fator em 2019 (se tivesse requerido):</w:t>
            </w:r>
            <w:r>
              <w:rPr>
                <w:rFonts w:ascii="EB Garamond" w:hAnsi="EB Garamond" w:cs="EB Garamond"/>
                <w:b w:val="0"/>
                <w:i w:val="0"/>
                <w:color w:val="201B16"/>
                <w:sz w:val="19"/>
                <w:lang w:val="pt-BR" w:bidi="ar-SA"/>
                <w:kern w:val="16"/>
                <w14:ligatures w14:val="standardContextual"/>
              </w:rPr>
              <w:t xml:space="preserve"> - Tc = 35, Id = 57, Es ≈ 24,0 anos (tabela IBGE 2019) - f = (35 × 0,31 / 24,0) × [1 + (57 + 35 × 0,31) / 100] - f = (10,85 / 24,0) × [1 + (57 + 10,85) / 100] - f = 0,4521 × 1,6785 = </w:t>
            </w:r>
            <w:r>
              <w:rPr>
                <w:rFonts w:ascii="EB Garamond" w:hAnsi="EB Garamond" w:cs="EB Garamond"/>
                <w:b/>
                <w:i w:val="0"/>
                <w:color w:val="201B16"/>
                <w:sz w:val="19"/>
                <w:lang w:val="pt-BR" w:bidi="ar-SA"/>
                <w:kern w:val="16"/>
                <w14:ligatures w14:val="standardContextual"/>
              </w:rPr>
              <w:t>0,759</w:t>
            </w:r>
            <w:r>
              <w:rPr>
                <w:rFonts w:ascii="EB Garamond" w:hAnsi="EB Garamond" w:cs="EB Garamond"/>
                <w:b w:val="0"/>
                <w:i w:val="0"/>
                <w:color w:val="201B16"/>
                <w:sz w:val="19"/>
                <w:lang w:val="pt-BR" w:bidi="ar-SA"/>
                <w:kern w:val="16"/>
                <w14:ligatures w14:val="standardContextual"/>
              </w:rPr>
              <w:t xml:space="preserve"> - Média 80% maiores: R$ 5.800,00 → RMI = R$ 5.800 × 0,759 = </w:t>
            </w:r>
            <w:r>
              <w:rPr>
                <w:rFonts w:ascii="EB Garamond" w:hAnsi="EB Garamond" w:cs="EB Garamond"/>
                <w:b/>
                <w:i w:val="0"/>
                <w:color w:val="201B16"/>
                <w:sz w:val="19"/>
                <w:lang w:val="pt-BR" w:bidi="ar-SA"/>
                <w:kern w:val="16"/>
                <w14:ligatures w14:val="standardContextual"/>
              </w:rPr>
              <w:t>R$ 4.402,20</w:t>
            </w:r>
          </w:p>
          <w:p>
            <w:pPr>
              <w:spacing w:before="0" w:after="60" w:line="247" w:lineRule="auto"/>
              <w:jc w:val="both"/>
            </w:pPr>
            <w:r>
              <w:rPr>
                <w:rFonts w:ascii="EB Garamond" w:hAnsi="EB Garamond" w:cs="EB Garamond"/>
                <w:b/>
                <w:i w:val="0"/>
                <w:color w:val="201B16"/>
                <w:sz w:val="19"/>
                <w:lang w:val="pt-BR" w:bidi="ar-SA"/>
                <w:kern w:val="16"/>
                <w14:ligatures w14:val="standardContextual"/>
              </w:rPr>
              <w:t>Se Roberto requerer agora (2026), com 42 anos de TC e 64 anos de idade:</w:t>
            </w:r>
            <w:r>
              <w:rPr>
                <w:rFonts w:ascii="EB Garamond" w:hAnsi="EB Garamond" w:cs="EB Garamond"/>
                <w:b w:val="0"/>
                <w:i w:val="0"/>
                <w:color w:val="201B16"/>
                <w:sz w:val="19"/>
                <w:lang w:val="pt-BR" w:bidi="ar-SA"/>
                <w:kern w:val="16"/>
                <w14:ligatures w14:val="standardContextual"/>
              </w:rPr>
              <w:t xml:space="preserve"> - Pode exercer o direito adquirido (regra anterior com fator), OU - Pode optar por regra de transição (art. 15, 16, 17 ou 20) - O fator em 2026: Tc=42, Id=64, Es≈19,0 (tabela IBGE 2024) → f ≈ 0,684 × 1,770 = </w:t>
            </w:r>
            <w:r>
              <w:rPr>
                <w:rFonts w:ascii="EB Garamond" w:hAnsi="EB Garamond" w:cs="EB Garamond"/>
                <w:b/>
                <w:i w:val="0"/>
                <w:color w:val="201B16"/>
                <w:sz w:val="19"/>
                <w:lang w:val="pt-BR" w:bidi="ar-SA"/>
                <w:kern w:val="16"/>
                <w14:ligatures w14:val="standardContextual"/>
              </w:rPr>
              <w:t>1,211</w:t>
            </w:r>
            <w:r>
              <w:rPr>
                <w:rFonts w:ascii="EB Garamond" w:hAnsi="EB Garamond" w:cs="EB Garamond"/>
                <w:b w:val="0"/>
                <w:i w:val="0"/>
                <w:color w:val="201B16"/>
                <w:sz w:val="19"/>
                <w:lang w:val="pt-BR" w:bidi="ar-SA"/>
                <w:kern w:val="16"/>
                <w14:ligatures w14:val="standardContextual"/>
              </w:rPr>
              <w:t xml:space="preserve"> (fator &gt; 1!) - RMI direito adquirido: R$ 5.800 × 1,211 = </w:t>
            </w:r>
            <w:r>
              <w:rPr>
                <w:rFonts w:ascii="EB Garamond" w:hAnsi="EB Garamond" w:cs="EB Garamond"/>
                <w:b/>
                <w:i w:val="0"/>
                <w:color w:val="201B16"/>
                <w:sz w:val="19"/>
                <w:lang w:val="pt-BR" w:bidi="ar-SA"/>
                <w:kern w:val="16"/>
                <w14:ligatures w14:val="standardContextual"/>
              </w:rPr>
              <w:t>R$ 7.023,80</w:t>
            </w:r>
            <w:r>
              <w:rPr>
                <w:rFonts w:ascii="EB Garamond" w:hAnsi="EB Garamond" w:cs="EB Garamond"/>
                <w:b w:val="0"/>
                <w:i w:val="0"/>
                <w:color w:val="201B16"/>
                <w:sz w:val="19"/>
                <w:lang w:val="pt-BR" w:bidi="ar-SA"/>
                <w:kern w:val="16"/>
                <w14:ligatures w14:val="standardContextual"/>
              </w:rPr>
              <w:t xml:space="preserve"> (limitado ao teto RGPS R$ 8.475,55) - RMI art. 15: R$ 5.100 (média 100%) × (60% + 2%×22) = R$ 5.100 × 104% = </w:t>
            </w:r>
            <w:r>
              <w:rPr>
                <w:rFonts w:ascii="EB Garamond" w:hAnsi="EB Garamond" w:cs="EB Garamond"/>
                <w:b/>
                <w:i w:val="0"/>
                <w:color w:val="201B16"/>
                <w:sz w:val="19"/>
                <w:lang w:val="pt-BR" w:bidi="ar-SA"/>
                <w:kern w:val="16"/>
                <w14:ligatures w14:val="standardContextual"/>
              </w:rPr>
              <w:t>R$ 5.304,00</w:t>
            </w:r>
            <w:r>
              <w:rPr>
                <w:rFonts w:ascii="EB Garamond" w:hAnsi="EB Garamond" w:cs="EB Garamond"/>
                <w:b w:val="0"/>
                <w:i w:val="0"/>
                <w:color w:val="201B16"/>
                <w:sz w:val="19"/>
                <w:lang w:val="pt-BR" w:bidi="ar-SA"/>
                <w:kern w:val="16"/>
                <w14:ligatures w14:val="standardContextual"/>
              </w:rPr>
              <w:t xml:space="preserve"> - </w:t>
            </w:r>
            <w:r>
              <w:rPr>
                <w:rFonts w:ascii="EB Garamond" w:hAnsi="EB Garamond" w:cs="EB Garamond"/>
                <w:b/>
                <w:i w:val="0"/>
                <w:color w:val="201B16"/>
                <w:sz w:val="19"/>
                <w:lang w:val="pt-BR" w:bidi="ar-SA"/>
                <w:kern w:val="16"/>
                <w14:ligatures w14:val="standardContextual"/>
              </w:rPr>
              <w:t>O direito adquirido com fator é mais vantajoso</w:t>
            </w:r>
            <w:r>
              <w:rPr>
                <w:rFonts w:ascii="EB Garamond" w:hAnsi="EB Garamond" w:cs="EB Garamond"/>
                <w:b w:val="0"/>
                <w:i w:val="0"/>
                <w:color w:val="201B16"/>
                <w:sz w:val="19"/>
                <w:lang w:val="pt-BR" w:bidi="ar-SA"/>
                <w:kern w:val="16"/>
                <w14:ligatures w14:val="standardContextual"/>
              </w:rPr>
              <w:t xml:space="preserve"> porque Roberto tem 64 anos e 42 anos de TC, gerando fator &gt; 1,0.</w:t>
            </w:r>
          </w:p>
          <w:p>
            <w:pPr>
              <w:spacing w:before="0" w:after="60" w:line="247" w:lineRule="auto"/>
              <w:jc w:val="both"/>
            </w:pPr>
            <w:r>
              <w:rPr>
                <w:rFonts w:ascii="EB Garamond" w:hAnsi="EB Garamond" w:cs="EB Garamond"/>
                <w:b/>
                <w:i w:val="0"/>
                <w:color w:val="201B16"/>
                <w:sz w:val="19"/>
                <w:lang w:val="pt-BR" w:bidi="ar-SA"/>
                <w:kern w:val="16"/>
                <w14:ligatures w14:val="standardContextual"/>
              </w:rPr>
              <w:t>Lição:</w:t>
            </w:r>
            <w:r>
              <w:rPr>
                <w:rFonts w:ascii="EB Garamond" w:hAnsi="EB Garamond" w:cs="EB Garamond"/>
                <w:b w:val="0"/>
                <w:i w:val="0"/>
                <w:color w:val="201B16"/>
                <w:sz w:val="19"/>
                <w:lang w:val="pt-BR" w:bidi="ar-SA"/>
                <w:kern w:val="16"/>
                <w14:ligatures w14:val="standardContextual"/>
              </w:rPr>
              <w:t xml:space="preserve"> O direito adquirido pode ser exercido a qualquer tempo. Esperar mais anos pode torná-lo ainda mais vantajoso quando o fator previdenciário supera 1,0, mas o segurado perde meses de benefício enquanto espera.</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11.4 Regra de transição por pontos — art. 15, EC 103/2019</w:t>
      </w:r>
    </w:p>
    <w:p>
      <w:pPr>
        <w:spacing w:before="260" w:after="80" w:line="240" w:lineRule="auto"/>
        <w:jc w:val="left"/>
      </w:pPr>
      <w:r>
        <w:rPr>
          <w:rFonts w:ascii="EB Garamond" w:hAnsi="EB Garamond" w:cs="EB Garamond"/>
          <w:b/>
          <w:i w:val="0"/>
          <w:color w:val="3A3128"/>
          <w:sz w:val="25"/>
          <w:lang w:val="pt-BR" w:bidi="ar-SA"/>
          <w:kern w:val="16"/>
          <w14:ligatures w14:val="standardContextual"/>
        </w:rPr>
        <w:t>11.4.1 Conceito e requisitos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D</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as quatro regras de transição, a de pontos (art. 15) é a que atinge o maior número de segurados. O mecanismo é direto: soma-se a idade ao tempo de contribuição, e o resultado deve atingir a pontuação mínima do ano de requerimento. Herdeira da regra 85/95, dela se distingue por uma diferença crucial: os pontos aqui são meros requisitos de acesso, sem efeito sobre o cálculo do benefício.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Os requisitos são cumulativos: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 Tempo de contribuição mínimo:</w:t>
      </w:r>
      <w:r>
        <w:rPr>
          <w:rFonts w:ascii="EB Garamond" w:hAnsi="EB Garamond" w:cs="EB Garamond"/>
          <w:b w:val="0"/>
          <w:i w:val="0"/>
          <w:color w:val="201B16"/>
          <w:sz w:val="21"/>
          <w:lang w:val="pt-BR" w:bidi="ar-SA"/>
          <w:kern w:val="16"/>
          <w14:ligatures w14:val="standardContextual"/>
        </w:rPr>
        <w:t xml:space="preserve"> 30 anos (mulher) ou 35 anos (homem). Esse é um requisito fixo, que não se altera ao longo dos anos.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b) Pontuação mínima:</w:t>
      </w:r>
      <w:r>
        <w:rPr>
          <w:rFonts w:ascii="EB Garamond" w:hAnsi="EB Garamond" w:cs="EB Garamond"/>
          <w:b w:val="0"/>
          <w:i w:val="0"/>
          <w:color w:val="201B16"/>
          <w:sz w:val="21"/>
          <w:lang w:val="pt-BR" w:bidi="ar-SA"/>
          <w:kern w:val="16"/>
          <w14:ligatures w14:val="standardContextual"/>
        </w:rPr>
        <w:t xml:space="preserve"> A soma de idade + tempo de contribuição deve atingir a pontuação exigida para o ano em que o segurado pretende se aposentar. A pontuação inicial (2019) era de 86 pontos para mulher e 96 para homem, aumentando 1 ponto por ano até atingir 100 (mulher, em 2033) e 105 (homem, em 2028).</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 Carência:</w:t>
      </w:r>
      <w:r>
        <w:rPr>
          <w:rFonts w:ascii="EB Garamond" w:hAnsi="EB Garamond" w:cs="EB Garamond"/>
          <w:b w:val="0"/>
          <w:i w:val="0"/>
          <w:color w:val="201B16"/>
          <w:sz w:val="21"/>
          <w:lang w:val="pt-BR" w:bidi="ar-SA"/>
          <w:kern w:val="16"/>
          <w14:ligatures w14:val="standardContextual"/>
        </w:rPr>
        <w:t xml:space="preserve"> 180 contribuições mensais (art. 25, II, Lei 8.213/91). Para segurados filiados antes de 24/07/1991, a carência pode ser inferior, conforme a tabela progressiva do art. 142 da Lei 8.213/91 (v. Cap. 3, seção 3.4).</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grande vantagem do sistema de pontos é a flexibilidade: como a pontuação resulta da soma de idade e TC, um segurado com mais tempo de contribuição precisa de menos idade, e vice-versa. Um homem com 40 anos de TC, por exemplo, precisa de apenas 63 anos de idade para atingir 103 pontos em 2026, enquanto um homem com 35 anos de TC precisa de 68 anos.</w:t>
      </w:r>
    </w:p>
    <w:p>
      <w:pPr>
        <w:spacing w:before="260" w:after="80" w:line="240" w:lineRule="auto"/>
        <w:jc w:val="left"/>
      </w:pPr>
      <w:r>
        <w:rPr>
          <w:rFonts w:ascii="EB Garamond" w:hAnsi="EB Garamond" w:cs="EB Garamond"/>
          <w:b/>
          <w:i w:val="0"/>
          <w:color w:val="3A3128"/>
          <w:sz w:val="25"/>
          <w:lang w:val="pt-BR" w:bidi="ar-SA"/>
          <w:kern w:val="16"/>
          <w14:ligatures w14:val="standardContextual"/>
        </w:rPr>
        <w:t>11.4.2 Tabela de pontuação ano a ano (2019-2033)</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Ano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Mulher (pontos)</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Homem (pontos)</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2019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86</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96</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87</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97</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2021</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88</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98</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2022</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89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99</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2023</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2024</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91</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101</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92</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102</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2026</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93</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103</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2027</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94</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104</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2028</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105 (estabiliza)</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96</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105</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2030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97</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105</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2031</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98</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105</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2032</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105</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2033</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100 (estabiliza)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105</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i w:val="0"/>
          <w:color w:val="201B16"/>
          <w:sz w:val="21"/>
          <w:lang w:val="pt-BR" w:bidi="ar-SA"/>
          <w:kern w:val="16"/>
          <w14:ligatures w14:val="standardContextual"/>
        </w:rPr>
        <w:t>bservação:</w:t>
      </w:r>
      <w:r>
        <w:rPr>
          <w:rFonts w:ascii="EB Garamond" w:hAnsi="EB Garamond" w:cs="EB Garamond"/>
          <w:b w:val="0"/>
          <w:i w:val="0"/>
          <w:color w:val="201B16"/>
          <w:sz w:val="21"/>
          <w:lang w:val="pt-BR" w:bidi="ar-SA"/>
          <w:kern w:val="16"/>
          <w14:ligatures w14:val="standardContextual"/>
        </w:rPr>
        <w:t xml:space="preserve"> Após a estabilização, a pontuação se iguala à da regra permanente. Para o homem, a partir de 2028 (105 pontos = 65 anos + 40 anos TC ou equivalente), a regra de transição deixa de ter vantagem sobre a regra permanente. Para a mulher, isso ocorre a partir de 2033 (100 pontos = 62 anos + 38 TC ou equivalente).</w:t>
      </w:r>
    </w:p>
    <w:p>
      <w:pPr>
        <w:spacing w:before="260" w:after="80" w:line="240" w:lineRule="auto"/>
        <w:jc w:val="left"/>
      </w:pPr>
      <w:r>
        <w:rPr>
          <w:rFonts w:ascii="EB Garamond" w:hAnsi="EB Garamond" w:cs="EB Garamond"/>
          <w:b/>
          <w:i w:val="0"/>
          <w:color w:val="3A3128"/>
          <w:sz w:val="25"/>
          <w:lang w:val="pt-BR" w:bidi="ar-SA"/>
          <w:kern w:val="16"/>
          <w14:ligatures w14:val="standardContextual"/>
        </w:rPr>
        <w:t>11.4.3 Cálculo do benefício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cálculo do benefício pela regra do art. 15 segue a fórmula da EC 103/2019:</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1. </w:t>
      </w:r>
      <w:r>
        <w:rPr>
          <w:rFonts w:ascii="EB Garamond" w:hAnsi="EB Garamond" w:cs="EB Garamond"/>
          <w:b/>
          <w:i w:val="0"/>
          <w:color w:val="201B16"/>
          <w:sz w:val="20"/>
          <w:lang w:val="pt-BR" w:bidi="ar-SA"/>
          <w:kern w:val="16"/>
          <w14:ligatures w14:val="standardContextual"/>
        </w:rPr>
        <w:t>Média:</w:t>
      </w:r>
      <w:r>
        <w:rPr>
          <w:rFonts w:ascii="EB Garamond" w:hAnsi="EB Garamond" w:cs="EB Garamond"/>
          <w:b w:val="0"/>
          <w:i w:val="0"/>
          <w:color w:val="201B16"/>
          <w:sz w:val="20"/>
          <w:lang w:val="pt-BR" w:bidi="ar-SA"/>
          <w:kern w:val="16"/>
          <w14:ligatures w14:val="standardContextual"/>
        </w:rPr>
        <w:t xml:space="preserve"> 100% dos salários de contribuição desde julho/1994 (sem descarte dos 20% menores).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2. </w:t>
      </w:r>
      <w:r>
        <w:rPr>
          <w:rFonts w:ascii="EB Garamond" w:hAnsi="EB Garamond" w:cs="EB Garamond"/>
          <w:b/>
          <w:i w:val="0"/>
          <w:color w:val="201B16"/>
          <w:sz w:val="20"/>
          <w:lang w:val="pt-BR" w:bidi="ar-SA"/>
          <w:kern w:val="16"/>
          <w14:ligatures w14:val="standardContextual"/>
        </w:rPr>
        <w:t>Coeficiente:</w:t>
      </w:r>
      <w:r>
        <w:rPr>
          <w:rFonts w:ascii="EB Garamond" w:hAnsi="EB Garamond" w:cs="EB Garamond"/>
          <w:b w:val="0"/>
          <w:i w:val="0"/>
          <w:color w:val="201B16"/>
          <w:sz w:val="20"/>
          <w:lang w:val="pt-BR" w:bidi="ar-SA"/>
          <w:kern w:val="16"/>
          <w14:ligatures w14:val="standardContextual"/>
        </w:rPr>
        <w:t xml:space="preserve"> 60% + 2% por ano que exceder 20 anos de TC (homem) ou 15 anos de TC (mulher).</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3. </w:t>
      </w:r>
      <w:r>
        <w:rPr>
          <w:rFonts w:ascii="EB Garamond" w:hAnsi="EB Garamond" w:cs="EB Garamond"/>
          <w:b/>
          <w:i w:val="0"/>
          <w:color w:val="201B16"/>
          <w:sz w:val="20"/>
          <w:lang w:val="pt-BR" w:bidi="ar-SA"/>
          <w:kern w:val="16"/>
          <w14:ligatures w14:val="standardContextual"/>
        </w:rPr>
        <w:t>Possibilidade de exclusão:</w:t>
      </w:r>
      <w:r>
        <w:rPr>
          <w:rFonts w:ascii="EB Garamond" w:hAnsi="EB Garamond" w:cs="EB Garamond"/>
          <w:b w:val="0"/>
          <w:i w:val="0"/>
          <w:color w:val="201B16"/>
          <w:sz w:val="20"/>
          <w:lang w:val="pt-BR" w:bidi="ar-SA"/>
          <w:kern w:val="16"/>
          <w14:ligatures w14:val="standardContextual"/>
        </w:rPr>
        <w:t xml:space="preserve"> O segurado pode excluir salários de contribuição que reduzam a média, desde que mantido o TC mínimo (art. 26, § 6º, EC 103 — seção 10.11.4).</w:t>
      </w:r>
    </w:p>
    <w:p>
      <w:pPr>
        <w:spacing w:before="0" w:after="6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Simulação — Art. 15 (pontos) em 2026</w:t>
            </w:r>
          </w:p>
          <w:p>
            <w:pPr>
              <w:spacing w:before="0" w:after="60" w:line="247" w:lineRule="auto"/>
              <w:jc w:val="both"/>
            </w:pPr>
            <w:r>
              <w:rPr>
                <w:rFonts w:ascii="EB Garamond" w:hAnsi="EB Garamond" w:cs="EB Garamond"/>
                <w:b/>
                <w:i w:val="0"/>
                <w:color w:val="201B16"/>
                <w:sz w:val="19"/>
                <w:lang w:val="pt-BR" w:bidi="ar-SA"/>
                <w:kern w:val="16"/>
                <w14:ligatures w14:val="standardContextual"/>
              </w:rPr>
              <w:t>Ana</w:t>
            </w:r>
            <w:r>
              <w:rPr>
                <w:rFonts w:ascii="EB Garamond" w:hAnsi="EB Garamond" w:cs="EB Garamond"/>
                <w:b w:val="0"/>
                <w:i w:val="0"/>
                <w:color w:val="201B16"/>
                <w:sz w:val="19"/>
                <w:lang w:val="pt-BR" w:bidi="ar-SA"/>
                <w:kern w:val="16"/>
                <w14:ligatures w14:val="standardContextual"/>
              </w:rPr>
              <w:t>, 58 anos, 35 anos de contribuição, média de 100% dos SC = R$ 4.200,00.</w:t>
            </w:r>
          </w:p>
          <w:p>
            <w:pPr>
              <w:spacing w:before="0" w:after="60" w:line="247" w:lineRule="auto"/>
              <w:jc w:val="both"/>
            </w:pPr>
            <w:r>
              <w:rPr>
                <w:rFonts w:ascii="EB Garamond" w:hAnsi="EB Garamond" w:cs="EB Garamond"/>
                <w:b/>
                <w:i w:val="0"/>
                <w:color w:val="201B16"/>
                <w:sz w:val="19"/>
                <w:lang w:val="pt-BR" w:bidi="ar-SA"/>
                <w:kern w:val="16"/>
                <w14:ligatures w14:val="standardContextual"/>
              </w:rPr>
              <w:t>Pontuação:</w:t>
            </w:r>
            <w:r>
              <w:rPr>
                <w:rFonts w:ascii="EB Garamond" w:hAnsi="EB Garamond" w:cs="EB Garamond"/>
                <w:b w:val="0"/>
                <w:i w:val="0"/>
                <w:color w:val="201B16"/>
                <w:sz w:val="19"/>
                <w:lang w:val="pt-BR" w:bidi="ar-SA"/>
                <w:kern w:val="16"/>
                <w14:ligatures w14:val="standardContextual"/>
              </w:rPr>
              <w:t xml:space="preserve"> 58 + 35 = 93 ≥ 93 (exigido em 2026 para mulher) ✅ </w:t>
            </w:r>
            <w:r>
              <w:rPr>
                <w:rFonts w:ascii="EB Garamond" w:hAnsi="EB Garamond" w:cs="EB Garamond"/>
                <w:b/>
                <w:i w:val="0"/>
                <w:color w:val="201B16"/>
                <w:sz w:val="19"/>
                <w:lang w:val="pt-BR" w:bidi="ar-SA"/>
                <w:kern w:val="16"/>
                <w14:ligatures w14:val="standardContextual"/>
              </w:rPr>
              <w:t>TC mínimo:</w:t>
            </w:r>
            <w:r>
              <w:rPr>
                <w:rFonts w:ascii="EB Garamond" w:hAnsi="EB Garamond" w:cs="EB Garamond"/>
                <w:b w:val="0"/>
                <w:i w:val="0"/>
                <w:color w:val="201B16"/>
                <w:sz w:val="19"/>
                <w:lang w:val="pt-BR" w:bidi="ar-SA"/>
                <w:kern w:val="16"/>
                <w14:ligatures w14:val="standardContextual"/>
              </w:rPr>
              <w:t xml:space="preserve"> 35 ≥ 30 ✅ </w:t>
            </w:r>
            <w:r>
              <w:rPr>
                <w:rFonts w:ascii="EB Garamond" w:hAnsi="EB Garamond" w:cs="EB Garamond"/>
                <w:b/>
                <w:i w:val="0"/>
                <w:color w:val="201B16"/>
                <w:sz w:val="19"/>
                <w:lang w:val="pt-BR" w:bidi="ar-SA"/>
                <w:kern w:val="16"/>
                <w14:ligatures w14:val="standardContextual"/>
              </w:rPr>
              <w:t>Carência:</w:t>
            </w:r>
            <w:r>
              <w:rPr>
                <w:rFonts w:ascii="EB Garamond" w:hAnsi="EB Garamond" w:cs="EB Garamond"/>
                <w:b w:val="0"/>
                <w:i w:val="0"/>
                <w:color w:val="201B16"/>
                <w:sz w:val="19"/>
                <w:lang w:val="pt-BR" w:bidi="ar-SA"/>
                <w:kern w:val="16"/>
                <w14:ligatures w14:val="standardContextual"/>
              </w:rPr>
              <w:t xml:space="preserve"> 420 contribuições ≥ 180 ✅</w:t>
            </w:r>
          </w:p>
          <w:p>
            <w:pPr>
              <w:spacing w:before="0" w:after="60" w:line="247" w:lineRule="auto"/>
              <w:jc w:val="both"/>
            </w:pPr>
            <w:r>
              <w:rPr>
                <w:rFonts w:ascii="EB Garamond" w:hAnsi="EB Garamond" w:cs="EB Garamond"/>
                <w:b/>
                <w:i w:val="0"/>
                <w:color w:val="201B16"/>
                <w:sz w:val="19"/>
                <w:lang w:val="pt-BR" w:bidi="ar-SA"/>
                <w:kern w:val="16"/>
                <w14:ligatures w14:val="standardContextual"/>
              </w:rPr>
              <w:t>Cálculo:</w:t>
            </w:r>
            <w:r>
              <w:rPr>
                <w:rFonts w:ascii="EB Garamond" w:hAnsi="EB Garamond" w:cs="EB Garamond"/>
                <w:b w:val="0"/>
                <w:i w:val="0"/>
                <w:color w:val="201B16"/>
                <w:sz w:val="19"/>
                <w:lang w:val="pt-BR" w:bidi="ar-SA"/>
                <w:kern w:val="16"/>
                <w14:ligatures w14:val="standardContextual"/>
              </w:rPr>
              <w:t xml:space="preserve"> - Coeficiente: 60% + 2% × (35 - 15) = 60% + 40% = </w:t>
            </w:r>
            <w:r>
              <w:rPr>
                <w:rFonts w:ascii="EB Garamond" w:hAnsi="EB Garamond" w:cs="EB Garamond"/>
                <w:b/>
                <w:i w:val="0"/>
                <w:color w:val="201B16"/>
                <w:sz w:val="19"/>
                <w:lang w:val="pt-BR" w:bidi="ar-SA"/>
                <w:kern w:val="16"/>
                <w14:ligatures w14:val="standardContextual"/>
              </w:rPr>
              <w:t>100%</w:t>
            </w:r>
            <w:r>
              <w:rPr>
                <w:rFonts w:ascii="EB Garamond" w:hAnsi="EB Garamond" w:cs="EB Garamond"/>
                <w:b w:val="0"/>
                <w:i w:val="0"/>
                <w:color w:val="201B16"/>
                <w:sz w:val="19"/>
                <w:lang w:val="pt-BR" w:bidi="ar-SA"/>
                <w:kern w:val="16"/>
                <w14:ligatures w14:val="standardContextual"/>
              </w:rPr>
              <w:t xml:space="preserve"> - RMI: R$ 4.200,00 × 100% = </w:t>
            </w:r>
            <w:r>
              <w:rPr>
                <w:rFonts w:ascii="EB Garamond" w:hAnsi="EB Garamond" w:cs="EB Garamond"/>
                <w:b/>
                <w:i w:val="0"/>
                <w:color w:val="201B16"/>
                <w:sz w:val="19"/>
                <w:lang w:val="pt-BR" w:bidi="ar-SA"/>
                <w:kern w:val="16"/>
                <w14:ligatures w14:val="standardContextual"/>
              </w:rPr>
              <w:t>R$ 4.200,00</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Ana atinge coeficiente de 100% porque tem 35 anos de TC (20 anos excedentes sobre o piso de 15 para mulher). Seguradas com menos TC terão coeficiente menor.</w:t>
            </w:r>
          </w:p>
          <w:p>
            <w:pPr>
              <w:spacing w:before="0" w:after="60" w:line="247" w:lineRule="auto"/>
              <w:jc w:val="both"/>
            </w:pPr>
            <w:r>
              <w:rPr>
                <w:rFonts w:ascii="EB Garamond" w:hAnsi="EB Garamond" w:cs="EB Garamond"/>
                <w:b/>
                <w:i w:val="0"/>
                <w:color w:val="201B16"/>
                <w:sz w:val="19"/>
                <w:lang w:val="pt-BR" w:bidi="ar-SA"/>
                <w:kern w:val="16"/>
                <w14:ligatures w14:val="standardContextual"/>
              </w:rPr>
              <w:t>Comparativo:</w:t>
            </w:r>
            <w:r>
              <w:rPr>
                <w:rFonts w:ascii="EB Garamond" w:hAnsi="EB Garamond" w:cs="EB Garamond"/>
                <w:b w:val="0"/>
                <w:i w:val="0"/>
                <w:color w:val="201B16"/>
                <w:sz w:val="19"/>
                <w:lang w:val="pt-BR" w:bidi="ar-SA"/>
                <w:kern w:val="16"/>
                <w14:ligatures w14:val="standardContextual"/>
              </w:rPr>
              <w:t xml:space="preserve"> Se Ana tivesse apenas 30 anos de TC (mínimo exigido): - Pontuação: 58 + 30 = 88 &lt; 93 → </w:t>
            </w:r>
            <w:r>
              <w:rPr>
                <w:rFonts w:ascii="EB Garamond" w:hAnsi="EB Garamond" w:cs="EB Garamond"/>
                <w:b/>
                <w:i w:val="0"/>
                <w:color w:val="201B16"/>
                <w:sz w:val="19"/>
                <w:lang w:val="pt-BR" w:bidi="ar-SA"/>
                <w:kern w:val="16"/>
                <w14:ligatures w14:val="standardContextual"/>
              </w:rPr>
              <w:t>não atinge em 2026</w:t>
            </w:r>
            <w:r>
              <w:rPr>
                <w:rFonts w:ascii="EB Garamond" w:hAnsi="EB Garamond" w:cs="EB Garamond"/>
                <w:b w:val="0"/>
                <w:i w:val="0"/>
                <w:color w:val="201B16"/>
                <w:sz w:val="19"/>
                <w:lang w:val="pt-BR" w:bidi="ar-SA"/>
                <w:kern w:val="16"/>
                <w14:ligatures w14:val="standardContextual"/>
              </w:rPr>
              <w:t xml:space="preserve"> (tampouco atingiria em 2025, quando a exigência para a mulher era de 92 pontos: 88 &lt; 92) - Coeficiente com 30 anos: 60% + 2% × (30 - 15) = 90% - RMI: R$ 4.200 × 90% = </w:t>
            </w:r>
            <w:r>
              <w:rPr>
                <w:rFonts w:ascii="EB Garamond" w:hAnsi="EB Garamond" w:cs="EB Garamond"/>
                <w:b/>
                <w:i w:val="0"/>
                <w:color w:val="201B16"/>
                <w:sz w:val="19"/>
                <w:lang w:val="pt-BR" w:bidi="ar-SA"/>
                <w:kern w:val="16"/>
                <w14:ligatures w14:val="standardContextual"/>
              </w:rPr>
              <w:t>R$ 3.780,00</w:t>
            </w: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Diferença crucial: pontos do art. 15 EC 103 vs. Pontos da regra 85/95</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Embora ambos usem o sistema de pontos (idade + TC), os efeitos são radicalmente diferentes:</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Aspecto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Regra 85/95 (Lei 13.183/2015)</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Art. 15 EC 103/2019</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Efeito dos pontos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Afasta o fator previdenciário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Apenas requisito de acesso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Cálculo da média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80% maiores SC</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100% dos SC</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Coeficiente</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100% do SB (fixo)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60% + 2%/ano excedente</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Fator previdenciário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Afastado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 se aplica (nem como opção)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Aplicação em 2026</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Apenas direito adquirido (até 13/11/2019)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Regra de transição vigente</w:t>
                  </w:r>
                </w:p>
              </w:tc>
            </w:tr>
          </w:tbl>
          <w:p/>
          <w:p>
            <w:pPr>
              <w:spacing w:before="0" w:after="0" w:line="240" w:lineRule="auto"/>
            </w:pP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confusão entre as duas regras é um dos erros mais comuns na prática previdenciária. O advogado que calcula o benefício do art. 15 como se fosse a regra 85/95 (100% do SB, sem fator) comete erro grave que pode resultar em expectativa equivocada ao cliente e eventual responsabilidade profissional.</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11.5 Regra de transição por idade mínima progressiva — art. 16, EC 103/2019</w:t>
      </w:r>
    </w:p>
    <w:p>
      <w:pPr>
        <w:spacing w:before="260" w:after="80" w:line="240" w:lineRule="auto"/>
        <w:jc w:val="left"/>
      </w:pPr>
      <w:r>
        <w:rPr>
          <w:rFonts w:ascii="EB Garamond" w:hAnsi="EB Garamond" w:cs="EB Garamond"/>
          <w:b/>
          <w:i w:val="0"/>
          <w:color w:val="3A3128"/>
          <w:sz w:val="25"/>
          <w:lang w:val="pt-BR" w:bidi="ar-SA"/>
          <w:kern w:val="16"/>
          <w14:ligatures w14:val="standardContextual"/>
        </w:rPr>
        <w:t>11.5.1 Conceito e requisitos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diferença entre o art. 16 e o art. 15 é sutil, mas decisiva: enquanto o art. 15 permite compensar idade com mais TC (e vice-versa), o art. 16 exige idade mínima rígida, que cresce 6 meses a cada ano. Partiu-se de 56 anos (mulher) e 61 (homem) em 2019, rumo a 62 (mulher, em 2031) e 65 (homem, em 2027). Atingidas essas idades, a regra se iguala à permanente.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Os requisitos, cumulativos, são: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 Tempo de contribuição mínimo:</w:t>
      </w:r>
      <w:r>
        <w:rPr>
          <w:rFonts w:ascii="EB Garamond" w:hAnsi="EB Garamond" w:cs="EB Garamond"/>
          <w:b w:val="0"/>
          <w:i w:val="0"/>
          <w:color w:val="201B16"/>
          <w:sz w:val="21"/>
          <w:lang w:val="pt-BR" w:bidi="ar-SA"/>
          <w:kern w:val="16"/>
          <w14:ligatures w14:val="standardContextual"/>
        </w:rPr>
        <w:t xml:space="preserve"> 30 anos (mulher) ou 35 anos (homem) — fixo, idêntico ao art. 15.</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b) Idade mínima progressiva:</w:t>
      </w:r>
      <w:r>
        <w:rPr>
          <w:rFonts w:ascii="EB Garamond" w:hAnsi="EB Garamond" w:cs="EB Garamond"/>
          <w:b w:val="0"/>
          <w:i w:val="0"/>
          <w:color w:val="201B16"/>
          <w:sz w:val="21"/>
          <w:lang w:val="pt-BR" w:bidi="ar-SA"/>
          <w:kern w:val="16"/>
          <w14:ligatures w14:val="standardContextual"/>
        </w:rPr>
        <w:t xml:space="preserve"> Conforme tabela abaixo. A idade aqui é requisito autônomo: mais TC não compensa menos idade.</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 Carência:</w:t>
      </w:r>
      <w:r>
        <w:rPr>
          <w:rFonts w:ascii="EB Garamond" w:hAnsi="EB Garamond" w:cs="EB Garamond"/>
          <w:b w:val="0"/>
          <w:i w:val="0"/>
          <w:color w:val="201B16"/>
          <w:sz w:val="21"/>
          <w:lang w:val="pt-BR" w:bidi="ar-SA"/>
          <w:kern w:val="16"/>
          <w14:ligatures w14:val="standardContextual"/>
        </w:rPr>
        <w:t xml:space="preserve"> 180 contribuições mensais (para segurados filiados antes de 24/07/1991, v. Tabela do art. 142, Cap. 3).</w:t>
      </w:r>
    </w:p>
    <w:p>
      <w:pPr>
        <w:spacing w:before="260" w:after="80" w:line="240" w:lineRule="auto"/>
        <w:jc w:val="left"/>
      </w:pPr>
      <w:r>
        <w:rPr>
          <w:rFonts w:ascii="EB Garamond" w:hAnsi="EB Garamond" w:cs="EB Garamond"/>
          <w:b/>
          <w:i w:val="0"/>
          <w:color w:val="3A3128"/>
          <w:sz w:val="25"/>
          <w:lang w:val="pt-BR" w:bidi="ar-SA"/>
          <w:kern w:val="16"/>
          <w14:ligatures w14:val="standardContextual"/>
        </w:rPr>
        <w:t>11.5.2 Tabela de idade mínima progressiva (2019-2031)</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Ano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Mulher (idade)</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Homem (idade)</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2019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56</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61</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56,5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61,5</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2021</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57</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62</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2022</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57,5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62,5</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2023</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58</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63</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2024</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58,5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63,5</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64</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2026</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59,5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64,5</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2027</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65 (estabiliza)</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2028</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60,5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65</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61</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65</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2030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61,5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65</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2031</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62 (estabiliza)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65</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11.5.3 Quando o art. 16 é mais vantajoso que o art. 15?</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N</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 maioria dos casos, as duas regras produzem resultados idênticos, pois o cálculo do benefício é o mesmo (60% + 2%/ano excedente sobre média de 100%). A diferença está nos requisitos de acesso: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Art. 15 favorece:</w:t>
      </w:r>
      <w:r>
        <w:rPr>
          <w:rFonts w:ascii="EB Garamond" w:hAnsi="EB Garamond" w:cs="EB Garamond"/>
          <w:b w:val="0"/>
          <w:i w:val="0"/>
          <w:color w:val="201B16"/>
          <w:sz w:val="21"/>
          <w:lang w:val="pt-BR" w:bidi="ar-SA"/>
          <w:kern w:val="16"/>
          <w14:ligatures w14:val="standardContextual"/>
        </w:rPr>
        <w:t xml:space="preserve"> Segurados com muito tempo de contribuição e idade relativamente baixa. Exemplo: mulher com 37 anos de TC e 56 anos de idade → pontos = 93 (atinge art. 15 em 2026), mas idade 56 &lt; 59,5 (não atinge art. 16 em 2026).</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Art. 16 favorece:</w:t>
      </w:r>
      <w:r>
        <w:rPr>
          <w:rFonts w:ascii="EB Garamond" w:hAnsi="EB Garamond" w:cs="EB Garamond"/>
          <w:b w:val="0"/>
          <w:i w:val="0"/>
          <w:color w:val="201B16"/>
          <w:sz w:val="21"/>
          <w:lang w:val="pt-BR" w:bidi="ar-SA"/>
          <w:kern w:val="16"/>
          <w14:ligatures w14:val="standardContextual"/>
        </w:rPr>
        <w:t xml:space="preserve"> Segurados com idade elevada mas tempo de contribuição próximo do mínimo. Exemplo: homem com 35 anos de TC e 65 anos de idade → idade 65 ≥ 64,5 (atinge art. 16 em 2026), pontos = 100 &lt; 103 (não atinge art. 15 em 2026).</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o art. 15 tem campo de aplicação mais amplo porque permite compensação (mais TC = menos idade exigida), enquanto o art. 16 é rígido em ambos os requisitos.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Comparativo art. 15 vs. Art. 16 — Caso concreto</w:t>
            </w:r>
          </w:p>
          <w:p>
            <w:pPr>
              <w:spacing w:before="0" w:after="60" w:line="247" w:lineRule="auto"/>
              <w:jc w:val="both"/>
            </w:pPr>
            <w:r>
              <w:rPr>
                <w:rFonts w:ascii="EB Garamond" w:hAnsi="EB Garamond" w:cs="EB Garamond"/>
                <w:b/>
                <w:i w:val="0"/>
                <w:color w:val="201B16"/>
                <w:sz w:val="19"/>
                <w:lang w:val="pt-BR" w:bidi="ar-SA"/>
                <w:kern w:val="16"/>
                <w14:ligatures w14:val="standardContextual"/>
              </w:rPr>
              <w:t>Jorge</w:t>
            </w:r>
            <w:r>
              <w:rPr>
                <w:rFonts w:ascii="EB Garamond" w:hAnsi="EB Garamond" w:cs="EB Garamond"/>
                <w:b w:val="0"/>
                <w:i w:val="0"/>
                <w:color w:val="201B16"/>
                <w:sz w:val="19"/>
                <w:lang w:val="pt-BR" w:bidi="ar-SA"/>
                <w:kern w:val="16"/>
                <w14:ligatures w14:val="standardContextual"/>
              </w:rPr>
              <w:t xml:space="preserve">, homem, 65 anos, 35 anos TC em 2026. - Art. 15: pontos = 65 + 35 = 100 &lt; 103 → </w:t>
            </w:r>
            <w:r>
              <w:rPr>
                <w:rFonts w:ascii="EB Garamond" w:hAnsi="EB Garamond" w:cs="EB Garamond"/>
                <w:b/>
                <w:i w:val="0"/>
                <w:color w:val="201B16"/>
                <w:sz w:val="19"/>
                <w:lang w:val="pt-BR" w:bidi="ar-SA"/>
                <w:kern w:val="16"/>
                <w14:ligatures w14:val="standardContextual"/>
              </w:rPr>
              <w:t>NÃO atinge</w:t>
            </w:r>
            <w:r>
              <w:rPr>
                <w:rFonts w:ascii="EB Garamond" w:hAnsi="EB Garamond" w:cs="EB Garamond"/>
                <w:b w:val="0"/>
                <w:i w:val="0"/>
                <w:color w:val="201B16"/>
                <w:sz w:val="19"/>
                <w:lang w:val="pt-BR" w:bidi="ar-SA"/>
                <w:kern w:val="16"/>
                <w14:ligatures w14:val="standardContextual"/>
              </w:rPr>
              <w:t xml:space="preserve"> em 2026 - Art. 16: idade 65 ≥ 64,5 </w:t>
            </w:r>
            <w:r>
              <w:rPr>
                <w:rFonts w:ascii="EB Garamond" w:hAnsi="EB Garamond" w:cs="EB Garamond"/>
                <w:b/>
                <w:i w:val="0"/>
                <w:color w:val="201B16"/>
                <w:sz w:val="19"/>
                <w:lang w:val="pt-BR" w:bidi="ar-SA"/>
                <w:kern w:val="16"/>
                <w14:ligatures w14:val="standardContextual"/>
              </w:rPr>
              <w:t>E</w:t>
            </w:r>
            <w:r>
              <w:rPr>
                <w:rFonts w:ascii="EB Garamond" w:hAnsi="EB Garamond" w:cs="EB Garamond"/>
                <w:b w:val="0"/>
                <w:i w:val="0"/>
                <w:color w:val="201B16"/>
                <w:sz w:val="19"/>
                <w:lang w:val="pt-BR" w:bidi="ar-SA"/>
                <w:kern w:val="16"/>
                <w14:ligatures w14:val="standardContextual"/>
              </w:rPr>
              <w:t xml:space="preserve"> TC 35 ≥ 35 → </w:t>
            </w:r>
            <w:r>
              <w:rPr>
                <w:rFonts w:ascii="EB Garamond" w:hAnsi="EB Garamond" w:cs="EB Garamond"/>
                <w:b/>
                <w:i w:val="0"/>
                <w:color w:val="201B16"/>
                <w:sz w:val="19"/>
                <w:lang w:val="pt-BR" w:bidi="ar-SA"/>
                <w:kern w:val="16"/>
                <w14:ligatures w14:val="standardContextual"/>
              </w:rPr>
              <w:t>atinge</w:t>
            </w:r>
            <w:r>
              <w:rPr>
                <w:rFonts w:ascii="EB Garamond" w:hAnsi="EB Garamond" w:cs="EB Garamond"/>
                <w:b w:val="0"/>
                <w:i w:val="0"/>
                <w:color w:val="201B16"/>
                <w:sz w:val="19"/>
                <w:lang w:val="pt-BR" w:bidi="ar-SA"/>
                <w:kern w:val="16"/>
                <w14:ligatures w14:val="standardContextual"/>
              </w:rPr>
              <w:t xml:space="preserve"> em 2026 - Conclusão: Jorge se aposenta pelo art. 16, não pelo art. 15.</w:t>
            </w:r>
          </w:p>
          <w:p>
            <w:pPr>
              <w:spacing w:before="0" w:after="60" w:line="247" w:lineRule="auto"/>
              <w:jc w:val="both"/>
            </w:pPr>
            <w:r>
              <w:rPr>
                <w:rFonts w:ascii="EB Garamond" w:hAnsi="EB Garamond" w:cs="EB Garamond"/>
                <w:b/>
                <w:i w:val="0"/>
                <w:color w:val="201B16"/>
                <w:sz w:val="19"/>
                <w:lang w:val="pt-BR" w:bidi="ar-SA"/>
                <w:kern w:val="16"/>
                <w14:ligatures w14:val="standardContextual"/>
              </w:rPr>
              <w:t>Mariana</w:t>
            </w:r>
            <w:r>
              <w:rPr>
                <w:rFonts w:ascii="EB Garamond" w:hAnsi="EB Garamond" w:cs="EB Garamond"/>
                <w:b w:val="0"/>
                <w:i w:val="0"/>
                <w:color w:val="201B16"/>
                <w:sz w:val="19"/>
                <w:lang w:val="pt-BR" w:bidi="ar-SA"/>
                <w:kern w:val="16"/>
                <w14:ligatures w14:val="standardContextual"/>
              </w:rPr>
              <w:t xml:space="preserve">, mulher, 56 anos, 37 anos TC em 2026. - Art. 15: pontos = 56 + 37 = 93 ≥ 93 → </w:t>
            </w:r>
            <w:r>
              <w:rPr>
                <w:rFonts w:ascii="EB Garamond" w:hAnsi="EB Garamond" w:cs="EB Garamond"/>
                <w:b/>
                <w:i w:val="0"/>
                <w:color w:val="201B16"/>
                <w:sz w:val="19"/>
                <w:lang w:val="pt-BR" w:bidi="ar-SA"/>
                <w:kern w:val="16"/>
                <w14:ligatures w14:val="standardContextual"/>
              </w:rPr>
              <w:t>atinge</w:t>
            </w:r>
            <w:r>
              <w:rPr>
                <w:rFonts w:ascii="EB Garamond" w:hAnsi="EB Garamond" w:cs="EB Garamond"/>
                <w:b w:val="0"/>
                <w:i w:val="0"/>
                <w:color w:val="201B16"/>
                <w:sz w:val="19"/>
                <w:lang w:val="pt-BR" w:bidi="ar-SA"/>
                <w:kern w:val="16"/>
                <w14:ligatures w14:val="standardContextual"/>
              </w:rPr>
              <w:t xml:space="preserve"> em 2026 - Art. 16: idade 56 &lt; 59,5 → </w:t>
            </w:r>
            <w:r>
              <w:rPr>
                <w:rFonts w:ascii="EB Garamond" w:hAnsi="EB Garamond" w:cs="EB Garamond"/>
                <w:b/>
                <w:i w:val="0"/>
                <w:color w:val="201B16"/>
                <w:sz w:val="19"/>
                <w:lang w:val="pt-BR" w:bidi="ar-SA"/>
                <w:kern w:val="16"/>
                <w14:ligatures w14:val="standardContextual"/>
              </w:rPr>
              <w:t>NÃO atinge</w:t>
            </w:r>
            <w:r>
              <w:rPr>
                <w:rFonts w:ascii="EB Garamond" w:hAnsi="EB Garamond" w:cs="EB Garamond"/>
                <w:b w:val="0"/>
                <w:i w:val="0"/>
                <w:color w:val="201B16"/>
                <w:sz w:val="19"/>
                <w:lang w:val="pt-BR" w:bidi="ar-SA"/>
                <w:kern w:val="16"/>
                <w14:ligatures w14:val="standardContextual"/>
              </w:rPr>
              <w:t xml:space="preserve"> em 2026 - Conclusão: Mariana se aposenta pelo art. 15, não pelo art. 16.</w:t>
            </w:r>
          </w:p>
          <w:p>
            <w:pPr>
              <w:spacing w:before="0" w:after="60" w:line="247" w:lineRule="auto"/>
              <w:jc w:val="both"/>
            </w:pPr>
            <w:r>
              <w:rPr>
                <w:rFonts w:ascii="EB Garamond" w:hAnsi="EB Garamond" w:cs="EB Garamond"/>
                <w:b/>
                <w:i w:val="0"/>
                <w:color w:val="201B16"/>
                <w:sz w:val="19"/>
                <w:lang w:val="pt-BR" w:bidi="ar-SA"/>
                <w:kern w:val="16"/>
                <w14:ligatures w14:val="standardContextual"/>
              </w:rPr>
              <w:t>Em ambos os casos, o cálculo do benefício é idêntico.</w:t>
            </w:r>
            <w:r>
              <w:rPr>
                <w:rFonts w:ascii="EB Garamond" w:hAnsi="EB Garamond" w:cs="EB Garamond"/>
                <w:b w:val="0"/>
                <w:i w:val="0"/>
                <w:color w:val="201B16"/>
                <w:sz w:val="19"/>
                <w:lang w:val="pt-BR" w:bidi="ar-SA"/>
                <w:kern w:val="16"/>
                <w14:ligatures w14:val="standardContextual"/>
              </w:rPr>
              <w:t xml:space="preserve"> A diferença é apenas no acesso.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11.6 Regra de transição do pedágio de 50% — art. 17, EC 103/2019</w:t>
      </w:r>
    </w:p>
    <w:p>
      <w:pPr>
        <w:spacing w:before="260" w:after="80" w:line="240" w:lineRule="auto"/>
        <w:jc w:val="left"/>
      </w:pPr>
      <w:r>
        <w:rPr>
          <w:rFonts w:ascii="EB Garamond" w:hAnsi="EB Garamond" w:cs="EB Garamond"/>
          <w:b/>
          <w:i w:val="0"/>
          <w:color w:val="3A3128"/>
          <w:sz w:val="25"/>
          <w:lang w:val="pt-BR" w:bidi="ar-SA"/>
          <w:kern w:val="16"/>
          <w14:ligatures w14:val="standardContextual"/>
        </w:rPr>
        <w:t>11.6.1 Conceito e requisitos de elegibilidade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pedágio de 50% (art. 17) só beneficia quem, em 13/11/2019, já tinha pelo menos 33 anos de TC (homem) ou 28 (mulher) — ou seja, a menos de dois anos do mínimo. Para os demais segurados, a regra é irrelevante. Trata-se da regra de transição de aplicação mais restrita. Concretamente:</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Mulheres:</w:t>
      </w:r>
      <w:r>
        <w:rPr>
          <w:rFonts w:ascii="EB Garamond" w:hAnsi="EB Garamond" w:cs="EB Garamond"/>
          <w:b w:val="0"/>
          <w:i w:val="0"/>
          <w:color w:val="201B16"/>
          <w:sz w:val="20"/>
          <w:lang w:val="pt-BR" w:bidi="ar-SA"/>
          <w:kern w:val="16"/>
          <w14:ligatures w14:val="standardContextual"/>
        </w:rPr>
        <w:t xml:space="preserve"> Pelo menos 28 anos de contribuição em 13/11/2019 (faltavam no máximo 2 anos para os 30 exigidos).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Homens:</w:t>
      </w:r>
      <w:r>
        <w:rPr>
          <w:rFonts w:ascii="EB Garamond" w:hAnsi="EB Garamond" w:cs="EB Garamond"/>
          <w:b w:val="0"/>
          <w:i w:val="0"/>
          <w:color w:val="201B16"/>
          <w:sz w:val="20"/>
          <w:lang w:val="pt-BR" w:bidi="ar-SA"/>
          <w:kern w:val="16"/>
          <w14:ligatures w14:val="standardContextual"/>
        </w:rPr>
        <w:t xml:space="preserve"> Pelo menos 33 anos de contribuição em 13/11/2019 (faltavam no máximo 2 anos para os 35 exigidos).</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pedágio consiste em um acréscimo de 50% sobre o tempo que faltava em 13/11/2019. Se faltava 1 ano, o pedágio é de 6 meses (total: 1 ano e 6 meses). Se faltavam 2 anos, o pedágio é de 1 ano (total: 3 anos).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Não há exigência de idade mínima.</w:t>
      </w:r>
      <w:r>
        <w:rPr>
          <w:rFonts w:ascii="EB Garamond" w:hAnsi="EB Garamond" w:cs="EB Garamond"/>
          <w:b w:val="0"/>
          <w:i w:val="0"/>
          <w:color w:val="201B16"/>
          <w:sz w:val="21"/>
          <w:lang w:val="pt-BR" w:bidi="ar-SA"/>
          <w:kern w:val="16"/>
          <w14:ligatures w14:val="standardContextual"/>
        </w:rPr>
        <w:t xml:space="preserve"> Essa é a única regra de transição da EC 103 que permite aposentadoria por tempo de contribuição sem requisito etário.</w:t>
      </w:r>
    </w:p>
    <w:p>
      <w:pPr>
        <w:spacing w:before="260" w:after="80" w:line="240" w:lineRule="auto"/>
        <w:jc w:val="left"/>
      </w:pPr>
      <w:r>
        <w:rPr>
          <w:rFonts w:ascii="EB Garamond" w:hAnsi="EB Garamond" w:cs="EB Garamond"/>
          <w:b/>
          <w:i w:val="0"/>
          <w:color w:val="3A3128"/>
          <w:sz w:val="25"/>
          <w:lang w:val="pt-BR" w:bidi="ar-SA"/>
          <w:kern w:val="16"/>
          <w14:ligatures w14:val="standardContextual"/>
        </w:rPr>
        <w:t>11.6.2 O fator previdenciário obrigatório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elemento mais relevante, e frequentemente mais prejudicial, da regra do pedágio 50% é a aplicação obrigatória do fator previdenciário. Ao contrário das demais regras de transição (que utilizam o coeficiente de 60% + 2%/ano excedente), o art. 17 determina que o benefício seja calculado pela fórmula anterior:</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1. </w:t>
      </w:r>
      <w:r>
        <w:rPr>
          <w:rFonts w:ascii="EB Garamond" w:hAnsi="EB Garamond" w:cs="EB Garamond"/>
          <w:b/>
          <w:i w:val="0"/>
          <w:color w:val="201B16"/>
          <w:sz w:val="20"/>
          <w:lang w:val="pt-BR" w:bidi="ar-SA"/>
          <w:kern w:val="16"/>
          <w14:ligatures w14:val="standardContextual"/>
        </w:rPr>
        <w:t>Média dos 80% maiores salários de contribuição</w:t>
      </w:r>
      <w:r>
        <w:rPr>
          <w:rFonts w:ascii="EB Garamond" w:hAnsi="EB Garamond" w:cs="EB Garamond"/>
          <w:b w:val="0"/>
          <w:i w:val="0"/>
          <w:color w:val="201B16"/>
          <w:sz w:val="20"/>
          <w:lang w:val="pt-BR" w:bidi="ar-SA"/>
          <w:kern w:val="16"/>
          <w14:ligatures w14:val="standardContextual"/>
        </w:rPr>
        <w:t xml:space="preserve"> (não 100% — vantagem sobre as demais regras).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2. </w:t>
      </w:r>
      <w:r>
        <w:rPr>
          <w:rFonts w:ascii="EB Garamond" w:hAnsi="EB Garamond" w:cs="EB Garamond"/>
          <w:b/>
          <w:i w:val="0"/>
          <w:color w:val="201B16"/>
          <w:sz w:val="20"/>
          <w:lang w:val="pt-BR" w:bidi="ar-SA"/>
          <w:kern w:val="16"/>
          <w14:ligatures w14:val="standardContextual"/>
        </w:rPr>
        <w:t>Aplicação do fator previdenciário</w:t>
      </w:r>
      <w:r>
        <w:rPr>
          <w:rFonts w:ascii="EB Garamond" w:hAnsi="EB Garamond" w:cs="EB Garamond"/>
          <w:b w:val="0"/>
          <w:i w:val="0"/>
          <w:color w:val="201B16"/>
          <w:sz w:val="20"/>
          <w:lang w:val="pt-BR" w:bidi="ar-SA"/>
          <w:kern w:val="16"/>
          <w14:ligatures w14:val="standardContextual"/>
        </w:rPr>
        <w:t xml:space="preserve"> sobre a média (pode ser vantagem ou desvantagem, dependendo do caso).</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E</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ssa combinação cria um paradoxo: a regra do pedágio 50% pode produzir tanto o melhor quanto o pior resultado entre todas as regras, dependendo exclusivamente do valor do fator previdenciário.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A armadilha do pedágio 50%: quando o fator previdenciário é inimigo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fator previdenciário inferior a 1,0 reduz o valor do benefício, às vezes drasticamente. O segurado jovem (com menos de 58-60 anos) que se aposenta pelo pedágio 50% frequentemente obtém benefício inferior ao que receberia por outras regras.</w:t>
            </w:r>
          </w:p>
          <w:p>
            <w:pPr>
              <w:spacing w:before="0" w:after="60" w:line="247" w:lineRule="auto"/>
              <w:jc w:val="both"/>
            </w:pPr>
            <w:r>
              <w:rPr>
                <w:rFonts w:ascii="EB Garamond" w:hAnsi="EB Garamond" w:cs="EB Garamond"/>
                <w:b/>
                <w:i w:val="0"/>
                <w:color w:val="201B16"/>
                <w:sz w:val="19"/>
                <w:lang w:val="pt-BR" w:bidi="ar-SA"/>
                <w:kern w:val="16"/>
                <w14:ligatures w14:val="standardContextual"/>
              </w:rPr>
              <w:t>Exemplo devastador:</w:t>
            </w:r>
            <w:r>
              <w:rPr>
                <w:rFonts w:ascii="EB Garamond" w:hAnsi="EB Garamond" w:cs="EB Garamond"/>
                <w:b w:val="0"/>
                <w:i w:val="0"/>
                <w:color w:val="201B16"/>
                <w:sz w:val="19"/>
                <w:lang w:val="pt-BR" w:bidi="ar-SA"/>
                <w:kern w:val="16"/>
                <w14:ligatures w14:val="standardContextual"/>
              </w:rPr>
              <w:t xml:space="preserve"> - </w:t>
            </w:r>
            <w:r>
              <w:rPr>
                <w:rFonts w:ascii="EB Garamond" w:hAnsi="EB Garamond" w:cs="EB Garamond"/>
                <w:b/>
                <w:i w:val="0"/>
                <w:color w:val="201B16"/>
                <w:sz w:val="19"/>
                <w:lang w:val="pt-BR" w:bidi="ar-SA"/>
                <w:kern w:val="16"/>
                <w14:ligatures w14:val="standardContextual"/>
              </w:rPr>
              <w:t>Marcos</w:t>
            </w:r>
            <w:r>
              <w:rPr>
                <w:rFonts w:ascii="EB Garamond" w:hAnsi="EB Garamond" w:cs="EB Garamond"/>
                <w:b w:val="0"/>
                <w:i w:val="0"/>
                <w:color w:val="201B16"/>
                <w:sz w:val="19"/>
                <w:lang w:val="pt-BR" w:bidi="ar-SA"/>
                <w:kern w:val="16"/>
                <w14:ligatures w14:val="standardContextual"/>
              </w:rPr>
              <w:t xml:space="preserve">, homem, 54 anos, 36 anos TC (tinha 33 anos em 2019, faltava 2 anos → pedágio = 1 ano → precisava de 36 anos total → completou). - Fator previdenciário: Tc=36, Id=54, Es≈25,3 (tabela IBGE 2024) → f ≈ (36×0,31/25,3) × [1+(54+11,16)/100] = 0,441 × 1,6516 = </w:t>
            </w:r>
            <w:r>
              <w:rPr>
                <w:rFonts w:ascii="EB Garamond" w:hAnsi="EB Garamond" w:cs="EB Garamond"/>
                <w:b/>
                <w:i w:val="0"/>
                <w:color w:val="201B16"/>
                <w:sz w:val="19"/>
                <w:lang w:val="pt-BR" w:bidi="ar-SA"/>
                <w:kern w:val="16"/>
                <w14:ligatures w14:val="standardContextual"/>
              </w:rPr>
              <w:t>0,728</w:t>
            </w:r>
            <w:r>
              <w:rPr>
                <w:rFonts w:ascii="EB Garamond" w:hAnsi="EB Garamond" w:cs="EB Garamond"/>
                <w:b w:val="0"/>
                <w:i w:val="0"/>
                <w:color w:val="201B16"/>
                <w:sz w:val="19"/>
                <w:lang w:val="pt-BR" w:bidi="ar-SA"/>
                <w:kern w:val="16"/>
                <w14:ligatures w14:val="standardContextual"/>
              </w:rPr>
              <w:t xml:space="preserve"> - Média 80% maiores: R$ 6.000,00 - RMI pelo pedágio 50%: R$ 6.000 × 0,728 = </w:t>
            </w:r>
            <w:r>
              <w:rPr>
                <w:rFonts w:ascii="EB Garamond" w:hAnsi="EB Garamond" w:cs="EB Garamond"/>
                <w:b/>
                <w:i w:val="0"/>
                <w:color w:val="201B16"/>
                <w:sz w:val="19"/>
                <w:lang w:val="pt-BR" w:bidi="ar-SA"/>
                <w:kern w:val="16"/>
                <w14:ligatures w14:val="standardContextual"/>
              </w:rPr>
              <w:t>R$ 4.368,00</w:t>
            </w:r>
          </w:p>
          <w:p>
            <w:pPr>
              <w:spacing w:before="0" w:after="60" w:line="247" w:lineRule="auto"/>
              <w:jc w:val="both"/>
            </w:pPr>
            <w:r>
              <w:rPr>
                <w:rFonts w:ascii="EB Garamond" w:hAnsi="EB Garamond" w:cs="EB Garamond"/>
                <w:b/>
                <w:i w:val="0"/>
                <w:color w:val="201B16"/>
                <w:sz w:val="19"/>
                <w:lang w:val="pt-BR" w:bidi="ar-SA"/>
                <w:kern w:val="16"/>
                <w14:ligatures w14:val="standardContextual"/>
              </w:rPr>
              <w:t>E se Marcos esperasse?</w:t>
            </w:r>
            <w:r>
              <w:rPr>
                <w:rFonts w:ascii="EB Garamond" w:hAnsi="EB Garamond" w:cs="EB Garamond"/>
                <w:b w:val="0"/>
                <w:i w:val="0"/>
                <w:color w:val="201B16"/>
                <w:sz w:val="19"/>
                <w:lang w:val="pt-BR" w:bidi="ar-SA"/>
                <w:kern w:val="16"/>
                <w14:ligatures w14:val="standardContextual"/>
              </w:rPr>
              <w:t xml:space="preserve"> O problema é que nenhuma regra de transição lhe oferece saída próxima: - </w:t>
            </w:r>
            <w:r>
              <w:rPr>
                <w:rFonts w:ascii="EB Garamond" w:hAnsi="EB Garamond" w:cs="EB Garamond"/>
                <w:b/>
                <w:i w:val="0"/>
                <w:color w:val="201B16"/>
                <w:sz w:val="19"/>
                <w:lang w:val="pt-BR" w:bidi="ar-SA"/>
                <w:kern w:val="16"/>
                <w14:ligatures w14:val="standardContextual"/>
              </w:rPr>
              <w:t>Art. 15 (pontos):</w:t>
            </w:r>
            <w:r>
              <w:rPr>
                <w:rFonts w:ascii="EB Garamond" w:hAnsi="EB Garamond" w:cs="EB Garamond"/>
                <w:b w:val="0"/>
                <w:i w:val="0"/>
                <w:color w:val="201B16"/>
                <w:sz w:val="19"/>
                <w:lang w:val="pt-BR" w:bidi="ar-SA"/>
                <w:kern w:val="16"/>
                <w14:ligatures w14:val="standardContextual"/>
              </w:rPr>
              <w:t xml:space="preserve"> em 2028 (56 anos, 38 TC) teria 94 pontos, abaixo dos 105 exigidos para o homem; a pontuação só seria alcançada em 2034, já com 62 anos (62 + 44 = 106 ≥ 105). - </w:t>
            </w:r>
            <w:r>
              <w:rPr>
                <w:rFonts w:ascii="EB Garamond" w:hAnsi="EB Garamond" w:cs="EB Garamond"/>
                <w:b/>
                <w:i w:val="0"/>
                <w:color w:val="201B16"/>
                <w:sz w:val="19"/>
                <w:lang w:val="pt-BR" w:bidi="ar-SA"/>
                <w:kern w:val="16"/>
                <w14:ligatures w14:val="standardContextual"/>
              </w:rPr>
              <w:t>Art. 20 (pedágio 100%):</w:t>
            </w:r>
            <w:r>
              <w:rPr>
                <w:rFonts w:ascii="EB Garamond" w:hAnsi="EB Garamond" w:cs="EB Garamond"/>
                <w:b w:val="0"/>
                <w:i w:val="0"/>
                <w:color w:val="201B16"/>
                <w:sz w:val="19"/>
                <w:lang w:val="pt-BR" w:bidi="ar-SA"/>
                <w:kern w:val="16"/>
                <w14:ligatures w14:val="standardContextual"/>
              </w:rPr>
              <w:t xml:space="preserve"> exige 60 anos de idade — Marcos só os completa em 2032. Nessa data, com idade e TC suficientes, obteria coeficiente de 100% sobre a média de 100% dos SC, sem a incidência do fator redutor.</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Ou seja: aposentar-se já, pelo pedágio 50% com fator de 0,728, custa-lhe quase 27% do benefício; esperar significa adiar a aposentadoria por vários anos. É exatamente essa a armadilha — a regra está disponível, mas o fator a torna desvantajosa, e as alternativas só amadurecem no médio prazo.</w:t>
            </w:r>
          </w:p>
          <w:p>
            <w:pPr>
              <w:spacing w:before="0" w:after="60" w:line="247" w:lineRule="auto"/>
              <w:jc w:val="both"/>
            </w:pPr>
            <w:r>
              <w:rPr>
                <w:rFonts w:ascii="EB Garamond" w:hAnsi="EB Garamond" w:cs="EB Garamond"/>
                <w:b/>
                <w:i w:val="0"/>
                <w:color w:val="201B16"/>
                <w:sz w:val="19"/>
                <w:lang w:val="pt-BR" w:bidi="ar-SA"/>
                <w:kern w:val="16"/>
                <w14:ligatures w14:val="standardContextual"/>
              </w:rPr>
              <w:t>Conclusão:</w:t>
            </w:r>
            <w:r>
              <w:rPr>
                <w:rFonts w:ascii="EB Garamond" w:hAnsi="EB Garamond" w:cs="EB Garamond"/>
                <w:b w:val="0"/>
                <w:i w:val="0"/>
                <w:color w:val="201B16"/>
                <w:sz w:val="19"/>
                <w:lang w:val="pt-BR" w:bidi="ar-SA"/>
                <w:kern w:val="16"/>
                <w14:ligatures w14:val="standardContextual"/>
              </w:rPr>
              <w:t xml:space="preserve"> O pedágio 50% é vantajoso quase exclusivamente para segurados com fator previdenciário ≥ 1,0, ou seja, com idade igual ou superior a aproximadamente 63-65 anos e TC de 35+ anos. Para segurados mais jovens, é uma armadilha.</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11.6.3 Quando o pedágio 50% é vantajoso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regra do pedágio 50% pode ser a mais vantajosa quando: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1. </w:t>
      </w:r>
      <w:r>
        <w:rPr>
          <w:rFonts w:ascii="EB Garamond" w:hAnsi="EB Garamond" w:cs="EB Garamond"/>
          <w:b/>
          <w:i w:val="0"/>
          <w:color w:val="201B16"/>
          <w:sz w:val="20"/>
          <w:lang w:val="pt-BR" w:bidi="ar-SA"/>
          <w:kern w:val="16"/>
          <w14:ligatures w14:val="standardContextual"/>
        </w:rPr>
        <w:t>O segurado tem fator previdenciário elevado (&gt;= 1,0):</w:t>
      </w:r>
      <w:r>
        <w:rPr>
          <w:rFonts w:ascii="EB Garamond" w:hAnsi="EB Garamond" w:cs="EB Garamond"/>
          <w:b w:val="0"/>
          <w:i w:val="0"/>
          <w:color w:val="201B16"/>
          <w:sz w:val="20"/>
          <w:lang w:val="pt-BR" w:bidi="ar-SA"/>
          <w:kern w:val="16"/>
          <w14:ligatures w14:val="standardContextual"/>
        </w:rPr>
        <w:t xml:space="preserve"> A combinação de idade avançada e muito tempo de contribuição pode resultar em fator superior a 1,0, ampliando o valor do benefício.</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2. </w:t>
      </w:r>
      <w:r>
        <w:rPr>
          <w:rFonts w:ascii="EB Garamond" w:hAnsi="EB Garamond" w:cs="EB Garamond"/>
          <w:b/>
          <w:i w:val="0"/>
          <w:color w:val="201B16"/>
          <w:sz w:val="20"/>
          <w:lang w:val="pt-BR" w:bidi="ar-SA"/>
          <w:kern w:val="16"/>
          <w14:ligatures w14:val="standardContextual"/>
        </w:rPr>
        <w:t>A média dos 80% maiores SC é significativamente superior à média de 100%:</w:t>
      </w:r>
      <w:r>
        <w:rPr>
          <w:rFonts w:ascii="EB Garamond" w:hAnsi="EB Garamond" w:cs="EB Garamond"/>
          <w:b w:val="0"/>
          <w:i w:val="0"/>
          <w:color w:val="201B16"/>
          <w:sz w:val="20"/>
          <w:lang w:val="pt-BR" w:bidi="ar-SA"/>
          <w:kern w:val="16"/>
          <w14:ligatures w14:val="standardContextual"/>
        </w:rPr>
        <w:t xml:space="preserve"> Como o pedágio 50% usa a média dos 80% maiores (descartando os 20% piores), a base de cálculo tende a ser mais elevada do que nas regras dos arts. 15, 16 e 20, que utilizam média de 100%.</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3. </w:t>
      </w:r>
      <w:r>
        <w:rPr>
          <w:rFonts w:ascii="EB Garamond" w:hAnsi="EB Garamond" w:cs="EB Garamond"/>
          <w:b/>
          <w:i w:val="0"/>
          <w:color w:val="201B16"/>
          <w:sz w:val="20"/>
          <w:lang w:val="pt-BR" w:bidi="ar-SA"/>
          <w:kern w:val="16"/>
          <w14:ligatures w14:val="standardContextual"/>
        </w:rPr>
        <w:t>A combinação fator × média 80% supera o resultado de coeficiente × média 100%:</w:t>
      </w:r>
      <w:r>
        <w:rPr>
          <w:rFonts w:ascii="EB Garamond" w:hAnsi="EB Garamond" w:cs="EB Garamond"/>
          <w:b w:val="0"/>
          <w:i w:val="0"/>
          <w:color w:val="201B16"/>
          <w:sz w:val="20"/>
          <w:lang w:val="pt-BR" w:bidi="ar-SA"/>
          <w:kern w:val="16"/>
          <w14:ligatures w14:val="standardContextual"/>
        </w:rPr>
        <w:t xml:space="preserve"> Essa é a comparação que o advogado deve fazer caso a caso.</w:t>
      </w:r>
    </w:p>
    <w:p>
      <w:pPr>
        <w:spacing w:before="0" w:after="6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Quando o pedágio 50% brilha — Caso favorável</w:t>
            </w:r>
          </w:p>
          <w:p>
            <w:pPr>
              <w:spacing w:before="0" w:after="60" w:line="247" w:lineRule="auto"/>
              <w:jc w:val="both"/>
            </w:pPr>
            <w:r>
              <w:rPr>
                <w:rFonts w:ascii="EB Garamond" w:hAnsi="EB Garamond" w:cs="EB Garamond"/>
                <w:b/>
                <w:i w:val="0"/>
                <w:color w:val="201B16"/>
                <w:sz w:val="19"/>
                <w:lang w:val="pt-BR" w:bidi="ar-SA"/>
                <w:kern w:val="16"/>
                <w14:ligatures w14:val="standardContextual"/>
              </w:rPr>
              <w:t>Lúcia</w:t>
            </w:r>
            <w:r>
              <w:rPr>
                <w:rFonts w:ascii="EB Garamond" w:hAnsi="EB Garamond" w:cs="EB Garamond"/>
                <w:b w:val="0"/>
                <w:i w:val="0"/>
                <w:color w:val="201B16"/>
                <w:sz w:val="19"/>
                <w:lang w:val="pt-BR" w:bidi="ar-SA"/>
                <w:kern w:val="16"/>
                <w14:ligatures w14:val="standardContextual"/>
              </w:rPr>
              <w:t>, mulher, 63 anos, 31 anos TC (tinha 28 anos em 2019, faltavam 2 anos → pedágio = 1 ano → precisava de 31 anos total → completou). Com bônus de +5 anos para mulher no cálculo do fator.</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Fator previdenciário: Tc=31 (+5 bônus=36), Id=63, Es≈21,0</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 f = (36×0,31/21,0) × [1+(63+36×0,31)/100] = 0,531 × 1,742 = </w:t>
            </w:r>
            <w:r>
              <w:rPr>
                <w:rFonts w:ascii="EB Garamond" w:hAnsi="EB Garamond" w:cs="EB Garamond"/>
                <w:b/>
                <w:i w:val="0"/>
                <w:color w:val="201B16"/>
                <w:sz w:val="19"/>
                <w:lang w:val="pt-BR" w:bidi="ar-SA"/>
                <w:kern w:val="16"/>
                <w14:ligatures w14:val="standardContextual"/>
              </w:rPr>
              <w:t>0,925</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Média 80% maiores: R$ 5.500,00</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 RMI pedágio 50%: R$ 5.500 × 0,925 = </w:t>
            </w:r>
            <w:r>
              <w:rPr>
                <w:rFonts w:ascii="EB Garamond" w:hAnsi="EB Garamond" w:cs="EB Garamond"/>
                <w:b/>
                <w:i w:val="0"/>
                <w:color w:val="201B16"/>
                <w:sz w:val="19"/>
                <w:lang w:val="pt-BR" w:bidi="ar-SA"/>
                <w:kern w:val="16"/>
                <w14:ligatures w14:val="standardContextual"/>
              </w:rPr>
              <w:t>R$ 5.087,50</w:t>
            </w:r>
          </w:p>
          <w:p>
            <w:pPr>
              <w:spacing w:before="0" w:after="60" w:line="247" w:lineRule="auto"/>
              <w:jc w:val="both"/>
            </w:pPr>
            <w:r>
              <w:rPr>
                <w:rFonts w:ascii="EB Garamond" w:hAnsi="EB Garamond" w:cs="EB Garamond"/>
                <w:b/>
                <w:i w:val="0"/>
                <w:color w:val="201B16"/>
                <w:sz w:val="19"/>
                <w:lang w:val="pt-BR" w:bidi="ar-SA"/>
                <w:kern w:val="16"/>
                <w14:ligatures w14:val="standardContextual"/>
              </w:rPr>
              <w:t>Comparativo com art. 15:</w:t>
            </w:r>
            <w:r>
              <w:rPr>
                <w:rFonts w:ascii="EB Garamond" w:hAnsi="EB Garamond" w:cs="EB Garamond"/>
                <w:b w:val="0"/>
                <w:i w:val="0"/>
                <w:color w:val="201B16"/>
                <w:sz w:val="19"/>
                <w:lang w:val="pt-BR" w:bidi="ar-SA"/>
                <w:kern w:val="16"/>
                <w14:ligatures w14:val="standardContextual"/>
              </w:rPr>
              <w:t xml:space="preserve"> - Pontos: 63 + 31 = 94 ≥ 93 (2026 mulher) ✅ - Coeficiente: 60% + 2% × (31-15) = 92% - Média 100%: R$ 4.800,00 - RMI art. 15: R$ 4.800 × 92% = </w:t>
            </w:r>
            <w:r>
              <w:rPr>
                <w:rFonts w:ascii="EB Garamond" w:hAnsi="EB Garamond" w:cs="EB Garamond"/>
                <w:b/>
                <w:i w:val="0"/>
                <w:color w:val="201B16"/>
                <w:sz w:val="19"/>
                <w:lang w:val="pt-BR" w:bidi="ar-SA"/>
                <w:kern w:val="16"/>
                <w14:ligatures w14:val="standardContextual"/>
              </w:rPr>
              <w:t>R$ 4.416,00</w:t>
            </w:r>
          </w:p>
          <w:p>
            <w:pPr>
              <w:spacing w:before="0" w:after="60" w:line="247" w:lineRule="auto"/>
              <w:jc w:val="both"/>
            </w:pPr>
            <w:r>
              <w:rPr>
                <w:rFonts w:ascii="EB Garamond" w:hAnsi="EB Garamond" w:cs="EB Garamond"/>
                <w:b/>
                <w:i w:val="0"/>
                <w:color w:val="201B16"/>
                <w:sz w:val="19"/>
                <w:lang w:val="pt-BR" w:bidi="ar-SA"/>
                <w:kern w:val="16"/>
                <w14:ligatures w14:val="standardContextual"/>
              </w:rPr>
              <w:t>Pedágio 50% (R$ 5.087,50) &gt; Art. 15 (R$ 4.416,00).</w:t>
            </w:r>
            <w:r>
              <w:rPr>
                <w:rFonts w:ascii="EB Garamond" w:hAnsi="EB Garamond" w:cs="EB Garamond"/>
                <w:b w:val="0"/>
                <w:i w:val="0"/>
                <w:color w:val="201B16"/>
                <w:sz w:val="19"/>
                <w:lang w:val="pt-BR" w:bidi="ar-SA"/>
                <w:kern w:val="16"/>
                <w14:ligatures w14:val="standardContextual"/>
              </w:rPr>
              <w:t xml:space="preserve"> A diferença de R$ 671,50/mês (R$ 8.058/ano) demonstra que o pedágio 50% pode ser extremamente vantajoso para seguradas com idade elevada.</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11.7 Regra de transição do pedágio de 100% — art. 20, EC 103/2019</w:t>
      </w:r>
    </w:p>
    <w:p>
      <w:pPr>
        <w:spacing w:before="260" w:after="80" w:line="240" w:lineRule="auto"/>
        <w:jc w:val="left"/>
      </w:pPr>
      <w:r>
        <w:rPr>
          <w:rFonts w:ascii="EB Garamond" w:hAnsi="EB Garamond" w:cs="EB Garamond"/>
          <w:b/>
          <w:i w:val="0"/>
          <w:color w:val="3A3128"/>
          <w:sz w:val="25"/>
          <w:lang w:val="pt-BR" w:bidi="ar-SA"/>
          <w:kern w:val="16"/>
          <w14:ligatures w14:val="standardContextual"/>
        </w:rPr>
        <w:t>11.7.1 Conceito e requisitos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E</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ntre as regras de transição, o pedágio de 100% (art. 20) é a que gera maior interesse dos segurados com idade e TC suficientes, por uma razão objetiva: é a única que garante coeficiente de 100% sobre a média, sem fator previdenciário. A contrapartida é o tempo adicional de contribuição exigido.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Os requisitos são cumulativos: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 Idade mínima fixa:</w:t>
      </w:r>
      <w:r>
        <w:rPr>
          <w:rFonts w:ascii="EB Garamond" w:hAnsi="EB Garamond" w:cs="EB Garamond"/>
          <w:b w:val="0"/>
          <w:i w:val="0"/>
          <w:color w:val="201B16"/>
          <w:sz w:val="21"/>
          <w:lang w:val="pt-BR" w:bidi="ar-SA"/>
          <w:kern w:val="16"/>
          <w14:ligatures w14:val="standardContextual"/>
        </w:rPr>
        <w:t xml:space="preserve"> 57 anos (mulher) ou 60 anos (homem). Essas idades não são progressivas — permanecem constantes ao longo do tempo.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b) Tempo de contribuição mínimo:</w:t>
      </w:r>
      <w:r>
        <w:rPr>
          <w:rFonts w:ascii="EB Garamond" w:hAnsi="EB Garamond" w:cs="EB Garamond"/>
          <w:b w:val="0"/>
          <w:i w:val="0"/>
          <w:color w:val="201B16"/>
          <w:sz w:val="21"/>
          <w:lang w:val="pt-BR" w:bidi="ar-SA"/>
          <w:kern w:val="16"/>
          <w14:ligatures w14:val="standardContextual"/>
        </w:rPr>
        <w:t xml:space="preserve"> 30 anos (mulher) ou 35 anos (homem).</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 Pedágio de 100%:</w:t>
      </w:r>
      <w:r>
        <w:rPr>
          <w:rFonts w:ascii="EB Garamond" w:hAnsi="EB Garamond" w:cs="EB Garamond"/>
          <w:b w:val="0"/>
          <w:i w:val="0"/>
          <w:color w:val="201B16"/>
          <w:sz w:val="21"/>
          <w:lang w:val="pt-BR" w:bidi="ar-SA"/>
          <w:kern w:val="16"/>
          <w14:ligatures w14:val="standardContextual"/>
        </w:rPr>
        <w:t xml:space="preserve"> O segurado deve cumprir, além do TC mínimo, um período adicional equivalente a 100% do tempo que faltava para atingir 30/35 anos em 13/11/2019.</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d) Carência:</w:t>
      </w:r>
      <w:r>
        <w:rPr>
          <w:rFonts w:ascii="EB Garamond" w:hAnsi="EB Garamond" w:cs="EB Garamond"/>
          <w:b w:val="0"/>
          <w:i w:val="0"/>
          <w:color w:val="201B16"/>
          <w:sz w:val="21"/>
          <w:lang w:val="pt-BR" w:bidi="ar-SA"/>
          <w:kern w:val="16"/>
          <w14:ligatures w14:val="standardContextual"/>
        </w:rPr>
        <w:t xml:space="preserve"> 180 contribuições mensais (para segurados filiados antes de 24/07/1991, v. Tabela do art. 142, Cap. 3).</w:t>
      </w:r>
    </w:p>
    <w:p>
      <w:pPr>
        <w:spacing w:before="260" w:after="80" w:line="240" w:lineRule="auto"/>
        <w:jc w:val="left"/>
      </w:pPr>
      <w:r>
        <w:rPr>
          <w:rFonts w:ascii="EB Garamond" w:hAnsi="EB Garamond" w:cs="EB Garamond"/>
          <w:b/>
          <w:i w:val="0"/>
          <w:color w:val="3A3128"/>
          <w:sz w:val="25"/>
          <w:lang w:val="pt-BR" w:bidi="ar-SA"/>
          <w:kern w:val="16"/>
          <w14:ligatures w14:val="standardContextual"/>
        </w:rPr>
        <w:t>11.7.2 Cálculo do pedágio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cálculo do pedágio é simples: dobra-se o tempo que faltava. Se em 13/11/2019 o segurado homem tinha 30 anos de TC (faltavam 5 anos para os 35), o pedágio é de 5 anos adicionais — totalizando 40 anos de TC necessários (35 + 5).</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tabela abaixo ilustra o impacto do pedágio conforme o TC em 13/11/2019:</w:t>
      </w:r>
    </w:p>
    <w:tbl>
      <w:tblPr>
        <w:tblW w:type="auto" w:w="0"/>
        <w:jc w:val="center"/>
        <w:tblLook w:firstColumn="1" w:firstRow="1" w:lastColumn="0" w:lastRow="0" w:noHBand="0" w:noVBand="1" w:val="04A0"/>
        <w:tblW w:w="5000" w:type="pct"/>
      </w:tblPr>
      <w:tblGrid>
        <w:gridCol w:w="1587"/>
        <w:gridCol w:w="1587"/>
        <w:gridCol w:w="1587"/>
        <w:gridCol w:w="1587"/>
      </w:tblGrid>
      <w:tr>
        <w:trPr>
          <w:tblHeader/>
        </w:trPr>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TC em 13/11/2019 (Homem)</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Faltava</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Pedágio 100%</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TC total necessário</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35 anos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0</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0</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35 anos</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34 anos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 ano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 ano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36 anos</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33 anos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 anos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 anos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37 anos</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32 anos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3 anos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3 anos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38 anos</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30 anos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 anos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 anos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40 anos</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25 anos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 anos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 anos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45 anos</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 anos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15 anos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15 anos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50 anos (!)</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11.7.3 Cálculo do benefício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grande diferencial do pedágio 100% é o coeficiente:</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1. </w:t>
      </w:r>
      <w:r>
        <w:rPr>
          <w:rFonts w:ascii="EB Garamond" w:hAnsi="EB Garamond" w:cs="EB Garamond"/>
          <w:b/>
          <w:i w:val="0"/>
          <w:color w:val="201B16"/>
          <w:sz w:val="20"/>
          <w:lang w:val="pt-BR" w:bidi="ar-SA"/>
          <w:kern w:val="16"/>
          <w14:ligatures w14:val="standardContextual"/>
        </w:rPr>
        <w:t>Média:</w:t>
      </w:r>
      <w:r>
        <w:rPr>
          <w:rFonts w:ascii="EB Garamond" w:hAnsi="EB Garamond" w:cs="EB Garamond"/>
          <w:b w:val="0"/>
          <w:i w:val="0"/>
          <w:color w:val="201B16"/>
          <w:sz w:val="20"/>
          <w:lang w:val="pt-BR" w:bidi="ar-SA"/>
          <w:kern w:val="16"/>
          <w14:ligatures w14:val="standardContextual"/>
        </w:rPr>
        <w:t xml:space="preserve"> 100% dos salários de contribuição desde julho/1994 (igual às demais regras pós-EC 103).</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2. </w:t>
      </w:r>
      <w:r>
        <w:rPr>
          <w:rFonts w:ascii="EB Garamond" w:hAnsi="EB Garamond" w:cs="EB Garamond"/>
          <w:b/>
          <w:i w:val="0"/>
          <w:color w:val="201B16"/>
          <w:sz w:val="20"/>
          <w:lang w:val="pt-BR" w:bidi="ar-SA"/>
          <w:kern w:val="16"/>
          <w14:ligatures w14:val="standardContextual"/>
        </w:rPr>
        <w:t>Coeficiente:</w:t>
      </w:r>
      <w:r>
        <w:rPr>
          <w:rFonts w:ascii="EB Garamond" w:hAnsi="EB Garamond" w:cs="EB Garamond"/>
          <w:b w:val="0"/>
          <w:i w:val="0"/>
          <w:color w:val="201B16"/>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100% da média</w:t>
      </w:r>
      <w:r>
        <w:rPr>
          <w:rFonts w:ascii="EB Garamond" w:hAnsi="EB Garamond" w:cs="EB Garamond"/>
          <w:b w:val="0"/>
          <w:i w:val="0"/>
          <w:color w:val="201B16"/>
          <w:sz w:val="20"/>
          <w:lang w:val="pt-BR" w:bidi="ar-SA"/>
          <w:kern w:val="16"/>
          <w14:ligatures w14:val="standardContextual"/>
        </w:rPr>
        <w:t>, sem o escalonamento de 60% + 2%/ano excedente.</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3. </w:t>
      </w:r>
      <w:r>
        <w:rPr>
          <w:rFonts w:ascii="EB Garamond" w:hAnsi="EB Garamond" w:cs="EB Garamond"/>
          <w:b/>
          <w:i w:val="0"/>
          <w:color w:val="201B16"/>
          <w:sz w:val="20"/>
          <w:lang w:val="pt-BR" w:bidi="ar-SA"/>
          <w:kern w:val="16"/>
          <w14:ligatures w14:val="standardContextual"/>
        </w:rPr>
        <w:t>Sem fator previdenciário.</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E</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ssa combinação significa que o segurado receberá o valor integral da média dos seus salários de contribuição, limitado ao teto do RGPS. A desvantagem é que a média inclui todos os salários (sem descarte dos 20% menores) e o segurado pode precisar de muitos anos adicionais de TC para cumprir o pedágio.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Simulação completa — Art. 20 (pedágio 100%)</w:t>
            </w:r>
          </w:p>
          <w:p>
            <w:pPr>
              <w:spacing w:before="0" w:after="60" w:line="247" w:lineRule="auto"/>
              <w:jc w:val="both"/>
            </w:pPr>
            <w:r>
              <w:rPr>
                <w:rFonts w:ascii="EB Garamond" w:hAnsi="EB Garamond" w:cs="EB Garamond"/>
                <w:b/>
                <w:i w:val="0"/>
                <w:color w:val="201B16"/>
                <w:sz w:val="19"/>
                <w:lang w:val="pt-BR" w:bidi="ar-SA"/>
                <w:kern w:val="16"/>
                <w14:ligatures w14:val="standardContextual"/>
              </w:rPr>
              <w:t>Fernando</w:t>
            </w:r>
            <w:r>
              <w:rPr>
                <w:rFonts w:ascii="EB Garamond" w:hAnsi="EB Garamond" w:cs="EB Garamond"/>
                <w:b w:val="0"/>
                <w:i w:val="0"/>
                <w:color w:val="201B16"/>
                <w:sz w:val="19"/>
                <w:lang w:val="pt-BR" w:bidi="ar-SA"/>
                <w:kern w:val="16"/>
                <w14:ligatures w14:val="standardContextual"/>
              </w:rPr>
              <w:t xml:space="preserve">, homem, 62 anos em 2026, filiado em 1987. Em 13/11/2019 tinha 32 anos de TC (faltavam 3 anos). Pedágio = 3 anos. TC total necessário: 35 + 3 = </w:t>
            </w:r>
            <w:r>
              <w:rPr>
                <w:rFonts w:ascii="EB Garamond" w:hAnsi="EB Garamond" w:cs="EB Garamond"/>
                <w:b/>
                <w:i w:val="0"/>
                <w:color w:val="201B16"/>
                <w:sz w:val="19"/>
                <w:lang w:val="pt-BR" w:bidi="ar-SA"/>
                <w:kern w:val="16"/>
                <w14:ligatures w14:val="standardContextual"/>
              </w:rPr>
              <w:t>38 anos</w:t>
            </w:r>
            <w:r>
              <w:rPr>
                <w:rFonts w:ascii="EB Garamond" w:hAnsi="EB Garamond" w:cs="EB Garamond"/>
                <w:b w:val="0"/>
                <w:i w:val="0"/>
                <w:color w:val="201B16"/>
                <w:sz w:val="19"/>
                <w:lang w:val="pt-BR" w:bidi="ar-SA"/>
                <w:kern w:val="16"/>
                <w14:ligatures w14:val="standardContextual"/>
              </w:rPr>
              <w:t>.</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Em 2026, Fernando tem: 39 anos de TC (1987-2026) ≥ 38 anos ✅. Idade: 62 ≥ 60 ✅.</w:t>
            </w:r>
          </w:p>
          <w:p>
            <w:pPr>
              <w:spacing w:before="0" w:after="60" w:line="247" w:lineRule="auto"/>
              <w:jc w:val="both"/>
            </w:pPr>
            <w:r>
              <w:rPr>
                <w:rFonts w:ascii="EB Garamond" w:hAnsi="EB Garamond" w:cs="EB Garamond"/>
                <w:b/>
                <w:i w:val="0"/>
                <w:color w:val="201B16"/>
                <w:sz w:val="19"/>
                <w:lang w:val="pt-BR" w:bidi="ar-SA"/>
                <w:kern w:val="16"/>
                <w14:ligatures w14:val="standardContextual"/>
              </w:rPr>
              <w:t>Cálculo:</w:t>
            </w:r>
            <w:r>
              <w:rPr>
                <w:rFonts w:ascii="EB Garamond" w:hAnsi="EB Garamond" w:cs="EB Garamond"/>
                <w:b w:val="0"/>
                <w:i w:val="0"/>
                <w:color w:val="201B16"/>
                <w:sz w:val="19"/>
                <w:lang w:val="pt-BR" w:bidi="ar-SA"/>
                <w:kern w:val="16"/>
                <w14:ligatures w14:val="standardContextual"/>
              </w:rPr>
              <w:t xml:space="preserve"> - Média 100% dos SC: R$ 5.500,00 - Coeficiente: </w:t>
            </w:r>
            <w:r>
              <w:rPr>
                <w:rFonts w:ascii="EB Garamond" w:hAnsi="EB Garamond" w:cs="EB Garamond"/>
                <w:b/>
                <w:i w:val="0"/>
                <w:color w:val="201B16"/>
                <w:sz w:val="19"/>
                <w:lang w:val="pt-BR" w:bidi="ar-SA"/>
                <w:kern w:val="16"/>
                <w14:ligatures w14:val="standardContextual"/>
              </w:rPr>
              <w:t>100%</w:t>
            </w:r>
            <w:r>
              <w:rPr>
                <w:rFonts w:ascii="EB Garamond" w:hAnsi="EB Garamond" w:cs="EB Garamond"/>
                <w:b w:val="0"/>
                <w:i w:val="0"/>
                <w:color w:val="201B16"/>
                <w:sz w:val="19"/>
                <w:lang w:val="pt-BR" w:bidi="ar-SA"/>
                <w:kern w:val="16"/>
                <w14:ligatures w14:val="standardContextual"/>
              </w:rPr>
              <w:t xml:space="preserve"> - RMI: R$ 5.500,00 × 100% = </w:t>
            </w:r>
            <w:r>
              <w:rPr>
                <w:rFonts w:ascii="EB Garamond" w:hAnsi="EB Garamond" w:cs="EB Garamond"/>
                <w:b/>
                <w:i w:val="0"/>
                <w:color w:val="201B16"/>
                <w:sz w:val="19"/>
                <w:lang w:val="pt-BR" w:bidi="ar-SA"/>
                <w:kern w:val="16"/>
                <w14:ligatures w14:val="standardContextual"/>
              </w:rPr>
              <w:t>R$ 5.500,00</w:t>
            </w:r>
          </w:p>
          <w:p>
            <w:pPr>
              <w:spacing w:before="0" w:after="60" w:line="247" w:lineRule="auto"/>
              <w:jc w:val="both"/>
            </w:pPr>
            <w:r>
              <w:rPr>
                <w:rFonts w:ascii="EB Garamond" w:hAnsi="EB Garamond" w:cs="EB Garamond"/>
                <w:b/>
                <w:i w:val="0"/>
                <w:color w:val="201B16"/>
                <w:sz w:val="19"/>
                <w:lang w:val="pt-BR" w:bidi="ar-SA"/>
                <w:kern w:val="16"/>
                <w14:ligatures w14:val="standardContextual"/>
              </w:rPr>
              <w:t>Comparativo com art. 15:</w:t>
            </w:r>
            <w:r>
              <w:rPr>
                <w:rFonts w:ascii="EB Garamond" w:hAnsi="EB Garamond" w:cs="EB Garamond"/>
                <w:b w:val="0"/>
                <w:i w:val="0"/>
                <w:color w:val="201B16"/>
                <w:sz w:val="19"/>
                <w:lang w:val="pt-BR" w:bidi="ar-SA"/>
                <w:kern w:val="16"/>
                <w14:ligatures w14:val="standardContextual"/>
              </w:rPr>
              <w:t xml:space="preserve"> - Pontos: 62 + 39 = 101 &lt; 103 → </w:t>
            </w:r>
            <w:r>
              <w:rPr>
                <w:rFonts w:ascii="EB Garamond" w:hAnsi="EB Garamond" w:cs="EB Garamond"/>
                <w:b/>
                <w:i w:val="0"/>
                <w:color w:val="201B16"/>
                <w:sz w:val="19"/>
                <w:lang w:val="pt-BR" w:bidi="ar-SA"/>
                <w:kern w:val="16"/>
                <w14:ligatures w14:val="standardContextual"/>
              </w:rPr>
              <w:t>NÃO atinge</w:t>
            </w:r>
            <w:r>
              <w:rPr>
                <w:rFonts w:ascii="EB Garamond" w:hAnsi="EB Garamond" w:cs="EB Garamond"/>
                <w:b w:val="0"/>
                <w:i w:val="0"/>
                <w:color w:val="201B16"/>
                <w:sz w:val="19"/>
                <w:lang w:val="pt-BR" w:bidi="ar-SA"/>
                <w:kern w:val="16"/>
                <w14:ligatures w14:val="standardContextual"/>
              </w:rPr>
              <w:t xml:space="preserve"> art. 15 em 2026 - Se atingisse (em 2028, com 64+41=105): coeficiente = 60% + 2%×(41-20) = 102% - Média 100%: R$ 5.500 × 102% = R$ 5.610,00 → ligeiramente superior, mas só em 2028</w:t>
            </w:r>
          </w:p>
          <w:p>
            <w:pPr>
              <w:spacing w:before="0" w:after="60" w:line="247" w:lineRule="auto"/>
              <w:jc w:val="both"/>
            </w:pPr>
            <w:r>
              <w:rPr>
                <w:rFonts w:ascii="EB Garamond" w:hAnsi="EB Garamond" w:cs="EB Garamond"/>
                <w:b/>
                <w:i w:val="0"/>
                <w:color w:val="201B16"/>
                <w:sz w:val="19"/>
                <w:lang w:val="pt-BR" w:bidi="ar-SA"/>
                <w:kern w:val="16"/>
                <w14:ligatures w14:val="standardContextual"/>
              </w:rPr>
              <w:t>Comparativo com pedágio 50%:</w:t>
            </w:r>
            <w:r>
              <w:rPr>
                <w:rFonts w:ascii="EB Garamond" w:hAnsi="EB Garamond" w:cs="EB Garamond"/>
                <w:b w:val="0"/>
                <w:i w:val="0"/>
                <w:color w:val="201B16"/>
                <w:sz w:val="19"/>
                <w:lang w:val="pt-BR" w:bidi="ar-SA"/>
                <w:kern w:val="16"/>
                <w14:ligatures w14:val="standardContextual"/>
              </w:rPr>
              <w:t xml:space="preserve"> - Fernando NÃO é elegível (faltavam 3 anos em 2019, mais que 2)</w:t>
            </w:r>
          </w:p>
          <w:p>
            <w:pPr>
              <w:spacing w:before="0" w:after="60" w:line="247" w:lineRule="auto"/>
              <w:jc w:val="both"/>
            </w:pPr>
            <w:r>
              <w:rPr>
                <w:rFonts w:ascii="EB Garamond" w:hAnsi="EB Garamond" w:cs="EB Garamond"/>
                <w:b/>
                <w:i w:val="0"/>
                <w:color w:val="201B16"/>
                <w:sz w:val="19"/>
                <w:lang w:val="pt-BR" w:bidi="ar-SA"/>
                <w:kern w:val="16"/>
                <w14:ligatures w14:val="standardContextual"/>
              </w:rPr>
              <w:t>Resultado:</w:t>
            </w:r>
            <w:r>
              <w:rPr>
                <w:rFonts w:ascii="EB Garamond" w:hAnsi="EB Garamond" w:cs="EB Garamond"/>
                <w:b w:val="0"/>
                <w:i w:val="0"/>
                <w:color w:val="201B16"/>
                <w:sz w:val="19"/>
                <w:lang w:val="pt-BR" w:bidi="ar-SA"/>
                <w:kern w:val="16"/>
                <w14:ligatures w14:val="standardContextual"/>
              </w:rPr>
              <w:t xml:space="preserve"> O pedágio 100% permite a Fernando se aposentar em 2026 com R$ 5.500, sem esperar até 2028 para o art. 15. A decisão é: R$ 5.500 agora vs. R$ 5.610 em 2028 (perda de 24 meses × R$ 5.500 = R$ 132.000 de custo de oportunidade). </w:t>
            </w:r>
            <w:r>
              <w:rPr>
                <w:rFonts w:ascii="EB Garamond" w:hAnsi="EB Garamond" w:cs="EB Garamond"/>
                <w:b/>
                <w:i w:val="0"/>
                <w:color w:val="201B16"/>
                <w:sz w:val="19"/>
                <w:lang w:val="pt-BR" w:bidi="ar-SA"/>
                <w:kern w:val="16"/>
                <w14:ligatures w14:val="standardContextual"/>
              </w:rPr>
              <w:t>O pedágio 100% é a melhor escolha.</w:t>
            </w: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Pedágio 100% e exclusão de SC (art. 26, § 6º, EC 103)</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segurado que se aposenta pelo pedágio 100% também pode utilizar a possibilidade de exclusão de salários de contribuição que reduzam a média (art. 26, § 6º). Contudo, há uma particularidade: a exclusão não pode reduzir o TC abaixo do mínimo exigido (incluindo o pedágio). Se Fernando precisa de 38 anos de TC e exclui 3 anos de salários baixos, restam 36 anos — inferior aos 38 necessários. Nesse caso, a exclusão não é possível nessa extensão. O cálculo deve ser feito considerando essa limitação.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11.8 O fator previdenciário: fórmula, variáveis e impacto</w:t>
      </w:r>
    </w:p>
    <w:p>
      <w:pPr>
        <w:spacing w:before="260" w:after="80" w:line="240" w:lineRule="auto"/>
        <w:jc w:val="left"/>
      </w:pPr>
      <w:r>
        <w:rPr>
          <w:rFonts w:ascii="EB Garamond" w:hAnsi="EB Garamond" w:cs="EB Garamond"/>
          <w:b/>
          <w:i w:val="0"/>
          <w:color w:val="3A3128"/>
          <w:sz w:val="25"/>
          <w:lang w:val="pt-BR" w:bidi="ar-SA"/>
          <w:kern w:val="16"/>
          <w14:ligatures w14:val="standardContextual"/>
        </w:rPr>
        <w:t>11.8.1 Origem e fundamento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fator previdenciário (Lei 9.876/1999) é o mecanismo pelo qual o legislador buscou desestimular aposentadorias precoces sem impor idade mínima formal. Ajusta o valor do benefício a três variáveis — tempo de contribuição, idade e expectativa de sobrevida — e é a principal razão pela qual muitos segurados optavam pela regra 85/95.</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fórmula está prevista no Anexo da Lei 9.876/99 e regulamentada nos arts. 181-A a 181-F do Decreto 3.048/99.</w:t>
      </w:r>
    </w:p>
    <w:p>
      <w:pPr>
        <w:spacing w:before="260" w:after="80" w:line="240" w:lineRule="auto"/>
        <w:jc w:val="left"/>
      </w:pPr>
      <w:r>
        <w:rPr>
          <w:rFonts w:ascii="EB Garamond" w:hAnsi="EB Garamond" w:cs="EB Garamond"/>
          <w:b/>
          <w:i w:val="0"/>
          <w:color w:val="3A3128"/>
          <w:sz w:val="25"/>
          <w:lang w:val="pt-BR" w:bidi="ar-SA"/>
          <w:kern w:val="16"/>
          <w14:ligatures w14:val="standardContextual"/>
        </w:rPr>
        <w:t>11.8.2 A fórmula decomposta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fórmula do fator previdenciário é:</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f = (Tc × a / Es) × [1 + (Id + Tc × a) / 100]</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Onde:</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Tc</w:t>
      </w:r>
      <w:r>
        <w:rPr>
          <w:rFonts w:ascii="EB Garamond" w:hAnsi="EB Garamond" w:cs="EB Garamond"/>
          <w:b w:val="0"/>
          <w:i w:val="0"/>
          <w:color w:val="201B16"/>
          <w:sz w:val="20"/>
          <w:lang w:val="pt-BR" w:bidi="ar-SA"/>
          <w:kern w:val="16"/>
          <w14:ligatures w14:val="standardContextual"/>
        </w:rPr>
        <w:t xml:space="preserve"> = tempo de contribuição do segurado (em anos, com casas decimais)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a</w:t>
      </w:r>
      <w:r>
        <w:rPr>
          <w:rFonts w:ascii="EB Garamond" w:hAnsi="EB Garamond" w:cs="EB Garamond"/>
          <w:b w:val="0"/>
          <w:i w:val="0"/>
          <w:color w:val="201B16"/>
          <w:sz w:val="20"/>
          <w:lang w:val="pt-BR" w:bidi="ar-SA"/>
          <w:kern w:val="16"/>
          <w14:ligatures w14:val="standardContextual"/>
        </w:rPr>
        <w:t xml:space="preserve"> = alíquota de contribuição, fixada em </w:t>
      </w:r>
      <w:r>
        <w:rPr>
          <w:rFonts w:ascii="EB Garamond" w:hAnsi="EB Garamond" w:cs="EB Garamond"/>
          <w:b/>
          <w:i w:val="0"/>
          <w:color w:val="201B16"/>
          <w:sz w:val="20"/>
          <w:lang w:val="pt-BR" w:bidi="ar-SA"/>
          <w:kern w:val="16"/>
          <w14:ligatures w14:val="standardContextual"/>
        </w:rPr>
        <w:t>0,31</w:t>
      </w:r>
      <w:r>
        <w:rPr>
          <w:rFonts w:ascii="EB Garamond" w:hAnsi="EB Garamond" w:cs="EB Garamond"/>
          <w:b w:val="0"/>
          <w:i w:val="0"/>
          <w:color w:val="201B16"/>
          <w:sz w:val="20"/>
          <w:lang w:val="pt-BR" w:bidi="ar-SA"/>
          <w:kern w:val="16"/>
          <w14:ligatures w14:val="standardContextual"/>
        </w:rPr>
        <w:t xml:space="preserve"> (constante)</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Es</w:t>
      </w:r>
      <w:r>
        <w:rPr>
          <w:rFonts w:ascii="EB Garamond" w:hAnsi="EB Garamond" w:cs="EB Garamond"/>
          <w:b w:val="0"/>
          <w:i w:val="0"/>
          <w:color w:val="201B16"/>
          <w:sz w:val="20"/>
          <w:lang w:val="pt-BR" w:bidi="ar-SA"/>
          <w:kern w:val="16"/>
          <w14:ligatures w14:val="standardContextual"/>
        </w:rPr>
        <w:t xml:space="preserve"> = expectativa de sobrevida do segurado na idade da aposentadoria, conforme tabela do IBGE (Tábuas Completas de Mortalidade), atualizada anualmente</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Id</w:t>
      </w:r>
      <w:r>
        <w:rPr>
          <w:rFonts w:ascii="EB Garamond" w:hAnsi="EB Garamond" w:cs="EB Garamond"/>
          <w:b w:val="0"/>
          <w:i w:val="0"/>
          <w:color w:val="201B16"/>
          <w:sz w:val="20"/>
          <w:lang w:val="pt-BR" w:bidi="ar-SA"/>
          <w:kern w:val="16"/>
          <w14:ligatures w14:val="standardContextual"/>
        </w:rPr>
        <w:t xml:space="preserve"> = idade do segurado na data da aposentadoria (em anos, com casas decimais)</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fórmula pode ser decomposta em dois fatores multiplicativos: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Fator 1 (taxa de reposição):</w:t>
      </w:r>
      <w:r>
        <w:rPr>
          <w:rFonts w:ascii="EB Garamond" w:hAnsi="EB Garamond" w:cs="EB Garamond"/>
          <w:b w:val="0"/>
          <w:i w:val="0"/>
          <w:color w:val="201B16"/>
          <w:sz w:val="20"/>
          <w:lang w:val="pt-BR" w:bidi="ar-SA"/>
          <w:kern w:val="16"/>
          <w14:ligatures w14:val="standardContextual"/>
        </w:rPr>
        <w:t xml:space="preserve"> Tc × a / Es — representa a proporção entre o total contribuído (Tc × a = contribuição proporcional acumulada) e o período estimado de fruição do benefício (Es). Quanto maior o TC e menor a expectativa de sobrevida, maior esse fator.</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Fator 2 (bônus de permanência):</w:t>
      </w:r>
      <w:r>
        <w:rPr>
          <w:rFonts w:ascii="EB Garamond" w:hAnsi="EB Garamond" w:cs="EB Garamond"/>
          <w:b w:val="0"/>
          <w:i w:val="0"/>
          <w:color w:val="201B16"/>
          <w:sz w:val="20"/>
          <w:lang w:val="pt-BR" w:bidi="ar-SA"/>
          <w:kern w:val="16"/>
          <w14:ligatures w14:val="standardContextual"/>
        </w:rPr>
        <w:t xml:space="preserve"> 1 + (Id + Tc × a) / 100 — funciona como um bônus que cresce com a idade e o tempo de contribuição. Quanto mais velho e mais tempo de contribuição, maior o bônus.</w:t>
      </w:r>
    </w:p>
    <w:p>
      <w:pPr>
        <w:spacing w:before="0" w:after="6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11.8.3 Bônus para mulher e professor</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Lei 9.876/99 prevê acréscimos fictícios ao tempo de contribuição exclusivamente para fins de cálculo do fator:</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Mulher:</w:t>
      </w:r>
      <w:r>
        <w:rPr>
          <w:rFonts w:ascii="EB Garamond" w:hAnsi="EB Garamond" w:cs="EB Garamond"/>
          <w:b w:val="0"/>
          <w:i w:val="0"/>
          <w:color w:val="201B16"/>
          <w:sz w:val="20"/>
          <w:lang w:val="pt-BR" w:bidi="ar-SA"/>
          <w:kern w:val="16"/>
          <w14:ligatures w14:val="standardContextual"/>
        </w:rPr>
        <w:t xml:space="preserve"> +5 anos ao Tc na fórmula (não ao TC real para fins de requisito); a mulher não professora </w:t>
      </w:r>
      <w:r>
        <w:rPr>
          <w:rFonts w:ascii="EB Garamond" w:hAnsi="EB Garamond" w:cs="EB Garamond"/>
          <w:b/>
          <w:i w:val="0"/>
          <w:color w:val="201B16"/>
          <w:sz w:val="20"/>
          <w:lang w:val="pt-BR" w:bidi="ar-SA"/>
          <w:kern w:val="16"/>
          <w14:ligatures w14:val="standardContextual"/>
        </w:rPr>
        <w:t>não</w:t>
      </w:r>
      <w:r>
        <w:rPr>
          <w:rFonts w:ascii="EB Garamond" w:hAnsi="EB Garamond" w:cs="EB Garamond"/>
          <w:b w:val="0"/>
          <w:i w:val="0"/>
          <w:color w:val="201B16"/>
          <w:sz w:val="20"/>
          <w:lang w:val="pt-BR" w:bidi="ar-SA"/>
          <w:kern w:val="16"/>
          <w14:ligatures w14:val="standardContextual"/>
        </w:rPr>
        <w:t xml:space="preserve"> recebe acréscimo na Id — o bônus de idade é exclusivo do professor (homem ou mulher)</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Professor (exclusivamente magistério em educação infantil, fundamental e médio):</w:t>
      </w:r>
      <w:r>
        <w:rPr>
          <w:rFonts w:ascii="EB Garamond" w:hAnsi="EB Garamond" w:cs="EB Garamond"/>
          <w:b w:val="0"/>
          <w:i w:val="0"/>
          <w:color w:val="201B16"/>
          <w:sz w:val="20"/>
          <w:lang w:val="pt-BR" w:bidi="ar-SA"/>
          <w:kern w:val="16"/>
          <w14:ligatures w14:val="standardContextual"/>
        </w:rPr>
        <w:t xml:space="preserve"> +5 anos ao Tc e +5 anos à Id na fórmula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Professora:</w:t>
      </w:r>
      <w:r>
        <w:rPr>
          <w:rFonts w:ascii="EB Garamond" w:hAnsi="EB Garamond" w:cs="EB Garamond"/>
          <w:b w:val="0"/>
          <w:i w:val="0"/>
          <w:color w:val="201B16"/>
          <w:sz w:val="20"/>
          <w:lang w:val="pt-BR" w:bidi="ar-SA"/>
          <w:kern w:val="16"/>
          <w14:ligatures w14:val="standardContextual"/>
        </w:rPr>
        <w:t xml:space="preserve"> +10 anos ao Tc (+5 como mulher + 5 como professora) e +5 anos à Id</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E</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sses bônus elevam significativamente o fator previdenciário, reduzindo o efeito redutor da fórmula. Uma professora com 25 anos de TC e 52 anos de idade, por exemplo, calcula o fator com Tc=35 (25+10) e Id=57 (52+5).</w:t>
      </w:r>
    </w:p>
    <w:p>
      <w:pPr>
        <w:spacing w:before="260" w:after="80" w:line="240" w:lineRule="auto"/>
        <w:jc w:val="left"/>
      </w:pPr>
      <w:r>
        <w:rPr>
          <w:rFonts w:ascii="EB Garamond" w:hAnsi="EB Garamond" w:cs="EB Garamond"/>
          <w:b/>
          <w:i w:val="0"/>
          <w:color w:val="3A3128"/>
          <w:sz w:val="25"/>
          <w:lang w:val="pt-BR" w:bidi="ar-SA"/>
          <w:kern w:val="16"/>
          <w14:ligatures w14:val="standardContextual"/>
        </w:rPr>
        <w:t>11.8.4 Impacto prático e referência ao cap. 16</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tabela completa de simulações, o guia de cálculo passo a passo e exemplos numéricos detalhados do fator previdenciário estão no Cap. 16, seção 16.4, à qual se remete o leitor. Como referência rápida para este capítulo: o fator é redutor (&lt; 1,0) para segurados que se aposentam jovens (homem de 55 anos com 35 de TC obtém fator de aproximadamente 0,71, redução de ~29%); torna-se neutro ou majorador (&gt;= 1,0) para segurados com idade e TC elevados (homem de 62 anos com 40 de TC obtém fator de aproximadamente 1,15, acréscimo de ~15%). O resultado é sempre limitado ao teto do RGPS (R$ 8.475,55 em 2026).</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Fator previdenciário × coeficiente 60%+2% — NÃO confundir</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Aspecto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Fator Previdenciário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Coeficiente 60%+2%</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Onde se aplica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Pedágio 50% (obrigatório); direito adquirido TC (obrigatório); aposentadoria por idade pré-EC 103 (se vantajoso)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Arts. 15, 16, regra permanente</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Base de cálculo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Média 80% maiores SC</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Média 100% dos SC</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Pode ser &gt; 100%?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Sim (fator pode ser &gt; 1,0)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Sim (coeficiente pode ser &gt; 100%)</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Quando reduz o benefício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Quando fator &lt; 1,0 (segurado jovem)</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Quando TC é baixo (poucos anos excedentes)</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Fórmula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f = (Tc×a/Es) × [1+(Id+Tc×a)/100]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60% + 2% × (TC - 20H ou TC - 15M)</w:t>
                  </w:r>
                </w:p>
              </w:tc>
            </w:tr>
          </w:tbl>
          <w:p/>
          <w:p>
            <w:pPr>
              <w:spacing w:before="0" w:after="0" w:line="240" w:lineRule="auto"/>
            </w:pP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fator previdenciário e o coeficiente 60%+2% são mecanismos distintos que NUNCA se aplicam simultaneamente à mesma aposentadoria. Cada regra de transição define qual dos dois se aplica.</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11.9 A regra 85/95 progressiva (Lei 13.183/2015) — aplicação residual</w:t>
      </w:r>
    </w:p>
    <w:p>
      <w:pPr>
        <w:spacing w:before="260" w:after="80" w:line="240" w:lineRule="auto"/>
        <w:jc w:val="left"/>
      </w:pPr>
      <w:r>
        <w:rPr>
          <w:rFonts w:ascii="EB Garamond" w:hAnsi="EB Garamond" w:cs="EB Garamond"/>
          <w:b/>
          <w:i w:val="0"/>
          <w:color w:val="3A3128"/>
          <w:sz w:val="25"/>
          <w:lang w:val="pt-BR" w:bidi="ar-SA"/>
          <w:kern w:val="16"/>
          <w14:ligatures w14:val="standardContextual"/>
        </w:rPr>
        <w:t>11.9.1 Conceito original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regra 85/95 (art. 29-C da Lei 8.213/91, incluído pela Lei 13.183/2015) permitiu ao segurado excluir o fator previdenciário ao atingir soma de idade + TC igual ou superior a 85 (mulher) ou 95 (homem). Quem atingia a pontuação aposentava-se com 100% do SB (média dos 80% maiores SC), sem redução atuarial.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pontuação era progressiva:</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Período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Mulher</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Homem</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2015-2018</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85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95</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2019-2020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86</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96</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2021-2022</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87</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97</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2023-2024</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88</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98</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2025-2026</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89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99</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2027-2028</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11.9.2 Aplicação atual: apenas direito adquirido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EC 103/2019 substituiu integralmente o regime anterior: a regra 85/95 não se aplica a aposentadorias requeridas a partir de 13/11/2019. Permanece acessível apenas a quem implementou todos os requisitos até 12/11/2019 (35H/30M anos de TC + pontuação de 96H/86M). Trata-se de direito adquirido, exercível a qualquer tempo, com base no art. 3º da EC 103 (para os fundamentos gerais da regra 85/95 e sua interação com o fator previdenciário, v. Cap. 16, seção 16.4.4).</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Sustentamos que essa é a regra mais generosa entre todas as disponíveis para quem a ela faz jus: combina a média dos 80% maiores SC (base mais elevada), coeficiente integral (100% do SB) e ausência do fator previdenciário. O advogado que não verifica o direito adquirido à regra 85/95 priva o cliente de vantagem financeira considerável.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Exemplo — Regra 85/95 como direito adquirido</w:t>
            </w:r>
          </w:p>
          <w:p>
            <w:pPr>
              <w:spacing w:before="0" w:after="60" w:line="247" w:lineRule="auto"/>
              <w:jc w:val="both"/>
            </w:pPr>
            <w:r>
              <w:rPr>
                <w:rFonts w:ascii="EB Garamond" w:hAnsi="EB Garamond" w:cs="EB Garamond"/>
                <w:b/>
                <w:i w:val="0"/>
                <w:color w:val="201B16"/>
                <w:sz w:val="19"/>
                <w:lang w:val="pt-BR" w:bidi="ar-SA"/>
                <w:kern w:val="16"/>
                <w14:ligatures w14:val="standardContextual"/>
              </w:rPr>
              <w:t>Sônia</w:t>
            </w:r>
            <w:r>
              <w:rPr>
                <w:rFonts w:ascii="EB Garamond" w:hAnsi="EB Garamond" w:cs="EB Garamond"/>
                <w:b w:val="0"/>
                <w:i w:val="0"/>
                <w:color w:val="201B16"/>
                <w:sz w:val="19"/>
                <w:lang w:val="pt-BR" w:bidi="ar-SA"/>
                <w:kern w:val="16"/>
                <w14:ligatures w14:val="standardContextual"/>
              </w:rPr>
              <w:t>, mulher, 62 anos em 2026, filiada em 1988. Em 12/11/2019: - Idade: 55 anos - TC: 31 anos (1988-2019) - Pontos: 55 + 31 = 86 ≥ 86 (exigido em 2019 para mulher) ✅ - TC ≥ 30 ✅</w:t>
            </w:r>
          </w:p>
          <w:p>
            <w:pPr>
              <w:spacing w:before="0" w:after="60" w:line="247" w:lineRule="auto"/>
              <w:jc w:val="both"/>
            </w:pPr>
            <w:r>
              <w:rPr>
                <w:rFonts w:ascii="EB Garamond" w:hAnsi="EB Garamond" w:cs="EB Garamond"/>
                <w:b/>
                <w:i w:val="0"/>
                <w:color w:val="201B16"/>
                <w:sz w:val="19"/>
                <w:lang w:val="pt-BR" w:bidi="ar-SA"/>
                <w:kern w:val="16"/>
                <w14:ligatures w14:val="standardContextual"/>
              </w:rPr>
              <w:t>Sônia tem direito adquirido à regra 85/95.</w:t>
            </w:r>
          </w:p>
          <w:p>
            <w:pPr>
              <w:spacing w:before="0" w:after="60" w:line="247" w:lineRule="auto"/>
              <w:jc w:val="both"/>
            </w:pPr>
            <w:r>
              <w:rPr>
                <w:rFonts w:ascii="EB Garamond" w:hAnsi="EB Garamond" w:cs="EB Garamond"/>
                <w:b/>
                <w:i w:val="0"/>
                <w:color w:val="201B16"/>
                <w:sz w:val="19"/>
                <w:lang w:val="pt-BR" w:bidi="ar-SA"/>
                <w:kern w:val="16"/>
                <w14:ligatures w14:val="standardContextual"/>
              </w:rPr>
              <w:t>Cálculo:</w:t>
            </w:r>
            <w:r>
              <w:rPr>
                <w:rFonts w:ascii="EB Garamond" w:hAnsi="EB Garamond" w:cs="EB Garamond"/>
                <w:b w:val="0"/>
                <w:i w:val="0"/>
                <w:color w:val="201B16"/>
                <w:sz w:val="19"/>
                <w:lang w:val="pt-BR" w:bidi="ar-SA"/>
                <w:kern w:val="16"/>
                <w14:ligatures w14:val="standardContextual"/>
              </w:rPr>
              <w:t xml:space="preserve"> - Média 80% maiores SC: R$ 5.200,00 - Coeficiente: 100% (sem fator previdenciário) - RMI: </w:t>
            </w:r>
            <w:r>
              <w:rPr>
                <w:rFonts w:ascii="EB Garamond" w:hAnsi="EB Garamond" w:cs="EB Garamond"/>
                <w:b/>
                <w:i w:val="0"/>
                <w:color w:val="201B16"/>
                <w:sz w:val="19"/>
                <w:lang w:val="pt-BR" w:bidi="ar-SA"/>
                <w:kern w:val="16"/>
                <w14:ligatures w14:val="standardContextual"/>
              </w:rPr>
              <w:t>R$ 5.200,00</w:t>
            </w:r>
          </w:p>
          <w:p>
            <w:pPr>
              <w:spacing w:before="0" w:after="60" w:line="247" w:lineRule="auto"/>
              <w:jc w:val="both"/>
            </w:pPr>
            <w:r>
              <w:rPr>
                <w:rFonts w:ascii="EB Garamond" w:hAnsi="EB Garamond" w:cs="EB Garamond"/>
                <w:b/>
                <w:i w:val="0"/>
                <w:color w:val="201B16"/>
                <w:sz w:val="19"/>
                <w:lang w:val="pt-BR" w:bidi="ar-SA"/>
                <w:kern w:val="16"/>
                <w14:ligatures w14:val="standardContextual"/>
              </w:rPr>
              <w:t>Comparativo com art. 15 EC 103 (em 2026):</w:t>
            </w:r>
            <w:r>
              <w:rPr>
                <w:rFonts w:ascii="EB Garamond" w:hAnsi="EB Garamond" w:cs="EB Garamond"/>
                <w:b w:val="0"/>
                <w:i w:val="0"/>
                <w:color w:val="201B16"/>
                <w:sz w:val="19"/>
                <w:lang w:val="pt-BR" w:bidi="ar-SA"/>
                <w:kern w:val="16"/>
                <w14:ligatures w14:val="standardContextual"/>
              </w:rPr>
              <w:t xml:space="preserve"> - Pontos 2026: 62 + 38 = 100 ≥ 93 ✅ - Coeficiente: 60% + 2%×(38-15) = 106% (o coeficiente pode ultrapassar 100%, limitado ao teto do RGPS) - Média 100%: R$ 4.600,00 - RMI art. 15: R$ 4.600 × 106% = R$ 4.876,00</w:t>
            </w:r>
          </w:p>
          <w:p>
            <w:pPr>
              <w:spacing w:before="0" w:after="60" w:line="247" w:lineRule="auto"/>
              <w:jc w:val="both"/>
            </w:pPr>
            <w:r>
              <w:rPr>
                <w:rFonts w:ascii="EB Garamond" w:hAnsi="EB Garamond" w:cs="EB Garamond"/>
                <w:b/>
                <w:i w:val="0"/>
                <w:color w:val="201B16"/>
                <w:sz w:val="19"/>
                <w:lang w:val="pt-BR" w:bidi="ar-SA"/>
                <w:kern w:val="16"/>
                <w14:ligatures w14:val="standardContextual"/>
              </w:rPr>
              <w:t>Regra 85/95 (R$ 5.200) vs. Art. 15 (R$ 4.876): diferença de R$ 324/mês, R$ 3.888/ano.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direito adquirido à regra 85/95 é, neste caso, superior. O advogado que não verifica esse direito causa prejuízo ao cliente.</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11.10 Análise comparativa: qual regra de transição escolher?</w:t>
      </w:r>
    </w:p>
    <w:p>
      <w:pPr>
        <w:spacing w:before="260" w:after="80" w:line="240" w:lineRule="auto"/>
        <w:jc w:val="left"/>
      </w:pPr>
      <w:r>
        <w:rPr>
          <w:rFonts w:ascii="EB Garamond" w:hAnsi="EB Garamond" w:cs="EB Garamond"/>
          <w:b/>
          <w:i w:val="0"/>
          <w:color w:val="3A3128"/>
          <w:sz w:val="25"/>
          <w:lang w:val="pt-BR" w:bidi="ar-SA"/>
          <w:kern w:val="16"/>
          <w14:ligatures w14:val="standardContextual"/>
        </w:rPr>
        <w:t>11.10.1 Tabela-mestre das regras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tabela abaixo sintetiza todas as regras disponíveis para segurados filiados antes de 13/11/2019 que buscam aposentadoria por tempo de contribuição ou equivalente:</w:t>
      </w:r>
    </w:p>
    <w:tbl>
      <w:tblPr>
        <w:tblW w:type="auto" w:w="0"/>
        <w:jc w:val="center"/>
        <w:tblLook w:firstColumn="1" w:firstRow="1" w:lastColumn="0" w:lastRow="0" w:noHBand="0" w:noVBand="1" w:val="04A0"/>
        <w:tblW w:w="5000" w:type="pct"/>
      </w:tblPr>
      <w:tblGrid>
        <w:gridCol w:w="1270"/>
        <w:gridCol w:w="1270"/>
        <w:gridCol w:w="1270"/>
        <w:gridCol w:w="1270"/>
        <w:gridCol w:w="1270"/>
      </w:tblGrid>
      <w:tr>
        <w:trPr>
          <w:tblHeader/>
        </w:trPr>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Regra</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Requisitos</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Cálculo da média</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Coeficiente</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Fator Previdenciário</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Direito adquirido TC + fator</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35H/30M TC até 12/11/2019</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80% maiores SC</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 do SB</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Obrigatório</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Direito adquirido 85/95</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35H/30M TC + 96/86 pontos até 12/11/2019</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80% maiores SC</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 do SB</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Afastado</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Art. 15 (pontos)</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35H/30M TC + pontuação (103/93 em 2026)</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 SC</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60%+2%/ano</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 se aplica</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Art. 16 (idade progressiva)</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35H/30M TC + idade (64,5/59,5 em 2026)</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 SC</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60%+2%/ano</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 se aplica</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Art. 17 (pedágio 50%)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Faltava &lt; 2 anos TC em 2019</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80% maiores SC</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 do SB</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Obrigatório</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Art. 20 (pedágio 100%)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35H/30M TC + pedágio + 60/57 idade</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 SC</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100%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 se aplica</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11.10.2 Critérios decisórios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N</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 nossa experiência, a regra de pontos (art. 15) é a mais litigada nos JEFs porque abrange o maior universo de segurados e permite compensação entre idade e TC. Entretanto, a regra "universalmente melhor" não existe — a escolha depende de variáveis individuais que devem ser analisadas caso a caso: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1. Idade:</w:t>
      </w:r>
      <w:r>
        <w:rPr>
          <w:rFonts w:ascii="EB Garamond" w:hAnsi="EB Garamond" w:cs="EB Garamond"/>
          <w:b w:val="0"/>
          <w:i w:val="0"/>
          <w:color w:val="201B16"/>
          <w:sz w:val="21"/>
          <w:lang w:val="pt-BR" w:bidi="ar-SA"/>
          <w:kern w:val="16"/>
          <w14:ligatures w14:val="standardContextual"/>
        </w:rPr>
        <w:t xml:space="preserve"> Segurados com idade avançada (≥ 62-65 anos) tendem a se beneficiar do fator previdenciário &gt; 1,0 (regras com fator) ou do pedágio 100% (coeficiente integral).</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2. Tempo de contribuição:</w:t>
      </w:r>
      <w:r>
        <w:rPr>
          <w:rFonts w:ascii="EB Garamond" w:hAnsi="EB Garamond" w:cs="EB Garamond"/>
          <w:b w:val="0"/>
          <w:i w:val="0"/>
          <w:color w:val="201B16"/>
          <w:sz w:val="21"/>
          <w:lang w:val="pt-BR" w:bidi="ar-SA"/>
          <w:kern w:val="16"/>
          <w14:ligatures w14:val="standardContextual"/>
        </w:rPr>
        <w:t xml:space="preserve"> Segurados com TC muito superior ao mínimo (40+ anos) tendem a ter coeficiente alto (100%+) nas regras do art. 15/16 e fator elevado nas regras com fator.</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3. Valor dos salários de contribuição:</w:t>
      </w:r>
      <w:r>
        <w:rPr>
          <w:rFonts w:ascii="EB Garamond" w:hAnsi="EB Garamond" w:cs="EB Garamond"/>
          <w:b w:val="0"/>
          <w:i w:val="0"/>
          <w:color w:val="201B16"/>
          <w:sz w:val="21"/>
          <w:lang w:val="pt-BR" w:bidi="ar-SA"/>
          <w:kern w:val="16"/>
          <w14:ligatures w14:val="standardContextual"/>
        </w:rPr>
        <w:t xml:space="preserve"> A diferença entre a média dos 80% maiores e a média de 100% é decisiva. Segurados com períodos de remuneração baixa (início de carreira, contribuições sobre o SM) se beneficiam da média dos 80% maiores.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4. Data de filiação e situação em 13/11/2019:</w:t>
      </w:r>
      <w:r>
        <w:rPr>
          <w:rFonts w:ascii="EB Garamond" w:hAnsi="EB Garamond" w:cs="EB Garamond"/>
          <w:b w:val="0"/>
          <w:i w:val="0"/>
          <w:color w:val="201B16"/>
          <w:sz w:val="21"/>
          <w:lang w:val="pt-BR" w:bidi="ar-SA"/>
          <w:kern w:val="16"/>
          <w14:ligatures w14:val="standardContextual"/>
        </w:rPr>
        <w:t xml:space="preserve"> Determina se o segurado tem direito adquirido e se é elegível ao pedágio 50%.</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Caso unificado — Cálculo por todas as regras</w:t>
            </w:r>
          </w:p>
          <w:p>
            <w:pPr>
              <w:spacing w:before="0" w:after="60" w:line="247" w:lineRule="auto"/>
              <w:jc w:val="both"/>
            </w:pPr>
            <w:r>
              <w:rPr>
                <w:rFonts w:ascii="EB Garamond" w:hAnsi="EB Garamond" w:cs="EB Garamond"/>
                <w:b/>
                <w:i w:val="0"/>
                <w:color w:val="201B16"/>
                <w:sz w:val="19"/>
                <w:lang w:val="pt-BR" w:bidi="ar-SA"/>
                <w:kern w:val="16"/>
                <w14:ligatures w14:val="standardContextual"/>
              </w:rPr>
              <w:t>Carlos</w:t>
            </w:r>
            <w:r>
              <w:rPr>
                <w:rFonts w:ascii="EB Garamond" w:hAnsi="EB Garamond" w:cs="EB Garamond"/>
                <w:b w:val="0"/>
                <w:i w:val="0"/>
                <w:color w:val="201B16"/>
                <w:sz w:val="19"/>
                <w:lang w:val="pt-BR" w:bidi="ar-SA"/>
                <w:kern w:val="16"/>
                <w14:ligatures w14:val="standardContextual"/>
              </w:rPr>
              <w:t>, homem, 63 anos em 2026, filiado em 1986. TC total: 40 anos. Em 13/11/2019 tinha 33 anos de TC e 56 anos de idade. - Média 80% maiores SC: R$ 6.200,00 - Média 100% SC: R$ 5.400,00</w:t>
            </w:r>
          </w:p>
          <w:tbl>
            <w:tblPr>
              <w:tblW w:type="auto" w:w="0"/>
              <w:jc w:val="center"/>
              <w:tblLook w:firstColumn="1" w:firstRow="1" w:lastColumn="0" w:lastRow="0" w:noHBand="0" w:noVBand="1" w:val="04A0"/>
              <w:tblW w:w="5000" w:type="pct"/>
            </w:tblPr>
            <w:tblGrid>
              <w:gridCol w:w="1587"/>
              <w:gridCol w:w="1587"/>
              <w:gridCol w:w="1587"/>
              <w:gridCol w:w="1587"/>
            </w:tblGrid>
            <w:tr>
              <w:trPr>
                <w:tblHeader/>
              </w:trPr>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Regra</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Elegível?</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Cálculo</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RMI</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Direito adquirido TC + fator</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 xml:space="preserve">Sim (33 TC &lt; 35 em 2019) → </w:t>
                  </w:r>
                  <w:r>
                    <w:rPr>
                      <w:rFonts w:ascii="EB Garamond" w:hAnsi="EB Garamond" w:cs="EB Garamond"/>
                      <w:b/>
                      <w:i w:val="0"/>
                      <w:color w:val="201B16"/>
                      <w:sz w:val="16"/>
                      <w:lang w:val="pt-BR" w:bidi="ar-SA"/>
                      <w:kern w:val="16"/>
                      <w14:ligatures w14:val="standardContextual"/>
                    </w:rPr>
                    <w:t>Não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Direito adquirido 85/95</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 xml:space="preserve">56+33=89 &lt; 96 → </w:t>
                  </w:r>
                  <w:r>
                    <w:rPr>
                      <w:rFonts w:ascii="EB Garamond" w:hAnsi="EB Garamond" w:cs="EB Garamond"/>
                      <w:b/>
                      <w:i w:val="0"/>
                      <w:color w:val="201B16"/>
                      <w:sz w:val="16"/>
                      <w:lang w:val="pt-BR" w:bidi="ar-SA"/>
                      <w:kern w:val="16"/>
                      <w14:ligatures w14:val="standardContextual"/>
                    </w:rPr>
                    <w:t>Não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15 (pontos)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 xml:space="preserve">63+40=103 ≥ 103 → </w:t>
                  </w:r>
                  <w:r>
                    <w:rPr>
                      <w:rFonts w:ascii="EB Garamond" w:hAnsi="EB Garamond" w:cs="EB Garamond"/>
                      <w:b/>
                      <w:i w:val="0"/>
                      <w:color w:val="201B16"/>
                      <w:sz w:val="16"/>
                      <w:lang w:val="pt-BR" w:bidi="ar-SA"/>
                      <w:kern w:val="16"/>
                      <w14:ligatures w14:val="standardContextual"/>
                    </w:rPr>
                    <w:t>Sim</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R$ 5.400 × (60%+2%×20) = R$ 5.400 × 100%</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R$ 5.400</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16 (idade)</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 xml:space="preserve">63 &lt; 64,5 → </w:t>
                  </w:r>
                  <w:r>
                    <w:rPr>
                      <w:rFonts w:ascii="EB Garamond" w:hAnsi="EB Garamond" w:cs="EB Garamond"/>
                      <w:b/>
                      <w:i w:val="0"/>
                      <w:color w:val="201B16"/>
                      <w:sz w:val="16"/>
                      <w:lang w:val="pt-BR" w:bidi="ar-SA"/>
                      <w:kern w:val="16"/>
                      <w14:ligatures w14:val="standardContextual"/>
                    </w:rPr>
                    <w:t>Não</w:t>
                  </w:r>
                  <w:r>
                    <w:rPr>
                      <w:rFonts w:ascii="EB Garamond" w:hAnsi="EB Garamond" w:cs="EB Garamond"/>
                      <w:b w:val="0"/>
                      <w:i w:val="0"/>
                      <w:color w:val="201B16"/>
                      <w:sz w:val="16"/>
                      <w:lang w:val="pt-BR" w:bidi="ar-SA"/>
                      <w:kern w:val="16"/>
                      <w14:ligatures w14:val="standardContextual"/>
                    </w:rPr>
                    <w:t xml:space="preserve"> (em 2026)</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17 (pedágio 50%)</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 xml:space="preserve">Faltavam 2 anos em 2019 → </w:t>
                  </w:r>
                  <w:r>
                    <w:rPr>
                      <w:rFonts w:ascii="EB Garamond" w:hAnsi="EB Garamond" w:cs="EB Garamond"/>
                      <w:b/>
                      <w:i w:val="0"/>
                      <w:color w:val="201B16"/>
                      <w:sz w:val="16"/>
                      <w:lang w:val="pt-BR" w:bidi="ar-SA"/>
                      <w:kern w:val="16"/>
                      <w14:ligatures w14:val="standardContextual"/>
                    </w:rPr>
                    <w:t>Sim</w:t>
                  </w:r>
                  <w:r>
                    <w:rPr>
                      <w:rFonts w:ascii="EB Garamond" w:hAnsi="EB Garamond" w:cs="EB Garamond"/>
                      <w:b w:val="0"/>
                      <w:i w:val="0"/>
                      <w:color w:val="201B16"/>
                      <w:sz w:val="16"/>
                      <w:lang w:val="pt-BR" w:bidi="ar-SA"/>
                      <w:kern w:val="16"/>
                      <w14:ligatures w14:val="standardContextual"/>
                    </w:rPr>
                    <w:t xml:space="preserve"> (limite)</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R$ 6.200 × f(Tc=40,Id=63,Es≈20,4)</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R$ 6.200 × 1,064 = R$ 6.597</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20 (pedágio 100%)</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60 ✅, 35 TC ✅, pedágio 2 anos → 37 total, tem 40 ✅</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R$ 5.400 × 100%</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R$ 5.400</w:t>
                  </w:r>
                </w:p>
              </w:tc>
            </w:tr>
          </w:tbl>
          <w:p/>
          <w:p>
            <w:pPr>
              <w:spacing w:before="0" w:after="0" w:line="240" w:lineRule="auto"/>
            </w:pPr>
          </w:p>
          <w:p>
            <w:pPr>
              <w:spacing w:before="0" w:after="60" w:line="247" w:lineRule="auto"/>
              <w:jc w:val="both"/>
            </w:pPr>
            <w:r>
              <w:rPr>
                <w:rFonts w:ascii="EB Garamond" w:hAnsi="EB Garamond" w:cs="EB Garamond"/>
                <w:b/>
                <w:i w:val="0"/>
                <w:color w:val="201B16"/>
                <w:sz w:val="19"/>
                <w:lang w:val="pt-BR" w:bidi="ar-SA"/>
                <w:kern w:val="16"/>
                <w14:ligatures w14:val="standardContextual"/>
              </w:rPr>
              <w:t>Resultados:</w:t>
            </w:r>
            <w:r>
              <w:rPr>
                <w:rFonts w:ascii="EB Garamond" w:hAnsi="EB Garamond" w:cs="EB Garamond"/>
                <w:b w:val="0"/>
                <w:i w:val="0"/>
                <w:color w:val="201B16"/>
                <w:sz w:val="19"/>
                <w:lang w:val="pt-BR" w:bidi="ar-SA"/>
                <w:kern w:val="16"/>
                <w14:ligatures w14:val="standardContextual"/>
              </w:rPr>
              <w:t xml:space="preserve"> - Pedágio 50% (R$ 6.597) → </w:t>
            </w:r>
            <w:r>
              <w:rPr>
                <w:rFonts w:ascii="EB Garamond" w:hAnsi="EB Garamond" w:cs="EB Garamond"/>
                <w:b/>
                <w:i w:val="0"/>
                <w:color w:val="201B16"/>
                <w:sz w:val="19"/>
                <w:lang w:val="pt-BR" w:bidi="ar-SA"/>
                <w:kern w:val="16"/>
                <w14:ligatures w14:val="standardContextual"/>
              </w:rPr>
              <w:t>MELHOR</w:t>
            </w:r>
            <w:r>
              <w:rPr>
                <w:rFonts w:ascii="EB Garamond" w:hAnsi="EB Garamond" w:cs="EB Garamond"/>
                <w:b w:val="0"/>
                <w:i w:val="0"/>
                <w:color w:val="201B16"/>
                <w:sz w:val="19"/>
                <w:lang w:val="pt-BR" w:bidi="ar-SA"/>
                <w:kern w:val="16"/>
                <w14:ligatures w14:val="standardContextual"/>
              </w:rPr>
              <w:t xml:space="preserve"> (fator &gt; 1 + base 80% maiores) - Art. 15 e Art. 20: R$ 5.400 cada - Art. 16: não elegível em 2026</w:t>
            </w:r>
          </w:p>
          <w:p>
            <w:pPr>
              <w:spacing w:before="0" w:after="60" w:line="247" w:lineRule="auto"/>
              <w:jc w:val="both"/>
            </w:pPr>
            <w:r>
              <w:rPr>
                <w:rFonts w:ascii="EB Garamond" w:hAnsi="EB Garamond" w:cs="EB Garamond"/>
                <w:b/>
                <w:i w:val="0"/>
                <w:color w:val="201B16"/>
                <w:sz w:val="19"/>
                <w:lang w:val="pt-BR" w:bidi="ar-SA"/>
                <w:kern w:val="16"/>
                <w14:ligatures w14:val="standardContextual"/>
              </w:rPr>
              <w:t>Lição:</w:t>
            </w:r>
            <w:r>
              <w:rPr>
                <w:rFonts w:ascii="EB Garamond" w:hAnsi="EB Garamond" w:cs="EB Garamond"/>
                <w:b w:val="0"/>
                <w:i w:val="0"/>
                <w:color w:val="201B16"/>
                <w:sz w:val="19"/>
                <w:lang w:val="pt-BR" w:bidi="ar-SA"/>
                <w:kern w:val="16"/>
                <w14:ligatures w14:val="standardContextual"/>
              </w:rPr>
              <w:t xml:space="preserve"> O pedágio 50%, quando o fator é favorável (&gt; 1,0), pode superar todas as demais regras por combinar a base mais elevada (80% maiores) com um multiplicador que amplifica o benefício. Aqui, o fator de Carlos é apenas levemente superior a 1,0 (≈ 1,064, calculado com Es ≈ 20,4 anos aos 63 anos, conforme a tabela de sobrevida da seção 11.18.5), mas a vantagem decisiva vem da base de cálculo: a média dos 80% maiores SC (R$ 6.200) supera em quase R$ 800 a média de 100% (R$ 5.400) usada pelas demais regras. O resultado (R$ 6.597) supera os R$ 5.400 das regras dos arts. 15 e 20 em R$ 1.197 mensais. Note-se que basta um fator próximo de 1,0 — não é preciso um multiplicador elevado — para que a base mais favorável faça o pedágio 50% prevalecer.</w:t>
            </w: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Não existe regra "universalmente melhor"</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análise dos exemplos demonstra que cada regra pode ser a mais vantajosa dependendo do perfil do segurado: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 </w:t>
            </w:r>
            <w:r>
              <w:rPr>
                <w:rFonts w:ascii="EB Garamond" w:hAnsi="EB Garamond" w:cs="EB Garamond"/>
                <w:b/>
                <w:i w:val="0"/>
                <w:color w:val="201B16"/>
                <w:sz w:val="19"/>
                <w:lang w:val="pt-BR" w:bidi="ar-SA"/>
                <w:kern w:val="16"/>
                <w14:ligatures w14:val="standardContextual"/>
              </w:rPr>
              <w:t>Regra 85/95 (direito adquirido):</w:t>
            </w:r>
            <w:r>
              <w:rPr>
                <w:rFonts w:ascii="EB Garamond" w:hAnsi="EB Garamond" w:cs="EB Garamond"/>
                <w:b w:val="0"/>
                <w:i w:val="0"/>
                <w:color w:val="201B16"/>
                <w:sz w:val="19"/>
                <w:lang w:val="pt-BR" w:bidi="ar-SA"/>
                <w:kern w:val="16"/>
                <w14:ligatures w14:val="standardContextual"/>
              </w:rPr>
              <w:t xml:space="preserve"> Melhor para quem atingiu os pontos antes de 13/11/2019, combina média 80% maiores + 100% do SB + sem fator.</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 </w:t>
            </w:r>
            <w:r>
              <w:rPr>
                <w:rFonts w:ascii="EB Garamond" w:hAnsi="EB Garamond" w:cs="EB Garamond"/>
                <w:b/>
                <w:i w:val="0"/>
                <w:color w:val="201B16"/>
                <w:sz w:val="19"/>
                <w:lang w:val="pt-BR" w:bidi="ar-SA"/>
                <w:kern w:val="16"/>
                <w14:ligatures w14:val="standardContextual"/>
              </w:rPr>
              <w:t>Pedágio 50%:</w:t>
            </w:r>
            <w:r>
              <w:rPr>
                <w:rFonts w:ascii="EB Garamond" w:hAnsi="EB Garamond" w:cs="EB Garamond"/>
                <w:b w:val="0"/>
                <w:i w:val="0"/>
                <w:color w:val="201B16"/>
                <w:sz w:val="19"/>
                <w:lang w:val="pt-BR" w:bidi="ar-SA"/>
                <w:kern w:val="16"/>
                <w14:ligatures w14:val="standardContextual"/>
              </w:rPr>
              <w:t xml:space="preserve"> Melhor para quem tem fator &gt; 1,0 e grande diferença entre média 80% e 100%.</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 </w:t>
            </w:r>
            <w:r>
              <w:rPr>
                <w:rFonts w:ascii="EB Garamond" w:hAnsi="EB Garamond" w:cs="EB Garamond"/>
                <w:b/>
                <w:i w:val="0"/>
                <w:color w:val="201B16"/>
                <w:sz w:val="19"/>
                <w:lang w:val="pt-BR" w:bidi="ar-SA"/>
                <w:kern w:val="16"/>
                <w14:ligatures w14:val="standardContextual"/>
              </w:rPr>
              <w:t>Pedágio 100%:</w:t>
            </w:r>
            <w:r>
              <w:rPr>
                <w:rFonts w:ascii="EB Garamond" w:hAnsi="EB Garamond" w:cs="EB Garamond"/>
                <w:b w:val="0"/>
                <w:i w:val="0"/>
                <w:color w:val="201B16"/>
                <w:sz w:val="19"/>
                <w:lang w:val="pt-BR" w:bidi="ar-SA"/>
                <w:kern w:val="16"/>
                <w14:ligatures w14:val="standardContextual"/>
              </w:rPr>
              <w:t xml:space="preserve"> Melhor para quem não tem direito adquirido e precisa de coeficiente integral (100%).</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 </w:t>
            </w:r>
            <w:r>
              <w:rPr>
                <w:rFonts w:ascii="EB Garamond" w:hAnsi="EB Garamond" w:cs="EB Garamond"/>
                <w:b/>
                <w:i w:val="0"/>
                <w:color w:val="201B16"/>
                <w:sz w:val="19"/>
                <w:lang w:val="pt-BR" w:bidi="ar-SA"/>
                <w:kern w:val="16"/>
                <w14:ligatures w14:val="standardContextual"/>
              </w:rPr>
              <w:t>Art. 15/16:</w:t>
            </w:r>
            <w:r>
              <w:rPr>
                <w:rFonts w:ascii="EB Garamond" w:hAnsi="EB Garamond" w:cs="EB Garamond"/>
                <w:b w:val="0"/>
                <w:i w:val="0"/>
                <w:color w:val="201B16"/>
                <w:sz w:val="19"/>
                <w:lang w:val="pt-BR" w:bidi="ar-SA"/>
                <w:kern w:val="16"/>
                <w14:ligatures w14:val="standardContextual"/>
              </w:rPr>
              <w:t xml:space="preserve"> Melhor quando o coeficiente (60%+2%) atinge 100%+ e não há regra com fator favorável.</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 </w:t>
            </w:r>
            <w:r>
              <w:rPr>
                <w:rFonts w:ascii="EB Garamond" w:hAnsi="EB Garamond" w:cs="EB Garamond"/>
                <w:b/>
                <w:i w:val="0"/>
                <w:color w:val="201B16"/>
                <w:sz w:val="19"/>
                <w:lang w:val="pt-BR" w:bidi="ar-SA"/>
                <w:kern w:val="16"/>
                <w14:ligatures w14:val="standardContextual"/>
              </w:rPr>
              <w:t>Direito adquirido TC + fator:</w:t>
            </w:r>
            <w:r>
              <w:rPr>
                <w:rFonts w:ascii="EB Garamond" w:hAnsi="EB Garamond" w:cs="EB Garamond"/>
                <w:b w:val="0"/>
                <w:i w:val="0"/>
                <w:color w:val="201B16"/>
                <w:sz w:val="19"/>
                <w:lang w:val="pt-BR" w:bidi="ar-SA"/>
                <w:kern w:val="16"/>
                <w14:ligatures w14:val="standardContextual"/>
              </w:rPr>
              <w:t xml:space="preserve"> Melhor quando o fator é &gt; 1,0 (segurado idoso com muito TC).</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advogado deve calcular o benefício por TODAS as regras aplicáveis e apresentar a comparação ao cliente. Essa é a essência da advocacia previdenciária de qualidade.</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11.11 Contagem recíproca e impacto nas regras de transição</w:t>
      </w:r>
    </w:p>
    <w:p>
      <w:pPr>
        <w:spacing w:before="260" w:after="80" w:line="240" w:lineRule="auto"/>
        <w:jc w:val="left"/>
      </w:pPr>
      <w:r>
        <w:rPr>
          <w:rFonts w:ascii="EB Garamond" w:hAnsi="EB Garamond" w:cs="EB Garamond"/>
          <w:b/>
          <w:i w:val="0"/>
          <w:color w:val="3A3128"/>
          <w:sz w:val="25"/>
          <w:lang w:val="pt-BR" w:bidi="ar-SA"/>
          <w:kern w:val="16"/>
          <w14:ligatures w14:val="standardContextual"/>
        </w:rPr>
        <w:t>11.11.1 Fundamento e mecanismo geral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contagem recíproca entre regimes é direito constitucional do segurado (art. 201, § 9º, CF/88). O mecanismo detalhado — expedição de CTC, vedações, procedimento administrativo — foi tratado na seção 5.7 deste livro. Aqui interessa o impacto específico da contagem recíproca nas regras de transição por TC, tema que, a nosso ver, é subestimado na prática: muitos segurados que migraram do serviço público para a iniciativa privada desconhecem que podem averbar o tempo de RPPS e, com isso, habilitar-se a regras de transição que de outro modo lhes seriam inacessíveis.</w:t>
      </w:r>
    </w:p>
    <w:p>
      <w:pPr>
        <w:spacing w:before="260" w:after="80" w:line="240" w:lineRule="auto"/>
        <w:jc w:val="left"/>
      </w:pPr>
      <w:r>
        <w:rPr>
          <w:rFonts w:ascii="EB Garamond" w:hAnsi="EB Garamond" w:cs="EB Garamond"/>
          <w:b/>
          <w:i w:val="0"/>
          <w:color w:val="3A3128"/>
          <w:sz w:val="25"/>
          <w:lang w:val="pt-BR" w:bidi="ar-SA"/>
          <w:kern w:val="16"/>
          <w14:ligatures w14:val="standardContextual"/>
        </w:rPr>
        <w:t>11.11.2 O impacto nas regras de transição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P</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ara o segurado que migrou do serviço público para a iniciativa privada (ou vice-versa), a contagem recíproca pode ser decisiva para o atingimento dos requisitos das regras de transição. Considere os seguintes cenários práticos: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Cenário 1 — Ex-servidor que precisa do tempo de RPPS para atingir 35 anos de TC no RGPS: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segurado trabalhou 12 anos no serviço público federal (RPPS da União) e depois se transferiu para a iniciativa privada, onde acumula 23 anos de contribuição ao RGPS. Sem a contagem recíproca, possui apenas 23 anos de TC no RGPS, insuficiente para qualquer regra de transição. Com a averbação do tempo de RPPS mediante CTC, atinge 35 anos de TC, habilitando-se ao art. 15 (pontos), art. 16 (idade progressiva) ou art. 20 (pedágio 100%), conforme sua idade e demais requisitos.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Cenário 2 — Ex-segurado do RGPS que precisa completar TC no RPPS: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servidor público que ingressou no serviço após 10 anos de contribuição ao RGPS pode averbar esse tempo para fins de aposentadoria no RPPS, observadas as regras específicas do respectivo regime próprio (não objeto deste capítulo, que trata do RGPS).</w:t>
      </w:r>
    </w:p>
    <w:p>
      <w:pPr>
        <w:spacing w:before="260" w:after="80" w:line="240" w:lineRule="auto"/>
        <w:jc w:val="left"/>
      </w:pPr>
      <w:r>
        <w:rPr>
          <w:rFonts w:ascii="EB Garamond" w:hAnsi="EB Garamond" w:cs="EB Garamond"/>
          <w:b/>
          <w:i w:val="0"/>
          <w:color w:val="3A3128"/>
          <w:sz w:val="25"/>
          <w:lang w:val="pt-BR" w:bidi="ar-SA"/>
          <w:kern w:val="16"/>
          <w14:ligatures w14:val="standardContextual"/>
        </w:rPr>
        <w:t>11.11.3 Compensação financeira entre regimes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201, § 9º-A, da CF (incluído pela EC 103/2019), determina que os regimes de previdência social se compensarão financeiramente quando o segurado utilizar tempo de contribuição de um regime para aposentadoria em outro. A Lei 9.796/1999 disciplina o procedimento de compensação financeira, que ocorre entre os entes federativos (União, estados, municípios e o INSS) sem participação direta do segurado.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a compensação financeira é um mecanismo interno entre os regimes. O segurado não paga nem recebe nada: basta apresentar a CTC válida e requerer a averbação no regime em que pretende se aposentar. O regime concedente do benefício arca com a totalidade do pagamento e depois busca a compensação junto ao regime que detém o tempo averbado.</w:t>
      </w:r>
    </w:p>
    <w:p>
      <w:pPr>
        <w:spacing w:before="260" w:after="80" w:line="240" w:lineRule="auto"/>
        <w:jc w:val="left"/>
      </w:pPr>
      <w:r>
        <w:rPr>
          <w:rFonts w:ascii="EB Garamond" w:hAnsi="EB Garamond" w:cs="EB Garamond"/>
          <w:b/>
          <w:i w:val="0"/>
          <w:color w:val="3A3128"/>
          <w:sz w:val="25"/>
          <w:lang w:val="pt-BR" w:bidi="ar-SA"/>
          <w:kern w:val="16"/>
          <w14:ligatures w14:val="standardContextual"/>
        </w:rPr>
        <w:t>11.11.4 Vedação de dupla contagem</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Constituição veda expressamente a contagem do mesmo tempo de contribuição em mais de um regime (art. 201, § 9º, parte final). Assim, o segurado que averba o tempo de RPPS no RGPS para fins de aposentadoria não pode utilizar esse mesmo tempo para aposentadoria no RPPS. A opção por um regime implica renúncia ao outro quanto ao tempo averbado.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Essa vedação tem consequências importantes nas regras de transição: o segurado que exerceu atividades concomitantes no RGPS e no RPPS, situação rara, mas possível em acumulação lícita de cargos, não pode contar o tempo de ambos simultaneamente para uma mesma aposentadoria. Cada período de contribuição só pode ser utilizado uma vez.</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Roteiro prático — Contagem recíproca para aposentadoria por TC no RGPS</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 xml:space="preserve">1. </w:t>
            </w:r>
            <w:r>
              <w:rPr>
                <w:rFonts w:ascii="EB Garamond" w:hAnsi="EB Garamond" w:cs="EB Garamond"/>
                <w:b/>
                <w:i w:val="0"/>
                <w:color w:val="201B16"/>
                <w:sz w:val="19"/>
                <w:lang w:val="pt-BR" w:bidi="ar-SA"/>
                <w:kern w:val="16"/>
                <w14:ligatures w14:val="standardContextual"/>
              </w:rPr>
              <w:t>Verificar o tempo total de TC no RGPS (CNIS)</w:t>
            </w:r>
            <w:r>
              <w:rPr>
                <w:rFonts w:ascii="EB Garamond" w:hAnsi="EB Garamond" w:cs="EB Garamond"/>
                <w:b w:val="0"/>
                <w:i w:val="0"/>
                <w:color w:val="201B16"/>
                <w:sz w:val="19"/>
                <w:lang w:val="pt-BR" w:bidi="ar-SA"/>
                <w:kern w:val="16"/>
                <w14:ligatures w14:val="standardContextual"/>
              </w:rPr>
              <w:t xml:space="preserve"> — identificar lacunas e períodos sem contribuição 2. </w:t>
            </w:r>
            <w:r>
              <w:rPr>
                <w:rFonts w:ascii="EB Garamond" w:hAnsi="EB Garamond" w:cs="EB Garamond"/>
                <w:b/>
                <w:i w:val="0"/>
                <w:color w:val="201B16"/>
                <w:sz w:val="19"/>
                <w:lang w:val="pt-BR" w:bidi="ar-SA"/>
                <w:kern w:val="16"/>
                <w14:ligatures w14:val="standardContextual"/>
              </w:rPr>
              <w:t>Identificar tempo de serviço público (RPPS)</w:t>
            </w:r>
            <w:r>
              <w:rPr>
                <w:rFonts w:ascii="EB Garamond" w:hAnsi="EB Garamond" w:cs="EB Garamond"/>
                <w:b w:val="0"/>
                <w:i w:val="0"/>
                <w:color w:val="201B16"/>
                <w:sz w:val="19"/>
                <w:lang w:val="pt-BR" w:bidi="ar-SA"/>
                <w:kern w:val="16"/>
                <w14:ligatures w14:val="standardContextual"/>
              </w:rPr>
              <w:t xml:space="preserve">, verificar se o segurado teve vínculo com ente federativo em regime próprio 3. </w:t>
            </w:r>
            <w:r>
              <w:rPr>
                <w:rFonts w:ascii="EB Garamond" w:hAnsi="EB Garamond" w:cs="EB Garamond"/>
                <w:b/>
                <w:i w:val="0"/>
                <w:color w:val="201B16"/>
                <w:sz w:val="19"/>
                <w:lang w:val="pt-BR" w:bidi="ar-SA"/>
                <w:kern w:val="16"/>
                <w14:ligatures w14:val="standardContextual"/>
              </w:rPr>
              <w:t>Solicitar CTC ao órgão de origem</w:t>
            </w:r>
            <w:r>
              <w:rPr>
                <w:rFonts w:ascii="EB Garamond" w:hAnsi="EB Garamond" w:cs="EB Garamond"/>
                <w:b w:val="0"/>
                <w:i w:val="0"/>
                <w:color w:val="201B16"/>
                <w:sz w:val="19"/>
                <w:lang w:val="pt-BR" w:bidi="ar-SA"/>
                <w:kern w:val="16"/>
                <w14:ligatures w14:val="standardContextual"/>
              </w:rPr>
              <w:t xml:space="preserve">, a CTC deve ser expedida pelo regime de origem, com discriminação dos períodos, remunerações e contribuições 4. </w:t>
            </w:r>
            <w:r>
              <w:rPr>
                <w:rFonts w:ascii="EB Garamond" w:hAnsi="EB Garamond" w:cs="EB Garamond"/>
                <w:b/>
                <w:i w:val="0"/>
                <w:color w:val="201B16"/>
                <w:sz w:val="19"/>
                <w:lang w:val="pt-BR" w:bidi="ar-SA"/>
                <w:kern w:val="16"/>
                <w14:ligatures w14:val="standardContextual"/>
              </w:rPr>
              <w:t>Averbar a CTC junto ao INSS</w:t>
            </w:r>
            <w:r>
              <w:rPr>
                <w:rFonts w:ascii="EB Garamond" w:hAnsi="EB Garamond" w:cs="EB Garamond"/>
                <w:b w:val="0"/>
                <w:i w:val="0"/>
                <w:color w:val="201B16"/>
                <w:sz w:val="19"/>
                <w:lang w:val="pt-BR" w:bidi="ar-SA"/>
                <w:kern w:val="16"/>
                <w14:ligatures w14:val="standardContextual"/>
              </w:rPr>
              <w:t xml:space="preserve">, protocolar requerimento administrativo com a CTC original 5. </w:t>
            </w:r>
            <w:r>
              <w:rPr>
                <w:rFonts w:ascii="EB Garamond" w:hAnsi="EB Garamond" w:cs="EB Garamond"/>
                <w:b/>
                <w:i w:val="0"/>
                <w:color w:val="201B16"/>
                <w:sz w:val="19"/>
                <w:lang w:val="pt-BR" w:bidi="ar-SA"/>
                <w:kern w:val="16"/>
                <w14:ligatures w14:val="standardContextual"/>
              </w:rPr>
              <w:t>Verificar impacto nos requisitos de transição:</w:t>
            </w:r>
            <w:r>
              <w:rPr>
                <w:rFonts w:ascii="EB Garamond" w:hAnsi="EB Garamond" w:cs="EB Garamond"/>
                <w:b w:val="0"/>
                <w:i w:val="0"/>
                <w:color w:val="201B16"/>
                <w:sz w:val="19"/>
                <w:lang w:val="pt-BR" w:bidi="ar-SA"/>
                <w:kern w:val="16"/>
                <w14:ligatures w14:val="standardContextual"/>
              </w:rPr>
              <w:t xml:space="preserve">  - Somar o tempo averbado ao TC total  - Verificar se o novo TC total atende ao mínimo exigido (30M/35H anos)  - Calcular a pontuação (art. 15), verificar a idade (art. 16/20) e o pedágio (arts. 17/20) 6. </w:t>
            </w:r>
            <w:r>
              <w:rPr>
                <w:rFonts w:ascii="EB Garamond" w:hAnsi="EB Garamond" w:cs="EB Garamond"/>
                <w:b/>
                <w:i w:val="0"/>
                <w:color w:val="201B16"/>
                <w:sz w:val="19"/>
                <w:lang w:val="pt-BR" w:bidi="ar-SA"/>
                <w:kern w:val="16"/>
                <w14:ligatures w14:val="standardContextual"/>
              </w:rPr>
              <w:t>Calcular o benefício</w:t>
            </w:r>
            <w:r>
              <w:rPr>
                <w:rFonts w:ascii="EB Garamond" w:hAnsi="EB Garamond" w:cs="EB Garamond"/>
                <w:b w:val="0"/>
                <w:i w:val="0"/>
                <w:color w:val="201B16"/>
                <w:sz w:val="19"/>
                <w:lang w:val="pt-BR" w:bidi="ar-SA"/>
                <w:kern w:val="16"/>
                <w14:ligatures w14:val="standardContextual"/>
              </w:rPr>
              <w:t xml:space="preserve">, o tempo averbado integra o TC para todos os fins (coeficiente 60%+2%, cálculo do fator, pontuação) 7. </w:t>
            </w:r>
            <w:r>
              <w:rPr>
                <w:rFonts w:ascii="EB Garamond" w:hAnsi="EB Garamond" w:cs="EB Garamond"/>
                <w:b/>
                <w:i w:val="0"/>
                <w:color w:val="201B16"/>
                <w:sz w:val="19"/>
                <w:lang w:val="pt-BR" w:bidi="ar-SA"/>
                <w:kern w:val="16"/>
                <w14:ligatures w14:val="standardContextual"/>
              </w:rPr>
              <w:t>Atenção ao prazo:</w:t>
            </w:r>
            <w:r>
              <w:rPr>
                <w:rFonts w:ascii="EB Garamond" w:hAnsi="EB Garamond" w:cs="EB Garamond"/>
                <w:b w:val="0"/>
                <w:i w:val="0"/>
                <w:color w:val="201B16"/>
                <w:sz w:val="19"/>
                <w:lang w:val="pt-BR" w:bidi="ar-SA"/>
                <w:kern w:val="16"/>
                <w14:ligatures w14:val="standardContextual"/>
              </w:rPr>
              <w:t xml:space="preserve"> a expedição da CTC pode levar meses; iniciar o procedimento com antecedência</w:t>
            </w:r>
          </w:p>
          <w:p>
            <w:pPr>
              <w:spacing w:before="0" w:after="60" w:line="247" w:lineRule="auto"/>
              <w:jc w:val="both"/>
            </w:pPr>
            <w:r>
              <w:rPr>
                <w:rFonts w:ascii="EB Garamond" w:hAnsi="EB Garamond" w:cs="EB Garamond"/>
                <w:b/>
                <w:i w:val="0"/>
                <w:color w:val="201B16"/>
                <w:sz w:val="19"/>
                <w:lang w:val="pt-BR" w:bidi="ar-SA"/>
                <w:kern w:val="16"/>
                <w14:ligatures w14:val="standardContextual"/>
              </w:rPr>
              <w:t>Importante:</w:t>
            </w:r>
            <w:r>
              <w:rPr>
                <w:rFonts w:ascii="EB Garamond" w:hAnsi="EB Garamond" w:cs="EB Garamond"/>
                <w:b w:val="0"/>
                <w:i w:val="0"/>
                <w:color w:val="201B16"/>
                <w:sz w:val="19"/>
                <w:lang w:val="pt-BR" w:bidi="ar-SA"/>
                <w:kern w:val="16"/>
                <w14:ligatures w14:val="standardContextual"/>
              </w:rPr>
              <w:t xml:space="preserve"> O tempo averbado computa para TC e para carência (cada mês averbado = um mês de carência), desde que efetivamente comprovada a contribuição no regime de origem. </w:t>
            </w:r>
            <w:r>
              <w:rPr>
                <w:rFonts w:ascii="EB Garamond" w:hAnsi="EB Garamond" w:cs="EB Garamond"/>
                <w:b/>
                <w:i w:val="0"/>
                <w:color w:val="201B16"/>
                <w:sz w:val="19"/>
                <w:lang w:val="pt-BR" w:bidi="ar-SA"/>
                <w:kern w:val="16"/>
                <w14:ligatures w14:val="standardContextual"/>
              </w:rPr>
              <w:t>Cautela:</w:t>
            </w:r>
            <w:r>
              <w:rPr>
                <w:rFonts w:ascii="EB Garamond" w:hAnsi="EB Garamond" w:cs="EB Garamond"/>
                <w:b w:val="0"/>
                <w:i w:val="0"/>
                <w:color w:val="201B16"/>
                <w:sz w:val="19"/>
                <w:lang w:val="pt-BR" w:bidi="ar-SA"/>
                <w:kern w:val="16"/>
                <w14:ligatures w14:val="standardContextual"/>
              </w:rPr>
              <w:t xml:space="preserve"> o cômputo do tempo de RPPS averbado por CTC como carência para o RGPS não é automático em todos os cenários — há controvérsia administrativa, sobretudo quanto a períodos sem recolhimento individualizado ou a vínculos estatutários antigos. Convém confirmar, na CTC e no processo administrativo, o reconhecimento expresso desse tempo também para fins de carência, evitando expectativa excessiva.</w:t>
            </w:r>
          </w:p>
          <w:p>
            <w:pPr>
              <w:spacing w:before="0" w:after="60" w:line="247" w:lineRule="auto"/>
              <w:jc w:val="both"/>
            </w:pPr>
            <w:r>
              <w:rPr>
                <w:rFonts w:ascii="EB Garamond" w:hAnsi="EB Garamond" w:cs="EB Garamond"/>
                <w:b/>
                <w:i w:val="0"/>
                <w:color w:val="201B16"/>
                <w:sz w:val="19"/>
                <w:lang w:val="pt-BR" w:bidi="ar-SA"/>
                <w:kern w:val="16"/>
                <w14:ligatures w14:val="standardContextual"/>
              </w:rPr>
              <w:t>Exemplo numérico:</w:t>
            </w:r>
            <w:r>
              <w:rPr>
                <w:rFonts w:ascii="EB Garamond" w:hAnsi="EB Garamond" w:cs="EB Garamond"/>
                <w:b w:val="0"/>
                <w:i w:val="0"/>
                <w:color w:val="201B16"/>
                <w:sz w:val="19"/>
                <w:lang w:val="pt-BR" w:bidi="ar-SA"/>
                <w:kern w:val="16"/>
                <w14:ligatures w14:val="standardContextual"/>
              </w:rPr>
              <w:t xml:space="preserve"> </w:t>
            </w:r>
            <w:r>
              <w:rPr>
                <w:rFonts w:ascii="EB Garamond" w:hAnsi="EB Garamond" w:cs="EB Garamond"/>
                <w:b/>
                <w:i w:val="0"/>
                <w:color w:val="201B16"/>
                <w:sz w:val="19"/>
                <w:lang w:val="pt-BR" w:bidi="ar-SA"/>
                <w:kern w:val="16"/>
                <w14:ligatures w14:val="standardContextual"/>
              </w:rPr>
              <w:t>Helena</w:t>
            </w:r>
            <w:r>
              <w:rPr>
                <w:rFonts w:ascii="EB Garamond" w:hAnsi="EB Garamond" w:cs="EB Garamond"/>
                <w:b w:val="0"/>
                <w:i w:val="0"/>
                <w:color w:val="201B16"/>
                <w:sz w:val="19"/>
                <w:lang w:val="pt-BR" w:bidi="ar-SA"/>
                <w:kern w:val="16"/>
                <w14:ligatures w14:val="standardContextual"/>
              </w:rPr>
              <w:t xml:space="preserve">, mulher, 58 anos em 2026. RGPS: 22 anos de TC. RPPS (ex-servidora estadual): 10 anos. - Sem contagem recíproca: 22 anos TC → insuficiente - Com CTC: 22 + 10 = </w:t>
            </w:r>
            <w:r>
              <w:rPr>
                <w:rFonts w:ascii="EB Garamond" w:hAnsi="EB Garamond" w:cs="EB Garamond"/>
                <w:b/>
                <w:i w:val="0"/>
                <w:color w:val="201B16"/>
                <w:sz w:val="19"/>
                <w:lang w:val="pt-BR" w:bidi="ar-SA"/>
                <w:kern w:val="16"/>
                <w14:ligatures w14:val="standardContextual"/>
              </w:rPr>
              <w:t>32 anos TC</w:t>
            </w:r>
            <w:r>
              <w:rPr>
                <w:rFonts w:ascii="EB Garamond" w:hAnsi="EB Garamond" w:cs="EB Garamond"/>
                <w:b w:val="0"/>
                <w:i w:val="0"/>
                <w:color w:val="201B16"/>
                <w:sz w:val="19"/>
                <w:lang w:val="pt-BR" w:bidi="ar-SA"/>
                <w:kern w:val="16"/>
                <w14:ligatures w14:val="standardContextual"/>
              </w:rPr>
              <w:t xml:space="preserve"> → ≥ 30 ✅ - Art. 15 (pontos): 58 + 32 = 90 &lt; 93 → NÃO em 2026 - Art. 20 (pedágio 100%): 58 ≥ 57 ✅, 32 ≥ 30 ✅, faltavam 8 anos em 2019 (22 TC) → pedágio 8 anos → precisa 38 TC → NÃO - Art. 15 em 2029: 61 + 35 = 96 ≥ 96 → SIM (pontuação mulher 2029 = 96) - A contagem recíproca viabilizou aposentadoria que, sem ela, seria impossível por qualquer regra.</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11.11.5 Situações especiais na contagem recíproca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lgumas situações merecem atenção especial quando se combina contagem recíproca com regras de transição: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 Ex-servidor com regime complementar:</w:t>
      </w:r>
      <w:r>
        <w:rPr>
          <w:rFonts w:ascii="EB Garamond" w:hAnsi="EB Garamond" w:cs="EB Garamond"/>
          <w:b w:val="0"/>
          <w:i w:val="0"/>
          <w:color w:val="201B16"/>
          <w:sz w:val="21"/>
          <w:lang w:val="pt-BR" w:bidi="ar-SA"/>
          <w:kern w:val="16"/>
          <w14:ligatures w14:val="standardContextual"/>
        </w:rPr>
        <w:t xml:space="preserve"> O servidor que aderiu ao regime de previdência complementar (Funpresp, para servidores federais ingressos após 2013) e depois migrou para o RGPS pode averbar o tempo de RPPS. Contudo, o tempo no RPPS com previdência complementar pode ter remunerações limitadas ao teto do RGPS, impactando a média de salários de contribuição.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b) Servidor com tempo concomitante RGPS/RPPS:</w:t>
      </w:r>
      <w:r>
        <w:rPr>
          <w:rFonts w:ascii="EB Garamond" w:hAnsi="EB Garamond" w:cs="EB Garamond"/>
          <w:b w:val="0"/>
          <w:i w:val="0"/>
          <w:color w:val="201B16"/>
          <w:sz w:val="21"/>
          <w:lang w:val="pt-BR" w:bidi="ar-SA"/>
          <w:kern w:val="16"/>
          <w14:ligatures w14:val="standardContextual"/>
        </w:rPr>
        <w:t xml:space="preserve"> O servidor que acumulava licitamente dois cargos (ex.: professor em universidade federal + cargo técnico em autarquia estadual) ou que exercia atividade privada concomitante ao cargo público não pode averbar o tempo de ambos os vínculos simultaneamente para uma mesma aposentadoria. Deve escolher qual período averbar, considerando o impacto no TC total e nos salários de contribuição.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 CTC expedida com erro:</w:t>
      </w:r>
      <w:r>
        <w:rPr>
          <w:rFonts w:ascii="EB Garamond" w:hAnsi="EB Garamond" w:cs="EB Garamond"/>
          <w:b w:val="0"/>
          <w:i w:val="0"/>
          <w:color w:val="201B16"/>
          <w:sz w:val="21"/>
          <w:lang w:val="pt-BR" w:bidi="ar-SA"/>
          <w:kern w:val="16"/>
          <w14:ligatures w14:val="standardContextual"/>
        </w:rPr>
        <w:t xml:space="preserve"> A CTC que contém erros (períodos incorretos, omissão de contribuições) deve ser retificada pelo órgão emissor. O INSS não tem competência para corrigir CTC emitida por outro regime. Se o órgão de origem se recusar a retificar, cabe ação judicial contra o ente federativo emissor.</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11.12 Tempo fictício: vedação e exceções remanescentes</w:t>
      </w:r>
    </w:p>
    <w:p>
      <w:pPr>
        <w:spacing w:before="260" w:after="80" w:line="240" w:lineRule="auto"/>
        <w:jc w:val="left"/>
      </w:pPr>
      <w:r>
        <w:rPr>
          <w:rFonts w:ascii="EB Garamond" w:hAnsi="EB Garamond" w:cs="EB Garamond"/>
          <w:b/>
          <w:i w:val="0"/>
          <w:color w:val="3A3128"/>
          <w:sz w:val="25"/>
          <w:lang w:val="pt-BR" w:bidi="ar-SA"/>
          <w:kern w:val="16"/>
          <w14:ligatures w14:val="standardContextual"/>
        </w:rPr>
        <w:t>11.12.1 Conceito e vedação constitucional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EC 20/1998 vedou a contagem de tempo fictício de contribuição (art. 40, § 10, CF/88). Tempo fictício é aquele computado sem exercício efetivo de atividade laboral nem contribuição: ficção jurídica que atribuía efeitos previdenciários a períodos em que o segurado não trabalhou nem contribuiu. A vedação, embora inserida no art. 40 (servidores públicos), aplica-se também ao RGPS como princípio geral do sistema. O dispositivo determina:</w:t>
      </w:r>
    </w:p>
    <w:tbl>
      <w:tblPr>
        <w:tblW w:type="auto" w:w="0"/>
        <w:jc w:val="center"/>
        <w:tblLook w:firstColumn="1" w:firstRow="1" w:lastColumn="0" w:lastRow="0" w:noHBand="0" w:noVBand="1" w:val="04A0"/>
        <w:tblW w:w="4600" w:type="pct"/>
      </w:tblPr>
      <w:tblGrid>
        <w:gridCol w:w="6350"/>
      </w:tblGrid>
      <w:tr>
        <w:tc>
          <w:tcPr>
            <w:tcW w:type="dxa" w:w="6350"/>
            <w:vAlign w:val="top"/>
            <w:tcMar>
              <w:top w:w="100" w:type="dxa"/>
              <w:bottom w:w="100" w:type="dxa"/>
              <w:left w:w="240" w:type="dxa"/>
              <w:right w:w="180" w:type="dxa"/>
            </w:tcMar>
            <w:tcBorders>
              <w:top w:val="none" w:sz="0" w:space="0" w:color="auto"/>
              <w:bottom w:val="none" w:sz="0" w:space="0" w:color="auto"/>
              <w:right w:val="none" w:sz="0" w:space="0" w:color="auto"/>
              <w:left w:val="single" w:sz="16" w:space="0" w:color="B78B37"/>
            </w:tcBorders>
          </w:tcPr>
          <w:p>
            <w:pPr>
              <w:spacing w:before="0" w:after="60" w:line="252" w:lineRule="auto"/>
              <w:jc w:val="both"/>
            </w:pPr>
            <w:r>
              <w:rPr>
                <w:rFonts w:ascii="EB Garamond" w:hAnsi="EB Garamond" w:cs="EB Garamond"/>
                <w:b w:val="0"/>
                <w:i/>
                <w:color w:val="3A3128"/>
                <w:sz w:val="20"/>
                <w:lang w:val="pt-BR" w:bidi="ar-SA"/>
                <w:kern w:val="16"/>
                <w14:ligatures w14:val="standardContextual"/>
              </w:rPr>
              <w:t>É vedada a contagem de tempo de contribuição fictício para efeito de concessão dos benefícios previdenciários e de contagem recíproca.</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11.12.2 Exemplos de tempo fictício vedado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S</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ão vedados após a EC 20/1998:</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Licença-prêmio não gozada em dobro:</w:t>
      </w:r>
      <w:r>
        <w:rPr>
          <w:rFonts w:ascii="EB Garamond" w:hAnsi="EB Garamond" w:cs="EB Garamond"/>
          <w:b w:val="0"/>
          <w:i w:val="0"/>
          <w:color w:val="201B16"/>
          <w:sz w:val="20"/>
          <w:lang w:val="pt-BR" w:bidi="ar-SA"/>
          <w:kern w:val="16"/>
          <w14:ligatures w14:val="standardContextual"/>
        </w:rPr>
        <w:t xml:space="preserve"> O servidor que não usufruiu de licença-prêmio não pode computar o período em dobro para aposentadoria. Antes da EC 20/98, era prática comum no serviço público computar três meses de licença-prêmio como seis meses de TC.</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Férias em dobro:</w:t>
      </w:r>
      <w:r>
        <w:rPr>
          <w:rFonts w:ascii="EB Garamond" w:hAnsi="EB Garamond" w:cs="EB Garamond"/>
          <w:b w:val="0"/>
          <w:i w:val="0"/>
          <w:color w:val="201B16"/>
          <w:sz w:val="20"/>
          <w:lang w:val="pt-BR" w:bidi="ar-SA"/>
          <w:kern w:val="16"/>
          <w14:ligatures w14:val="standardContextual"/>
        </w:rPr>
        <w:t xml:space="preserve"> O cômputo de férias não gozadas em dobro para fins de TC foi expressamente vedado.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Arredondamento de tempo de serviço:</w:t>
      </w:r>
      <w:r>
        <w:rPr>
          <w:rFonts w:ascii="EB Garamond" w:hAnsi="EB Garamond" w:cs="EB Garamond"/>
          <w:b w:val="0"/>
          <w:i w:val="0"/>
          <w:color w:val="201B16"/>
          <w:sz w:val="20"/>
          <w:lang w:val="pt-BR" w:bidi="ar-SA"/>
          <w:kern w:val="16"/>
          <w14:ligatures w14:val="standardContextual"/>
        </w:rPr>
        <w:t xml:space="preserve"> A prática de "arredondar" o tempo de serviço (por exemplo, considerar 29 anos e 11 meses como 30 anos) não é admitida.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Tempo de estudo ou formação acadêmica:</w:t>
      </w:r>
      <w:r>
        <w:rPr>
          <w:rFonts w:ascii="EB Garamond" w:hAnsi="EB Garamond" w:cs="EB Garamond"/>
          <w:b w:val="0"/>
          <w:i w:val="0"/>
          <w:color w:val="201B16"/>
          <w:sz w:val="20"/>
          <w:lang w:val="pt-BR" w:bidi="ar-SA"/>
          <w:kern w:val="16"/>
          <w14:ligatures w14:val="standardContextual"/>
        </w:rPr>
        <w:t xml:space="preserve"> Períodos de frequência a cursos universitários, pós-graduação ou formação profissional não são computados como TC, salvo quando há contribuição efetiva (como no caso de bolsistas que contribuem como segurados facultativos).</w:t>
      </w:r>
    </w:p>
    <w:p>
      <w:pPr>
        <w:spacing w:before="0" w:after="6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11.12.3 Exceções remanescentes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pesar da vedação geral, o ordenamento preserva hipóteses em que o tempo de contribuição é reconhecido sem recolhimento efetivo. A rigor, a doutrina moderna distingue essas hipóteses do tempo fictício propriamente dito: não se trata de ficção, mas de reconhecimento legal de períodos protegidos.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As principais exceções são: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 Tempo de serviço militar obrigatório (art. 55, I, Lei 8.213/91)</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serviço militar obrigatório é computado como tempo de contribuição para fins de aposentadoria no RGPS, independentemente de contribuição previdenciária durante o período. O fundamento é o dever constitucional de defesa da pátria (art. 143, CF), que não pode prejudicar o segurado em sua trajetória previdenciária. O Certificado de Reservista ou documento equivalente comprova o período de serviço militar.</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b) Período de benefício por incapacidade intercalado com atividade (art. 55, II, Lei 8.213/91)</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período em que o segurado recebeu auxílio por incapacidade temporária (antigo auxílio-doença) ou aposentadoria por incapacidade permanente (antiga aposentadoria por invalidez) é computado como TC quando intercalado com períodos de atividade laboral. A intercalação pode ser com atividades anteriores e posteriores ao benefício, conforme pacificou o STJ. O fundamento é que o afastamento por incapacidade não é voluntário — o segurado não trabalhou porque estava doente, e não por opção.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 Tempo rural anterior a novembro de 1991 (art. 55, § 2º, Lei 8.213/91)</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tempo de atividade rural exercido antes da vigência da Lei 8.213/91 (novembro de 1991) é computado como TC para aposentadoria por tempo de contribuição, sem exigência de contribuição previdenciária no período. A comprovação se faz por início de prova material contemporâneo ao fato, corroborado por prova testemunhal.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Esta exceção é de enorme importância prática: milhões de brasileiros que trabalharam na agricultura familiar nas décadas de 1970 e 1980 podem utilizar esse tempo para completar os requisitos das regras de transição.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Tempo fictício vedado × tempo de contribuição sem recolhimento — distinção fundamental</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Situação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Natureza</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Admitido?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Licença-prêmio não gozada em dobro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Tempo fictício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Não</w:t>
                  </w:r>
                  <w:r>
                    <w:rPr>
                      <w:rFonts w:ascii="EB Garamond" w:hAnsi="EB Garamond" w:cs="EB Garamond"/>
                      <w:b w:val="0"/>
                      <w:i w:val="0"/>
                      <w:color w:val="201B16"/>
                      <w:sz w:val="16"/>
                      <w:lang w:val="pt-BR" w:bidi="ar-SA"/>
                      <w:kern w:val="16"/>
                      <w14:ligatures w14:val="standardContextual"/>
                    </w:rPr>
                    <w:t xml:space="preserve"> (vedado pela EC 20/98)</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Férias em dobro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Tempo fictício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Não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Arredondamento de TC</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Tempo fictício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Não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Serviço militar obrigatório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Tempo de contribuição sem recolhimento (previsão legal expressa)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Sim</w:t>
                  </w:r>
                  <w:r>
                    <w:rPr>
                      <w:rFonts w:ascii="EB Garamond" w:hAnsi="EB Garamond" w:cs="EB Garamond"/>
                      <w:b w:val="0"/>
                      <w:i w:val="0"/>
                      <w:color w:val="201B16"/>
                      <w:sz w:val="16"/>
                      <w:lang w:val="pt-BR" w:bidi="ar-SA"/>
                      <w:kern w:val="16"/>
                      <w14:ligatures w14:val="standardContextual"/>
                    </w:rPr>
                    <w:t xml:space="preserve"> (art. 55, I)</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Benefício por incapacidade intercalado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Tempo de contribuição sem recolhimento (previsão legal expressa)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Sim</w:t>
                  </w:r>
                  <w:r>
                    <w:rPr>
                      <w:rFonts w:ascii="EB Garamond" w:hAnsi="EB Garamond" w:cs="EB Garamond"/>
                      <w:b w:val="0"/>
                      <w:i w:val="0"/>
                      <w:color w:val="201B16"/>
                      <w:sz w:val="16"/>
                      <w:lang w:val="pt-BR" w:bidi="ar-SA"/>
                      <w:kern w:val="16"/>
                      <w14:ligatures w14:val="standardContextual"/>
                    </w:rPr>
                    <w:t xml:space="preserve"> (art. 55, II)</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Trabalho rural pré-11/1991</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Tempo de contribuição sem recolhimento (previsão legal expressa)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Sim</w:t>
                  </w:r>
                  <w:r>
                    <w:rPr>
                      <w:rFonts w:ascii="EB Garamond" w:hAnsi="EB Garamond" w:cs="EB Garamond"/>
                      <w:b w:val="0"/>
                      <w:i w:val="0"/>
                      <w:color w:val="201B16"/>
                      <w:sz w:val="16"/>
                      <w:lang w:val="pt-BR" w:bidi="ar-SA"/>
                      <w:kern w:val="16"/>
                      <w14:ligatures w14:val="standardContextual"/>
                    </w:rPr>
                    <w:t xml:space="preserve"> (art. 55, § 2º)</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Tempo de aluno-aprendiz (Tema 216/TNU)</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Tempo de contribuição (trabalho efetivo em escola técnica com remuneração)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Sim</w:t>
                  </w:r>
                  <w:r>
                    <w:rPr>
                      <w:rFonts w:ascii="EB Garamond" w:hAnsi="EB Garamond" w:cs="EB Garamond"/>
                      <w:b w:val="0"/>
                      <w:i w:val="0"/>
                      <w:color w:val="201B16"/>
                      <w:sz w:val="16"/>
                      <w:lang w:val="pt-BR" w:bidi="ar-SA"/>
                      <w:kern w:val="16"/>
                      <w14:ligatures w14:val="standardContextual"/>
                    </w:rPr>
                    <w:t xml:space="preserve"> (se comprovado)</w:t>
                  </w:r>
                </w:p>
              </w:tc>
            </w:tr>
          </w:tbl>
          <w:p/>
          <w:p>
            <w:pPr>
              <w:spacing w:before="0" w:after="0" w:line="240" w:lineRule="auto"/>
            </w:pP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diferença conceitual é crucial: o tempo fictício é uma ficção jurídica que atribui efeitos a um período inexistente ou superior ao efetivamente exercido. O tempo de contribuição sem recolhimento é o reconhecimento legal de atividade efetivamente exercida em período anterior à obrigatoriedade contributiva ou em situação especial protegida pela lei.</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11.12.4 Impacto nas regras de transição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tempo de contribuição sem recolhimento, quando admitido, integra o TC total do segurado para todos os efeitos nas regras de transição: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Art. 15 (pontos):</w:t>
      </w:r>
      <w:r>
        <w:rPr>
          <w:rFonts w:ascii="EB Garamond" w:hAnsi="EB Garamond" w:cs="EB Garamond"/>
          <w:b w:val="0"/>
          <w:i w:val="0"/>
          <w:color w:val="201B16"/>
          <w:sz w:val="20"/>
          <w:lang w:val="pt-BR" w:bidi="ar-SA"/>
          <w:kern w:val="16"/>
          <w14:ligatures w14:val="standardContextual"/>
        </w:rPr>
        <w:t xml:space="preserve"> O tempo rural pré-1991, por exemplo, soma-se ao TC para atingir os 30/35 anos mínimos e para a pontuação (TC + idade).</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Art. 16 (idade progressiva):</w:t>
      </w:r>
      <w:r>
        <w:rPr>
          <w:rFonts w:ascii="EB Garamond" w:hAnsi="EB Garamond" w:cs="EB Garamond"/>
          <w:b w:val="0"/>
          <w:i w:val="0"/>
          <w:color w:val="201B16"/>
          <w:sz w:val="20"/>
          <w:lang w:val="pt-BR" w:bidi="ar-SA"/>
          <w:kern w:val="16"/>
          <w14:ligatures w14:val="standardContextual"/>
        </w:rPr>
        <w:t xml:space="preserve"> O tempo rural integra o TC mínimo de 30/35 anos.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Art. 20 (pedágio 100%):</w:t>
      </w:r>
      <w:r>
        <w:rPr>
          <w:rFonts w:ascii="EB Garamond" w:hAnsi="EB Garamond" w:cs="EB Garamond"/>
          <w:b w:val="0"/>
          <w:i w:val="0"/>
          <w:color w:val="201B16"/>
          <w:sz w:val="20"/>
          <w:lang w:val="pt-BR" w:bidi="ar-SA"/>
          <w:kern w:val="16"/>
          <w14:ligatures w14:val="standardContextual"/>
        </w:rPr>
        <w:t xml:space="preserve"> O tempo rural integra o TC de 30/35 anos e é considerado para o cálculo do pedágio (quanto mais TC o segurado tinha em 13/11/2019, menor o pedágio).</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P</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orém, há uma distinção crucial quanto à </w:t>
      </w:r>
      <w:r>
        <w:rPr>
          <w:rFonts w:ascii="EB Garamond" w:hAnsi="EB Garamond" w:cs="EB Garamond"/>
          <w:b/>
          <w:i w:val="0"/>
          <w:color w:val="201B16"/>
          <w:sz w:val="21"/>
          <w:lang w:val="pt-BR" w:bidi="ar-SA"/>
          <w:kern w:val="16"/>
          <w14:ligatures w14:val="standardContextual"/>
        </w:rPr>
        <w:t>carência</w:t>
      </w:r>
      <w:r>
        <w:rPr>
          <w:rFonts w:ascii="EB Garamond" w:hAnsi="EB Garamond" w:cs="EB Garamond"/>
          <w:b w:val="0"/>
          <w:i w:val="0"/>
          <w:color w:val="201B16"/>
          <w:sz w:val="21"/>
          <w:lang w:val="pt-BR" w:bidi="ar-SA"/>
          <w:kern w:val="16"/>
          <w14:ligatures w14:val="standardContextual"/>
        </w:rPr>
        <w:t>: o tempo rural pré-1991, embora compute como TC, somente conta como carência se houver contribuição efetiva (art. 55, § 2º, Lei 8.213/91). Nas regras de transição que exigem carência de 180 meses (arts. 15 e 16), o segurado deve observar se possui carência suficiente mesmo após a averbação do tempo rural.</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11.13 Conversão de tempo especial e impacto na aposentadoria por TC</w:t>
      </w:r>
    </w:p>
    <w:p>
      <w:pPr>
        <w:spacing w:before="260" w:after="80" w:line="240" w:lineRule="auto"/>
        <w:jc w:val="left"/>
      </w:pPr>
      <w:r>
        <w:rPr>
          <w:rFonts w:ascii="EB Garamond" w:hAnsi="EB Garamond" w:cs="EB Garamond"/>
          <w:b/>
          <w:i w:val="0"/>
          <w:color w:val="3A3128"/>
          <w:sz w:val="25"/>
          <w:lang w:val="pt-BR" w:bidi="ar-SA"/>
          <w:kern w:val="16"/>
          <w14:ligatures w14:val="standardContextual"/>
        </w:rPr>
        <w:t>11.13.1 Remissão ao cap. 8 e delimitação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Capítulo 8 deste livro tratou em profundidade da aposentadoria especial e da conversão de tempo especial em comum, incluindo os fatores de conversão, o enquadramento por agente nocivo, a vedação da conversão para períodos posteriores a 13/11/2019 (art. 25, § 2º, EC 103/2019) e a ADI 6.309, julgada pelo STF em 03/06/2026, no que a vedação à conversão foi mantida (afastada, no mesmo julgado, a idade mínima da aposentadoria especial). Remete-se o leitor à seção 8.9 para os fundamentos gerais.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Aqui interessa o impacto da conversão como estratégia para atingir os requisitos das regras de transição por TC.</w:t>
      </w:r>
    </w:p>
    <w:p>
      <w:pPr>
        <w:spacing w:before="260" w:after="80" w:line="240" w:lineRule="auto"/>
        <w:jc w:val="left"/>
      </w:pPr>
      <w:r>
        <w:rPr>
          <w:rFonts w:ascii="EB Garamond" w:hAnsi="EB Garamond" w:cs="EB Garamond"/>
          <w:b/>
          <w:i w:val="0"/>
          <w:color w:val="3A3128"/>
          <w:sz w:val="25"/>
          <w:lang w:val="pt-BR" w:bidi="ar-SA"/>
          <w:kern w:val="16"/>
          <w14:ligatures w14:val="standardContextual"/>
        </w:rPr>
        <w:t>11.13.2 Fatores de conversão e acréscimo de TC</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conversão de tempo especial em comum utiliza os fatores multiplicadores previstos no art. 70 do Decreto 3.048/99 (conforme pacificado pelo STJ no Tema 422 — REsp 1.151.363/MG —, que firmou a permanência da possibilidade de conversão de tempo especial em comum após 1998, com base no art. 57, § 5º, da Lei 8.213/91):</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Tempo especial (anos)</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Fator (homem)</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Fator (mulher)</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15 anos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2,33</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2,00</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 anos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1,75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1,50</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25 anos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1,40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1,20</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fator de 1,40 (homem, atividade especial de 25 anos) é o mais utilizado na prática, pois a grande maioria das atividades especiais tem enquadramento no limite de 25 anos (exposição a ruído, agentes químicos, agentes biológicos em saúde etc.).</w:t>
      </w:r>
    </w:p>
    <w:p>
      <w:pPr>
        <w:spacing w:before="260" w:after="80" w:line="240" w:lineRule="auto"/>
        <w:jc w:val="left"/>
      </w:pPr>
      <w:r>
        <w:rPr>
          <w:rFonts w:ascii="EB Garamond" w:hAnsi="EB Garamond" w:cs="EB Garamond"/>
          <w:b/>
          <w:i w:val="0"/>
          <w:color w:val="3A3128"/>
          <w:sz w:val="25"/>
          <w:lang w:val="pt-BR" w:bidi="ar-SA"/>
          <w:kern w:val="16"/>
          <w14:ligatures w14:val="standardContextual"/>
        </w:rPr>
        <w:t>11.13.3 Impacto prático na aposentadoria por TC</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conversão pode ser decisiva para atingir os 35 anos de TC (homem) ou 30 anos (mulher) exigidos pelas regras de transição.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Exemplo detalhado: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Paulo</w:t>
      </w:r>
      <w:r>
        <w:rPr>
          <w:rFonts w:ascii="EB Garamond" w:hAnsi="EB Garamond" w:cs="EB Garamond"/>
          <w:b w:val="0"/>
          <w:i w:val="0"/>
          <w:color w:val="201B16"/>
          <w:sz w:val="21"/>
          <w:lang w:val="pt-BR" w:bidi="ar-SA"/>
          <w:kern w:val="16"/>
          <w14:ligatures w14:val="standardContextual"/>
        </w:rPr>
        <w:t>, homem, 60 anos em 2026. Trabalhou:</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15 anos em atividade especial (exposição a ruído &gt; 85 dB) — 1995 a 2010</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18 anos em atividade comum — 2010 a 2028</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S</w:t>
      </w:r>
    </w:p>
    <w:p>
      <w:pPr>
        <w:spacing w:before="0" w:after="70" w:line="259" w:lineRule="auto"/>
        <w:jc w:val="both"/>
      </w:pPr>
      <w:r>
        <w:rPr>
          <w:rFonts w:ascii="EB Garamond" w:hAnsi="EB Garamond" w:cs="EB Garamond"/>
          <w:b/>
          <w:i w:val="0"/>
          <w:color w:val="201B16"/>
          <w:sz w:val="21"/>
          <w:lang w:val="pt-BR" w:bidi="ar-SA"/>
          <w:kern w:val="16"/>
          <w14:ligatures w14:val="standardContextual"/>
        </w:rPr>
        <w:t>em conversão: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TC total: 15 + 18 = 33 anos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Resultado: NÃO atinge 35 anos → não se habilita a nenhuma regra de transição por TC</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C</w:t>
      </w:r>
    </w:p>
    <w:p>
      <w:pPr>
        <w:spacing w:before="0" w:after="70" w:line="259" w:lineRule="auto"/>
        <w:jc w:val="both"/>
      </w:pPr>
      <w:r>
        <w:rPr>
          <w:rFonts w:ascii="EB Garamond" w:hAnsi="EB Garamond" w:cs="EB Garamond"/>
          <w:b/>
          <w:i w:val="0"/>
          <w:color w:val="201B16"/>
          <w:sz w:val="21"/>
          <w:lang w:val="pt-BR" w:bidi="ar-SA"/>
          <w:kern w:val="16"/>
          <w14:ligatures w14:val="standardContextual"/>
        </w:rPr>
        <w:t>om conversão (fator 1,40 para os 15 anos especiais):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TC convertido: 15 × 1,40 = 21 anos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 xml:space="preserve">TC total: 21 + 18 = </w:t>
      </w:r>
      <w:r>
        <w:rPr>
          <w:rFonts w:ascii="EB Garamond" w:hAnsi="EB Garamond" w:cs="EB Garamond"/>
          <w:b/>
          <w:i w:val="0"/>
          <w:color w:val="201B16"/>
          <w:sz w:val="20"/>
          <w:lang w:val="pt-BR" w:bidi="ar-SA"/>
          <w:kern w:val="16"/>
          <w14:ligatures w14:val="standardContextual"/>
        </w:rPr>
        <w:t>39 anos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Resultado: ATINGE 35 anos → habilita-se ao art. 15, art. 16 e art. 20</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V</w:t>
      </w:r>
    </w:p>
    <w:p>
      <w:pPr>
        <w:spacing w:before="0" w:after="70" w:line="259" w:lineRule="auto"/>
        <w:jc w:val="both"/>
      </w:pPr>
      <w:r>
        <w:rPr>
          <w:rFonts w:ascii="EB Garamond" w:hAnsi="EB Garamond" w:cs="EB Garamond"/>
          <w:b/>
          <w:i w:val="0"/>
          <w:color w:val="201B16"/>
          <w:sz w:val="21"/>
          <w:lang w:val="pt-BR" w:bidi="ar-SA"/>
          <w:kern w:val="16"/>
          <w14:ligatures w14:val="standardContextual"/>
        </w:rPr>
        <w:t>erificação das regras (com 39 anos TC e 60 anos de idade):</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Art. 15 (pontos): 60 + 39 = 99 &lt; 103 em 2026 → NÃO atinge em 2026 (atinge em 2028 com 101)</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Art. 16 (idade progressiva): 60 &lt; 64,5 → NÃO atinge em 2026</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Art. 20 (pedágio 100%): 60 anos ✅, 35 TC ✅, em 13/11/2019 tinha 24 anos TC (convertido: 15×1,4=21 + 3=24), faltavam 11 anos → pedágio 11 anos → precisa de 46 TC total → NÃO atinge</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 xml:space="preserve">Art. 15 (pontos) em anos seguintes: a pontuação exigida do homem sobe progressivamente até estabilizar em 105 a partir de 2028. Em 2028 Paulo teria 62 anos e 41 TC (103 pontos &lt; 105) e em 2029, 63 anos e 42 TC, alcançando exatamente os </w:t>
      </w:r>
      <w:r>
        <w:rPr>
          <w:rFonts w:ascii="EB Garamond" w:hAnsi="EB Garamond" w:cs="EB Garamond"/>
          <w:b/>
          <w:i w:val="0"/>
          <w:color w:val="201B16"/>
          <w:sz w:val="20"/>
          <w:lang w:val="pt-BR" w:bidi="ar-SA"/>
          <w:kern w:val="16"/>
          <w14:ligatures w14:val="standardContextual"/>
        </w:rPr>
        <w:t>105 pontos exigidos</w:t>
      </w:r>
      <w:r>
        <w:rPr>
          <w:rFonts w:ascii="EB Garamond" w:hAnsi="EB Garamond" w:cs="EB Garamond"/>
          <w:b w:val="0"/>
          <w:i w:val="0"/>
          <w:color w:val="201B16"/>
          <w:sz w:val="20"/>
          <w:lang w:val="pt-BR" w:bidi="ar-SA"/>
          <w:kern w:val="16"/>
          <w14:ligatures w14:val="standardContextual"/>
        </w:rPr>
        <w:t xml:space="preserve"> ✅.</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C</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onclui-se que a primeira regra disponível para Paulo é o art. 15, em </w:t>
      </w:r>
      <w:r>
        <w:rPr>
          <w:rFonts w:ascii="EB Garamond" w:hAnsi="EB Garamond" w:cs="EB Garamond"/>
          <w:b/>
          <w:i w:val="0"/>
          <w:color w:val="201B16"/>
          <w:sz w:val="21"/>
          <w:lang w:val="pt-BR" w:bidi="ar-SA"/>
          <w:kern w:val="16"/>
          <w14:ligatures w14:val="standardContextual"/>
        </w:rPr>
        <w:t>2029</w:t>
      </w:r>
      <w:r>
        <w:rPr>
          <w:rFonts w:ascii="EB Garamond" w:hAnsi="EB Garamond" w:cs="EB Garamond"/>
          <w:b w:val="0"/>
          <w:i w:val="0"/>
          <w:color w:val="201B16"/>
          <w:sz w:val="21"/>
          <w:lang w:val="pt-BR" w:bidi="ar-SA"/>
          <w:kern w:val="16"/>
          <w14:ligatures w14:val="standardContextual"/>
        </w:rPr>
        <w:t>.</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conversão transformou um segurado sem qualquer regra de transição disponível em um segurado com aposentadoria viável, ainda que em horizonte futuro.</w:t>
      </w:r>
    </w:p>
    <w:p>
      <w:pPr>
        <w:spacing w:before="260" w:after="80" w:line="240" w:lineRule="auto"/>
        <w:jc w:val="left"/>
      </w:pPr>
      <w:r>
        <w:rPr>
          <w:rFonts w:ascii="EB Garamond" w:hAnsi="EB Garamond" w:cs="EB Garamond"/>
          <w:b/>
          <w:i w:val="0"/>
          <w:color w:val="3A3128"/>
          <w:sz w:val="25"/>
          <w:lang w:val="pt-BR" w:bidi="ar-SA"/>
          <w:kern w:val="16"/>
          <w14:ligatures w14:val="standardContextual"/>
        </w:rPr>
        <w:t>11.13.4 A vedação pós-EC 103 e suas consequências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25, § 2º, da EC 103/2019, veda a conversão de tempo especial em comum para períodos de atividade especial exercidos após 13/11/2019. Na prática, isso significa: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Tempo especial até 13/11/2019:</w:t>
      </w:r>
      <w:r>
        <w:rPr>
          <w:rFonts w:ascii="EB Garamond" w:hAnsi="EB Garamond" w:cs="EB Garamond"/>
          <w:b w:val="0"/>
          <w:i w:val="0"/>
          <w:color w:val="201B16"/>
          <w:sz w:val="20"/>
          <w:lang w:val="pt-BR" w:bidi="ar-SA"/>
          <w:kern w:val="16"/>
          <w14:ligatures w14:val="standardContextual"/>
        </w:rPr>
        <w:t xml:space="preserve"> Pode ser convertido normalmente (STJ, Tema 422)</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Tempo especial após 13/11/2019:</w:t>
      </w:r>
      <w:r>
        <w:rPr>
          <w:rFonts w:ascii="EB Garamond" w:hAnsi="EB Garamond" w:cs="EB Garamond"/>
          <w:b w:val="0"/>
          <w:i w:val="0"/>
          <w:color w:val="201B16"/>
          <w:sz w:val="20"/>
          <w:lang w:val="pt-BR" w:bidi="ar-SA"/>
          <w:kern w:val="16"/>
          <w14:ligatures w14:val="standardContextual"/>
        </w:rPr>
        <w:t xml:space="preserve"> Não pode ser convertido; conta apenas como tempo comum (sem o multiplicador)</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P</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ara o segurado que continua exercendo atividade especial, o impacto é significativo: apenas o período anterior a 13/11/2019 gera o acréscimo de TC pela conversão. O período posterior conta ano a ano, sem multiplicador.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Essa vedação cria uma situação paradoxal: o segurado que permanece exposto a agentes nocivos após 2019, e que portanto continua a sofrer desgaste diferenciado em sua saúde, é penalizado previdenciariamente, pois não pode converter o tempo posterior. O fundamento do legislador constituinte derivado foi que a aposentadoria especial tem regras próprias (art. 19 da EC 103/2019), e o segurado que permanece em atividade especial deve buscar a aposentadoria especial (se atingir os requisitos de 15, 20 ou 25 anos de atividade especial), e não a conversão para aposentadoria comum.</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Na atuação forense, contudo, muitos segurados possuem tempo especial insuficiente para a aposentadoria especial mas que, se convertido, viabilizaria a aposentadoria por TC. Nesses casos, a vedação gera lacuna de proteção que foi o fundamento material da ADI 6.309. No julgamento de 03/06/2026, porém, o STF </w:t>
      </w:r>
      <w:r>
        <w:rPr>
          <w:rFonts w:ascii="EB Garamond" w:hAnsi="EB Garamond" w:cs="EB Garamond"/>
          <w:b/>
          <w:i w:val="0"/>
          <w:color w:val="201B16"/>
          <w:sz w:val="21"/>
          <w:lang w:val="pt-BR" w:bidi="ar-SA"/>
          <w:kern w:val="16"/>
          <w14:ligatures w14:val="standardContextual"/>
        </w:rPr>
        <w:t>manteve a vedação à conversão</w:t>
      </w:r>
      <w:r>
        <w:rPr>
          <w:rFonts w:ascii="EB Garamond" w:hAnsi="EB Garamond" w:cs="EB Garamond"/>
          <w:b w:val="0"/>
          <w:i w:val="0"/>
          <w:color w:val="201B16"/>
          <w:sz w:val="21"/>
          <w:lang w:val="pt-BR" w:bidi="ar-SA"/>
          <w:kern w:val="16"/>
          <w14:ligatures w14:val="standardContextual"/>
        </w:rPr>
        <w:t xml:space="preserve"> — o argumento da lacuna de proteção não prevaleceu nesse ponto. No mesmo julgamento, o Tribunal </w:t>
      </w:r>
      <w:r>
        <w:rPr>
          <w:rFonts w:ascii="EB Garamond" w:hAnsi="EB Garamond" w:cs="EB Garamond"/>
          <w:b/>
          <w:i w:val="0"/>
          <w:color w:val="201B16"/>
          <w:sz w:val="21"/>
          <w:lang w:val="pt-BR" w:bidi="ar-SA"/>
          <w:kern w:val="16"/>
          <w14:ligatures w14:val="standardContextual"/>
        </w:rPr>
        <w:t>afastou a exigência de idade mínima</w:t>
      </w:r>
      <w:r>
        <w:rPr>
          <w:rFonts w:ascii="EB Garamond" w:hAnsi="EB Garamond" w:cs="EB Garamond"/>
          <w:b w:val="0"/>
          <w:i w:val="0"/>
          <w:color w:val="201B16"/>
          <w:sz w:val="21"/>
          <w:lang w:val="pt-BR" w:bidi="ar-SA"/>
          <w:kern w:val="16"/>
          <w14:ligatures w14:val="standardContextual"/>
        </w:rPr>
        <w:t xml:space="preserve"> da aposentadoria especial.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A ADI 6.309 (Rel. Orig. Min. Luís Roberto Barroso, red. P/ acórdão Min. André Mendonça) foi julgada parcialmente procedente pelo Tribunal Pleno do STF em 03/06/2026, por 6 votos a 5. Quanto à conversão, o Tribunal </w:t>
      </w:r>
      <w:r>
        <w:rPr>
          <w:rFonts w:ascii="EB Garamond" w:hAnsi="EB Garamond" w:cs="EB Garamond"/>
          <w:b/>
          <w:i w:val="0"/>
          <w:color w:val="201B16"/>
          <w:sz w:val="21"/>
          <w:lang w:val="pt-BR" w:bidi="ar-SA"/>
          <w:kern w:val="16"/>
          <w14:ligatures w14:val="standardContextual"/>
        </w:rPr>
        <w:t>confirmou a constitucionalidade da vedação</w:t>
      </w:r>
      <w:r>
        <w:rPr>
          <w:rFonts w:ascii="EB Garamond" w:hAnsi="EB Garamond" w:cs="EB Garamond"/>
          <w:b w:val="0"/>
          <w:i w:val="0"/>
          <w:color w:val="201B16"/>
          <w:sz w:val="21"/>
          <w:lang w:val="pt-BR" w:bidi="ar-SA"/>
          <w:kern w:val="16"/>
          <w14:ligatures w14:val="standardContextual"/>
        </w:rPr>
        <w:t xml:space="preserve"> para períodos posteriores a 13/11/2019 — de modo que a conversão desses períodos permanece vedada, mantendo-se íntegro o panorama de cálculo descrito nesta seção. Por outro lado, declarou inconstitucional a idade mínima da aposentadoria especial e manteve a nova forma de cálculo. Até o fechamento desta edição, o acórdão não havia sido publicado, de modo que eventual modulação de efeitos deve ser conferida no inteiro teor.</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Como calcular o TC total com conversão de tempo especial</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 xml:space="preserve">1. </w:t>
            </w:r>
            <w:r>
              <w:rPr>
                <w:rFonts w:ascii="EB Garamond" w:hAnsi="EB Garamond" w:cs="EB Garamond"/>
                <w:b/>
                <w:i w:val="0"/>
                <w:color w:val="201B16"/>
                <w:sz w:val="19"/>
                <w:lang w:val="pt-BR" w:bidi="ar-SA"/>
                <w:kern w:val="16"/>
                <w14:ligatures w14:val="standardContextual"/>
              </w:rPr>
              <w:t>Identificar períodos de atividade especial:</w:t>
            </w:r>
            <w:r>
              <w:rPr>
                <w:rFonts w:ascii="EB Garamond" w:hAnsi="EB Garamond" w:cs="EB Garamond"/>
                <w:b w:val="0"/>
                <w:i w:val="0"/>
                <w:color w:val="201B16"/>
                <w:sz w:val="19"/>
                <w:lang w:val="pt-BR" w:bidi="ar-SA"/>
                <w:kern w:val="16"/>
                <w14:ligatures w14:val="standardContextual"/>
              </w:rPr>
              <w:t xml:space="preserve"> verificar PPP (Perfil Profissiográfico Previdenciário), LTCAT, DIRBEN 8030 ou formulários equivalentes 2. </w:t>
            </w:r>
            <w:r>
              <w:rPr>
                <w:rFonts w:ascii="EB Garamond" w:hAnsi="EB Garamond" w:cs="EB Garamond"/>
                <w:b/>
                <w:i w:val="0"/>
                <w:color w:val="201B16"/>
                <w:sz w:val="19"/>
                <w:lang w:val="pt-BR" w:bidi="ar-SA"/>
                <w:kern w:val="16"/>
                <w14:ligatures w14:val="standardContextual"/>
              </w:rPr>
              <w:t>Separar períodos anteriores e posteriores a 13/11/2019:</w:t>
            </w:r>
            <w:r>
              <w:rPr>
                <w:rFonts w:ascii="EB Garamond" w:hAnsi="EB Garamond" w:cs="EB Garamond"/>
                <w:b w:val="0"/>
                <w:i w:val="0"/>
                <w:color w:val="201B16"/>
                <w:sz w:val="19"/>
                <w:lang w:val="pt-BR" w:bidi="ar-SA"/>
                <w:kern w:val="16"/>
                <w14:ligatures w14:val="standardContextual"/>
              </w:rPr>
              <w:t xml:space="preserve">  - Anteriores: aplicar fator de conversão  - Posteriores: contar como tempo comum (1 ano = 1 ano) 3. </w:t>
            </w:r>
            <w:r>
              <w:rPr>
                <w:rFonts w:ascii="EB Garamond" w:hAnsi="EB Garamond" w:cs="EB Garamond"/>
                <w:b/>
                <w:i w:val="0"/>
                <w:color w:val="201B16"/>
                <w:sz w:val="19"/>
                <w:lang w:val="pt-BR" w:bidi="ar-SA"/>
                <w:kern w:val="16"/>
                <w14:ligatures w14:val="standardContextual"/>
              </w:rPr>
              <w:t>Aplicar o fator de conversão ao período anterior:</w:t>
            </w:r>
            <w:r>
              <w:rPr>
                <w:rFonts w:ascii="EB Garamond" w:hAnsi="EB Garamond" w:cs="EB Garamond"/>
                <w:b w:val="0"/>
                <w:i w:val="0"/>
                <w:color w:val="201B16"/>
                <w:sz w:val="19"/>
                <w:lang w:val="pt-BR" w:bidi="ar-SA"/>
                <w:kern w:val="16"/>
                <w14:ligatures w14:val="standardContextual"/>
              </w:rPr>
              <w:t xml:space="preserve">  - Tempo especial de 25 anos: multiplicar por 1,40 (H) ou 1,20 (M)  - Tempo especial de 20 anos: multiplicar por 1,75 (H) ou 1,50 (M)  - Tempo especial de 15 anos: multiplicar por 2,33 (H) ou 2,00 (M) 4. </w:t>
            </w:r>
            <w:r>
              <w:rPr>
                <w:rFonts w:ascii="EB Garamond" w:hAnsi="EB Garamond" w:cs="EB Garamond"/>
                <w:b/>
                <w:i w:val="0"/>
                <w:color w:val="201B16"/>
                <w:sz w:val="19"/>
                <w:lang w:val="pt-BR" w:bidi="ar-SA"/>
                <w:kern w:val="16"/>
                <w14:ligatures w14:val="standardContextual"/>
              </w:rPr>
              <w:t>Somar com o tempo comum:</w:t>
            </w:r>
            <w:r>
              <w:rPr>
                <w:rFonts w:ascii="EB Garamond" w:hAnsi="EB Garamond" w:cs="EB Garamond"/>
                <w:b w:val="0"/>
                <w:i w:val="0"/>
                <w:color w:val="201B16"/>
                <w:sz w:val="19"/>
                <w:lang w:val="pt-BR" w:bidi="ar-SA"/>
                <w:kern w:val="16"/>
                <w14:ligatures w14:val="standardContextual"/>
              </w:rPr>
              <w:t xml:space="preserve">  - TC total = tempo especial convertido + tempo comum + tempo especial pós-2019 (sem conversão) 5. </w:t>
            </w:r>
            <w:r>
              <w:rPr>
                <w:rFonts w:ascii="EB Garamond" w:hAnsi="EB Garamond" w:cs="EB Garamond"/>
                <w:b/>
                <w:i w:val="0"/>
                <w:color w:val="201B16"/>
                <w:sz w:val="19"/>
                <w:lang w:val="pt-BR" w:bidi="ar-SA"/>
                <w:kern w:val="16"/>
                <w14:ligatures w14:val="standardContextual"/>
              </w:rPr>
              <w:t>Verificar elegibilidade nas regras de transição</w:t>
            </w:r>
            <w:r>
              <w:rPr>
                <w:rFonts w:ascii="EB Garamond" w:hAnsi="EB Garamond" w:cs="EB Garamond"/>
                <w:b w:val="0"/>
                <w:i w:val="0"/>
                <w:color w:val="201B16"/>
                <w:sz w:val="19"/>
                <w:lang w:val="pt-BR" w:bidi="ar-SA"/>
                <w:kern w:val="16"/>
                <w14:ligatures w14:val="standardContextual"/>
              </w:rPr>
              <w:t xml:space="preserve"> com o TC total apurado 6. </w:t>
            </w:r>
            <w:r>
              <w:rPr>
                <w:rFonts w:ascii="EB Garamond" w:hAnsi="EB Garamond" w:cs="EB Garamond"/>
                <w:b/>
                <w:i w:val="0"/>
                <w:color w:val="201B16"/>
                <w:sz w:val="19"/>
                <w:lang w:val="pt-BR" w:bidi="ar-SA"/>
                <w:kern w:val="16"/>
                <w14:ligatures w14:val="standardContextual"/>
              </w:rPr>
              <w:t>Documentar:</w:t>
            </w:r>
            <w:r>
              <w:rPr>
                <w:rFonts w:ascii="EB Garamond" w:hAnsi="EB Garamond" w:cs="EB Garamond"/>
                <w:b w:val="0"/>
                <w:i w:val="0"/>
                <w:color w:val="201B16"/>
                <w:sz w:val="19"/>
                <w:lang w:val="pt-BR" w:bidi="ar-SA"/>
                <w:kern w:val="16"/>
                <w14:ligatures w14:val="standardContextual"/>
              </w:rPr>
              <w:t xml:space="preserve"> manter toda a prova documental do período especial organizada (PPP, LTCAT, carteira de trabalho com anotação da atividade)</w:t>
            </w:r>
          </w:p>
          <w:p>
            <w:pPr>
              <w:spacing w:before="0" w:after="60" w:line="247" w:lineRule="auto"/>
              <w:jc w:val="both"/>
            </w:pPr>
            <w:r>
              <w:rPr>
                <w:rFonts w:ascii="EB Garamond" w:hAnsi="EB Garamond" w:cs="EB Garamond"/>
                <w:b/>
                <w:i w:val="0"/>
                <w:color w:val="201B16"/>
                <w:sz w:val="19"/>
                <w:lang w:val="pt-BR" w:bidi="ar-SA"/>
                <w:kern w:val="16"/>
                <w14:ligatures w14:val="standardContextual"/>
              </w:rPr>
              <w:t>Exemplo rápido:</w:t>
            </w:r>
            <w:r>
              <w:rPr>
                <w:rFonts w:ascii="EB Garamond" w:hAnsi="EB Garamond" w:cs="EB Garamond"/>
                <w:b w:val="0"/>
                <w:i w:val="0"/>
                <w:color w:val="201B16"/>
                <w:sz w:val="19"/>
                <w:lang w:val="pt-BR" w:bidi="ar-SA"/>
                <w:kern w:val="16"/>
                <w14:ligatures w14:val="standardContextual"/>
              </w:rPr>
              <w:t xml:space="preserve"> - 10 anos especiais (25 anos) pré-2019 × 1,40 = 14 anos (acréscimo de 4 anos) - 5 anos especiais pós-2019 = 5 anos (sem conversão) - 15 anos comuns = 15 anos - </w:t>
            </w:r>
            <w:r>
              <w:rPr>
                <w:rFonts w:ascii="EB Garamond" w:hAnsi="EB Garamond" w:cs="EB Garamond"/>
                <w:b/>
                <w:i w:val="0"/>
                <w:color w:val="201B16"/>
                <w:sz w:val="19"/>
                <w:lang w:val="pt-BR" w:bidi="ar-SA"/>
                <w:kern w:val="16"/>
                <w14:ligatures w14:val="standardContextual"/>
              </w:rPr>
              <w:t>TC total = 14 + 5 + 15 = 34 anos</w:t>
            </w:r>
            <w:r>
              <w:rPr>
                <w:rFonts w:ascii="EB Garamond" w:hAnsi="EB Garamond" w:cs="EB Garamond"/>
                <w:b w:val="0"/>
                <w:i w:val="0"/>
                <w:color w:val="201B16"/>
                <w:sz w:val="19"/>
                <w:lang w:val="pt-BR" w:bidi="ar-SA"/>
                <w:kern w:val="16"/>
                <w14:ligatures w14:val="standardContextual"/>
              </w:rPr>
              <w:t xml:space="preserve"> (sem conversão seriam 30 anos)</w:t>
            </w: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Cautela ao usar tempo de vigilante para compor o TC</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 xml:space="preserve">A conversão de tempo especial é estratégia poderosa para completar o TC nas regras de transição, mas pressupõe que o período seja efetivamente reconhecido como especial. Atenção redobrada ao tempo de </w:t>
            </w:r>
            <w:r>
              <w:rPr>
                <w:rFonts w:ascii="EB Garamond" w:hAnsi="EB Garamond" w:cs="EB Garamond"/>
                <w:b/>
                <w:i w:val="0"/>
                <w:color w:val="201B16"/>
                <w:sz w:val="19"/>
                <w:lang w:val="pt-BR" w:bidi="ar-SA"/>
                <w:kern w:val="16"/>
                <w14:ligatures w14:val="standardContextual"/>
              </w:rPr>
              <w:t>vigilante</w:t>
            </w:r>
            <w:r>
              <w:rPr>
                <w:rFonts w:ascii="EB Garamond" w:hAnsi="EB Garamond" w:cs="EB Garamond"/>
                <w:b w:val="0"/>
                <w:i w:val="0"/>
                <w:color w:val="201B16"/>
                <w:sz w:val="19"/>
                <w:lang w:val="pt-BR" w:bidi="ar-SA"/>
                <w:kern w:val="16"/>
                <w14:ligatures w14:val="standardContextual"/>
              </w:rPr>
              <w:t xml:space="preserve">: o STF, no </w:t>
            </w:r>
            <w:r>
              <w:rPr>
                <w:rFonts w:ascii="EB Garamond" w:hAnsi="EB Garamond" w:cs="EB Garamond"/>
                <w:b/>
                <w:i w:val="0"/>
                <w:color w:val="201B16"/>
                <w:sz w:val="19"/>
                <w:lang w:val="pt-BR" w:bidi="ar-SA"/>
                <w:kern w:val="16"/>
                <w14:ligatures w14:val="standardContextual"/>
              </w:rPr>
              <w:t>Tema 1.209</w:t>
            </w:r>
            <w:r>
              <w:rPr>
                <w:rFonts w:ascii="EB Garamond" w:hAnsi="EB Garamond" w:cs="EB Garamond"/>
                <w:b w:val="0"/>
                <w:i w:val="0"/>
                <w:color w:val="201B16"/>
                <w:sz w:val="19"/>
                <w:lang w:val="pt-BR" w:bidi="ar-SA"/>
                <w:kern w:val="16"/>
                <w14:ligatures w14:val="standardContextual"/>
              </w:rPr>
              <w:t>, firmou que a atividade de vigilante não é especial pela mera periculosidade — exige-se a comprovação, na forma da legislação de cada época, do uso de arma de fogo e da exposição efetiva a risco à integridade física. Antes de incluir tempo de vigilante no cálculo do TC convertido, portanto, é indispensável verificar se o período preenche esses requisitos; do contrário, a projeção de elegibilidade ruirá. O enquadramento da atividade de vigilante e os contornos do Tema 1.209 são tratados em detalhe no Capítulo 8 (aposentadoria especial e conversão de tempo).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11.14 Planejamento previdenciário: quando esperar, quando requerer</w:t>
      </w:r>
    </w:p>
    <w:p>
      <w:pPr>
        <w:spacing w:before="260" w:after="80" w:line="240" w:lineRule="auto"/>
        <w:jc w:val="left"/>
      </w:pPr>
      <w:r>
        <w:rPr>
          <w:rFonts w:ascii="EB Garamond" w:hAnsi="EB Garamond" w:cs="EB Garamond"/>
          <w:b/>
          <w:i w:val="0"/>
          <w:color w:val="3A3128"/>
          <w:sz w:val="25"/>
          <w:lang w:val="pt-BR" w:bidi="ar-SA"/>
          <w:kern w:val="16"/>
          <w14:ligatures w14:val="standardContextual"/>
        </w:rPr>
        <w:t>11.14.1 Conceito e importância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planejamento previdenciário consiste na análise técnica e projetiva da situação do segurado, considerando todas as variáveis relevantes — idade, TC, salários de contribuição, regras aplicáveis — para determinar o momento ótimo de requerimento da aposentadoria. Com quatro regras de transição simultâneas e cálculos de benefício distintos, o planejamento deixou de ser diferencial e tornou-se obrigação. Temos visto casos em que a diferença entre a regra escolhida e a regra ótima ultrapassava R$ 500/mês — o que, projetado pela expectativa de sobrevida do segurado, representa centenas de milhares de reais ao longo da vida.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planejamento previdenciário para aposentadoria por TC deve considerar três horizontes temporais: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Imediato (próximos 6 meses):</w:t>
      </w:r>
      <w:r>
        <w:rPr>
          <w:rFonts w:ascii="EB Garamond" w:hAnsi="EB Garamond" w:cs="EB Garamond"/>
          <w:b w:val="0"/>
          <w:i w:val="0"/>
          <w:color w:val="201B16"/>
          <w:sz w:val="20"/>
          <w:lang w:val="pt-BR" w:bidi="ar-SA"/>
          <w:kern w:val="16"/>
          <w14:ligatures w14:val="standardContextual"/>
        </w:rPr>
        <w:t xml:space="preserve"> O segurado já atinge alguma regra de transição? Se sim, calcular todas as RMIs e comparar.</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Curto prazo (1 a 3 anos):</w:t>
      </w:r>
      <w:r>
        <w:rPr>
          <w:rFonts w:ascii="EB Garamond" w:hAnsi="EB Garamond" w:cs="EB Garamond"/>
          <w:b w:val="0"/>
          <w:i w:val="0"/>
          <w:color w:val="201B16"/>
          <w:sz w:val="20"/>
          <w:lang w:val="pt-BR" w:bidi="ar-SA"/>
          <w:kern w:val="16"/>
          <w14:ligatures w14:val="standardContextual"/>
        </w:rPr>
        <w:t xml:space="preserve"> Qual regra será atingida primeiro? O ganho esperado justifica a espera?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Médio prazo (3 a 5 anos):</w:t>
      </w:r>
      <w:r>
        <w:rPr>
          <w:rFonts w:ascii="EB Garamond" w:hAnsi="EB Garamond" w:cs="EB Garamond"/>
          <w:b w:val="0"/>
          <w:i w:val="0"/>
          <w:color w:val="201B16"/>
          <w:sz w:val="20"/>
          <w:lang w:val="pt-BR" w:bidi="ar-SA"/>
          <w:kern w:val="16"/>
          <w14:ligatures w14:val="standardContextual"/>
        </w:rPr>
        <w:t xml:space="preserve"> Há regra significativamente mais vantajosa que será atingida em horizonte razoável?</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vedação da desaposentação (STF, Tema 503, RE 661.256) torna o planejamento ainda mais crítico: uma vez concedida a aposentadoria, o segurado não pode renunciar a ela para obter outra mais vantajosa no RGPS. A escolha é definitiva. O princípio firmado pelo STF é claro: "somente lei pode criar benefícios e vantagens previdenciárias, não havendo, por ora, previsão legal do direito à 'desaposentação'". Portanto, o segurado que se aposenta por uma regra menos vantajosa não terá como "corrigir" a escolha posteriormente.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Esta irreversibilidade impõe ao advogado o dever de apresentar ao cliente todas as opções disponíveis, com cálculos detalhados, antes do requerimento: simular uma única regra, sem confrontá-la com as demais, fica abaixo do padrão de diligência exigido e expõe o profissional à responsabilidade civil por eventual prejuízo irreversível ao segurado.</w:t>
      </w:r>
    </w:p>
    <w:p>
      <w:pPr>
        <w:spacing w:before="260" w:after="80" w:line="240" w:lineRule="auto"/>
        <w:jc w:val="left"/>
      </w:pPr>
      <w:r>
        <w:rPr>
          <w:rFonts w:ascii="EB Garamond" w:hAnsi="EB Garamond" w:cs="EB Garamond"/>
          <w:b/>
          <w:i w:val="0"/>
          <w:color w:val="3A3128"/>
          <w:sz w:val="25"/>
          <w:lang w:val="pt-BR" w:bidi="ar-SA"/>
          <w:kern w:val="16"/>
          <w14:ligatures w14:val="standardContextual"/>
        </w:rPr>
        <w:t>11.14.2 Variáveis decisórias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 principais variáveis que o profissional deve considerar no planejamento previdenciário para aposentadoria por TC são: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 Idade atual e projeção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idade afeta diretamente o cálculo em três cenários: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No art. 15 (pontos), cada ano a mais acrescenta 1 ponto naturalmente</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No art. 16 (idade progressiva), o segurado pode estar a poucos meses de atingir a idade mínima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No fator previdenciário (pedágio 50% e direito adquirido), cada ano a mais de idade aumenta significativamente o fator</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b</w:t>
      </w:r>
    </w:p>
    <w:p>
      <w:pPr>
        <w:spacing w:before="0" w:after="70" w:line="259" w:lineRule="auto"/>
        <w:jc w:val="both"/>
      </w:pPr>
      <w:r>
        <w:rPr>
          <w:rFonts w:ascii="EB Garamond" w:hAnsi="EB Garamond" w:cs="EB Garamond"/>
          <w:b/>
          <w:i w:val="0"/>
          <w:color w:val="201B16"/>
          <w:sz w:val="21"/>
          <w:lang w:val="pt-BR" w:bidi="ar-SA"/>
          <w:kern w:val="16"/>
          <w14:ligatures w14:val="standardContextual"/>
        </w:rPr>
        <w:t>) Tempo de contribuição atual e projeção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TC em andamento cresce naturalmente com o passar do tempo. Cada ano adicional:</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Acrescenta 1 ponto no art. 15</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Pode elevar o coeficiente 60%+2% em 2 pontos percentuais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Aumenta o fator previdenciário (duplo efeito: aumenta Tc e reduz Es)</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c</w:t>
      </w:r>
    </w:p>
    <w:p>
      <w:pPr>
        <w:spacing w:before="0" w:after="70" w:line="259" w:lineRule="auto"/>
        <w:jc w:val="both"/>
      </w:pPr>
      <w:r>
        <w:rPr>
          <w:rFonts w:ascii="EB Garamond" w:hAnsi="EB Garamond" w:cs="EB Garamond"/>
          <w:b/>
          <w:i w:val="0"/>
          <w:color w:val="201B16"/>
          <w:sz w:val="21"/>
          <w:lang w:val="pt-BR" w:bidi="ar-SA"/>
          <w:kern w:val="16"/>
          <w14:ligatures w14:val="standardContextual"/>
        </w:rPr>
        <w:t>) Valor dos salários de contribuição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Segurados com salários de contribuição variáveis ao longo da vida devem atentar para: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A diferença entre a média dos 80% maiores SC (regras com fator) e a média de 100% dos SC (regras da EC 103)</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A possibilidade de excluir SC que reduzam a média (art. 26, § 6º, EC 103) — disponível apenas nas regras que utilizam a média de 100%</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O impacto dos salários-mínimos do início de carreira na média de 100%</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d</w:t>
      </w:r>
    </w:p>
    <w:p>
      <w:pPr>
        <w:spacing w:before="0" w:after="70" w:line="259" w:lineRule="auto"/>
        <w:jc w:val="both"/>
      </w:pPr>
      <w:r>
        <w:rPr>
          <w:rFonts w:ascii="EB Garamond" w:hAnsi="EB Garamond" w:cs="EB Garamond"/>
          <w:b/>
          <w:i w:val="0"/>
          <w:color w:val="201B16"/>
          <w:sz w:val="21"/>
          <w:lang w:val="pt-BR" w:bidi="ar-SA"/>
          <w:kern w:val="16"/>
          <w14:ligatures w14:val="standardContextual"/>
        </w:rPr>
        <w:t>) Custo de oportunidade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Esperar para se aposentar tem um custo: os meses sem benefício que o segurado "perde" enquanto aguarda uma regra mais vantajosa. Esse custo deve ser contraposto ao ganho permanente que a regra mais vantajosa proporcionará.</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e) Estado de saúde e expectativa de vida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Embora seja um fator sensível, o estado de saúde do segurado é variável relevante no planejamento. Segurado com doenças graves ou expectativa de vida reduzida pode ser aconselhado a requerer a aposentadoria o mais cedo possível, mesmo que por regra menos vantajosa, para maximizar o tempo de fruição do benefício. A análise fria dos números pode sugerir espera, mas a prudência recomenda avaliar caso a caso.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f) Situação de emprego e renda atual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segurado desempregado ou em situação de renda precária tem urgência diferente daquele que permanece empregado com boa remuneração. Para o primeiro, a aposentadoria, mesmo que por regra menos vantajosa, pode ser a única fonte de renda disponível. Para o segundo, a espera por regra mais vantajosa é financeiramente viável e frequentemente recomendável.</w:t>
      </w:r>
    </w:p>
    <w:p>
      <w:pPr>
        <w:spacing w:before="260" w:after="80" w:line="240" w:lineRule="auto"/>
        <w:jc w:val="left"/>
      </w:pPr>
      <w:r>
        <w:rPr>
          <w:rFonts w:ascii="EB Garamond" w:hAnsi="EB Garamond" w:cs="EB Garamond"/>
          <w:b/>
          <w:i w:val="0"/>
          <w:color w:val="3A3128"/>
          <w:sz w:val="25"/>
          <w:lang w:val="pt-BR" w:bidi="ar-SA"/>
          <w:kern w:val="16"/>
          <w14:ligatures w14:val="standardContextual"/>
        </w:rPr>
        <w:t>11.14.3 Análise de ponto de equilíbrio (break-even)</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ponto de equilíbrio é o momento em que o ganho acumulado pela regra mais vantajosa iguala o valor que o segurado deixou de receber durante o período de espera. A partir desse ponto, todo valor recebido é "lucro líquido" da espera.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Fórmula simplificada: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Ponto de equilíbrio (meses) = (Meses de espera × RMI regra inferior) / (RMI regra superior - RMI regra inferior)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Onde:</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Meses de espera = número de meses que o segurado deve aguardar para atingir a regra superior</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RMI regra inferior = valor mensal do benefício pela regra imediatamente disponível</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RMI regra superior = valor mensal do benefício pela regra que será atingida após a espera</w:t>
      </w:r>
    </w:p>
    <w:p>
      <w:pPr>
        <w:spacing w:before="0" w:after="6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Modelo de cálculo do ponto de equilíbrio</w:t>
            </w:r>
          </w:p>
          <w:p>
            <w:pPr>
              <w:spacing w:before="0" w:after="60" w:line="247" w:lineRule="auto"/>
              <w:jc w:val="both"/>
            </w:pPr>
            <w:r>
              <w:rPr>
                <w:rFonts w:ascii="EB Garamond" w:hAnsi="EB Garamond" w:cs="EB Garamond"/>
                <w:b/>
                <w:i w:val="0"/>
                <w:color w:val="201B16"/>
                <w:sz w:val="19"/>
                <w:lang w:val="pt-BR" w:bidi="ar-SA"/>
                <w:kern w:val="16"/>
                <w14:ligatures w14:val="standardContextual"/>
              </w:rPr>
              <w:t>Situação:</w:t>
            </w:r>
            <w:r>
              <w:rPr>
                <w:rFonts w:ascii="EB Garamond" w:hAnsi="EB Garamond" w:cs="EB Garamond"/>
                <w:b w:val="0"/>
                <w:i w:val="0"/>
                <w:color w:val="201B16"/>
                <w:sz w:val="19"/>
                <w:lang w:val="pt-BR" w:bidi="ar-SA"/>
                <w:kern w:val="16"/>
                <w14:ligatures w14:val="standardContextual"/>
              </w:rPr>
              <w:t xml:space="preserve"> Marta, mulher, 58 anos, 33 anos TC em 2026.</w:t>
            </w:r>
          </w:p>
          <w:p>
            <w:pPr>
              <w:spacing w:before="0" w:after="60" w:line="247" w:lineRule="auto"/>
              <w:jc w:val="both"/>
            </w:pPr>
            <w:r>
              <w:rPr>
                <w:rFonts w:ascii="EB Garamond" w:hAnsi="EB Garamond" w:cs="EB Garamond"/>
                <w:b/>
                <w:i w:val="0"/>
                <w:color w:val="201B16"/>
                <w:sz w:val="19"/>
                <w:lang w:val="pt-BR" w:bidi="ar-SA"/>
                <w:kern w:val="16"/>
                <w14:ligatures w14:val="standardContextual"/>
              </w:rPr>
              <w:t>Opção A — Aposentar agora pelo art. 15:</w:t>
            </w:r>
            <w:r>
              <w:rPr>
                <w:rFonts w:ascii="EB Garamond" w:hAnsi="EB Garamond" w:cs="EB Garamond"/>
                <w:b w:val="0"/>
                <w:i w:val="0"/>
                <w:color w:val="201B16"/>
                <w:sz w:val="19"/>
                <w:lang w:val="pt-BR" w:bidi="ar-SA"/>
                <w:kern w:val="16"/>
                <w14:ligatures w14:val="standardContextual"/>
              </w:rPr>
              <w:t xml:space="preserve"> - Pontos: 58 + 33 = 91 &lt; 93 (2026) → NÃO atinge - </w:t>
            </w:r>
            <w:r>
              <w:rPr>
                <w:rFonts w:ascii="EB Garamond" w:hAnsi="EB Garamond" w:cs="EB Garamond"/>
                <w:b/>
                <w:i w:val="0"/>
                <w:color w:val="201B16"/>
                <w:sz w:val="19"/>
                <w:lang w:val="pt-BR" w:bidi="ar-SA"/>
                <w:kern w:val="16"/>
                <w14:ligatures w14:val="standardContextual"/>
              </w:rPr>
              <w:t>Opção A inviável em 2026</w:t>
            </w:r>
          </w:p>
          <w:p>
            <w:pPr>
              <w:spacing w:before="0" w:after="60" w:line="247" w:lineRule="auto"/>
              <w:jc w:val="both"/>
            </w:pPr>
            <w:r>
              <w:rPr>
                <w:rFonts w:ascii="EB Garamond" w:hAnsi="EB Garamond" w:cs="EB Garamond"/>
                <w:b/>
                <w:i w:val="0"/>
                <w:color w:val="201B16"/>
                <w:sz w:val="19"/>
                <w:lang w:val="pt-BR" w:bidi="ar-SA"/>
                <w:kern w:val="16"/>
                <w14:ligatures w14:val="standardContextual"/>
              </w:rPr>
              <w:t>Opção B — Esperar até 2027 pelo art. 15:</w:t>
            </w:r>
            <w:r>
              <w:rPr>
                <w:rFonts w:ascii="EB Garamond" w:hAnsi="EB Garamond" w:cs="EB Garamond"/>
                <w:b w:val="0"/>
                <w:i w:val="0"/>
                <w:color w:val="201B16"/>
                <w:sz w:val="19"/>
                <w:lang w:val="pt-BR" w:bidi="ar-SA"/>
                <w:kern w:val="16"/>
                <w14:ligatures w14:val="standardContextual"/>
              </w:rPr>
              <w:t xml:space="preserve"> - Em 2027 a exigência para a mulher sobe a 94 pontos; 59 + 34 = 93 &lt; 94 → NÃO atinge - Em 2028: 60 + 35 = 95 ≥ 95 (2028) → </w:t>
            </w:r>
            <w:r>
              <w:rPr>
                <w:rFonts w:ascii="EB Garamond" w:hAnsi="EB Garamond" w:cs="EB Garamond"/>
                <w:b/>
                <w:i w:val="0"/>
                <w:color w:val="201B16"/>
                <w:sz w:val="19"/>
                <w:lang w:val="pt-BR" w:bidi="ar-SA"/>
                <w:kern w:val="16"/>
                <w14:ligatures w14:val="standardContextual"/>
              </w:rPr>
              <w:t>SIM</w:t>
            </w:r>
          </w:p>
          <w:p>
            <w:pPr>
              <w:spacing w:before="0" w:after="60" w:line="247" w:lineRule="auto"/>
              <w:jc w:val="both"/>
            </w:pPr>
            <w:r>
              <w:rPr>
                <w:rFonts w:ascii="EB Garamond" w:hAnsi="EB Garamond" w:cs="EB Garamond"/>
                <w:b/>
                <w:i w:val="0"/>
                <w:color w:val="201B16"/>
                <w:sz w:val="19"/>
                <w:lang w:val="pt-BR" w:bidi="ar-SA"/>
                <w:kern w:val="16"/>
                <w14:ligatures w14:val="standardContextual"/>
              </w:rPr>
              <w:t>Opção C — Art. 20 (pedágio 100%):</w:t>
            </w:r>
            <w:r>
              <w:rPr>
                <w:rFonts w:ascii="EB Garamond" w:hAnsi="EB Garamond" w:cs="EB Garamond"/>
                <w:b w:val="0"/>
                <w:i w:val="0"/>
                <w:color w:val="201B16"/>
                <w:sz w:val="19"/>
                <w:lang w:val="pt-BR" w:bidi="ar-SA"/>
                <w:kern w:val="16"/>
                <w14:ligatures w14:val="standardContextual"/>
              </w:rPr>
              <w:t xml:space="preserve"> - Idade: 58 ≥ 57 ✅ - TC: 33 ≥ 30 ✅ - Pedágio: em 13/11/2019, Marta tinha 26 anos TC, faltavam 4 anos → pedágio = 4 anos - TC necessário: 30 + 4 = 34 anos - TC atual: 33 → faltam 1 ano - </w:t>
            </w:r>
            <w:r>
              <w:rPr>
                <w:rFonts w:ascii="EB Garamond" w:hAnsi="EB Garamond" w:cs="EB Garamond"/>
                <w:b/>
                <w:i w:val="0"/>
                <w:color w:val="201B16"/>
                <w:sz w:val="19"/>
                <w:lang w:val="pt-BR" w:bidi="ar-SA"/>
                <w:kern w:val="16"/>
                <w14:ligatures w14:val="standardContextual"/>
              </w:rPr>
              <w:t>Viável em 2027</w:t>
            </w:r>
            <w:r>
              <w:rPr>
                <w:rFonts w:ascii="EB Garamond" w:hAnsi="EB Garamond" w:cs="EB Garamond"/>
                <w:b w:val="0"/>
                <w:i w:val="0"/>
                <w:color w:val="201B16"/>
                <w:sz w:val="19"/>
                <w:lang w:val="pt-BR" w:bidi="ar-SA"/>
                <w:kern w:val="16"/>
                <w14:ligatures w14:val="standardContextual"/>
              </w:rPr>
              <w:t xml:space="preserve"> (com 34 TC e 59 anos)</w:t>
            </w:r>
          </w:p>
          <w:p>
            <w:pPr>
              <w:spacing w:before="0" w:after="60" w:line="247" w:lineRule="auto"/>
              <w:jc w:val="both"/>
            </w:pPr>
            <w:r>
              <w:rPr>
                <w:rFonts w:ascii="EB Garamond" w:hAnsi="EB Garamond" w:cs="EB Garamond"/>
                <w:b/>
                <w:i w:val="0"/>
                <w:color w:val="201B16"/>
                <w:sz w:val="19"/>
                <w:lang w:val="pt-BR" w:bidi="ar-SA"/>
                <w:kern w:val="16"/>
                <w14:ligatures w14:val="standardContextual"/>
              </w:rPr>
              <w:t>Cálculo do break-even — Art. 15 (2028) vs. Art. 20 (2027):</w:t>
            </w:r>
            <w:r>
              <w:rPr>
                <w:rFonts w:ascii="EB Garamond" w:hAnsi="EB Garamond" w:cs="EB Garamond"/>
                <w:b w:val="0"/>
                <w:i w:val="0"/>
                <w:color w:val="201B16"/>
                <w:sz w:val="19"/>
                <w:lang w:val="pt-BR" w:bidi="ar-SA"/>
                <w:kern w:val="16"/>
                <w14:ligatures w14:val="standardContextual"/>
              </w:rPr>
              <w:t xml:space="preserve"> - Art. 20 (2027): média 100% = R$ 3.800 × 100% = </w:t>
            </w:r>
            <w:r>
              <w:rPr>
                <w:rFonts w:ascii="EB Garamond" w:hAnsi="EB Garamond" w:cs="EB Garamond"/>
                <w:b/>
                <w:i w:val="0"/>
                <w:color w:val="201B16"/>
                <w:sz w:val="19"/>
                <w:lang w:val="pt-BR" w:bidi="ar-SA"/>
                <w:kern w:val="16"/>
                <w14:ligatures w14:val="standardContextual"/>
              </w:rPr>
              <w:t>R$ 3.800</w:t>
            </w:r>
            <w:r>
              <w:rPr>
                <w:rFonts w:ascii="EB Garamond" w:hAnsi="EB Garamond" w:cs="EB Garamond"/>
                <w:b w:val="0"/>
                <w:i w:val="0"/>
                <w:color w:val="201B16"/>
                <w:sz w:val="19"/>
                <w:lang w:val="pt-BR" w:bidi="ar-SA"/>
                <w:kern w:val="16"/>
                <w14:ligatures w14:val="standardContextual"/>
              </w:rPr>
              <w:t xml:space="preserve"> - Art. 15 (2028): média 100% = R$ 3.800 × (60%+2%×20) = R$ 3.800 × 100% = </w:t>
            </w:r>
            <w:r>
              <w:rPr>
                <w:rFonts w:ascii="EB Garamond" w:hAnsi="EB Garamond" w:cs="EB Garamond"/>
                <w:b/>
                <w:i w:val="0"/>
                <w:color w:val="201B16"/>
                <w:sz w:val="19"/>
                <w:lang w:val="pt-BR" w:bidi="ar-SA"/>
                <w:kern w:val="16"/>
                <w14:ligatures w14:val="standardContextual"/>
              </w:rPr>
              <w:t>R$ 3.800</w:t>
            </w:r>
            <w:r>
              <w:rPr>
                <w:rFonts w:ascii="EB Garamond" w:hAnsi="EB Garamond" w:cs="EB Garamond"/>
                <w:b w:val="0"/>
                <w:i w:val="0"/>
                <w:color w:val="201B16"/>
                <w:sz w:val="19"/>
                <w:lang w:val="pt-BR" w:bidi="ar-SA"/>
                <w:kern w:val="16"/>
                <w14:ligatures w14:val="standardContextual"/>
              </w:rPr>
              <w:t xml:space="preserve"> - Neste caso, RMIs iguais → não vale esperar. Melhor requerer pelo art. 20 em 2027.</w:t>
            </w:r>
          </w:p>
          <w:p>
            <w:pPr>
              <w:spacing w:before="0" w:after="60" w:line="247" w:lineRule="auto"/>
              <w:jc w:val="both"/>
            </w:pPr>
            <w:r>
              <w:rPr>
                <w:rFonts w:ascii="EB Garamond" w:hAnsi="EB Garamond" w:cs="EB Garamond"/>
                <w:b/>
                <w:i w:val="0"/>
                <w:color w:val="201B16"/>
                <w:sz w:val="19"/>
                <w:lang w:val="pt-BR" w:bidi="ar-SA"/>
                <w:kern w:val="16"/>
                <w14:ligatures w14:val="standardContextual"/>
              </w:rPr>
              <w:t>Outro cenário (valores diferentes):</w:t>
            </w:r>
            <w:r>
              <w:rPr>
                <w:rFonts w:ascii="EB Garamond" w:hAnsi="EB Garamond" w:cs="EB Garamond"/>
                <w:b w:val="0"/>
                <w:i w:val="0"/>
                <w:color w:val="201B16"/>
                <w:sz w:val="19"/>
                <w:lang w:val="pt-BR" w:bidi="ar-SA"/>
                <w:kern w:val="16"/>
                <w14:ligatures w14:val="standardContextual"/>
              </w:rPr>
              <w:t xml:space="preserve"> - Art. 20 (2027): R$ 3.800 × 100% = R$ 3.800/mês (12 meses antes do art. 15) - Art. 15 (2028): média 100% com excl. SC = R$ 4.200 × 100% = R$ 4.200/mês - Ganho mensal: R$ 400 - Custo da espera: 12 meses × R$ 3.800 = R$ 45.600 - Ponto de equilíbrio: R$ 45.600 / R$ 400 = </w:t>
            </w:r>
            <w:r>
              <w:rPr>
                <w:rFonts w:ascii="EB Garamond" w:hAnsi="EB Garamond" w:cs="EB Garamond"/>
                <w:b/>
                <w:i w:val="0"/>
                <w:color w:val="201B16"/>
                <w:sz w:val="19"/>
                <w:lang w:val="pt-BR" w:bidi="ar-SA"/>
                <w:kern w:val="16"/>
                <w14:ligatures w14:val="standardContextual"/>
              </w:rPr>
              <w:t>114 meses (9,5 anos)</w:t>
            </w:r>
            <w:r>
              <w:rPr>
                <w:rFonts w:ascii="EB Garamond" w:hAnsi="EB Garamond" w:cs="EB Garamond"/>
                <w:b w:val="0"/>
                <w:i w:val="0"/>
                <w:color w:val="201B16"/>
                <w:sz w:val="19"/>
                <w:lang w:val="pt-BR" w:bidi="ar-SA"/>
                <w:kern w:val="16"/>
                <w14:ligatures w14:val="standardContextual"/>
              </w:rPr>
              <w:t xml:space="preserve"> - Se Marta tem expectativa de receber aposentadoria por mais de 9,5 anos após 2028, vale esperar.</w:t>
            </w: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Riscos do planejamento previdenciário, o que pode dar errado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planejamento previdenciário opera com projeções e, como toda projeção, está sujeito a riscos que podem frustrar a estratégia:</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1. </w:t>
            </w:r>
            <w:r>
              <w:rPr>
                <w:rFonts w:ascii="EB Garamond" w:hAnsi="EB Garamond" w:cs="EB Garamond"/>
                <w:b/>
                <w:i w:val="0"/>
                <w:color w:val="201B16"/>
                <w:sz w:val="19"/>
                <w:lang w:val="pt-BR" w:bidi="ar-SA"/>
                <w:kern w:val="16"/>
                <w14:ligatures w14:val="standardContextual"/>
              </w:rPr>
              <w:t>Mudança legislativa:</w:t>
            </w:r>
            <w:r>
              <w:rPr>
                <w:rFonts w:ascii="EB Garamond" w:hAnsi="EB Garamond" w:cs="EB Garamond"/>
                <w:b w:val="0"/>
                <w:i w:val="0"/>
                <w:color w:val="201B16"/>
                <w:sz w:val="19"/>
                <w:lang w:val="pt-BR" w:bidi="ar-SA"/>
                <w:kern w:val="16"/>
                <w14:ligatures w14:val="standardContextual"/>
              </w:rPr>
              <w:t xml:space="preserve"> Embora as regras de transição tenham proteção constitucional (art. 5º, XXXVI, CF), o legislador pode criar novas regras que alterem o cenário. A própria EC 103/2019 é exemplo disso.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2. </w:t>
            </w:r>
            <w:r>
              <w:rPr>
                <w:rFonts w:ascii="EB Garamond" w:hAnsi="EB Garamond" w:cs="EB Garamond"/>
                <w:b/>
                <w:i w:val="0"/>
                <w:color w:val="201B16"/>
                <w:sz w:val="19"/>
                <w:lang w:val="pt-BR" w:bidi="ar-SA"/>
                <w:kern w:val="16"/>
                <w14:ligatures w14:val="standardContextual"/>
              </w:rPr>
              <w:t>Incapacidade superveniente:</w:t>
            </w:r>
            <w:r>
              <w:rPr>
                <w:rFonts w:ascii="EB Garamond" w:hAnsi="EB Garamond" w:cs="EB Garamond"/>
                <w:b w:val="0"/>
                <w:i w:val="0"/>
                <w:color w:val="201B16"/>
                <w:sz w:val="19"/>
                <w:lang w:val="pt-BR" w:bidi="ar-SA"/>
                <w:kern w:val="16"/>
                <w14:ligatures w14:val="standardContextual"/>
              </w:rPr>
              <w:t xml:space="preserve"> O segurado pode ser acometido de doença ou acidente que o incapacite para o trabalho, sendo direcionado para benefício por incapacidade em vez de aposentadoria por TC. O benefício por incapacidade permanente (aposentadoria por incapacidade permanente) utiliza regra de cálculo distinta.</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3. </w:t>
            </w:r>
            <w:r>
              <w:rPr>
                <w:rFonts w:ascii="EB Garamond" w:hAnsi="EB Garamond" w:cs="EB Garamond"/>
                <w:b/>
                <w:i w:val="0"/>
                <w:color w:val="201B16"/>
                <w:sz w:val="19"/>
                <w:lang w:val="pt-BR" w:bidi="ar-SA"/>
                <w:kern w:val="16"/>
                <w14:ligatures w14:val="standardContextual"/>
              </w:rPr>
              <w:t>Desemprego involuntário:</w:t>
            </w:r>
            <w:r>
              <w:rPr>
                <w:rFonts w:ascii="EB Garamond" w:hAnsi="EB Garamond" w:cs="EB Garamond"/>
                <w:b w:val="0"/>
                <w:i w:val="0"/>
                <w:color w:val="201B16"/>
                <w:sz w:val="19"/>
                <w:lang w:val="pt-BR" w:bidi="ar-SA"/>
                <w:kern w:val="16"/>
                <w14:ligatures w14:val="standardContextual"/>
              </w:rPr>
              <w:t xml:space="preserve"> O segurado que perde o emprego pode ficar sem contribuições, interrompendo o crescimento do TC. A qualidade de segurado é mantida por 12 a 36 meses (art. 15, Lei 8.213/91), mas o TC não cresce no período.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4. </w:t>
            </w:r>
            <w:r>
              <w:rPr>
                <w:rFonts w:ascii="EB Garamond" w:hAnsi="EB Garamond" w:cs="EB Garamond"/>
                <w:b/>
                <w:i w:val="0"/>
                <w:color w:val="201B16"/>
                <w:sz w:val="19"/>
                <w:lang w:val="pt-BR" w:bidi="ar-SA"/>
                <w:kern w:val="16"/>
                <w14:ligatures w14:val="standardContextual"/>
              </w:rPr>
              <w:t>Alteração da tabela IBGE:</w:t>
            </w:r>
            <w:r>
              <w:rPr>
                <w:rFonts w:ascii="EB Garamond" w:hAnsi="EB Garamond" w:cs="EB Garamond"/>
                <w:b w:val="0"/>
                <w:i w:val="0"/>
                <w:color w:val="201B16"/>
                <w:sz w:val="19"/>
                <w:lang w:val="pt-BR" w:bidi="ar-SA"/>
                <w:kern w:val="16"/>
                <w14:ligatures w14:val="standardContextual"/>
              </w:rPr>
              <w:t xml:space="preserve"> A expectativa de sobrevida utilizada no fator previdenciário é atualizada anualmente. Um aumento na expectativa de vida reduz o fator, podendo frustrar a projeção.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5. </w:t>
            </w:r>
            <w:r>
              <w:rPr>
                <w:rFonts w:ascii="EB Garamond" w:hAnsi="EB Garamond" w:cs="EB Garamond"/>
                <w:b/>
                <w:i w:val="0"/>
                <w:color w:val="201B16"/>
                <w:sz w:val="19"/>
                <w:lang w:val="pt-BR" w:bidi="ar-SA"/>
                <w:kern w:val="16"/>
                <w14:ligatures w14:val="standardContextual"/>
              </w:rPr>
              <w:t>Óbito:</w:t>
            </w:r>
            <w:r>
              <w:rPr>
                <w:rFonts w:ascii="EB Garamond" w:hAnsi="EB Garamond" w:cs="EB Garamond"/>
                <w:b w:val="0"/>
                <w:i w:val="0"/>
                <w:color w:val="201B16"/>
                <w:sz w:val="19"/>
                <w:lang w:val="pt-BR" w:bidi="ar-SA"/>
                <w:kern w:val="16"/>
                <w14:ligatures w14:val="standardContextual"/>
              </w:rPr>
              <w:t xml:space="preserve"> O segurado que falece antes de se aposentar transfere aos dependentes o direito à pensão por morte, que tem regra de cálculo própria (art. 23, EC 103 — 50% + 10% por dependente, sobre 60%+2% da média). O valor é significativamente inferior ao da aposentadoria por TC.</w:t>
            </w:r>
          </w:p>
          <w:p>
            <w:pPr>
              <w:spacing w:before="0" w:after="60" w:line="247" w:lineRule="auto"/>
              <w:jc w:val="both"/>
            </w:pPr>
            <w:r>
              <w:rPr>
                <w:rFonts w:ascii="EB Garamond" w:hAnsi="EB Garamond" w:cs="EB Garamond"/>
                <w:b/>
                <w:i w:val="0"/>
                <w:color w:val="201B16"/>
                <w:sz w:val="19"/>
                <w:lang w:val="pt-BR" w:bidi="ar-SA"/>
                <w:kern w:val="16"/>
                <w14:ligatures w14:val="standardContextual"/>
              </w:rPr>
              <w:t>Recomendação:</w:t>
            </w:r>
            <w:r>
              <w:rPr>
                <w:rFonts w:ascii="EB Garamond" w:hAnsi="EB Garamond" w:cs="EB Garamond"/>
                <w:b w:val="0"/>
                <w:i w:val="0"/>
                <w:color w:val="201B16"/>
                <w:sz w:val="19"/>
                <w:lang w:val="pt-BR" w:bidi="ar-SA"/>
                <w:kern w:val="16"/>
                <w14:ligatures w14:val="standardContextual"/>
              </w:rPr>
              <w:t xml:space="preserve"> O planejamento deve ser revisto periodicamente (ao menos anualmente) e o segurado deve ser alertado sobre esses riscos. A decisão final é sempre do cliente, devidamente informado.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11.15 Cálculo detalhado do benefício: caso unificado por cada regra</w:t>
      </w:r>
    </w:p>
    <w:p>
      <w:pPr>
        <w:spacing w:before="260" w:after="80" w:line="240" w:lineRule="auto"/>
        <w:jc w:val="left"/>
      </w:pPr>
      <w:r>
        <w:rPr>
          <w:rFonts w:ascii="EB Garamond" w:hAnsi="EB Garamond" w:cs="EB Garamond"/>
          <w:b/>
          <w:i w:val="0"/>
          <w:color w:val="3A3128"/>
          <w:sz w:val="25"/>
          <w:lang w:val="pt-BR" w:bidi="ar-SA"/>
          <w:kern w:val="16"/>
          <w14:ligatures w14:val="standardContextual"/>
        </w:rPr>
        <w:t>11.15.1 Apresentação do caso-base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seção 11.10 apresentou um quadro comparativo simplificado. Neste tópico, aprofunda-se a análise com um caso-base unificado calculado por todas as regras, demonstrando passo a passo o procedimento de cálculo que o advogado deve realizar na prática. O objetivo é fornecer um modelo replicável para qualquer caso concreto.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Ricardo</w:t>
      </w:r>
      <w:r>
        <w:rPr>
          <w:rFonts w:ascii="EB Garamond" w:hAnsi="EB Garamond" w:cs="EB Garamond"/>
          <w:b w:val="0"/>
          <w:i w:val="0"/>
          <w:color w:val="201B16"/>
          <w:sz w:val="21"/>
          <w:lang w:val="pt-BR" w:bidi="ar-SA"/>
          <w:kern w:val="16"/>
          <w14:ligatures w14:val="standardContextual"/>
        </w:rPr>
        <w:t>, homem, 62 anos em maio/2026 (nascido em maio/1964). Filiado ao RGPS desde janeiro/1989. Dados previdenciários: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TC total em maio/2026:</w:t>
      </w:r>
      <w:r>
        <w:rPr>
          <w:rFonts w:ascii="EB Garamond" w:hAnsi="EB Garamond" w:cs="EB Garamond"/>
          <w:b w:val="0"/>
          <w:i w:val="0"/>
          <w:color w:val="201B16"/>
          <w:sz w:val="20"/>
          <w:lang w:val="pt-BR" w:bidi="ar-SA"/>
          <w:kern w:val="16"/>
          <w14:ligatures w14:val="standardContextual"/>
        </w:rPr>
        <w:t xml:space="preserve"> 37 anos e 4 meses (37,33 anos)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TC em 13/11/2019:</w:t>
      </w:r>
      <w:r>
        <w:rPr>
          <w:rFonts w:ascii="EB Garamond" w:hAnsi="EB Garamond" w:cs="EB Garamond"/>
          <w:b w:val="0"/>
          <w:i w:val="0"/>
          <w:color w:val="201B16"/>
          <w:sz w:val="20"/>
          <w:lang w:val="pt-BR" w:bidi="ar-SA"/>
          <w:kern w:val="16"/>
          <w14:ligatures w14:val="standardContextual"/>
        </w:rPr>
        <w:t xml:space="preserve"> 30 anos e 10 meses (30,83 anos)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Períodos de atividade especial:</w:t>
      </w:r>
      <w:r>
        <w:rPr>
          <w:rFonts w:ascii="EB Garamond" w:hAnsi="EB Garamond" w:cs="EB Garamond"/>
          <w:b w:val="0"/>
          <w:i w:val="0"/>
          <w:color w:val="201B16"/>
          <w:sz w:val="20"/>
          <w:lang w:val="pt-BR" w:bidi="ar-SA"/>
          <w:kern w:val="16"/>
          <w14:ligatures w14:val="standardContextual"/>
        </w:rPr>
        <w:t xml:space="preserve"> 8 anos (1992-2000), atividade de 25 anos (fator 1,40)</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TC com conversão:</w:t>
      </w:r>
      <w:r>
        <w:rPr>
          <w:rFonts w:ascii="EB Garamond" w:hAnsi="EB Garamond" w:cs="EB Garamond"/>
          <w:b w:val="0"/>
          <w:i w:val="0"/>
          <w:color w:val="201B16"/>
          <w:sz w:val="20"/>
          <w:lang w:val="pt-BR" w:bidi="ar-SA"/>
          <w:kern w:val="16"/>
          <w14:ligatures w14:val="standardContextual"/>
        </w:rPr>
        <w:t xml:space="preserve"> 8 × 1,40 = 11,2 + 29,33 (restante) = 40,53 anos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Idade em 13/11/2019:</w:t>
      </w:r>
      <w:r>
        <w:rPr>
          <w:rFonts w:ascii="EB Garamond" w:hAnsi="EB Garamond" w:cs="EB Garamond"/>
          <w:b w:val="0"/>
          <w:i w:val="0"/>
          <w:color w:val="201B16"/>
          <w:sz w:val="20"/>
          <w:lang w:val="pt-BR" w:bidi="ar-SA"/>
          <w:kern w:val="16"/>
          <w14:ligatures w14:val="standardContextual"/>
        </w:rPr>
        <w:t xml:space="preserve"> 55 anos e 6 meses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Média dos 80% maiores SC:</w:t>
      </w:r>
      <w:r>
        <w:rPr>
          <w:rFonts w:ascii="EB Garamond" w:hAnsi="EB Garamond" w:cs="EB Garamond"/>
          <w:b w:val="0"/>
          <w:i w:val="0"/>
          <w:color w:val="201B16"/>
          <w:sz w:val="20"/>
          <w:lang w:val="pt-BR" w:bidi="ar-SA"/>
          <w:kern w:val="16"/>
          <w14:ligatures w14:val="standardContextual"/>
        </w:rPr>
        <w:t xml:space="preserve"> R$ 6.500,00</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Média de 100% dos SC:</w:t>
      </w:r>
      <w:r>
        <w:rPr>
          <w:rFonts w:ascii="EB Garamond" w:hAnsi="EB Garamond" w:cs="EB Garamond"/>
          <w:b w:val="0"/>
          <w:i w:val="0"/>
          <w:color w:val="201B16"/>
          <w:sz w:val="20"/>
          <w:lang w:val="pt-BR" w:bidi="ar-SA"/>
          <w:kern w:val="16"/>
          <w14:ligatures w14:val="standardContextual"/>
        </w:rPr>
        <w:t xml:space="preserve"> R$ 5.600,00</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Média de 100% dos SC com exclusão (art. 26, § 6º):</w:t>
      </w:r>
      <w:r>
        <w:rPr>
          <w:rFonts w:ascii="EB Garamond" w:hAnsi="EB Garamond" w:cs="EB Garamond"/>
          <w:b w:val="0"/>
          <w:i w:val="0"/>
          <w:color w:val="201B16"/>
          <w:sz w:val="20"/>
          <w:lang w:val="pt-BR" w:bidi="ar-SA"/>
          <w:kern w:val="16"/>
          <w14:ligatures w14:val="standardContextual"/>
        </w:rPr>
        <w:t xml:space="preserve"> R$ 5.900,00 (excluindo 15 meses de SC que reduziam a média)</w:t>
      </w:r>
    </w:p>
    <w:p>
      <w:pPr>
        <w:spacing w:before="0" w:after="6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11.15.2 Cálculo 1 — direito adquirido TC + fator previdenciário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V</w:t>
      </w:r>
    </w:p>
    <w:p>
      <w:pPr>
        <w:spacing w:before="0" w:after="70" w:line="259" w:lineRule="auto"/>
        <w:jc w:val="both"/>
      </w:pPr>
      <w:r>
        <w:rPr>
          <w:rFonts w:ascii="EB Garamond" w:hAnsi="EB Garamond" w:cs="EB Garamond"/>
          <w:b/>
          <w:i w:val="0"/>
          <w:color w:val="201B16"/>
          <w:sz w:val="21"/>
          <w:lang w:val="pt-BR" w:bidi="ar-SA"/>
          <w:kern w:val="16"/>
          <w14:ligatures w14:val="standardContextual"/>
        </w:rPr>
        <w:t>erificação de elegibilidade:</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 xml:space="preserve">TC até 12/11/2019: 30,83 anos &lt; 35 anos → </w:t>
      </w:r>
      <w:r>
        <w:rPr>
          <w:rFonts w:ascii="EB Garamond" w:hAnsi="EB Garamond" w:cs="EB Garamond"/>
          <w:b/>
          <w:i w:val="0"/>
          <w:color w:val="201B16"/>
          <w:sz w:val="20"/>
          <w:lang w:val="pt-BR" w:bidi="ar-SA"/>
          <w:kern w:val="16"/>
          <w14:ligatures w14:val="standardContextual"/>
        </w:rPr>
        <w:t>NÃO ELEGÍVEL</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Ricardo não completou 35 anos de TC antes da EC 103/2019.</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R</w:t>
      </w:r>
    </w:p>
    <w:p>
      <w:pPr>
        <w:spacing w:before="0" w:after="70" w:line="259" w:lineRule="auto"/>
        <w:jc w:val="both"/>
      </w:pPr>
      <w:r>
        <w:rPr>
          <w:rFonts w:ascii="EB Garamond" w:hAnsi="EB Garamond" w:cs="EB Garamond"/>
          <w:b/>
          <w:i w:val="0"/>
          <w:color w:val="201B16"/>
          <w:sz w:val="21"/>
          <w:lang w:val="pt-BR" w:bidi="ar-SA"/>
          <w:kern w:val="16"/>
          <w14:ligatures w14:val="standardContextual"/>
        </w:rPr>
        <w:t>esultado:</w:t>
      </w:r>
      <w:r>
        <w:rPr>
          <w:rFonts w:ascii="EB Garamond" w:hAnsi="EB Garamond" w:cs="EB Garamond"/>
          <w:b w:val="0"/>
          <w:i w:val="0"/>
          <w:color w:val="201B16"/>
          <w:sz w:val="21"/>
          <w:lang w:val="pt-BR" w:bidi="ar-SA"/>
          <w:kern w:val="16"/>
          <w14:ligatures w14:val="standardContextual"/>
        </w:rPr>
        <w:t xml:space="preserve"> Inaplicável.</w:t>
      </w:r>
    </w:p>
    <w:p>
      <w:pPr>
        <w:spacing w:before="260" w:after="80" w:line="240" w:lineRule="auto"/>
        <w:jc w:val="left"/>
      </w:pPr>
      <w:r>
        <w:rPr>
          <w:rFonts w:ascii="EB Garamond" w:hAnsi="EB Garamond" w:cs="EB Garamond"/>
          <w:b/>
          <w:i w:val="0"/>
          <w:color w:val="3A3128"/>
          <w:sz w:val="25"/>
          <w:lang w:val="pt-BR" w:bidi="ar-SA"/>
          <w:kern w:val="16"/>
          <w14:ligatures w14:val="standardContextual"/>
        </w:rPr>
        <w:t>11.15.3 Cálculo 2 — direito adquirido regra 85/95</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V</w:t>
      </w:r>
    </w:p>
    <w:p>
      <w:pPr>
        <w:spacing w:before="0" w:after="70" w:line="259" w:lineRule="auto"/>
        <w:jc w:val="both"/>
      </w:pPr>
      <w:r>
        <w:rPr>
          <w:rFonts w:ascii="EB Garamond" w:hAnsi="EB Garamond" w:cs="EB Garamond"/>
          <w:b/>
          <w:i w:val="0"/>
          <w:color w:val="201B16"/>
          <w:sz w:val="21"/>
          <w:lang w:val="pt-BR" w:bidi="ar-SA"/>
          <w:kern w:val="16"/>
          <w14:ligatures w14:val="standardContextual"/>
        </w:rPr>
        <w:t>erificação de elegibilidade:</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 xml:space="preserve">TC até 12/11/2019: 30,83 anos &lt; 35 anos → </w:t>
      </w:r>
      <w:r>
        <w:rPr>
          <w:rFonts w:ascii="EB Garamond" w:hAnsi="EB Garamond" w:cs="EB Garamond"/>
          <w:b/>
          <w:i w:val="0"/>
          <w:color w:val="201B16"/>
          <w:sz w:val="20"/>
          <w:lang w:val="pt-BR" w:bidi="ar-SA"/>
          <w:kern w:val="16"/>
          <w14:ligatures w14:val="standardContextual"/>
        </w:rPr>
        <w:t>NÃO ELEGÍVEL</w:t>
      </w:r>
      <w:r>
        <w:rPr>
          <w:rFonts w:ascii="EB Garamond" w:hAnsi="EB Garamond" w:cs="EB Garamond"/>
          <w:b w:val="0"/>
          <w:i w:val="0"/>
          <w:color w:val="201B16"/>
          <w:sz w:val="20"/>
          <w:lang w:val="pt-BR" w:bidi="ar-SA"/>
          <w:kern w:val="16"/>
          <w14:ligatures w14:val="standardContextual"/>
        </w:rPr>
        <w:t xml:space="preserve"> (não atingiu TC mínimo)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Mesmo com conversão especial: TC convertido até 2019 = 8×1,4 + 22,83 = 34,03 &lt; 35 → Não</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R</w:t>
      </w:r>
    </w:p>
    <w:p>
      <w:pPr>
        <w:spacing w:before="0" w:after="70" w:line="259" w:lineRule="auto"/>
        <w:jc w:val="both"/>
      </w:pPr>
      <w:r>
        <w:rPr>
          <w:rFonts w:ascii="EB Garamond" w:hAnsi="EB Garamond" w:cs="EB Garamond"/>
          <w:b/>
          <w:i w:val="0"/>
          <w:color w:val="201B16"/>
          <w:sz w:val="21"/>
          <w:lang w:val="pt-BR" w:bidi="ar-SA"/>
          <w:kern w:val="16"/>
          <w14:ligatures w14:val="standardContextual"/>
        </w:rPr>
        <w:t>esultado:</w:t>
      </w:r>
      <w:r>
        <w:rPr>
          <w:rFonts w:ascii="EB Garamond" w:hAnsi="EB Garamond" w:cs="EB Garamond"/>
          <w:b w:val="0"/>
          <w:i w:val="0"/>
          <w:color w:val="201B16"/>
          <w:sz w:val="21"/>
          <w:lang w:val="pt-BR" w:bidi="ar-SA"/>
          <w:kern w:val="16"/>
          <w14:ligatures w14:val="standardContextual"/>
        </w:rPr>
        <w:t xml:space="preserve"> Inaplicável.</w:t>
      </w:r>
    </w:p>
    <w:p>
      <w:pPr>
        <w:spacing w:before="260" w:after="80" w:line="240" w:lineRule="auto"/>
        <w:jc w:val="left"/>
      </w:pPr>
      <w:r>
        <w:rPr>
          <w:rFonts w:ascii="EB Garamond" w:hAnsi="EB Garamond" w:cs="EB Garamond"/>
          <w:b/>
          <w:i w:val="0"/>
          <w:color w:val="3A3128"/>
          <w:sz w:val="25"/>
          <w:lang w:val="pt-BR" w:bidi="ar-SA"/>
          <w:kern w:val="16"/>
          <w14:ligatures w14:val="standardContextual"/>
        </w:rPr>
        <w:t>11.15.4 Cálculo 3 — art. 15 (pontos)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V</w:t>
      </w:r>
    </w:p>
    <w:p>
      <w:pPr>
        <w:spacing w:before="0" w:after="70" w:line="259" w:lineRule="auto"/>
        <w:jc w:val="both"/>
      </w:pPr>
      <w:r>
        <w:rPr>
          <w:rFonts w:ascii="EB Garamond" w:hAnsi="EB Garamond" w:cs="EB Garamond"/>
          <w:b/>
          <w:i w:val="0"/>
          <w:color w:val="201B16"/>
          <w:sz w:val="21"/>
          <w:lang w:val="pt-BR" w:bidi="ar-SA"/>
          <w:kern w:val="16"/>
          <w14:ligatures w14:val="standardContextual"/>
        </w:rPr>
        <w:t>erificação de elegibilidade (usando TC sem conversão, pois os arts. 15-16 usam TC real):</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TC: 37,33 anos ≥ 35 ✅</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 xml:space="preserve">Pontos: 62 + 37,33 = 99,33 &lt; 103 (2026) → </w:t>
      </w:r>
      <w:r>
        <w:rPr>
          <w:rFonts w:ascii="EB Garamond" w:hAnsi="EB Garamond" w:cs="EB Garamond"/>
          <w:b/>
          <w:i w:val="0"/>
          <w:color w:val="201B16"/>
          <w:sz w:val="20"/>
          <w:lang w:val="pt-BR" w:bidi="ar-SA"/>
          <w:kern w:val="16"/>
          <w14:ligatures w14:val="standardContextual"/>
        </w:rPr>
        <w:t>NÃO ELEGÍVEL em 2026</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Projeção 2027: 63 + 38,33 = 101,33 &lt; 104 → NÃO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Projeção 2028: 64 + 39,33 = 103,33 &lt; 105 (estabilizado) → NÃO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 xml:space="preserve">Projeção 2029: 65 + 40,33 = 105,33 ≥ 105 → </w:t>
      </w:r>
      <w:r>
        <w:rPr>
          <w:rFonts w:ascii="EB Garamond" w:hAnsi="EB Garamond" w:cs="EB Garamond"/>
          <w:b/>
          <w:i w:val="0"/>
          <w:color w:val="201B16"/>
          <w:sz w:val="20"/>
          <w:lang w:val="pt-BR" w:bidi="ar-SA"/>
          <w:kern w:val="16"/>
          <w14:ligatures w14:val="standardContextual"/>
        </w:rPr>
        <w:t>ELEGÍVEL em 2029</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C</w:t>
      </w:r>
    </w:p>
    <w:p>
      <w:pPr>
        <w:spacing w:before="0" w:after="70" w:line="259" w:lineRule="auto"/>
        <w:jc w:val="both"/>
      </w:pPr>
      <w:r>
        <w:rPr>
          <w:rFonts w:ascii="EB Garamond" w:hAnsi="EB Garamond" w:cs="EB Garamond"/>
          <w:b/>
          <w:i w:val="0"/>
          <w:color w:val="201B16"/>
          <w:sz w:val="21"/>
          <w:lang w:val="pt-BR" w:bidi="ar-SA"/>
          <w:kern w:val="16"/>
          <w14:ligatures w14:val="standardContextual"/>
        </w:rPr>
        <w:t>álculo (projeção 2029):</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Média 100% SC (com exclusão): R$ 5.900,00</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Coeficiente: 60% + 2% × (40,33 - 20) = 60% + 40,66% = 100,66% (não há limitação a 100% — o art. 26, § 5º, EC 103, limita apenas a aposentadoria por incapacidade permanente não acidentária)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 xml:space="preserve">RMI: R$ 5.900 × 100,66% = </w:t>
      </w:r>
      <w:r>
        <w:rPr>
          <w:rFonts w:ascii="EB Garamond" w:hAnsi="EB Garamond" w:cs="EB Garamond"/>
          <w:b/>
          <w:i w:val="0"/>
          <w:color w:val="201B16"/>
          <w:sz w:val="20"/>
          <w:lang w:val="pt-BR" w:bidi="ar-SA"/>
          <w:kern w:val="16"/>
          <w14:ligatures w14:val="standardContextual"/>
        </w:rPr>
        <w:t>R$ 5.938,94</w:t>
      </w:r>
      <w:r>
        <w:rPr>
          <w:rFonts w:ascii="EB Garamond" w:hAnsi="EB Garamond" w:cs="EB Garamond"/>
          <w:b w:val="0"/>
          <w:i w:val="0"/>
          <w:color w:val="201B16"/>
          <w:sz w:val="20"/>
          <w:lang w:val="pt-BR" w:bidi="ar-SA"/>
          <w:kern w:val="16"/>
          <w14:ligatures w14:val="standardContextual"/>
        </w:rPr>
        <w:t xml:space="preserve"> (limitado ao teto RGPS)</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bservação: sem conversão de tempo especial. A conversão de tempo especial em comum não gera acréscimo no TC para fins dos arts. 15 e 16 quando o segurado já possui o TC mínimo de 35 anos; ela é útil quando o segurado NÃO atingiu os 35 anos de TC com o tempo real.</w:t>
      </w:r>
    </w:p>
    <w:p>
      <w:pPr>
        <w:spacing w:before="260" w:after="80" w:line="240" w:lineRule="auto"/>
        <w:jc w:val="left"/>
      </w:pPr>
      <w:r>
        <w:rPr>
          <w:rFonts w:ascii="EB Garamond" w:hAnsi="EB Garamond" w:cs="EB Garamond"/>
          <w:b/>
          <w:i w:val="0"/>
          <w:color w:val="3A3128"/>
          <w:sz w:val="25"/>
          <w:lang w:val="pt-BR" w:bidi="ar-SA"/>
          <w:kern w:val="16"/>
          <w14:ligatures w14:val="standardContextual"/>
        </w:rPr>
        <w:t>11.15.5 Cálculo 4 — art. 16 (idade mínima progressiva)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V</w:t>
      </w:r>
    </w:p>
    <w:p>
      <w:pPr>
        <w:spacing w:before="0" w:after="70" w:line="259" w:lineRule="auto"/>
        <w:jc w:val="both"/>
      </w:pPr>
      <w:r>
        <w:rPr>
          <w:rFonts w:ascii="EB Garamond" w:hAnsi="EB Garamond" w:cs="EB Garamond"/>
          <w:b/>
          <w:i w:val="0"/>
          <w:color w:val="201B16"/>
          <w:sz w:val="21"/>
          <w:lang w:val="pt-BR" w:bidi="ar-SA"/>
          <w:kern w:val="16"/>
          <w14:ligatures w14:val="standardContextual"/>
        </w:rPr>
        <w:t>erificação de elegibilidade:</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TC: 37,33 anos ≥ 35 ✅</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 xml:space="preserve">Idade 2026: 62 &lt; 64,5 → </w:t>
      </w:r>
      <w:r>
        <w:rPr>
          <w:rFonts w:ascii="EB Garamond" w:hAnsi="EB Garamond" w:cs="EB Garamond"/>
          <w:b/>
          <w:i w:val="0"/>
          <w:color w:val="201B16"/>
          <w:sz w:val="20"/>
          <w:lang w:val="pt-BR" w:bidi="ar-SA"/>
          <w:kern w:val="16"/>
          <w14:ligatures w14:val="standardContextual"/>
        </w:rPr>
        <w:t>NÃO ELEGÍVEL em 2026</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Projeção 2027: 63 &lt; 65 → NÃO (2027: homem = 65 anos, estabilizado)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 xml:space="preserve">Projeção 2029: 65 ≥ 65 → </w:t>
      </w:r>
      <w:r>
        <w:rPr>
          <w:rFonts w:ascii="EB Garamond" w:hAnsi="EB Garamond" w:cs="EB Garamond"/>
          <w:b/>
          <w:i w:val="0"/>
          <w:color w:val="201B16"/>
          <w:sz w:val="20"/>
          <w:lang w:val="pt-BR" w:bidi="ar-SA"/>
          <w:kern w:val="16"/>
          <w14:ligatures w14:val="standardContextual"/>
        </w:rPr>
        <w:t>ELEGÍVEL em 2029</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C</w:t>
      </w:r>
    </w:p>
    <w:p>
      <w:pPr>
        <w:spacing w:before="0" w:after="70" w:line="259" w:lineRule="auto"/>
        <w:jc w:val="both"/>
      </w:pPr>
      <w:r>
        <w:rPr>
          <w:rFonts w:ascii="EB Garamond" w:hAnsi="EB Garamond" w:cs="EB Garamond"/>
          <w:b/>
          <w:i w:val="0"/>
          <w:color w:val="201B16"/>
          <w:sz w:val="21"/>
          <w:lang w:val="pt-BR" w:bidi="ar-SA"/>
          <w:kern w:val="16"/>
          <w14:ligatures w14:val="standardContextual"/>
        </w:rPr>
        <w:t>álculo (projeção 2029):</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Média 100% SC (com exclusão): R$ 5.900,00</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Coeficiente: 60% + 2% × (40,33 - 20) = 100,66%</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 xml:space="preserve">RMI: R$ 5.900 × 100,66% = </w:t>
      </w:r>
      <w:r>
        <w:rPr>
          <w:rFonts w:ascii="EB Garamond" w:hAnsi="EB Garamond" w:cs="EB Garamond"/>
          <w:b/>
          <w:i w:val="0"/>
          <w:color w:val="201B16"/>
          <w:sz w:val="20"/>
          <w:lang w:val="pt-BR" w:bidi="ar-SA"/>
          <w:kern w:val="16"/>
          <w14:ligatures w14:val="standardContextual"/>
        </w:rPr>
        <w:t>R$ 5.938,94</w:t>
      </w:r>
      <w:r>
        <w:rPr>
          <w:rFonts w:ascii="EB Garamond" w:hAnsi="EB Garamond" w:cs="EB Garamond"/>
          <w:b w:val="0"/>
          <w:i w:val="0"/>
          <w:color w:val="201B16"/>
          <w:sz w:val="20"/>
          <w:lang w:val="pt-BR" w:bidi="ar-SA"/>
          <w:kern w:val="16"/>
          <w14:ligatures w14:val="standardContextual"/>
        </w:rPr>
        <w:t xml:space="preserve"> (idêntico ao art. 15)</w:t>
      </w:r>
    </w:p>
    <w:p>
      <w:pPr>
        <w:spacing w:before="0" w:after="6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11.15.6 Cálculo 5 — art. 17 (pedágio 50%)</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V</w:t>
      </w:r>
    </w:p>
    <w:p>
      <w:pPr>
        <w:spacing w:before="0" w:after="70" w:line="259" w:lineRule="auto"/>
        <w:jc w:val="both"/>
      </w:pPr>
      <w:r>
        <w:rPr>
          <w:rFonts w:ascii="EB Garamond" w:hAnsi="EB Garamond" w:cs="EB Garamond"/>
          <w:b/>
          <w:i w:val="0"/>
          <w:color w:val="201B16"/>
          <w:sz w:val="21"/>
          <w:lang w:val="pt-BR" w:bidi="ar-SA"/>
          <w:kern w:val="16"/>
          <w14:ligatures w14:val="standardContextual"/>
        </w:rPr>
        <w:t>erificação de elegibilidade:</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 xml:space="preserve">TC em 13/11/2019: 30,83 anos → faltavam 4,17 anos para 35 → </w:t>
      </w:r>
      <w:r>
        <w:rPr>
          <w:rFonts w:ascii="EB Garamond" w:hAnsi="EB Garamond" w:cs="EB Garamond"/>
          <w:b/>
          <w:i w:val="0"/>
          <w:color w:val="201B16"/>
          <w:sz w:val="20"/>
          <w:lang w:val="pt-BR" w:bidi="ar-SA"/>
          <w:kern w:val="16"/>
          <w14:ligatures w14:val="standardContextual"/>
        </w:rPr>
        <w:t>&gt; 2 anos → NÃO ELEGÍVEL</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R</w:t>
      </w:r>
    </w:p>
    <w:p>
      <w:pPr>
        <w:spacing w:before="0" w:after="70" w:line="259" w:lineRule="auto"/>
        <w:jc w:val="both"/>
      </w:pPr>
      <w:r>
        <w:rPr>
          <w:rFonts w:ascii="EB Garamond" w:hAnsi="EB Garamond" w:cs="EB Garamond"/>
          <w:b/>
          <w:i w:val="0"/>
          <w:color w:val="201B16"/>
          <w:sz w:val="21"/>
          <w:lang w:val="pt-BR" w:bidi="ar-SA"/>
          <w:kern w:val="16"/>
          <w14:ligatures w14:val="standardContextual"/>
        </w:rPr>
        <w:t>esultado:</w:t>
      </w:r>
      <w:r>
        <w:rPr>
          <w:rFonts w:ascii="EB Garamond" w:hAnsi="EB Garamond" w:cs="EB Garamond"/>
          <w:b w:val="0"/>
          <w:i w:val="0"/>
          <w:color w:val="201B16"/>
          <w:sz w:val="21"/>
          <w:lang w:val="pt-BR" w:bidi="ar-SA"/>
          <w:kern w:val="16"/>
          <w14:ligatures w14:val="standardContextual"/>
        </w:rPr>
        <w:t xml:space="preserve"> Inaplicável. O pedágio 50% exige que faltassem menos de 2 anos em 13/11/2019.</w:t>
      </w:r>
    </w:p>
    <w:p>
      <w:pPr>
        <w:spacing w:before="260" w:after="80" w:line="240" w:lineRule="auto"/>
        <w:jc w:val="left"/>
      </w:pPr>
      <w:r>
        <w:rPr>
          <w:rFonts w:ascii="EB Garamond" w:hAnsi="EB Garamond" w:cs="EB Garamond"/>
          <w:b/>
          <w:i w:val="0"/>
          <w:color w:val="3A3128"/>
          <w:sz w:val="25"/>
          <w:lang w:val="pt-BR" w:bidi="ar-SA"/>
          <w:kern w:val="16"/>
          <w14:ligatures w14:val="standardContextual"/>
        </w:rPr>
        <w:t>11.15.7 Cálculo 6 — art. 20 (pedágio 100%)</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V</w:t>
      </w:r>
    </w:p>
    <w:p>
      <w:pPr>
        <w:spacing w:before="0" w:after="70" w:line="259" w:lineRule="auto"/>
        <w:jc w:val="both"/>
      </w:pPr>
      <w:r>
        <w:rPr>
          <w:rFonts w:ascii="EB Garamond" w:hAnsi="EB Garamond" w:cs="EB Garamond"/>
          <w:b/>
          <w:i w:val="0"/>
          <w:color w:val="201B16"/>
          <w:sz w:val="21"/>
          <w:lang w:val="pt-BR" w:bidi="ar-SA"/>
          <w:kern w:val="16"/>
          <w14:ligatures w14:val="standardContextual"/>
        </w:rPr>
        <w:t>erificação de elegibilidade:</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Idade: 62 ≥ 60 ✅</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TC: 37,33 ≥ 35 ✅</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Pedágio: faltavam 4,17 anos em 13/11/2019 → pedágio = 4,17 anos (4 anos e 2 meses)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TC necessário: 35 + 4,17 = 39,17 anos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 xml:space="preserve">TC atual: 37,33 &lt; 39,17 → </w:t>
      </w:r>
      <w:r>
        <w:rPr>
          <w:rFonts w:ascii="EB Garamond" w:hAnsi="EB Garamond" w:cs="EB Garamond"/>
          <w:b/>
          <w:i w:val="0"/>
          <w:color w:val="201B16"/>
          <w:sz w:val="20"/>
          <w:lang w:val="pt-BR" w:bidi="ar-SA"/>
          <w:kern w:val="16"/>
          <w14:ligatures w14:val="standardContextual"/>
        </w:rPr>
        <w:t>NÃO ELEGÍVEL em 2026</w:t>
      </w:r>
      <w:r>
        <w:rPr>
          <w:rFonts w:ascii="EB Garamond" w:hAnsi="EB Garamond" w:cs="EB Garamond"/>
          <w:b w:val="0"/>
          <w:i w:val="0"/>
          <w:color w:val="201B16"/>
          <w:sz w:val="20"/>
          <w:lang w:val="pt-BR" w:bidi="ar-SA"/>
          <w:kern w:val="16"/>
          <w14:ligatures w14:val="standardContextual"/>
        </w:rPr>
        <w:t xml:space="preserve"> (faltam 1,84 anos)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 xml:space="preserve">Projeção 2028: 39,33 ≥ 39,17 → </w:t>
      </w:r>
      <w:r>
        <w:rPr>
          <w:rFonts w:ascii="EB Garamond" w:hAnsi="EB Garamond" w:cs="EB Garamond"/>
          <w:b/>
          <w:i w:val="0"/>
          <w:color w:val="201B16"/>
          <w:sz w:val="20"/>
          <w:lang w:val="pt-BR" w:bidi="ar-SA"/>
          <w:kern w:val="16"/>
          <w14:ligatures w14:val="standardContextual"/>
        </w:rPr>
        <w:t>ELEGÍVEL em 2028</w:t>
      </w:r>
      <w:r>
        <w:rPr>
          <w:rFonts w:ascii="EB Garamond" w:hAnsi="EB Garamond" w:cs="EB Garamond"/>
          <w:b w:val="0"/>
          <w:i w:val="0"/>
          <w:color w:val="201B16"/>
          <w:sz w:val="20"/>
          <w:lang w:val="pt-BR" w:bidi="ar-SA"/>
          <w:kern w:val="16"/>
          <w14:ligatures w14:val="standardContextual"/>
        </w:rPr>
        <w:t xml:space="preserve"> (com 64 anos e 39,33 TC)</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C</w:t>
      </w:r>
    </w:p>
    <w:p>
      <w:pPr>
        <w:spacing w:before="0" w:after="70" w:line="259" w:lineRule="auto"/>
        <w:jc w:val="both"/>
      </w:pPr>
      <w:r>
        <w:rPr>
          <w:rFonts w:ascii="EB Garamond" w:hAnsi="EB Garamond" w:cs="EB Garamond"/>
          <w:b/>
          <w:i w:val="0"/>
          <w:color w:val="201B16"/>
          <w:sz w:val="21"/>
          <w:lang w:val="pt-BR" w:bidi="ar-SA"/>
          <w:kern w:val="16"/>
          <w14:ligatures w14:val="standardContextual"/>
        </w:rPr>
        <w:t>álculo (projeção 2028):</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Média 100% SC: R$ 5.600,00 (sem exclusão); o art. 26, § 6º (exclusão de SC) aplica-se também ao art. 20</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Com exclusão: R$ 5.900,00</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 xml:space="preserve">Coeficiente: </w:t>
      </w:r>
      <w:r>
        <w:rPr>
          <w:rFonts w:ascii="EB Garamond" w:hAnsi="EB Garamond" w:cs="EB Garamond"/>
          <w:b/>
          <w:i w:val="0"/>
          <w:color w:val="201B16"/>
          <w:sz w:val="20"/>
          <w:lang w:val="pt-BR" w:bidi="ar-SA"/>
          <w:kern w:val="16"/>
          <w14:ligatures w14:val="standardContextual"/>
        </w:rPr>
        <w:t>100%</w:t>
      </w:r>
      <w:r>
        <w:rPr>
          <w:rFonts w:ascii="EB Garamond" w:hAnsi="EB Garamond" w:cs="EB Garamond"/>
          <w:b w:val="0"/>
          <w:i w:val="0"/>
          <w:color w:val="201B16"/>
          <w:sz w:val="20"/>
          <w:lang w:val="pt-BR" w:bidi="ar-SA"/>
          <w:kern w:val="16"/>
          <w14:ligatures w14:val="standardContextual"/>
        </w:rPr>
        <w:t xml:space="preserve"> (integral, sem escalonamento)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 xml:space="preserve">RMI: R$ 5.900 × 100% = </w:t>
      </w:r>
      <w:r>
        <w:rPr>
          <w:rFonts w:ascii="EB Garamond" w:hAnsi="EB Garamond" w:cs="EB Garamond"/>
          <w:b/>
          <w:i w:val="0"/>
          <w:color w:val="201B16"/>
          <w:sz w:val="20"/>
          <w:lang w:val="pt-BR" w:bidi="ar-SA"/>
          <w:kern w:val="16"/>
          <w14:ligatures w14:val="standardContextual"/>
        </w:rPr>
        <w:t>R$ 5.900,00</w:t>
      </w:r>
    </w:p>
    <w:p>
      <w:pPr>
        <w:spacing w:before="0" w:after="6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11.15.8 Quadro comparativo final — Ricardo</w:t>
      </w:r>
    </w:p>
    <w:tbl>
      <w:tblPr>
        <w:tblW w:type="auto" w:w="0"/>
        <w:jc w:val="center"/>
        <w:tblLook w:firstColumn="1" w:firstRow="1" w:lastColumn="0" w:lastRow="0" w:noHBand="0" w:noVBand="1" w:val="04A0"/>
        <w:tblW w:w="5000" w:type="pct"/>
      </w:tblPr>
      <w:tblGrid>
        <w:gridCol w:w="1270"/>
        <w:gridCol w:w="1270"/>
        <w:gridCol w:w="1270"/>
        <w:gridCol w:w="1270"/>
        <w:gridCol w:w="1270"/>
      </w:tblGrid>
      <w:tr>
        <w:trPr>
          <w:tblHeader/>
        </w:trPr>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Regra</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Elegível?</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Quando?</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RMI estimada</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Observação</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Direito adquirido TC + fator</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TC insuficiente em 2019</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Direito adquirido 85/95</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TC e pontos insuficientes em 2019</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Art. 15 (pontos)</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Sim</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2029</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R$ 5.938,94</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105 pontos em 2029; coef. 100,66%</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Art. 16 (idade progressiva)</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Sim</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2029</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R$ 5.938,94</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65 anos em 2029; coef. 100,66%</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Art. 17 (pedágio 50%)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Faltavam &gt; 2 anos em 2019</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Art. 20 (pedágio 100%)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Sim</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2028</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R$ 5.900,00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Primeira regra disponível; coef. 100%</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i w:val="0"/>
          <w:color w:val="201B16"/>
          <w:sz w:val="21"/>
          <w:lang w:val="pt-BR" w:bidi="ar-SA"/>
          <w:kern w:val="16"/>
          <w14:ligatures w14:val="standardContextual"/>
        </w:rPr>
        <w:t>nálise:</w:t>
      </w:r>
      <w:r>
        <w:rPr>
          <w:rFonts w:ascii="EB Garamond" w:hAnsi="EB Garamond" w:cs="EB Garamond"/>
          <w:b w:val="0"/>
          <w:i w:val="0"/>
          <w:color w:val="201B16"/>
          <w:sz w:val="21"/>
          <w:lang w:val="pt-BR" w:bidi="ar-SA"/>
          <w:kern w:val="16"/>
          <w14:ligatures w14:val="standardContextual"/>
        </w:rPr>
        <w:t xml:space="preserve"> Para Ricardo, o art. 20 (pedágio 100%) é a primeira regra disponível (2028), um ano antes dos arts. 15 e 16 (2029). Embora os arts. 15 e 16 resultem em RMI ligeiramente superior (R$ 5.938,94 vs. R$ 5.900,00, em razão do coeficiente de 100,66%), a diferença de R$ 38,94 mensais não compensa 12 meses de espera. O custo de oportunidade é de R$ 5.900 × 12 = R$ 70.800, que levaria mais de 151 anos para ser recuperado com o acréscimo mensal. O pedágio 100% é a melhor opção.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Direito ao benefício mais vantajoso — Dever do INSS e do julgador</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STF consolidou, no Tema 334 (RE 630.501/RS), o entendimento de que o segurado tem direito ao benefício mais vantajoso entre todos aqueles cujos requisitos implementou. O STJ, por sua vez, no Tema 995 (REsp 1.727.063, Rel. Min. Mauro Campbell Marques, julg. 22/10/2019), assentou a possibilidade de reafirmação da DER, permitindo considerar fatos supervenientes ao requerimento administrativo. Ambos os precedentes (STF Tema 334 e STJ Tema 995), em conjunto, reforçam a proteção ao segurado na escolha entre regras de transição.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art. 26, § 6º, da EC 103/2019, ao permitir a exclusão de salários de contribuição que reduzam a média, reforça o princípio do benefício mais vantajoso: o cálculo deve considerar todas as possibilidades de exclusão e de regras aplicáveis, sempre em favor do segurado.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Na prática forense, o advogado deve formular pedido alternativo (art. 326, CPC), requerendo a concessão pela regra mais vantajosa entre todas as aplicáveis. O juiz, por sua vez, deve realizar a comparação de ofício, como expressão do princípio da proteção e do dever de decidir pelo benefício mais favorável.</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11.16 Aspectos processuais específicos nos JEFs</w:t>
      </w:r>
    </w:p>
    <w:p>
      <w:pPr>
        <w:spacing w:before="260" w:after="80" w:line="240" w:lineRule="auto"/>
        <w:jc w:val="left"/>
      </w:pPr>
      <w:r>
        <w:rPr>
          <w:rFonts w:ascii="EB Garamond" w:hAnsi="EB Garamond" w:cs="EB Garamond"/>
          <w:b/>
          <w:i w:val="0"/>
          <w:color w:val="3A3128"/>
          <w:sz w:val="25"/>
          <w:lang w:val="pt-BR" w:bidi="ar-SA"/>
          <w:kern w:val="16"/>
          <w14:ligatures w14:val="standardContextual"/>
        </w:rPr>
        <w:t>11.16.1 Competência e valor da causa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aposentadoria por tempo de contribuição nos JEFs apresenta peculiaridades processuais próprias, sobretudo quanto ao valor da causa. Os aspectos processuais gerais foram examinados no Cap. 6; as peculiaridades da aposentadoria por idade, no Cap. 10, seção 10.14. Tratam-se aqui apenas dos aspectos específicos da aposentadoria por TC e das regras de transição.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teto de competência dos JEFs é de 60 salários-mínimos (R$ 97.260,00 em 2026). O valor da causa nas ações de aposentadoria por TC corresponde à soma de 12 parcelas vincendas com as parcelas vencidas desde a DER (ou desde a data em que o segurado implementou os requisitos, em caso de reafirmação). Como o benefício por TC tende a ser de valor mais elevado (segurados com longa carreira contributiva frequentemente possuem salários de contribuição elevados) e as parcelas vencidas podem acumular valores significativos, é comum que o valor da causa supere o teto do JEF.</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Estratégias para manter a competência do JEF:</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Renúncia ao excedente:</w:t>
      </w:r>
      <w:r>
        <w:rPr>
          <w:rFonts w:ascii="EB Garamond" w:hAnsi="EB Garamond" w:cs="EB Garamond"/>
          <w:b w:val="0"/>
          <w:i w:val="0"/>
          <w:color w:val="201B16"/>
          <w:sz w:val="20"/>
          <w:lang w:val="pt-BR" w:bidi="ar-SA"/>
          <w:kern w:val="16"/>
          <w14:ligatures w14:val="standardContextual"/>
        </w:rPr>
        <w:t xml:space="preserve"> O segurado pode renunciar ao valor que excede o teto de 60 SM, nos termos do art. 3º, § 3º, da Lei 10.259/2001. Essa renúncia é irretratável e afeta apenas as parcelas já vencidas — o benefício mensal não é afetado.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Ajuizamento precoce:</w:t>
      </w:r>
      <w:r>
        <w:rPr>
          <w:rFonts w:ascii="EB Garamond" w:hAnsi="EB Garamond" w:cs="EB Garamond"/>
          <w:b w:val="0"/>
          <w:i w:val="0"/>
          <w:color w:val="201B16"/>
          <w:sz w:val="20"/>
          <w:lang w:val="pt-BR" w:bidi="ar-SA"/>
          <w:kern w:val="16"/>
          <w14:ligatures w14:val="standardContextual"/>
        </w:rPr>
        <w:t xml:space="preserve"> Quanto mais cedo a ação é ajuizada após a DER, menor o valor de parcelas vencidas acumuladas, o que favorece a manutenção da competência do JEF.</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Reafirmação da DER:</w:t>
      </w:r>
      <w:r>
        <w:rPr>
          <w:rFonts w:ascii="EB Garamond" w:hAnsi="EB Garamond" w:cs="EB Garamond"/>
          <w:b w:val="0"/>
          <w:i w:val="0"/>
          <w:color w:val="201B16"/>
          <w:sz w:val="20"/>
          <w:lang w:val="pt-BR" w:bidi="ar-SA"/>
          <w:kern w:val="16"/>
          <w14:ligatures w14:val="standardContextual"/>
        </w:rPr>
        <w:t xml:space="preserve"> Se o segurado ainda não implementou todos os requisitos na DER, a reafirmação (Tema 995/STJ, detalhado na seção 10.8) pode reduzir o valor de parcelas vencidas.</w:t>
      </w:r>
    </w:p>
    <w:p>
      <w:pPr>
        <w:spacing w:before="0" w:after="6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11.16.2 Formulação do pedido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pedido na ação de aposentadoria por TC deve ser formulado de modo a abranger todas as regras de transição potencialmente aplicáveis. A formulação ideal é o </w:t>
      </w:r>
      <w:r>
        <w:rPr>
          <w:rFonts w:ascii="EB Garamond" w:hAnsi="EB Garamond" w:cs="EB Garamond"/>
          <w:b/>
          <w:i w:val="0"/>
          <w:color w:val="201B16"/>
          <w:sz w:val="21"/>
          <w:lang w:val="pt-BR" w:bidi="ar-SA"/>
          <w:kern w:val="16"/>
          <w14:ligatures w14:val="standardContextual"/>
        </w:rPr>
        <w:t>pedido alternativo</w:t>
      </w:r>
      <w:r>
        <w:rPr>
          <w:rFonts w:ascii="EB Garamond" w:hAnsi="EB Garamond" w:cs="EB Garamond"/>
          <w:b w:val="0"/>
          <w:i w:val="0"/>
          <w:color w:val="201B16"/>
          <w:sz w:val="21"/>
          <w:lang w:val="pt-BR" w:bidi="ar-SA"/>
          <w:kern w:val="16"/>
          <w14:ligatures w14:val="standardContextual"/>
        </w:rPr>
        <w:t xml:space="preserve"> (art. 326, CPC), requerendo: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A concessão da aposentadoria pela regra de transição mais vantajosa entre todas as aplicáveis (arts. 15, 16, 17 e 20 da EC 103/2019), incluindo eventual direito adquirido à regra anterior;</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A reafirmação da DER, se necessário, para implementação dos requisitos;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O pagamento de diferenças desde a DER (ou desde a data de implementação dos requisitos, conforme o caso).</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pedido alternativo é admitido nos JEFs por força do art. 2º da Lei 10.259/2001, que autoriza o julgador a "conceder a prestação jurisdicional mais adequada" ao caso, combinado com o princípio da informalidade do procedimento (art. 2º da Lei 9.099/95).</w:t>
      </w:r>
    </w:p>
    <w:p>
      <w:pPr>
        <w:spacing w:before="260" w:after="80" w:line="240" w:lineRule="auto"/>
        <w:jc w:val="left"/>
      </w:pPr>
      <w:r>
        <w:rPr>
          <w:rFonts w:ascii="EB Garamond" w:hAnsi="EB Garamond" w:cs="EB Garamond"/>
          <w:b/>
          <w:i w:val="0"/>
          <w:color w:val="3A3128"/>
          <w:sz w:val="25"/>
          <w:lang w:val="pt-BR" w:bidi="ar-SA"/>
          <w:kern w:val="16"/>
          <w14:ligatures w14:val="standardContextual"/>
        </w:rPr>
        <w:t>11.16.3 Instrução probatória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prova na ação de aposentadoria por TC no JEF envolve:</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 CNIS (Cadastro Nacional de Informações Sociais):</w:t>
      </w:r>
      <w:r>
        <w:rPr>
          <w:rFonts w:ascii="EB Garamond" w:hAnsi="EB Garamond" w:cs="EB Garamond"/>
          <w:b w:val="0"/>
          <w:i w:val="0"/>
          <w:color w:val="201B16"/>
          <w:sz w:val="21"/>
          <w:lang w:val="pt-BR" w:bidi="ar-SA"/>
          <w:kern w:val="16"/>
          <w14:ligatures w14:val="standardContextual"/>
        </w:rPr>
        <w:t xml:space="preserve"> Base principal da prova de TC. O CNIS tem presunção de veracidade (art. 19, Decreto 3.048/99), cabendo ao segurado impugnar registros incorretos ou complementar períodos não registrados.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b) CTPS (Carteira de Trabalho e Previdência Social):</w:t>
      </w:r>
      <w:r>
        <w:rPr>
          <w:rFonts w:ascii="EB Garamond" w:hAnsi="EB Garamond" w:cs="EB Garamond"/>
          <w:b w:val="0"/>
          <w:i w:val="0"/>
          <w:color w:val="201B16"/>
          <w:sz w:val="21"/>
          <w:lang w:val="pt-BR" w:bidi="ar-SA"/>
          <w:kern w:val="16"/>
          <w14:ligatures w14:val="standardContextual"/>
        </w:rPr>
        <w:t xml:space="preserve"> Complementa o CNIS. Anotações em CTPS gozam de presunção juris tantum de veracidade, cujo fundamento clássico e direto é a Súmula 12/TST, ao lado do registro no CNIS e do art. 19 do Decreto 3.048/99.</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 PPP (Perfil Profissiográfico Previdenciário):</w:t>
      </w:r>
      <w:r>
        <w:rPr>
          <w:rFonts w:ascii="EB Garamond" w:hAnsi="EB Garamond" w:cs="EB Garamond"/>
          <w:b w:val="0"/>
          <w:i w:val="0"/>
          <w:color w:val="201B16"/>
          <w:sz w:val="21"/>
          <w:lang w:val="pt-BR" w:bidi="ar-SA"/>
          <w:kern w:val="16"/>
          <w14:ligatures w14:val="standardContextual"/>
        </w:rPr>
        <w:t xml:space="preserve"> Essencial quando há pretensão de conversão de tempo especial. O PPP deve ser contemporâneo ao período especial e conter informações sobre agentes nocivos, intensidade, técnica de medição e EPI utilizados.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d) CTC (Certidão de Tempo de Contribuição):</w:t>
      </w:r>
      <w:r>
        <w:rPr>
          <w:rFonts w:ascii="EB Garamond" w:hAnsi="EB Garamond" w:cs="EB Garamond"/>
          <w:b w:val="0"/>
          <w:i w:val="0"/>
          <w:color w:val="201B16"/>
          <w:sz w:val="21"/>
          <w:lang w:val="pt-BR" w:bidi="ar-SA"/>
          <w:kern w:val="16"/>
          <w14:ligatures w14:val="standardContextual"/>
        </w:rPr>
        <w:t xml:space="preserve"> Necessária para averbação de tempo de serviço público (RPPS) no RGPS. A CTC deve ser expedida pelo órgão de origem na forma do Decreto 3.048/99.</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e) Documentos rurais:</w:t>
      </w:r>
      <w:r>
        <w:rPr>
          <w:rFonts w:ascii="EB Garamond" w:hAnsi="EB Garamond" w:cs="EB Garamond"/>
          <w:b w:val="0"/>
          <w:i w:val="0"/>
          <w:color w:val="201B16"/>
          <w:sz w:val="21"/>
          <w:lang w:val="pt-BR" w:bidi="ar-SA"/>
          <w:kern w:val="16"/>
          <w14:ligatures w14:val="standardContextual"/>
        </w:rPr>
        <w:t xml:space="preserve"> Para comprovação de trabalho rural anterior a novembro/1991: certidões de registro civil com qualificação de lavrador, notas fiscais de produtor rural, contratos de parceria/arrendamento, fichas de matrícula escolar, declarações sindicais, entre outros, corroborados por prova testemunhal.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Checklist documental para aposentadoria por TC nos JEFs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CNIS atualizado (extrair via Meu INSS ou solicitar na agência)</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CTPS — todas as páginas (inclusive contratos antigos e anotações gerais)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PPP, de cada empregador em que houve exposição a agentes nocivos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CTC, se houver tempo de serviço público a averbar</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Certificado de Reservista — para cômputo de serviço militar</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Documentos rurais, se houver período rural anterior a 11/1991</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Comprovante de recolhimentos como contribuinte individual ou facultativo (guias GPS, carnês)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Declaração de tempo de contribuição de cada regime (se contagem recíproca)</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Carta de indeferimento do INSS (decisão administrativa completa)</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Simulações de cálculo por cada regra de transição aplicável</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Planilha de cálculo do benefício mais vantajoso (anexar à petição inicial)</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11.16.4 Tutela provisória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tutela provisória de urgência (art. 300, CPC) é cabível nas ações de aposentadoria por TC quando presentes a probabilidade do direito e o perigo de dano. O perigo de dano é presumido quando o segurado depende do benefício para sua subsistência, o que é especialmente relevante para segurados que já se desligaram do emprego em razão da expectativa de aposentadoria.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tutela de evidência (art. 311, CPC) pode ser requerida quando houver prova documental suficiente e a defesa do INSS for inconsistente (inciso II) ou quando os fatos puderem ser comprovados apenas documentalmente e houver tese firmada em julgamento de recursos repetitivos (inciso IV).</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Nos JEFs, a tutela antecipada tem especial relevância porque o procedimento sumaríssimo, embora mais célere, ainda pode durar meses até a sentença. A implantação antecipada do benefício garante a subsistência do segurado enquanto se aguarda o trânsito em julgado.</w:t>
      </w:r>
    </w:p>
    <w:p>
      <w:pPr>
        <w:spacing w:before="260" w:after="80" w:line="240" w:lineRule="auto"/>
        <w:jc w:val="left"/>
      </w:pPr>
      <w:r>
        <w:rPr>
          <w:rFonts w:ascii="EB Garamond" w:hAnsi="EB Garamond" w:cs="EB Garamond"/>
          <w:b/>
          <w:i w:val="0"/>
          <w:color w:val="3A3128"/>
          <w:sz w:val="25"/>
          <w:lang w:val="pt-BR" w:bidi="ar-SA"/>
          <w:kern w:val="16"/>
          <w14:ligatures w14:val="standardContextual"/>
        </w:rPr>
        <w:t>11.16.5 Honorários sucumbenciais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N</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os JEFs, não há condenação em honorários advocatícios na primeira instância, salvo em caso de recurso (art. 55 da Lei 9.099/95, aplicável por força do art. 1º da Lei 10.259/2001). Se o INSS interpõe recurso inominado e a sentença é mantida, incidirão honorários de 10% sobre o valor da condenação. Se o segurado recorre e perde, fica dispensado de custas e honorários, salvo comprovada má-fé (art. 55, parágrafo único).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a ausência de honorários em primeira instância é vantagem significativa para o segurado: em caso de improcedência, não haverá condenação em verba honorária, reduzindo o risco financeiro do ajuizamento.</w:t>
      </w:r>
    </w:p>
    <w:p>
      <w:pPr>
        <w:spacing w:before="260" w:after="80" w:line="240" w:lineRule="auto"/>
        <w:jc w:val="left"/>
      </w:pPr>
      <w:r>
        <w:rPr>
          <w:rFonts w:ascii="EB Garamond" w:hAnsi="EB Garamond" w:cs="EB Garamond"/>
          <w:b/>
          <w:i w:val="0"/>
          <w:color w:val="3A3128"/>
          <w:sz w:val="25"/>
          <w:lang w:val="pt-BR" w:bidi="ar-SA"/>
          <w:kern w:val="16"/>
          <w14:ligatures w14:val="standardContextual"/>
        </w:rPr>
        <w:t>11.16.6 Recursos e execução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N</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as ações de aposentadoria por TC nos JEFs: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Sentença:</w:t>
      </w:r>
      <w:r>
        <w:rPr>
          <w:rFonts w:ascii="EB Garamond" w:hAnsi="EB Garamond" w:cs="EB Garamond"/>
          <w:b w:val="0"/>
          <w:i w:val="0"/>
          <w:color w:val="201B16"/>
          <w:sz w:val="20"/>
          <w:lang w:val="pt-BR" w:bidi="ar-SA"/>
          <w:kern w:val="16"/>
          <w14:ligatures w14:val="standardContextual"/>
        </w:rPr>
        <w:t xml:space="preserve"> O juiz deve especificar a regra de transição aplicada, o cálculo do benefício e a DIB (data de início do benefício). A correção monetária das condenações da Fazenda Pública seguia o IPCA-E (conforme o STF, Tema 810, RE 870.947) até 08/12/2021, e passou a seguir exclusivamente a taxa SELIC a partir de 09/12/2021 (EC 113/2021). Para períodos mais antigos (anteriores a 2009), o índice podia variar conforme a legislação então vigente. A sentença deve indicar expressamente qual das regras de transição foi aplicada e por que é a mais vantajosa, sob pena de nulidade por falta de fundamentação (art. 93, IX, CF).</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Recurso inominado:</w:t>
      </w:r>
      <w:r>
        <w:rPr>
          <w:rFonts w:ascii="EB Garamond" w:hAnsi="EB Garamond" w:cs="EB Garamond"/>
          <w:b w:val="0"/>
          <w:i w:val="0"/>
          <w:color w:val="201B16"/>
          <w:sz w:val="20"/>
          <w:lang w:val="pt-BR" w:bidi="ar-SA"/>
          <w:kern w:val="16"/>
          <w14:ligatures w14:val="standardContextual"/>
        </w:rPr>
        <w:t xml:space="preserve"> Prazo de 10 dias para a Turma Recursal. Efeito apenas devolutivo (a tutela antecipada permanece eficaz). O segurado pode requerer a concessão de efeito suspensivo ao recurso do INSS (art. 43 da Lei 9.099/95), embora raramente seja deferido em matéria previdenciária.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Pedido de uniformização regional:</w:t>
      </w:r>
      <w:r>
        <w:rPr>
          <w:rFonts w:ascii="EB Garamond" w:hAnsi="EB Garamond" w:cs="EB Garamond"/>
          <w:b w:val="0"/>
          <w:i w:val="0"/>
          <w:color w:val="201B16"/>
          <w:sz w:val="20"/>
          <w:lang w:val="pt-BR" w:bidi="ar-SA"/>
          <w:kern w:val="16"/>
          <w14:ligatures w14:val="standardContextual"/>
        </w:rPr>
        <w:t xml:space="preserve"> Cabível para a Turma Regional de Uniformização quando houver divergência entre Turmas Recursais da mesma Região.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Pedido de uniformização nacional:</w:t>
      </w:r>
      <w:r>
        <w:rPr>
          <w:rFonts w:ascii="EB Garamond" w:hAnsi="EB Garamond" w:cs="EB Garamond"/>
          <w:b w:val="0"/>
          <w:i w:val="0"/>
          <w:color w:val="201B16"/>
          <w:sz w:val="20"/>
          <w:lang w:val="pt-BR" w:bidi="ar-SA"/>
          <w:kern w:val="16"/>
          <w14:ligatures w14:val="standardContextual"/>
        </w:rPr>
        <w:t xml:space="preserve"> Cabível para a TNU (Turma Nacional de Uniformização) quando houver divergência entre Turmas Recursais de diferentes regiões ou entre Turma Recursal e jurisprudência do STJ (art. 14, § 4º, Lei 10.259/2001).</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Recurso extraordinário:</w:t>
      </w:r>
      <w:r>
        <w:rPr>
          <w:rFonts w:ascii="EB Garamond" w:hAnsi="EB Garamond" w:cs="EB Garamond"/>
          <w:b w:val="0"/>
          <w:i w:val="0"/>
          <w:color w:val="201B16"/>
          <w:sz w:val="20"/>
          <w:lang w:val="pt-BR" w:bidi="ar-SA"/>
          <w:kern w:val="16"/>
          <w14:ligatures w14:val="standardContextual"/>
        </w:rPr>
        <w:t xml:space="preserve"> Cabível para o STF quando houver questão constitucional, após esgotamento das instâncias recursais dos JEFs.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Execução:</w:t>
      </w:r>
      <w:r>
        <w:rPr>
          <w:rFonts w:ascii="EB Garamond" w:hAnsi="EB Garamond" w:cs="EB Garamond"/>
          <w:b w:val="0"/>
          <w:i w:val="0"/>
          <w:color w:val="201B16"/>
          <w:sz w:val="20"/>
          <w:lang w:val="pt-BR" w:bidi="ar-SA"/>
          <w:kern w:val="16"/>
          <w14:ligatures w14:val="standardContextual"/>
        </w:rPr>
        <w:t xml:space="preserve"> Créditos até 60 SM são pagos por RPV (Requisição de Pequeno Valor), sem precatório. O prazo para pagamento é de 60 dias úteis após a requisição (art. 17, Lei 10.259/2001). Créditos que excedam o teto são pagos por precatório, com prazo significativamente mais longo.</w:t>
      </w:r>
    </w:p>
    <w:p>
      <w:pPr>
        <w:spacing w:before="0" w:after="6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11.16.7 Particularidades da audiência no JEF previdenciário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audiência de conciliação e instrução no JEF previdenciário por TC segue o rito sumaríssimo: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Conciliação:</w:t>
      </w:r>
      <w:r>
        <w:rPr>
          <w:rFonts w:ascii="EB Garamond" w:hAnsi="EB Garamond" w:cs="EB Garamond"/>
          <w:b w:val="0"/>
          <w:i w:val="0"/>
          <w:color w:val="201B16"/>
          <w:sz w:val="20"/>
          <w:lang w:val="pt-BR" w:bidi="ar-SA"/>
          <w:kern w:val="16"/>
          <w14:ligatures w14:val="standardContextual"/>
        </w:rPr>
        <w:t xml:space="preserve"> O INSS frequentemente apresenta propostas de acordo em ações de aposentadoria por TC. O advogado deve verificar se a proposta corresponde efetivamente à regra mais vantajosa ou se o INSS oferece apenas uma das regras (geralmente a de menor valor). É prática comum o INSS propor acordo pela regra do art. 15/16 quando o pedágio 100% seria mais vantajoso — cabe ao advogado recusar propostas desvantajosas.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Instrução:</w:t>
      </w:r>
      <w:r>
        <w:rPr>
          <w:rFonts w:ascii="EB Garamond" w:hAnsi="EB Garamond" w:cs="EB Garamond"/>
          <w:b w:val="0"/>
          <w:i w:val="0"/>
          <w:color w:val="201B16"/>
          <w:sz w:val="20"/>
          <w:lang w:val="pt-BR" w:bidi="ar-SA"/>
          <w:kern w:val="16"/>
          <w14:ligatures w14:val="standardContextual"/>
        </w:rPr>
        <w:t xml:space="preserve"> A oitiva de testemunhas é relevante especialmente para comprovação de tempo rural, atividade especial sem PPP adequado e tempo de aluno-aprendiz. As audiências podem ser realizadas por videoconferência (art. 1º, § 2º, Lei 10.259/2001).</w:t>
      </w:r>
    </w:p>
    <w:p>
      <w:pPr>
        <w:spacing w:before="0" w:after="6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11.17 Questões especiais e casos de fronteira</w:t>
      </w:r>
    </w:p>
    <w:p>
      <w:pPr>
        <w:spacing w:before="260" w:after="80" w:line="240" w:lineRule="auto"/>
        <w:jc w:val="left"/>
      </w:pPr>
      <w:r>
        <w:rPr>
          <w:rFonts w:ascii="EB Garamond" w:hAnsi="EB Garamond" w:cs="EB Garamond"/>
          <w:b/>
          <w:i w:val="0"/>
          <w:color w:val="3A3128"/>
          <w:sz w:val="25"/>
          <w:lang w:val="pt-BR" w:bidi="ar-SA"/>
          <w:kern w:val="16"/>
          <w14:ligatures w14:val="standardContextual"/>
        </w:rPr>
        <w:t>11.17.1 O professor nas regras de transição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professor que comprove exclusivamente tempo de efetivo exercício em funções de magistério na educação infantil, no ensino fundamental e no ensino médio tem regras diferenciadas nas transições da EC 103/2019:</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 Art. 15 (pontos) — Parágrafo único: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 xml:space="preserve">TC mínimo: </w:t>
      </w:r>
      <w:r>
        <w:rPr>
          <w:rFonts w:ascii="EB Garamond" w:hAnsi="EB Garamond" w:cs="EB Garamond"/>
          <w:b/>
          <w:i w:val="0"/>
          <w:color w:val="201B16"/>
          <w:sz w:val="20"/>
          <w:lang w:val="pt-BR" w:bidi="ar-SA"/>
          <w:kern w:val="16"/>
          <w14:ligatures w14:val="standardContextual"/>
        </w:rPr>
        <w:t>25 anos (mulher) / 30 anos (homem)</w:t>
      </w:r>
      <w:r>
        <w:rPr>
          <w:rFonts w:ascii="EB Garamond" w:hAnsi="EB Garamond" w:cs="EB Garamond"/>
          <w:b w:val="0"/>
          <w:i w:val="0"/>
          <w:color w:val="201B16"/>
          <w:sz w:val="20"/>
          <w:lang w:val="pt-BR" w:bidi="ar-SA"/>
          <w:kern w:val="16"/>
          <w14:ligatures w14:val="standardContextual"/>
        </w:rPr>
        <w:t xml:space="preserve"> (redução de 5 anos)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Pontuação: dedução de 5 pontos na tabela progressiva</w:t>
      </w:r>
    </w:p>
    <w:p>
      <w:pPr>
        <w:spacing w:before="0" w:after="60" w:line="240" w:lineRule="auto"/>
      </w:pP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Ano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Professora (M)</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Professor (H)</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2019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81</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91</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82</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92</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2021</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83</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93</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2022</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84</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94</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2023</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85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95</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2024</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86</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96</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87</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97</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2026</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88</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98</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2027</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89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99</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2028</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 (estabiliza)</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91</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2030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92</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2031</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93</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2032</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94</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2033</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95 (estabiliza)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b</w:t>
      </w:r>
    </w:p>
    <w:p>
      <w:pPr>
        <w:spacing w:before="0" w:after="70" w:line="259" w:lineRule="auto"/>
        <w:jc w:val="both"/>
      </w:pPr>
      <w:r>
        <w:rPr>
          <w:rFonts w:ascii="EB Garamond" w:hAnsi="EB Garamond" w:cs="EB Garamond"/>
          <w:b/>
          <w:i w:val="0"/>
          <w:color w:val="201B16"/>
          <w:sz w:val="21"/>
          <w:lang w:val="pt-BR" w:bidi="ar-SA"/>
          <w:kern w:val="16"/>
          <w14:ligatures w14:val="standardContextual"/>
        </w:rPr>
        <w:t>) Art. 16 (idade progressiva) — § 2º:</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 xml:space="preserve">TC mínimo: </w:t>
      </w:r>
      <w:r>
        <w:rPr>
          <w:rFonts w:ascii="EB Garamond" w:hAnsi="EB Garamond" w:cs="EB Garamond"/>
          <w:b/>
          <w:i w:val="0"/>
          <w:color w:val="201B16"/>
          <w:sz w:val="20"/>
          <w:lang w:val="pt-BR" w:bidi="ar-SA"/>
          <w:kern w:val="16"/>
          <w14:ligatures w14:val="standardContextual"/>
        </w:rPr>
        <w:t>25 anos (mulher) / 30 anos (homem)</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Idade mínima: redução de 5 anos na progressão</w:t>
      </w:r>
    </w:p>
    <w:p>
      <w:pPr>
        <w:spacing w:before="0" w:after="60" w:line="240" w:lineRule="auto"/>
      </w:pP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Ano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Professora (M)</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Professor (H)</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2019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51</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56</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51,5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56,5</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2021</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52</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57</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2022</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52,5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57,5</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2023</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53</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58</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2024</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53,5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58,5</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54</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59</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2026</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54,5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59,5</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2027</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60 (estabiliza)</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2028</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55,5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60</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56</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60</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2030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56,5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60</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2031</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57 (estabiliza)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60</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c</w:t>
      </w:r>
    </w:p>
    <w:p>
      <w:pPr>
        <w:spacing w:before="0" w:after="70" w:line="259" w:lineRule="auto"/>
        <w:jc w:val="both"/>
      </w:pPr>
      <w:r>
        <w:rPr>
          <w:rFonts w:ascii="EB Garamond" w:hAnsi="EB Garamond" w:cs="EB Garamond"/>
          <w:b/>
          <w:i w:val="0"/>
          <w:color w:val="201B16"/>
          <w:sz w:val="21"/>
          <w:lang w:val="pt-BR" w:bidi="ar-SA"/>
          <w:kern w:val="16"/>
          <w14:ligatures w14:val="standardContextual"/>
        </w:rPr>
        <w:t>) Art. 20 (pedágio 100%) — § 2º:</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 xml:space="preserve">Idade mínima: </w:t>
      </w:r>
      <w:r>
        <w:rPr>
          <w:rFonts w:ascii="EB Garamond" w:hAnsi="EB Garamond" w:cs="EB Garamond"/>
          <w:b/>
          <w:i w:val="0"/>
          <w:color w:val="201B16"/>
          <w:sz w:val="20"/>
          <w:lang w:val="pt-BR" w:bidi="ar-SA"/>
          <w:kern w:val="16"/>
          <w14:ligatures w14:val="standardContextual"/>
        </w:rPr>
        <w:t>52 anos (mulher) / 55 anos (homem)</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 xml:space="preserve">TC mínimo: </w:t>
      </w:r>
      <w:r>
        <w:rPr>
          <w:rFonts w:ascii="EB Garamond" w:hAnsi="EB Garamond" w:cs="EB Garamond"/>
          <w:b/>
          <w:i w:val="0"/>
          <w:color w:val="201B16"/>
          <w:sz w:val="20"/>
          <w:lang w:val="pt-BR" w:bidi="ar-SA"/>
          <w:kern w:val="16"/>
          <w14:ligatures w14:val="standardContextual"/>
        </w:rPr>
        <w:t>25 anos (mulher) / 30 anos (homem)</w:t>
      </w:r>
      <w:r>
        <w:rPr>
          <w:rFonts w:ascii="EB Garamond" w:hAnsi="EB Garamond" w:cs="EB Garamond"/>
          <w:b w:val="0"/>
          <w:i w:val="0"/>
          <w:color w:val="201B16"/>
          <w:sz w:val="20"/>
          <w:lang w:val="pt-BR" w:bidi="ar-SA"/>
          <w:kern w:val="16"/>
          <w14:ligatures w14:val="standardContextual"/>
        </w:rPr>
        <w:t xml:space="preserve"> + pedágio de 100%</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Coeficiente: 100%</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d</w:t>
      </w:r>
    </w:p>
    <w:p>
      <w:pPr>
        <w:spacing w:before="0" w:after="70" w:line="259" w:lineRule="auto"/>
        <w:jc w:val="both"/>
      </w:pPr>
      <w:r>
        <w:rPr>
          <w:rFonts w:ascii="EB Garamond" w:hAnsi="EB Garamond" w:cs="EB Garamond"/>
          <w:b/>
          <w:i w:val="0"/>
          <w:color w:val="201B16"/>
          <w:sz w:val="21"/>
          <w:lang w:val="pt-BR" w:bidi="ar-SA"/>
          <w:kern w:val="16"/>
          <w14:ligatures w14:val="standardContextual"/>
        </w:rPr>
        <w:t>) Art. 17 (pedágio 50%):</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Aplica-se com os requisitos reduzidos de TC (25M/30H)</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Fator previdenciário obrigatório (com bônus de +5 Id e +5 Tc na fórmula)</w:t>
      </w:r>
    </w:p>
    <w:p>
      <w:pPr>
        <w:spacing w:before="0" w:after="6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11.17.2 Conceito de função de magistério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Lei 11.301/2006 ampliou o conceito de funções de magistério para incluir, além da docência, as funções de direção de unidade escolar e de coordenação e assessoramento pedagógico. O STF, na ADI 3.772, deu interpretação conforme a Constituição ao dispositivo, condicionando a ampliação ao exercício dessas funções por professor em estabelecimento de educação básica. A definição, portanto, abrange atividades educativas exercidas em estabelecimento de educação básica (infantil, fundamental e médio), conforme a LDB (Lei 9.394/96).</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Além da docência propriamente dita (ministrar aulas), computam-se como tempo de magistério: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Direção de escola:</w:t>
      </w:r>
      <w:r>
        <w:rPr>
          <w:rFonts w:ascii="EB Garamond" w:hAnsi="EB Garamond" w:cs="EB Garamond"/>
          <w:b w:val="0"/>
          <w:i w:val="0"/>
          <w:color w:val="201B16"/>
          <w:sz w:val="20"/>
          <w:lang w:val="pt-BR" w:bidi="ar-SA"/>
          <w:kern w:val="16"/>
          <w14:ligatures w14:val="standardContextual"/>
        </w:rPr>
        <w:t xml:space="preserve"> O professor que assume a direção de escola de educação básica mantém o enquadramento em função de magistério.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Coordenação pedagógica:</w:t>
      </w:r>
      <w:r>
        <w:rPr>
          <w:rFonts w:ascii="EB Garamond" w:hAnsi="EB Garamond" w:cs="EB Garamond"/>
          <w:b w:val="0"/>
          <w:i w:val="0"/>
          <w:color w:val="201B16"/>
          <w:sz w:val="20"/>
          <w:lang w:val="pt-BR" w:bidi="ar-SA"/>
          <w:kern w:val="16"/>
          <w14:ligatures w14:val="standardContextual"/>
        </w:rPr>
        <w:t xml:space="preserve"> O coordenador pedagógico que orienta e supervisiona atividades educativas.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Assessoramento pedagógico:</w:t>
      </w:r>
      <w:r>
        <w:rPr>
          <w:rFonts w:ascii="EB Garamond" w:hAnsi="EB Garamond" w:cs="EB Garamond"/>
          <w:b w:val="0"/>
          <w:i w:val="0"/>
          <w:color w:val="201B16"/>
          <w:sz w:val="20"/>
          <w:lang w:val="pt-BR" w:bidi="ar-SA"/>
          <w:kern w:val="16"/>
          <w14:ligatures w14:val="standardContextual"/>
        </w:rPr>
        <w:t xml:space="preserve"> Funções de apoio técnico-pedagógico em estabelecimento de educação básica.</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E</w:t>
      </w:r>
    </w:p>
    <w:p>
      <w:pPr>
        <w:spacing w:before="0" w:after="70" w:line="259" w:lineRule="auto"/>
        <w:jc w:val="both"/>
      </w:pPr>
      <w:r>
        <w:rPr>
          <w:rFonts w:ascii="EB Garamond" w:hAnsi="EB Garamond" w:cs="EB Garamond"/>
          <w:b/>
          <w:i w:val="0"/>
          <w:color w:val="201B16"/>
          <w:sz w:val="21"/>
          <w:lang w:val="pt-BR" w:bidi="ar-SA"/>
          <w:kern w:val="16"/>
          <w14:ligatures w14:val="standardContextual"/>
        </w:rPr>
        <w:t>xcluem-se:</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Ensino superior: professor universitário não se beneficia das regras especiais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Atividades administrativas fora de estabelecimento de ensino: professor que assume cargo administrativo em secretaria de educação, por exemplo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Ensino em cursos livres ou empresariais: não se qualifica como educação básica</w:t>
      </w:r>
    </w:p>
    <w:p>
      <w:pPr>
        <w:spacing w:before="0" w:after="6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Simulação — Professor nas regras de transição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Antônio</w:t>
            </w:r>
            <w:r>
              <w:rPr>
                <w:rFonts w:ascii="EB Garamond" w:hAnsi="EB Garamond" w:cs="EB Garamond"/>
                <w:b w:val="0"/>
                <w:i w:val="0"/>
                <w:color w:val="201B16"/>
                <w:sz w:val="19"/>
                <w:lang w:val="pt-BR" w:bidi="ar-SA"/>
                <w:kern w:val="16"/>
                <w14:ligatures w14:val="standardContextual"/>
              </w:rPr>
              <w:t>, professor de ensino fundamental, homem, 57 anos em 2026, 32 anos exclusivamente em magistério (educação básica).</w:t>
            </w:r>
          </w:p>
          <w:p>
            <w:pPr>
              <w:spacing w:before="0" w:after="60" w:line="247" w:lineRule="auto"/>
              <w:jc w:val="both"/>
            </w:pPr>
            <w:r>
              <w:rPr>
                <w:rFonts w:ascii="EB Garamond" w:hAnsi="EB Garamond" w:cs="EB Garamond"/>
                <w:b/>
                <w:i w:val="0"/>
                <w:color w:val="201B16"/>
                <w:sz w:val="19"/>
                <w:lang w:val="pt-BR" w:bidi="ar-SA"/>
                <w:kern w:val="16"/>
                <w14:ligatures w14:val="standardContextual"/>
              </w:rPr>
              <w:t>Art. 15 (pontos) — professor:</w:t>
            </w:r>
            <w:r>
              <w:rPr>
                <w:rFonts w:ascii="EB Garamond" w:hAnsi="EB Garamond" w:cs="EB Garamond"/>
                <w:b w:val="0"/>
                <w:i w:val="0"/>
                <w:color w:val="201B16"/>
                <w:sz w:val="19"/>
                <w:lang w:val="pt-BR" w:bidi="ar-SA"/>
                <w:kern w:val="16"/>
                <w14:ligatures w14:val="standardContextual"/>
              </w:rPr>
              <w:t xml:space="preserve"> - TC: 32 ≥ 30 ✅ - Pontos: 57 + 32 = 89 &lt; 98 (2026 professor) → NÃO</w:t>
            </w:r>
          </w:p>
          <w:p>
            <w:pPr>
              <w:spacing w:before="0" w:after="60" w:line="247" w:lineRule="auto"/>
              <w:jc w:val="both"/>
            </w:pPr>
            <w:r>
              <w:rPr>
                <w:rFonts w:ascii="EB Garamond" w:hAnsi="EB Garamond" w:cs="EB Garamond"/>
                <w:b/>
                <w:i w:val="0"/>
                <w:color w:val="201B16"/>
                <w:sz w:val="19"/>
                <w:lang w:val="pt-BR" w:bidi="ar-SA"/>
                <w:kern w:val="16"/>
                <w14:ligatures w14:val="standardContextual"/>
              </w:rPr>
              <w:t>Art. 16 (idade progressiva), professor:</w:t>
            </w:r>
            <w:r>
              <w:rPr>
                <w:rFonts w:ascii="EB Garamond" w:hAnsi="EB Garamond" w:cs="EB Garamond"/>
                <w:b w:val="0"/>
                <w:i w:val="0"/>
                <w:color w:val="201B16"/>
                <w:sz w:val="19"/>
                <w:lang w:val="pt-BR" w:bidi="ar-SA"/>
                <w:kern w:val="16"/>
                <w14:ligatures w14:val="standardContextual"/>
              </w:rPr>
              <w:t xml:space="preserve"> - TC: 32 ≥ 30 ✅ - Idade: 57 &lt; 59,5 (2026 professor) → NÃO</w:t>
            </w:r>
          </w:p>
          <w:p>
            <w:pPr>
              <w:spacing w:before="0" w:after="60" w:line="247" w:lineRule="auto"/>
              <w:jc w:val="both"/>
            </w:pPr>
            <w:r>
              <w:rPr>
                <w:rFonts w:ascii="EB Garamond" w:hAnsi="EB Garamond" w:cs="EB Garamond"/>
                <w:b/>
                <w:i w:val="0"/>
                <w:color w:val="201B16"/>
                <w:sz w:val="19"/>
                <w:lang w:val="pt-BR" w:bidi="ar-SA"/>
                <w:kern w:val="16"/>
                <w14:ligatures w14:val="standardContextual"/>
              </w:rPr>
              <w:t>Art. 20 (pedágio 100%), professor:</w:t>
            </w:r>
            <w:r>
              <w:rPr>
                <w:rFonts w:ascii="EB Garamond" w:hAnsi="EB Garamond" w:cs="EB Garamond"/>
                <w:b w:val="0"/>
                <w:i w:val="0"/>
                <w:color w:val="201B16"/>
                <w:sz w:val="19"/>
                <w:lang w:val="pt-BR" w:bidi="ar-SA"/>
                <w:kern w:val="16"/>
                <w14:ligatures w14:val="standardContextual"/>
              </w:rPr>
              <w:t xml:space="preserve"> - Idade: 57 ≥ 55 ✅ - TC: 32 ≥ 30 ✅ - Pedágio: em 13/11/2019 tinha 25 anos TC, faltavam 5 anos → pedágio = 5 anos - TC necessário: 30 + 5 = 35 anos - TC atual: 32 &lt; 35 → falta 3 anos → </w:t>
            </w:r>
            <w:r>
              <w:rPr>
                <w:rFonts w:ascii="EB Garamond" w:hAnsi="EB Garamond" w:cs="EB Garamond"/>
                <w:b/>
                <w:i w:val="0"/>
                <w:color w:val="201B16"/>
                <w:sz w:val="19"/>
                <w:lang w:val="pt-BR" w:bidi="ar-SA"/>
                <w:kern w:val="16"/>
                <w14:ligatures w14:val="standardContextual"/>
              </w:rPr>
              <w:t>Viável em 2029</w:t>
            </w:r>
            <w:r>
              <w:rPr>
                <w:rFonts w:ascii="EB Garamond" w:hAnsi="EB Garamond" w:cs="EB Garamond"/>
                <w:b w:val="0"/>
                <w:i w:val="0"/>
                <w:color w:val="201B16"/>
                <w:sz w:val="19"/>
                <w:lang w:val="pt-BR" w:bidi="ar-SA"/>
                <w:kern w:val="16"/>
                <w14:ligatures w14:val="standardContextual"/>
              </w:rPr>
              <w:t xml:space="preserve"> (35 TC e 60 anos)</w:t>
            </w:r>
          </w:p>
          <w:p>
            <w:pPr>
              <w:spacing w:before="0" w:after="60" w:line="247" w:lineRule="auto"/>
              <w:jc w:val="both"/>
            </w:pPr>
            <w:r>
              <w:rPr>
                <w:rFonts w:ascii="EB Garamond" w:hAnsi="EB Garamond" w:cs="EB Garamond"/>
                <w:b/>
                <w:i w:val="0"/>
                <w:color w:val="201B16"/>
                <w:sz w:val="19"/>
                <w:lang w:val="pt-BR" w:bidi="ar-SA"/>
                <w:kern w:val="16"/>
                <w14:ligatures w14:val="standardContextual"/>
              </w:rPr>
              <w:t>Art. 17 (pedágio 50%), professor:</w:t>
            </w:r>
            <w:r>
              <w:rPr>
                <w:rFonts w:ascii="EB Garamond" w:hAnsi="EB Garamond" w:cs="EB Garamond"/>
                <w:b w:val="0"/>
                <w:i w:val="0"/>
                <w:color w:val="201B16"/>
                <w:sz w:val="19"/>
                <w:lang w:val="pt-BR" w:bidi="ar-SA"/>
                <w:kern w:val="16"/>
                <w14:ligatures w14:val="standardContextual"/>
              </w:rPr>
              <w:t xml:space="preserve"> - Em 13/11/2019 faltavam 5 anos → &gt; 2 anos → NÃO ELEGÍVEL</w:t>
            </w:r>
          </w:p>
          <w:p>
            <w:pPr>
              <w:spacing w:before="0" w:after="60" w:line="247" w:lineRule="auto"/>
              <w:jc w:val="both"/>
            </w:pPr>
            <w:r>
              <w:rPr>
                <w:rFonts w:ascii="EB Garamond" w:hAnsi="EB Garamond" w:cs="EB Garamond"/>
                <w:b/>
                <w:i w:val="0"/>
                <w:color w:val="201B16"/>
                <w:sz w:val="19"/>
                <w:lang w:val="pt-BR" w:bidi="ar-SA"/>
                <w:kern w:val="16"/>
                <w14:ligatures w14:val="standardContextual"/>
              </w:rPr>
              <w:t>Cálculo pelo art. 20 (2029):</w:t>
            </w:r>
            <w:r>
              <w:rPr>
                <w:rFonts w:ascii="EB Garamond" w:hAnsi="EB Garamond" w:cs="EB Garamond"/>
                <w:b w:val="0"/>
                <w:i w:val="0"/>
                <w:color w:val="201B16"/>
                <w:sz w:val="19"/>
                <w:lang w:val="pt-BR" w:bidi="ar-SA"/>
                <w:kern w:val="16"/>
                <w14:ligatures w14:val="standardContextual"/>
              </w:rPr>
              <w:t xml:space="preserve"> - Média 100%: R$ 4.500,00 - Coeficiente: 100% - RMI: </w:t>
            </w:r>
            <w:r>
              <w:rPr>
                <w:rFonts w:ascii="EB Garamond" w:hAnsi="EB Garamond" w:cs="EB Garamond"/>
                <w:b/>
                <w:i w:val="0"/>
                <w:color w:val="201B16"/>
                <w:sz w:val="19"/>
                <w:lang w:val="pt-BR" w:bidi="ar-SA"/>
                <w:kern w:val="16"/>
                <w14:ligatures w14:val="standardContextual"/>
              </w:rPr>
              <w:t>R$ 4.500,00</w:t>
            </w:r>
          </w:p>
          <w:p>
            <w:pPr>
              <w:spacing w:before="0" w:after="60" w:line="247" w:lineRule="auto"/>
              <w:jc w:val="both"/>
            </w:pPr>
            <w:r>
              <w:rPr>
                <w:rFonts w:ascii="EB Garamond" w:hAnsi="EB Garamond" w:cs="EB Garamond"/>
                <w:b/>
                <w:i w:val="0"/>
                <w:color w:val="201B16"/>
                <w:sz w:val="19"/>
                <w:lang w:val="pt-BR" w:bidi="ar-SA"/>
                <w:kern w:val="16"/>
                <w14:ligatures w14:val="standardContextual"/>
              </w:rPr>
              <w:t>Fator previdenciário do professor (se fosse aplicável):</w:t>
            </w:r>
            <w:r>
              <w:rPr>
                <w:rFonts w:ascii="EB Garamond" w:hAnsi="EB Garamond" w:cs="EB Garamond"/>
                <w:b w:val="0"/>
                <w:i w:val="0"/>
                <w:color w:val="201B16"/>
                <w:sz w:val="19"/>
                <w:lang w:val="pt-BR" w:bidi="ar-SA"/>
                <w:kern w:val="16"/>
                <w14:ligatures w14:val="standardContextual"/>
              </w:rPr>
              <w:t xml:space="preserve"> - Com bônus: Tc=35+5=40, Id=60+5=65 - f = (40×0,31/19,0) × [1+(65+40×0,31)/100] - f = (12,40/19,0) × [1+(65+12,40)/100] - f = 0,6526 × 1,774 - f ≈ </w:t>
            </w:r>
            <w:r>
              <w:rPr>
                <w:rFonts w:ascii="EB Garamond" w:hAnsi="EB Garamond" w:cs="EB Garamond"/>
                <w:b/>
                <w:i w:val="0"/>
                <w:color w:val="201B16"/>
                <w:sz w:val="19"/>
                <w:lang w:val="pt-BR" w:bidi="ar-SA"/>
                <w:kern w:val="16"/>
                <w14:ligatures w14:val="standardContextual"/>
              </w:rPr>
              <w:t>1,158</w:t>
            </w:r>
            <w:r>
              <w:rPr>
                <w:rFonts w:ascii="EB Garamond" w:hAnsi="EB Garamond" w:cs="EB Garamond"/>
                <w:b w:val="0"/>
                <w:i w:val="0"/>
                <w:color w:val="201B16"/>
                <w:sz w:val="19"/>
                <w:lang w:val="pt-BR" w:bidi="ar-SA"/>
                <w:kern w:val="16"/>
                <w14:ligatures w14:val="standardContextual"/>
              </w:rPr>
              <w:t xml:space="preserve"> (favorável)</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bônus de professor no fator previdenciário (+5 Id, +5 Tc) é substancial e pode tornar o pedágio 50% vantajoso para professores com direito adquirido ou fator favorável.</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11.17.3 Tempo de aluno-aprendiz</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tempo de aluno-aprendiz em escolas técnicas federais (como as antigas Escolas Técnicas e os CEFETs) pode ser computado como tempo de contribuição quando comprovado o efetivo exercício de atividade laboral remunerada. A TNU (Tema 216) estabeleceu os critérios: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Requisitos:</w:t>
      </w:r>
      <w:r>
        <w:rPr>
          <w:rFonts w:ascii="EB Garamond" w:hAnsi="EB Garamond" w:cs="EB Garamond"/>
          <w:b w:val="0"/>
          <w:i w:val="0"/>
          <w:color w:val="201B16"/>
          <w:sz w:val="20"/>
          <w:lang w:val="pt-BR" w:bidi="ar-SA"/>
          <w:kern w:val="16"/>
          <w14:ligatures w14:val="standardContextual"/>
        </w:rPr>
        <w:t xml:space="preserve"> Comprovação de vínculo com escola profissionalizante mantida por entidade pública (União, estados ou municípios), com efetiva retribuição pecuniária à conta do orçamento público e participação na execução de encomendas.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Prova:</w:t>
      </w:r>
      <w:r>
        <w:rPr>
          <w:rFonts w:ascii="EB Garamond" w:hAnsi="EB Garamond" w:cs="EB Garamond"/>
          <w:b w:val="0"/>
          <w:i w:val="0"/>
          <w:color w:val="201B16"/>
          <w:sz w:val="20"/>
          <w:lang w:val="pt-BR" w:bidi="ar-SA"/>
          <w:kern w:val="16"/>
          <w14:ligatures w14:val="standardContextual"/>
        </w:rPr>
        <w:t xml:space="preserve"> Certidão da escola técnica que comprove a condição de aluno-aprendiz, o período de matrícula e a remuneração percebida (ainda que em forma de alimentação, fardamento e material escolar à conta da União).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Efeito prático:</w:t>
      </w:r>
      <w:r>
        <w:rPr>
          <w:rFonts w:ascii="EB Garamond" w:hAnsi="EB Garamond" w:cs="EB Garamond"/>
          <w:b w:val="0"/>
          <w:i w:val="0"/>
          <w:color w:val="201B16"/>
          <w:sz w:val="20"/>
          <w:lang w:val="pt-BR" w:bidi="ar-SA"/>
          <w:kern w:val="16"/>
          <w14:ligatures w14:val="standardContextual"/>
        </w:rPr>
        <w:t xml:space="preserve"> O tempo de aluno-aprendiz, quando reconhecido, integra o TC do segurado, podendo ser decisivo para atingir os 30/35 anos mínimos das regras de transição.</w:t>
      </w:r>
    </w:p>
    <w:p>
      <w:pPr>
        <w:spacing w:before="0" w:after="6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11.17.4 Tempo de serviço militar obrigatório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serviço militar obrigatório é computado como tempo de contribuição nos termos do art. 55, I, da Lei 8.213/91. O período varia de 12 a 24 meses conforme a incorporação e a dispensa. Embora aparentemente modesto, esse tempo pode ser determinante em situações limítrofes: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Exemplo:</w:t>
      </w:r>
      <w:r>
        <w:rPr>
          <w:rFonts w:ascii="EB Garamond" w:hAnsi="EB Garamond" w:cs="EB Garamond"/>
          <w:b w:val="0"/>
          <w:i w:val="0"/>
          <w:color w:val="201B16"/>
          <w:sz w:val="21"/>
          <w:lang w:val="pt-BR" w:bidi="ar-SA"/>
          <w:kern w:val="16"/>
          <w14:ligatures w14:val="standardContextual"/>
        </w:rPr>
        <w:t xml:space="preserve"> O segurado que possui 34 anos e 3 meses de TC e 12 meses de serviço militar pode atingir 35 anos e 3 meses de TC com a averbação do período militar, habilitando-se às regras de transição.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prova se faz pelo Certificado de Reservista, Certificado de Dispensa de Incorporação (se houve incorporação temporária) ou certidão do comando militar. O INSS não pode exigir contribuição retroativa pelo período de serviço militar, pois se trata de exceção legal expressa.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período de serviço militar conta como TC mas apresenta peculiaridades quanto à carência e aos salários de contribuição. Como durante o serviço militar não há contribuição previdenciária, o período não gera carência. Quanto aos salários de contribuição, o art. 55, I, da Lei 8.213/91 é silente; a jurisprudência entende que o período é computado como TC sem salário de contribuição correspondente, não afetando a média dos salários (nem para aumentar, nem para reduzir).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o advogado deve incluir o período militar em toda apuração de TC, pois 12 meses adicionais podem ser decisivos para: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Atingir os 35/30 anos mínimos de TC</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Aumentar a pontuação do art. 15 em 1 ponto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Reduzir o pedágio dos arts. 17 e 20 (mais TC em 2019 = menos tempo faltante = menos pedágio)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Aumentar o fator previdenciário (Tc maior eleva o fator)</w:t>
      </w:r>
    </w:p>
    <w:p>
      <w:pPr>
        <w:spacing w:before="0" w:after="6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11.17.5 Aposentadoria proporcional (EC 20/1998) — direito adquirido residual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E</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mbora revogada pela EC 103/2019 (art. 35), a regra de transição da EC 20/1998 (art. 9º) para aposentadoria proporcional permanece aplicável para segurados que implementaram seus requisitos até 12/11/2019. Trata-se de direito adquirido protegido pelo art. 5º, XXXVI, da CF e pelo art. 3º da EC 103/2019.</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Requisitos da aposentadoria proporcional (EC 20/98):</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 xml:space="preserve">Idade mínima: </w:t>
      </w:r>
      <w:r>
        <w:rPr>
          <w:rFonts w:ascii="EB Garamond" w:hAnsi="EB Garamond" w:cs="EB Garamond"/>
          <w:b/>
          <w:i w:val="0"/>
          <w:color w:val="201B16"/>
          <w:sz w:val="20"/>
          <w:lang w:val="pt-BR" w:bidi="ar-SA"/>
          <w:kern w:val="16"/>
          <w14:ligatures w14:val="standardContextual"/>
        </w:rPr>
        <w:t>48 anos (mulher) / 53 anos (homem)</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 xml:space="preserve">TC mínimo: </w:t>
      </w:r>
      <w:r>
        <w:rPr>
          <w:rFonts w:ascii="EB Garamond" w:hAnsi="EB Garamond" w:cs="EB Garamond"/>
          <w:b/>
          <w:i w:val="0"/>
          <w:color w:val="201B16"/>
          <w:sz w:val="20"/>
          <w:lang w:val="pt-BR" w:bidi="ar-SA"/>
          <w:kern w:val="16"/>
          <w14:ligatures w14:val="standardContextual"/>
        </w:rPr>
        <w:t>25 anos (mulher) / 30 anos (homem)</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 xml:space="preserve">Pedágio: </w:t>
      </w:r>
      <w:r>
        <w:rPr>
          <w:rFonts w:ascii="EB Garamond" w:hAnsi="EB Garamond" w:cs="EB Garamond"/>
          <w:b/>
          <w:i w:val="0"/>
          <w:color w:val="201B16"/>
          <w:sz w:val="20"/>
          <w:lang w:val="pt-BR" w:bidi="ar-SA"/>
          <w:kern w:val="16"/>
          <w14:ligatures w14:val="standardContextual"/>
        </w:rPr>
        <w:t>40% do tempo faltante em 16/12/1998</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 xml:space="preserve">Benefício proporcional: </w:t>
      </w:r>
      <w:r>
        <w:rPr>
          <w:rFonts w:ascii="EB Garamond" w:hAnsi="EB Garamond" w:cs="EB Garamond"/>
          <w:b/>
          <w:i w:val="0"/>
          <w:color w:val="201B16"/>
          <w:sz w:val="20"/>
          <w:lang w:val="pt-BR" w:bidi="ar-SA"/>
          <w:kern w:val="16"/>
          <w14:ligatures w14:val="standardContextual"/>
        </w:rPr>
        <w:t>70% do SB + 5% por ano adicional de TC</w:t>
      </w:r>
      <w:r>
        <w:rPr>
          <w:rFonts w:ascii="EB Garamond" w:hAnsi="EB Garamond" w:cs="EB Garamond"/>
          <w:b w:val="0"/>
          <w:i w:val="0"/>
          <w:color w:val="201B16"/>
          <w:sz w:val="20"/>
          <w:lang w:val="pt-BR" w:bidi="ar-SA"/>
          <w:kern w:val="16"/>
          <w14:ligatures w14:val="standardContextual"/>
        </w:rPr>
        <w:t xml:space="preserve"> (até 100%)</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 xml:space="preserve">Fator previdenciário: </w:t>
      </w:r>
      <w:r>
        <w:rPr>
          <w:rFonts w:ascii="EB Garamond" w:hAnsi="EB Garamond" w:cs="EB Garamond"/>
          <w:b/>
          <w:i w:val="0"/>
          <w:color w:val="201B16"/>
          <w:sz w:val="20"/>
          <w:lang w:val="pt-BR" w:bidi="ar-SA"/>
          <w:kern w:val="16"/>
          <w14:ligatures w14:val="standardContextual"/>
        </w:rPr>
        <w:t>obrigatório</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Q</w:t>
      </w:r>
    </w:p>
    <w:p>
      <w:pPr>
        <w:spacing w:before="0" w:after="70" w:line="259" w:lineRule="auto"/>
        <w:jc w:val="both"/>
      </w:pPr>
      <w:r>
        <w:rPr>
          <w:rFonts w:ascii="EB Garamond" w:hAnsi="EB Garamond" w:cs="EB Garamond"/>
          <w:b/>
          <w:i w:val="0"/>
          <w:color w:val="201B16"/>
          <w:sz w:val="21"/>
          <w:lang w:val="pt-BR" w:bidi="ar-SA"/>
          <w:kern w:val="16"/>
          <w14:ligatures w14:val="standardContextual"/>
        </w:rPr>
        <w:t>uando é relevante em 2026:</w:t>
      </w:r>
      <w:r>
        <w:rPr>
          <w:rFonts w:ascii="EB Garamond" w:hAnsi="EB Garamond" w:cs="EB Garamond"/>
          <w:b w:val="0"/>
          <w:i w:val="0"/>
          <w:color w:val="201B16"/>
          <w:sz w:val="21"/>
          <w:lang w:val="pt-BR" w:bidi="ar-SA"/>
          <w:kern w:val="16"/>
          <w14:ligatures w14:val="standardContextual"/>
        </w:rPr>
        <w:t xml:space="preserve"> Para segurado que completou os requisitos da aposentadoria proporcional antes de 13/11/2019 mas não requereu o benefício. Esse segurado mantém o direito adquirido e pode optar pela proporcional ou por qualquer regra de transição da EC 103 que atenda.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a aposentadoria proporcional raramente é a opção mais vantajosa, pois combina coeficiente reduzido (70-100%) com fator previdenciário obrigatório. Contudo, para segurados que implementaram os requisitos antes da EC 103 e que possuem fator previdenciário elevado (idade avançada), ela pode representar uma opção adicional a ser calculada.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Aposentadoria integral pela EC 20/98:</w:t>
      </w:r>
      <w:r>
        <w:rPr>
          <w:rFonts w:ascii="EB Garamond" w:hAnsi="EB Garamond" w:cs="EB Garamond"/>
          <w:b w:val="0"/>
          <w:i w:val="0"/>
          <w:color w:val="201B16"/>
          <w:sz w:val="21"/>
          <w:lang w:val="pt-BR" w:bidi="ar-SA"/>
          <w:kern w:val="16"/>
          <w14:ligatures w14:val="standardContextual"/>
        </w:rPr>
        <w:t xml:space="preserve"> A mesma EC 20/98 previa aposentadoria integral (100% do SB) com os seguintes requisitos: idade 48M/53H + TC 30M/35H + pedágio de 20% do tempo faltante em 16/12/1998 + fator previdenciário obrigatório. O segurado com direito adquirido a essa modalidade deve comparar com as regras de transição da EC 103.</w:t>
      </w:r>
    </w:p>
    <w:p>
      <w:pPr>
        <w:spacing w:before="260" w:after="80" w:line="240" w:lineRule="auto"/>
        <w:jc w:val="left"/>
      </w:pPr>
      <w:r>
        <w:rPr>
          <w:rFonts w:ascii="EB Garamond" w:hAnsi="EB Garamond" w:cs="EB Garamond"/>
          <w:b/>
          <w:i w:val="0"/>
          <w:color w:val="3A3128"/>
          <w:sz w:val="25"/>
          <w:lang w:val="pt-BR" w:bidi="ar-SA"/>
          <w:kern w:val="16"/>
          <w14:ligatures w14:val="standardContextual"/>
        </w:rPr>
        <w:t>11.17.6 Segurado que trabalhou no exterior</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segurado que exerceu atividade laboral em país com o qual o Brasil mantém acordo internacional de previdência social pode utilizar o tempo de trabalho no exterior para totalização e atingimento dos requisitos das regras de transição.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Brasil mantém acordos bilaterais de previdência social com diversos países, incluindo: Alemanha, Argentina, Bélgica, Cabo Verde, Chile, Coreia do Sul, Espanha, Estados Unidos (acordo limitado), França, Grécia, Israel, Itália, Japão, Luxemburgo, Portugal, Uruguai, entre outros. Além dos acordos bilaterais, o Brasil integra o Acordo Multilateral de Seguridade Social do Mercosul e o Acordo Ibero-Americano de Seguridade Social.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mecanismo de totalização permite que o tempo de contribuição no exterior seja somado ao tempo de contribuição no Brasil para fins de verificação do direito ao benefício. O cálculo do valor, contudo, segue a regra pro rata temporis: cada país paga apenas a parcela correspondente ao tempo de contribuição exercido em seu território.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o segurado que trabalhou 20 anos no Brasil e 15 anos em Portugal, por exemplo, totaliza 35 anos para fins de verificação do direito à aposentadoria por TC no Brasil. Contudo, o INSS pagará apenas a parcela proporcional aos 20 anos de contribuição brasileira, e o regime português pagará a parcela correspondente aos 15 anos de contribuição portuguesa. O resultado é que o segurado recebe dois benefícios parciais, um de cada regime, cujo somatório pode ser inferior ao que receberia se todo o tempo fosse em um único país.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as regras de transição, a totalização internacional é especialmente relevante nos arts. 15 e 20 da EC 103/2019, pois o tempo totalizado conta para atingir os 35/30 anos de TC mínimo. Quanto ao pedágio (arts. 17 e 20), o tempo de contribuição no exterior também é considerado para determinar quanto faltava em 13/11/2019.</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Armadilhas comuns em casos de fronteira</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1. </w:t>
            </w:r>
            <w:r>
              <w:rPr>
                <w:rFonts w:ascii="EB Garamond" w:hAnsi="EB Garamond" w:cs="EB Garamond"/>
                <w:b/>
                <w:i w:val="0"/>
                <w:color w:val="201B16"/>
                <w:sz w:val="19"/>
                <w:lang w:val="pt-BR" w:bidi="ar-SA"/>
                <w:kern w:val="16"/>
                <w14:ligatures w14:val="standardContextual"/>
              </w:rPr>
              <w:t>Professor que exerceu atividade administrativa:</w:t>
            </w:r>
            <w:r>
              <w:rPr>
                <w:rFonts w:ascii="EB Garamond" w:hAnsi="EB Garamond" w:cs="EB Garamond"/>
                <w:b w:val="0"/>
                <w:i w:val="0"/>
                <w:color w:val="201B16"/>
                <w:sz w:val="19"/>
                <w:lang w:val="pt-BR" w:bidi="ar-SA"/>
                <w:kern w:val="16"/>
                <w14:ligatures w14:val="standardContextual"/>
              </w:rPr>
              <w:t xml:space="preserve"> Se o professor deixou a sala de aula para assumir cargo exclusivamente administrativo (ex.: secretário de educação), o período administrativo NÃO conta como magistério para fins de redução de TC e pontos. A atividade deve ser em estabelecimento de educação básica.</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2. </w:t>
            </w:r>
            <w:r>
              <w:rPr>
                <w:rFonts w:ascii="EB Garamond" w:hAnsi="EB Garamond" w:cs="EB Garamond"/>
                <w:b/>
                <w:i w:val="0"/>
                <w:color w:val="201B16"/>
                <w:sz w:val="19"/>
                <w:lang w:val="pt-BR" w:bidi="ar-SA"/>
                <w:kern w:val="16"/>
                <w14:ligatures w14:val="standardContextual"/>
              </w:rPr>
              <w:t>Tempo especial e professor cumulados:</w:t>
            </w:r>
            <w:r>
              <w:rPr>
                <w:rFonts w:ascii="EB Garamond" w:hAnsi="EB Garamond" w:cs="EB Garamond"/>
                <w:b w:val="0"/>
                <w:i w:val="0"/>
                <w:color w:val="201B16"/>
                <w:sz w:val="19"/>
                <w:lang w:val="pt-BR" w:bidi="ar-SA"/>
                <w:kern w:val="16"/>
                <w14:ligatures w14:val="standardContextual"/>
              </w:rPr>
              <w:t xml:space="preserve"> O professor que exerceu atividade especial (exposição a agentes nocivos na escola — raro, mas possível em laboratórios) pode converter o tempo especial E utilizar o redutor de professor. São benefícios distintos que não se excluem.</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3. </w:t>
            </w:r>
            <w:r>
              <w:rPr>
                <w:rFonts w:ascii="EB Garamond" w:hAnsi="EB Garamond" w:cs="EB Garamond"/>
                <w:b/>
                <w:i w:val="0"/>
                <w:color w:val="201B16"/>
                <w:sz w:val="19"/>
                <w:lang w:val="pt-BR" w:bidi="ar-SA"/>
                <w:kern w:val="16"/>
                <w14:ligatures w14:val="standardContextual"/>
              </w:rPr>
              <w:t>Aluno-aprendiz sem remuneração:</w:t>
            </w:r>
            <w:r>
              <w:rPr>
                <w:rFonts w:ascii="EB Garamond" w:hAnsi="EB Garamond" w:cs="EB Garamond"/>
                <w:b w:val="0"/>
                <w:i w:val="0"/>
                <w:color w:val="201B16"/>
                <w:sz w:val="19"/>
                <w:lang w:val="pt-BR" w:bidi="ar-SA"/>
                <w:kern w:val="16"/>
                <w14:ligatures w14:val="standardContextual"/>
              </w:rPr>
              <w:t xml:space="preserve"> O simples fato de ter estudado em escola técnica NÃO gera direito ao cômputo de TC. É indispensável a comprovação de atividade laboral remunerada (ainda que mediante bolsa, alimentação ou fardamento à conta do orçamento público).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4. </w:t>
            </w:r>
            <w:r>
              <w:rPr>
                <w:rFonts w:ascii="EB Garamond" w:hAnsi="EB Garamond" w:cs="EB Garamond"/>
                <w:b/>
                <w:i w:val="0"/>
                <w:color w:val="201B16"/>
                <w:sz w:val="19"/>
                <w:lang w:val="pt-BR" w:bidi="ar-SA"/>
                <w:kern w:val="16"/>
                <w14:ligatures w14:val="standardContextual"/>
              </w:rPr>
              <w:t>Serviço militar e carência:</w:t>
            </w:r>
            <w:r>
              <w:rPr>
                <w:rFonts w:ascii="EB Garamond" w:hAnsi="EB Garamond" w:cs="EB Garamond"/>
                <w:b w:val="0"/>
                <w:i w:val="0"/>
                <w:color w:val="201B16"/>
                <w:sz w:val="19"/>
                <w:lang w:val="pt-BR" w:bidi="ar-SA"/>
                <w:kern w:val="16"/>
                <w14:ligatures w14:val="standardContextual"/>
              </w:rPr>
              <w:t xml:space="preserve"> O tempo de serviço militar conta como TC, mas NÃO gera carência. O segurado deve verificar se possui 180 meses de carência (contribuições efetivas) independentemente do tempo militar averbado.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5. </w:t>
            </w:r>
            <w:r>
              <w:rPr>
                <w:rFonts w:ascii="EB Garamond" w:hAnsi="EB Garamond" w:cs="EB Garamond"/>
                <w:b/>
                <w:i w:val="0"/>
                <w:color w:val="201B16"/>
                <w:sz w:val="19"/>
                <w:lang w:val="pt-BR" w:bidi="ar-SA"/>
                <w:kern w:val="16"/>
                <w14:ligatures w14:val="standardContextual"/>
              </w:rPr>
              <w:t>Trabalho no exterior sem acordo:</w:t>
            </w:r>
            <w:r>
              <w:rPr>
                <w:rFonts w:ascii="EB Garamond" w:hAnsi="EB Garamond" w:cs="EB Garamond"/>
                <w:b w:val="0"/>
                <w:i w:val="0"/>
                <w:color w:val="201B16"/>
                <w:sz w:val="19"/>
                <w:lang w:val="pt-BR" w:bidi="ar-SA"/>
                <w:kern w:val="16"/>
                <w14:ligatures w14:val="standardContextual"/>
              </w:rPr>
              <w:t xml:space="preserve"> O tempo de trabalho em país sem acordo previdenciário com o Brasil NÃO pode ser totalizado. O segurado que emigrou para país sem acordo e retornou ao Brasil conta apenas o tempo de contribuição efetivamente exercido em território brasileiro ou em país conveniado.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11.18 Síntese e tabelas de consulta rápida</w:t>
      </w:r>
    </w:p>
    <w:p>
      <w:pPr>
        <w:spacing w:before="260" w:after="80" w:line="240" w:lineRule="auto"/>
        <w:jc w:val="left"/>
      </w:pPr>
      <w:r>
        <w:rPr>
          <w:rFonts w:ascii="EB Garamond" w:hAnsi="EB Garamond" w:cs="EB Garamond"/>
          <w:b/>
          <w:i w:val="0"/>
          <w:color w:val="3A3128"/>
          <w:sz w:val="25"/>
          <w:lang w:val="pt-BR" w:bidi="ar-SA"/>
          <w:kern w:val="16"/>
          <w14:ligatures w14:val="standardContextual"/>
        </w:rPr>
        <w:t>11.18.1 Tabela-resumo das regras de transição por TC</w:t>
      </w:r>
    </w:p>
    <w:tbl>
      <w:tblPr>
        <w:tblW w:type="auto" w:w="0"/>
        <w:jc w:val="center"/>
        <w:tblLook w:firstColumn="1" w:firstRow="1" w:lastColumn="0" w:lastRow="0" w:noHBand="0" w:noVBand="1" w:val="04A0"/>
        <w:tblW w:w="5000" w:type="pct"/>
      </w:tblPr>
      <w:tblGrid>
        <w:gridCol w:w="907"/>
        <w:gridCol w:w="907"/>
        <w:gridCol w:w="907"/>
        <w:gridCol w:w="907"/>
        <w:gridCol w:w="907"/>
        <w:gridCol w:w="907"/>
        <w:gridCol w:w="907"/>
      </w:tblGrid>
      <w:tr>
        <w:trPr>
          <w:tblHeader/>
        </w:trPr>
        <w:tc>
          <w:tcPr>
            <w:tcW w:type="dxa" w:w="90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Regra</w:t>
            </w:r>
          </w:p>
        </w:tc>
        <w:tc>
          <w:tcPr>
            <w:tcW w:type="dxa" w:w="90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TC mínimo</w:t>
            </w:r>
          </w:p>
        </w:tc>
        <w:tc>
          <w:tcPr>
            <w:tcW w:type="dxa" w:w="90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Idade</w:t>
            </w:r>
          </w:p>
        </w:tc>
        <w:tc>
          <w:tcPr>
            <w:tcW w:type="dxa" w:w="90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Cálculo da média</w:t>
            </w:r>
          </w:p>
        </w:tc>
        <w:tc>
          <w:tcPr>
            <w:tcW w:type="dxa" w:w="90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Coeficiente</w:t>
            </w:r>
          </w:p>
        </w:tc>
        <w:tc>
          <w:tcPr>
            <w:tcW w:type="dxa" w:w="90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Fator</w:t>
            </w:r>
          </w:p>
        </w:tc>
        <w:tc>
          <w:tcPr>
            <w:tcW w:type="dxa" w:w="90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Observação</w:t>
            </w:r>
          </w:p>
        </w:tc>
      </w:tr>
      <w:tr>
        <w:tc>
          <w:tcPr>
            <w:tcW w:type="dxa" w:w="90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Art. 15 (pontos)</w:t>
            </w:r>
          </w:p>
        </w:tc>
        <w:tc>
          <w:tcPr>
            <w:tcW w:type="dxa" w:w="90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35H/30M</w:t>
            </w:r>
          </w:p>
        </w:tc>
        <w:tc>
          <w:tcPr>
            <w:tcW w:type="dxa" w:w="90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 (pontos)</w:t>
            </w:r>
          </w:p>
        </w:tc>
        <w:tc>
          <w:tcPr>
            <w:tcW w:type="dxa" w:w="90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 SC</w:t>
            </w:r>
          </w:p>
        </w:tc>
        <w:tc>
          <w:tcPr>
            <w:tcW w:type="dxa" w:w="90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60%+2%/ano</w:t>
            </w:r>
          </w:p>
        </w:tc>
        <w:tc>
          <w:tcPr>
            <w:tcW w:type="dxa" w:w="90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w:t>
            </w:r>
          </w:p>
        </w:tc>
        <w:tc>
          <w:tcPr>
            <w:tcW w:type="dxa" w:w="90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Pontuação progressiva (103H/93M em 2026)</w:t>
            </w:r>
          </w:p>
        </w:tc>
      </w:tr>
      <w:tr>
        <w:tc>
          <w:tcPr>
            <w:tcW w:type="dxa" w:w="90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Art. 16 (idade)</w:t>
            </w:r>
          </w:p>
        </w:tc>
        <w:tc>
          <w:tcPr>
            <w:tcW w:type="dxa" w:w="90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35H/30M</w:t>
            </w:r>
          </w:p>
        </w:tc>
        <w:tc>
          <w:tcPr>
            <w:tcW w:type="dxa" w:w="90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Progressiva</w:t>
            </w:r>
          </w:p>
        </w:tc>
        <w:tc>
          <w:tcPr>
            <w:tcW w:type="dxa" w:w="90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 SC</w:t>
            </w:r>
          </w:p>
        </w:tc>
        <w:tc>
          <w:tcPr>
            <w:tcW w:type="dxa" w:w="90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60%+2%/ano</w:t>
            </w:r>
          </w:p>
        </w:tc>
        <w:tc>
          <w:tcPr>
            <w:tcW w:type="dxa" w:w="90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w:t>
            </w:r>
          </w:p>
        </w:tc>
        <w:tc>
          <w:tcPr>
            <w:tcW w:type="dxa" w:w="90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Idade 64,5H/59,5M em 2026</w:t>
            </w:r>
          </w:p>
        </w:tc>
      </w:tr>
      <w:tr>
        <w:tc>
          <w:tcPr>
            <w:tcW w:type="dxa" w:w="90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Art. 17 (pedágio 50%)</w:t>
            </w:r>
          </w:p>
        </w:tc>
        <w:tc>
          <w:tcPr>
            <w:tcW w:type="dxa" w:w="90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35H/30M</w:t>
            </w:r>
          </w:p>
        </w:tc>
        <w:tc>
          <w:tcPr>
            <w:tcW w:type="dxa" w:w="90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w:t>
            </w:r>
          </w:p>
        </w:tc>
        <w:tc>
          <w:tcPr>
            <w:tcW w:type="dxa" w:w="90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80% maiores SC</w:t>
            </w:r>
          </w:p>
        </w:tc>
        <w:tc>
          <w:tcPr>
            <w:tcW w:type="dxa" w:w="90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 SB</w:t>
            </w:r>
          </w:p>
        </w:tc>
        <w:tc>
          <w:tcPr>
            <w:tcW w:type="dxa" w:w="90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Obrigatório</w:t>
            </w:r>
          </w:p>
        </w:tc>
        <w:tc>
          <w:tcPr>
            <w:tcW w:type="dxa" w:w="90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Só quem faltava &lt; 2 anos em 2019</w:t>
            </w:r>
          </w:p>
        </w:tc>
      </w:tr>
      <w:tr>
        <w:tc>
          <w:tcPr>
            <w:tcW w:type="dxa" w:w="90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Art. 20 (pedágio 100%)</w:t>
            </w:r>
          </w:p>
        </w:tc>
        <w:tc>
          <w:tcPr>
            <w:tcW w:type="dxa" w:w="90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35H/30M</w:t>
            </w:r>
          </w:p>
        </w:tc>
        <w:tc>
          <w:tcPr>
            <w:tcW w:type="dxa" w:w="90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60H/57M (fixa)</w:t>
            </w:r>
          </w:p>
        </w:tc>
        <w:tc>
          <w:tcPr>
            <w:tcW w:type="dxa" w:w="90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 SC</w:t>
            </w:r>
          </w:p>
        </w:tc>
        <w:tc>
          <w:tcPr>
            <w:tcW w:type="dxa" w:w="90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100%</w:t>
            </w:r>
          </w:p>
        </w:tc>
        <w:tc>
          <w:tcPr>
            <w:tcW w:type="dxa" w:w="90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w:t>
            </w:r>
          </w:p>
        </w:tc>
        <w:tc>
          <w:tcPr>
            <w:tcW w:type="dxa" w:w="90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 pedágio 100% do faltante</w:t>
            </w:r>
          </w:p>
        </w:tc>
      </w:tr>
      <w:tr>
        <w:tc>
          <w:tcPr>
            <w:tcW w:type="dxa" w:w="90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Dir. Adquirido TC</w:t>
            </w:r>
          </w:p>
        </w:tc>
        <w:tc>
          <w:tcPr>
            <w:tcW w:type="dxa" w:w="90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35H/30M (pré-2019)</w:t>
            </w:r>
          </w:p>
        </w:tc>
        <w:tc>
          <w:tcPr>
            <w:tcW w:type="dxa" w:w="90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w:t>
            </w:r>
          </w:p>
        </w:tc>
        <w:tc>
          <w:tcPr>
            <w:tcW w:type="dxa" w:w="90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80% maiores SC</w:t>
            </w:r>
          </w:p>
        </w:tc>
        <w:tc>
          <w:tcPr>
            <w:tcW w:type="dxa" w:w="90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 SB</w:t>
            </w:r>
          </w:p>
        </w:tc>
        <w:tc>
          <w:tcPr>
            <w:tcW w:type="dxa" w:w="90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Obrigatório</w:t>
            </w:r>
          </w:p>
        </w:tc>
        <w:tc>
          <w:tcPr>
            <w:tcW w:type="dxa" w:w="90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Implementou requisitos até 12/11/2019</w:t>
            </w:r>
          </w:p>
        </w:tc>
      </w:tr>
      <w:tr>
        <w:tc>
          <w:tcPr>
            <w:tcW w:type="dxa" w:w="90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Dir. Adquirido 85/95</w:t>
            </w:r>
          </w:p>
        </w:tc>
        <w:tc>
          <w:tcPr>
            <w:tcW w:type="dxa" w:w="90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35H/30M + pontos (pré-2019)</w:t>
            </w:r>
          </w:p>
        </w:tc>
        <w:tc>
          <w:tcPr>
            <w:tcW w:type="dxa" w:w="90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w:t>
            </w:r>
          </w:p>
        </w:tc>
        <w:tc>
          <w:tcPr>
            <w:tcW w:type="dxa" w:w="90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80% maiores SC</w:t>
            </w:r>
          </w:p>
        </w:tc>
        <w:tc>
          <w:tcPr>
            <w:tcW w:type="dxa" w:w="90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 SB</w:t>
            </w:r>
          </w:p>
        </w:tc>
        <w:tc>
          <w:tcPr>
            <w:tcW w:type="dxa" w:w="90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Afastado</w:t>
            </w:r>
          </w:p>
        </w:tc>
        <w:tc>
          <w:tcPr>
            <w:tcW w:type="dxa" w:w="90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 mais vantajosa (se direito adquirido)</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11.18.2 Tabela evolutiva ano a ano — pontos (art. 15) e idade (art. 16)</w:t>
      </w:r>
    </w:p>
    <w:tbl>
      <w:tblPr>
        <w:tblW w:type="auto" w:w="0"/>
        <w:jc w:val="center"/>
        <w:tblLook w:firstColumn="1" w:firstRow="1" w:lastColumn="0" w:lastRow="0" w:noHBand="0" w:noVBand="1" w:val="04A0"/>
        <w:tblW w:w="5000" w:type="pct"/>
      </w:tblPr>
      <w:tblGrid>
        <w:gridCol w:w="706"/>
        <w:gridCol w:w="706"/>
        <w:gridCol w:w="706"/>
        <w:gridCol w:w="706"/>
        <w:gridCol w:w="706"/>
        <w:gridCol w:w="706"/>
        <w:gridCol w:w="706"/>
        <w:gridCol w:w="706"/>
        <w:gridCol w:w="706"/>
      </w:tblGrid>
      <w:tr>
        <w:trPr>
          <w:tblHeader/>
        </w:trPr>
        <w:tc>
          <w:tcPr>
            <w:tcW w:type="dxa" w:w="706"/>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Ano</w:t>
            </w:r>
          </w:p>
        </w:tc>
        <w:tc>
          <w:tcPr>
            <w:tcW w:type="dxa" w:w="706"/>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Pontos H</w:t>
            </w:r>
          </w:p>
        </w:tc>
        <w:tc>
          <w:tcPr>
            <w:tcW w:type="dxa" w:w="706"/>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Pontos M</w:t>
            </w:r>
          </w:p>
        </w:tc>
        <w:tc>
          <w:tcPr>
            <w:tcW w:type="dxa" w:w="706"/>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Idade H</w:t>
            </w:r>
          </w:p>
        </w:tc>
        <w:tc>
          <w:tcPr>
            <w:tcW w:type="dxa" w:w="706"/>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Idade M</w:t>
            </w:r>
          </w:p>
        </w:tc>
        <w:tc>
          <w:tcPr>
            <w:tcW w:type="dxa" w:w="706"/>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Pontos Prof. H</w:t>
            </w:r>
          </w:p>
        </w:tc>
        <w:tc>
          <w:tcPr>
            <w:tcW w:type="dxa" w:w="706"/>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Pontos Prof. M</w:t>
            </w:r>
          </w:p>
        </w:tc>
        <w:tc>
          <w:tcPr>
            <w:tcW w:type="dxa" w:w="706"/>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Idade Prof. H</w:t>
            </w:r>
          </w:p>
        </w:tc>
        <w:tc>
          <w:tcPr>
            <w:tcW w:type="dxa" w:w="706"/>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Idade Prof. M</w:t>
            </w:r>
          </w:p>
        </w:tc>
      </w:tr>
      <w:tr>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2019</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96</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86</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61</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56</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91</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81</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56</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51</w:t>
            </w:r>
          </w:p>
        </w:tc>
      </w:tr>
      <w:tr>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2020</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97</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87</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61,5</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56,5</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92</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82</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56,5</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51,5</w:t>
            </w:r>
          </w:p>
        </w:tc>
      </w:tr>
      <w:tr>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2021</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98</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88</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62</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57</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93</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83</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57</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52</w:t>
            </w:r>
          </w:p>
        </w:tc>
      </w:tr>
      <w:tr>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2022</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99</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89</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62,5</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57,5</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94</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84</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57,5</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52,5</w:t>
            </w:r>
          </w:p>
        </w:tc>
      </w:tr>
      <w:tr>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2023</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90</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63</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58</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95</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85</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58</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53</w:t>
            </w:r>
          </w:p>
        </w:tc>
      </w:tr>
      <w:tr>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2024</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101</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91</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63,5</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58,5</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96</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86</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58,5</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53,5</w:t>
            </w:r>
          </w:p>
        </w:tc>
      </w:tr>
      <w:tr>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2025</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102</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92</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64</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59</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97</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87</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59</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54</w:t>
            </w:r>
          </w:p>
        </w:tc>
      </w:tr>
      <w:tr>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2026</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103</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93</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64,5</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59,5</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98</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88</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59,5</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54,5</w:t>
            </w:r>
          </w:p>
        </w:tc>
      </w:tr>
      <w:tr>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2027</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104</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94</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65*</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60</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99</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89</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60*</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55</w:t>
            </w:r>
          </w:p>
        </w:tc>
      </w:tr>
      <w:tr>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2028</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105*</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95</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65</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60,5</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90</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60</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55,5</w:t>
            </w:r>
          </w:p>
        </w:tc>
      </w:tr>
      <w:tr>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2029</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105</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96</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65</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61</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91</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60</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56</w:t>
            </w:r>
          </w:p>
        </w:tc>
      </w:tr>
      <w:tr>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2030</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105</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97</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65</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61,5</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92</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60</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56,5</w:t>
            </w:r>
          </w:p>
        </w:tc>
      </w:tr>
      <w:tr>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2031</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105</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98</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65</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62*</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93</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60</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57*</w:t>
            </w:r>
          </w:p>
        </w:tc>
      </w:tr>
      <w:tr>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2032</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105</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99</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65</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62</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94</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60</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57</w:t>
            </w:r>
          </w:p>
        </w:tc>
      </w:tr>
      <w:tr>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2033</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105</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65</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62</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95*</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60</w:t>
            </w:r>
          </w:p>
        </w:tc>
        <w:tc>
          <w:tcPr>
            <w:tcW w:type="dxa" w:w="706"/>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57</w:t>
            </w:r>
          </w:p>
        </w:tc>
      </w:tr>
    </w:tbl>
    <w:p>
      <w:pPr>
        <w:spacing w:before="0" w:after="80" w:line="240" w:lineRule="auto"/>
      </w:pPr>
    </w:p>
    <w:p>
      <w:pPr>
        <w:spacing w:before="0" w:after="60" w:line="240" w:lineRule="auto"/>
        <w:jc w:val="left"/>
      </w:pPr>
      <w:r>
        <w:rPr>
          <w:rFonts w:ascii="EB Garamond" w:hAnsi="EB Garamond" w:cs="EB Garamond"/>
          <w:b w:val="0"/>
          <w:i/>
          <w:color w:val="6B6256"/>
          <w:sz w:val="17"/>
          <w:lang w:val="pt-BR" w:bidi="ar-SA"/>
          <w:kern w:val="16"/>
          <w14:ligatures w14:val="standardContextual"/>
        </w:rPr>
        <w:t>Asterisco indica o ano de estabilização (quando a progressão atinge o valor final e deixa de crescer).</w:t>
      </w:r>
    </w:p>
    <w:p>
      <w:pPr>
        <w:spacing w:before="260" w:after="80" w:line="240" w:lineRule="auto"/>
        <w:jc w:val="left"/>
      </w:pPr>
      <w:r>
        <w:rPr>
          <w:rFonts w:ascii="EB Garamond" w:hAnsi="EB Garamond" w:cs="EB Garamond"/>
          <w:b/>
          <w:i w:val="0"/>
          <w:color w:val="3A3128"/>
          <w:sz w:val="25"/>
          <w:lang w:val="pt-BR" w:bidi="ar-SA"/>
          <w:kern w:val="16"/>
          <w14:ligatures w14:val="standardContextual"/>
        </w:rPr>
        <w:t>11.18.3 Fluxograma decisório do advogado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advogado que atende segurado buscando aposentadoria por TC deve seguir este roteiro lógico: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Passo 1 — Apurar o TC total:</w:t>
      </w:r>
      <w:r>
        <w:rPr>
          <w:rFonts w:ascii="EB Garamond" w:hAnsi="EB Garamond" w:cs="EB Garamond"/>
          <w:b w:val="0"/>
          <w:i w:val="0"/>
          <w:color w:val="201B16"/>
          <w:sz w:val="21"/>
          <w:lang w:val="pt-BR" w:bidi="ar-SA"/>
          <w:kern w:val="16"/>
          <w14:ligatures w14:val="standardContextual"/>
        </w:rPr>
        <w:t xml:space="preserve"> Somar todos os períodos de TC (CNIS + CTPS + CTC + rurais + militar + conversão especial).</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Passo 2 — Verificar direito adquirido:</w:t>
      </w:r>
      <w:r>
        <w:rPr>
          <w:rFonts w:ascii="EB Garamond" w:hAnsi="EB Garamond" w:cs="EB Garamond"/>
          <w:b w:val="0"/>
          <w:i w:val="0"/>
          <w:color w:val="201B16"/>
          <w:sz w:val="21"/>
          <w:lang w:val="pt-BR" w:bidi="ar-SA"/>
          <w:kern w:val="16"/>
          <w14:ligatures w14:val="standardContextual"/>
        </w:rPr>
        <w:t xml:space="preserve"> O segurado completou 35H/30M anos de TC antes de 13/11/2019? Se sim, verificar se atingiu 96/86 pontos (regra 85/95). Se não, calcular o fator previdenciário para a regra antiga.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Passo 3 — Verificar elegibilidade em cada regra de transição (2026):</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Art. 15: TC ≥ 35H/30M + pontuação ≥ 103H/93M?</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Art. 16: TC ≥ 35H/30M + idade ≥ 64,5H/59,5M?</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Art. 17: Faltava &lt; 2 anos em 13/11/2019?</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Art. 20: Idade ≥ 60H/57M + TC ≥ 35H/30M + pedágio cumprido?</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P</w:t>
      </w:r>
    </w:p>
    <w:p>
      <w:pPr>
        <w:spacing w:before="0" w:after="70" w:line="259" w:lineRule="auto"/>
        <w:jc w:val="both"/>
      </w:pPr>
      <w:r>
        <w:rPr>
          <w:rFonts w:ascii="EB Garamond" w:hAnsi="EB Garamond" w:cs="EB Garamond"/>
          <w:b/>
          <w:i w:val="0"/>
          <w:color w:val="201B16"/>
          <w:sz w:val="21"/>
          <w:lang w:val="pt-BR" w:bidi="ar-SA"/>
          <w:kern w:val="16"/>
          <w14:ligatures w14:val="standardContextual"/>
        </w:rPr>
        <w:t>asso 4, para cada regra elegível, calcular a RMI.</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Passo 5 — Comparar RMIs e identificar a regra mais vantajosa.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Passo 6 — Projetar cenários futuros:</w:t>
      </w:r>
      <w:r>
        <w:rPr>
          <w:rFonts w:ascii="EB Garamond" w:hAnsi="EB Garamond" w:cs="EB Garamond"/>
          <w:b w:val="0"/>
          <w:i w:val="0"/>
          <w:color w:val="201B16"/>
          <w:sz w:val="21"/>
          <w:lang w:val="pt-BR" w:bidi="ar-SA"/>
          <w:kern w:val="16"/>
          <w14:ligatures w14:val="standardContextual"/>
        </w:rPr>
        <w:t xml:space="preserve"> Se nenhuma regra é atingida em 2026, projetar quando cada regra será atingida e calcular o custo de oportunidade da espera.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Passo 7 — Apresentar o comparativo ao cliente</w:t>
      </w:r>
      <w:r>
        <w:rPr>
          <w:rFonts w:ascii="EB Garamond" w:hAnsi="EB Garamond" w:cs="EB Garamond"/>
          <w:b w:val="0"/>
          <w:i w:val="0"/>
          <w:color w:val="201B16"/>
          <w:sz w:val="21"/>
          <w:lang w:val="pt-BR" w:bidi="ar-SA"/>
          <w:kern w:val="16"/>
          <w14:ligatures w14:val="standardContextual"/>
        </w:rPr>
        <w:t xml:space="preserve"> com recomendação fundamentada, incluindo: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Tabela comparativa de RMIs por cada regra elegível</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Projeção temporal (quando cada regra será atingida)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Análise de break-even para cenários de espera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Riscos identificados (saúde, desemprego, mudança legislativa)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Recomendação técnica fundamentada com a regra mais vantajosa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Esclarecimento sobre a irreversibilidade da escolha (vedação da desaposentação)</w:t>
      </w:r>
    </w:p>
    <w:p>
      <w:pPr>
        <w:spacing w:before="0" w:after="6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11.18.4 Checklist completo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Checklist final — Aposentadoria por TC e regras de transição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Requisitos documentais:</w:t>
            </w:r>
            <w:r>
              <w:rPr>
                <w:rFonts w:ascii="EB Garamond" w:hAnsi="EB Garamond" w:cs="EB Garamond"/>
                <w:b w:val="0"/>
                <w:i w:val="0"/>
                <w:color w:val="201B16"/>
                <w:sz w:val="19"/>
                <w:lang w:val="pt-BR" w:bidi="ar-SA"/>
                <w:kern w:val="16"/>
                <w14:ligatures w14:val="standardContextual"/>
              </w:rPr>
              <w:t xml:space="preserve"> - [ ] CNIS atualizado e conferido - [ ] Todos os vínculos anotados na CTPS identificados - [ ] Períodos sem contribuição identificados e justificados - [ ] Tempo rural comprovado por início de prova material (se aplicável) - [ ] Tempo militar comprovado por Certificado de Reservista (se aplicável) - [ ] PPP de todos os empregadores com atividade especial (se conversão) - [ ] CTC do RPPS (se contagem recíproca) - [ ] Recolhimentos como CI/facultativo comprovados (guias GPS)</w:t>
            </w:r>
          </w:p>
          <w:p>
            <w:pPr>
              <w:spacing w:before="0" w:after="60" w:line="247" w:lineRule="auto"/>
              <w:jc w:val="both"/>
            </w:pPr>
            <w:r>
              <w:rPr>
                <w:rFonts w:ascii="EB Garamond" w:hAnsi="EB Garamond" w:cs="EB Garamond"/>
                <w:b/>
                <w:i w:val="0"/>
                <w:color w:val="201B16"/>
                <w:sz w:val="19"/>
                <w:lang w:val="pt-BR" w:bidi="ar-SA"/>
                <w:kern w:val="16"/>
                <w14:ligatures w14:val="standardContextual"/>
              </w:rPr>
              <w:t>Análise de elegibilidade:</w:t>
            </w:r>
            <w:r>
              <w:rPr>
                <w:rFonts w:ascii="EB Garamond" w:hAnsi="EB Garamond" w:cs="EB Garamond"/>
                <w:b w:val="0"/>
                <w:i w:val="0"/>
                <w:color w:val="201B16"/>
                <w:sz w:val="19"/>
                <w:lang w:val="pt-BR" w:bidi="ar-SA"/>
                <w:kern w:val="16"/>
                <w14:ligatures w14:val="standardContextual"/>
              </w:rPr>
              <w:t xml:space="preserve"> - [ ] Direito adquirido verificado (TC e pontos em 12/11/2019) - [ ] Art. 15 verificado (TC + pontuação 2026) - [ ] Art. 16 verificado (TC + idade 2026) - [ ] Art. 17 verificado (menos de 2 anos faltantes em 2019) - [ ] Art. 20 verificado (idade + TC + pedágio) - [ ] Conversão de tempo especial calculada (fator aplicado) - [ ] Carência de 180 meses verificada</w:t>
            </w:r>
          </w:p>
          <w:p>
            <w:pPr>
              <w:spacing w:before="0" w:after="60" w:line="247" w:lineRule="auto"/>
              <w:jc w:val="both"/>
            </w:pPr>
            <w:r>
              <w:rPr>
                <w:rFonts w:ascii="EB Garamond" w:hAnsi="EB Garamond" w:cs="EB Garamond"/>
                <w:b/>
                <w:i w:val="0"/>
                <w:color w:val="201B16"/>
                <w:sz w:val="19"/>
                <w:lang w:val="pt-BR" w:bidi="ar-SA"/>
                <w:kern w:val="16"/>
                <w14:ligatures w14:val="standardContextual"/>
              </w:rPr>
              <w:t>Cálculo do benefício:</w:t>
            </w:r>
            <w:r>
              <w:rPr>
                <w:rFonts w:ascii="EB Garamond" w:hAnsi="EB Garamond" w:cs="EB Garamond"/>
                <w:b w:val="0"/>
                <w:i w:val="0"/>
                <w:color w:val="201B16"/>
                <w:sz w:val="19"/>
                <w:lang w:val="pt-BR" w:bidi="ar-SA"/>
                <w:kern w:val="16"/>
                <w14:ligatures w14:val="standardContextual"/>
              </w:rPr>
              <w:t xml:space="preserve"> - [ ] Média 80% maiores SC apurada (para regras com fator) - [ ] Média 100% SC apurada (para regras EC 103) - [ ] Exclusão de SC que reduzam a média (art. 26, § 6º) simulada - [ ] Fator previdenciário calculado (para pedágio 50% e direito adquirido) - [ ] Coeficiente 60%+2% calculado (para arts. 15 e 16) - [ ] RMI por cada regra elegível apurada - [ ] Regra mais vantajosa identificada - [ ] Ponto de equilíbrio calculado (se há regra futura melhor)</w:t>
            </w:r>
          </w:p>
          <w:p>
            <w:pPr>
              <w:spacing w:before="0" w:after="60" w:line="247" w:lineRule="auto"/>
              <w:jc w:val="both"/>
            </w:pPr>
            <w:r>
              <w:rPr>
                <w:rFonts w:ascii="EB Garamond" w:hAnsi="EB Garamond" w:cs="EB Garamond"/>
                <w:b/>
                <w:i w:val="0"/>
                <w:color w:val="201B16"/>
                <w:sz w:val="19"/>
                <w:lang w:val="pt-BR" w:bidi="ar-SA"/>
                <w:kern w:val="16"/>
                <w14:ligatures w14:val="standardContextual"/>
              </w:rPr>
              <w:t>Ação judicial (se indeferimento):</w:t>
            </w:r>
            <w:r>
              <w:rPr>
                <w:rFonts w:ascii="EB Garamond" w:hAnsi="EB Garamond" w:cs="EB Garamond"/>
                <w:b w:val="0"/>
                <w:i w:val="0"/>
                <w:color w:val="201B16"/>
                <w:sz w:val="19"/>
                <w:lang w:val="pt-BR" w:bidi="ar-SA"/>
                <w:kern w:val="16"/>
                <w14:ligatures w14:val="standardContextual"/>
              </w:rPr>
              <w:t xml:space="preserve"> - [ ] Prévio requerimento administrativo comprovado - [ ] Valor da causa calculado (verificar se dentro do teto JEF) - [ ] Pedido alternativo formulado (todas as regras aplicáveis) - [ ] Documentação completa anexada - [ ] Cálculos de liquidação atualizados - [ ] Tutela provisória de urgência ou evidência requerida (se cabível)</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11.18.5 Valores de referência 2026</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P</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ara facilitar a consulta, apresentam-se os valores de referência atualizados para 2026:</w:t>
      </w:r>
    </w:p>
    <w:tbl>
      <w:tblPr>
        <w:tblW w:type="auto" w:w="0"/>
        <w:jc w:val="center"/>
        <w:tblLook w:firstColumn="1" w:firstRow="1" w:lastColumn="0" w:lastRow="0" w:noHBand="0" w:noVBand="1" w:val="04A0"/>
        <w:tblW w:w="5000" w:type="pct"/>
      </w:tblPr>
      <w:tblGrid>
        <w:gridCol w:w="3175"/>
        <w:gridCol w:w="3175"/>
      </w:tblGrid>
      <w:tr>
        <w:trPr>
          <w:tblHeader/>
        </w:trPr>
        <w:tc>
          <w:tcPr>
            <w:tcW w:type="dxa" w:w="3175"/>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Parâmetro</w:t>
            </w:r>
          </w:p>
        </w:tc>
        <w:tc>
          <w:tcPr>
            <w:tcW w:type="dxa" w:w="3175"/>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Valor 2026</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Salário-mínimo</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R$ 1.621,00</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Teto RGPS</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R$ 8.475,55</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Teto JEF (60 SM)</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R$ 97.260,00</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Alíquota fator previdenciário (a)</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0,31</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Expectativa de vida ao nascer</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76,6 anos</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Sobrevida aos 55 anos</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~25,3 anos</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Sobrevida aos 60 anos</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~22,6 anos</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Sobrevida aos 65 anos</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~19,0 anos</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Pontos art. 15 — Homem</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103</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Pontos art. 15 — Mulher</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93</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Pontos art. 15 — Professor</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98</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Pontos art. 15 — Professora</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88</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Idade art. 16 — Homem</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64 anos e 6 meses</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Idade art. 16 — Mulher</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59 anos e 6 meses</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Idade art. 16 — Professor</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59 anos e 6 meses</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Idade art. 16 — Professora</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54 anos e 6 meses</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Idade art. 20 — Homem (fixa)</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60 anos</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Idade art. 20 — Mulher (fixa)</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57 anos</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Idade art. 20 — Professor (fixa)</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55 anos</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Idade art. 20 — Professora (fixa)</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52 anos</w:t>
            </w:r>
          </w:p>
        </w:tc>
      </w:tr>
    </w:tbl>
    <w:p>
      <w:pPr>
        <w:spacing w:before="0" w:after="80" w:line="240" w:lineRule="auto"/>
      </w:pPr>
    </w:p>
    <w:tbl>
      <w:tblPr>
        <w:tblW w:type="auto" w:w="0"/>
        <w:jc w:val="center"/>
        <w:tblLook w:firstColumn="1" w:firstRow="1" w:lastColumn="0" w:lastRow="0" w:noHBand="0" w:noVBand="1" w:val="04A0"/>
        <w:tblW w:w="4600" w:type="pct"/>
      </w:tblPr>
      <w:tblGrid>
        <w:gridCol w:w="6350"/>
      </w:tblGrid>
      <w:tr>
        <w:tc>
          <w:tcPr>
            <w:tcW w:type="dxa" w:w="6350"/>
            <w:vAlign w:val="top"/>
            <w:tcMar>
              <w:top w:w="100" w:type="dxa"/>
              <w:bottom w:w="100" w:type="dxa"/>
              <w:left w:w="240" w:type="dxa"/>
              <w:right w:w="180" w:type="dxa"/>
            </w:tcMar>
            <w:tcBorders>
              <w:top w:val="none" w:sz="0" w:space="0" w:color="auto"/>
              <w:bottom w:val="none" w:sz="0" w:space="0" w:color="auto"/>
              <w:right w:val="none" w:sz="0" w:space="0" w:color="auto"/>
              <w:left w:val="single" w:sz="16" w:space="0" w:color="B78B37"/>
            </w:tcBorders>
          </w:tcPr>
          <w:p>
            <w:pPr>
              <w:spacing w:before="0" w:after="60" w:line="252" w:lineRule="auto"/>
              <w:jc w:val="both"/>
            </w:pPr>
            <w:r>
              <w:rPr>
                <w:rFonts w:ascii="EB Garamond" w:hAnsi="EB Garamond" w:cs="EB Garamond"/>
                <w:b/>
                <w:i/>
                <w:color w:val="3A3128"/>
                <w:sz w:val="20"/>
                <w:lang w:val="pt-BR" w:bidi="ar-SA"/>
                <w:kern w:val="16"/>
                <w14:ligatures w14:val="standardContextual"/>
              </w:rPr>
              <w:t>Nota sobre a expectativa de sobrevida (Es).</w:t>
            </w:r>
            <w:r>
              <w:rPr>
                <w:rFonts w:ascii="EB Garamond" w:hAnsi="EB Garamond" w:cs="EB Garamond"/>
                <w:b w:val="0"/>
                <w:i/>
                <w:color w:val="3A3128"/>
                <w:sz w:val="20"/>
                <w:lang w:val="pt-BR" w:bidi="ar-SA"/>
                <w:kern w:val="16"/>
                <w14:ligatures w14:val="standardContextual"/>
              </w:rPr>
              <w:t xml:space="preserve"> Os valores de Es desta tabela de referência seguem a Tábua Completa de Mortalidade do IBGE de 2024 (~25,3 aos 55; ~22,6 aos 60; ~19,0 aos 65), aplicável às simulações com data-base 2026. Como o fator previdenciário usa a tábua </w:t>
            </w:r>
            <w:r>
              <w:rPr>
                <w:rFonts w:ascii="EB Garamond" w:hAnsi="EB Garamond" w:cs="EB Garamond"/>
                <w:b/>
                <w:i/>
                <w:color w:val="3A3128"/>
                <w:sz w:val="20"/>
                <w:lang w:val="pt-BR" w:bidi="ar-SA"/>
                <w:kern w:val="16"/>
                <w14:ligatures w14:val="standardContextual"/>
              </w:rPr>
              <w:t>vigente na data do requerimento</w:t>
            </w:r>
            <w:r>
              <w:rPr>
                <w:rFonts w:ascii="EB Garamond" w:hAnsi="EB Garamond" w:cs="EB Garamond"/>
                <w:b w:val="0"/>
                <w:i/>
                <w:color w:val="3A3128"/>
                <w:sz w:val="20"/>
                <w:lang w:val="pt-BR" w:bidi="ar-SA"/>
                <w:kern w:val="16"/>
                <w14:ligatures w14:val="standardContextual"/>
              </w:rPr>
              <w:t xml:space="preserve"> (Lei 9.876/1999; art. 29, § 7º a 9º, Lei 8.213/91), os exemplos que projetam o fator em anos-base distintos adotam a tábua daquele ano — por isso o cálculo de Roberto em 2019 emprega Es ≈ 24,0 aos 57 anos, enquanto seus números de 2026 e os de Marcos usam a IBGE 2024. A divergência aparente entre as duas Es não é incoerência, mas reflexo da atualização anual da tábua.</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11.18.6 Perspectivas e prazo de vigência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 regras de transição da EC 103/2019 não possuem prazo de vigência expresso — permanecerão aplicáveis enquanto existirem segurados filiados ao RGPS antes de 13/11/2019. Na prática, considerando que um segurado com 18 anos em 2019 pode se aposentar por volta de 2054 (com 53 anos e 35 de TC), as regras de transição permanecerão relevantes por mais três décadas.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regra de pontos (art. 15) estabilizará em 105/100 pontos (homem/mulher) a partir de 2028/2033, respectivamente. A regra de idade (art. 16) estabilizará em 65/62 anos (homem/mulher) a partir de 2027/2031. A partir da estabilização, essas regras de transição se tornarão equivalentes à regra permanente (art. 201, § 7º, CF). A diferença residirá apenas no cálculo do benefício (60%+2% vs. Regra permanente, que é idêntica).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pedágio 50% (art. 17) é a regra de transição de aplicação mais restrita e efêmera: como exige que o segurado faltasse menos de 2 anos de TC em 2019, os beneficiários potenciais são segurados que, em 2019, já tinham pelo menos 33 anos TC (homem) ou 28 anos TC (mulher). Esses segurados, mesmo que não tenham requerido o benefício imediatamente, o farão nos próximos anos, esgotando progressivamente o universo de beneficiários.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pedágio 100% (art. 20), por sua vez, permanecerá atrativo por anos em razão do coeficiente integral de 100%, que pode ser significativamente superior ao coeficiente de 60%+2% calculado pelos arts. 15 e 16 para segurados com TC próximo ao mínimo.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As regras de transição encerram-se automaticamente quando todos os segurados filiados antes de 13/11/2019 se aposentarem, falecerem ou perderem a qualidade de segurado. A partir desse momento, estimado para meados da década de 2050, restará apenas a regra permanente da aposentadoria programada (Capítulo 10).</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aposentadoria por tempo de contribuição caminha para a extinção gradual: nascida como "aposentadoria por tempo de serviço" na LOPS de 1960, transformada pela EC 20/1998, ela será integralmente absorvida pela aposentadoria programada quando o último segurado pré-EC 103 se aposentar — provavelmente na década de 2050.</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Até lá, a multiplicidade de regras simultâneas exige do advogado domínio técnico que vai além da mera verificação de tempo mínimo. A jurisprudência consolidada impõe ao julgador o dever de considerar de ofício todas as regras aplicáveis, concedendo a mais favorável ao segurado, independentemente da regra invocada na petição inicial. E a vedação da desaposentação (STF, Tema 503) torna a escolha irreversível. Em síntese: o planejamento previdenciário comparativo por todas as regras não é diferencial — é dever profissional cuja omissão pode configurar responsabilidade civil.</w:t>
      </w:r>
    </w:p>
    <w:p>
      <w:pPr>
        <w:sectPr>
          <w:headerReference w:type="default" r:id="rId129"/>
          <w:headerReference w:type="even" r:id="rId130"/>
          <w:footerReference w:type="default" r:id="rId131"/>
          <w:footerReference w:type="even" r:id="rId132"/>
          <w:headerReference w:type="first" r:id="rId133"/>
          <w:footerReference w:type="first" r:id="rId134"/>
          <w:pgSz w:w="8391" w:h="11906"/>
          <w:pgMar w:top="935" w:right="879" w:bottom="964" w:left="1162" w:header="454" w:footer="425" w:gutter="0" w:mirrorMargins="1"/>
          <w:cols w:space="720"/>
          <w:titlePg/>
          <w:docGrid w:linePitch="360"/>
        </w:sectPr>
      </w:pPr>
    </w:p>
    <w:p>
      <w:pPr>
        <w:spacing w:before="240" w:after="80" w:line="240" w:lineRule="auto"/>
        <w:jc w:val="center"/>
        <w:keepNext/>
      </w:pPr>
      <w:r>
        <w:rPr>
          <w:rFonts w:ascii="Noto Sans" w:hAnsi="Noto Sans" w:cs="Noto Sans"/>
          <w:b/>
          <w:i w:val="0"/>
          <w:caps/>
          <w:color w:val="8A6A2A"/>
          <w:sz w:val="19"/>
          <w:lang w:val="pt-BR" w:bidi="ar-SA"/>
          <w:kern w:val="16"/>
          <w14:ligatures w14:val="standardContextual"/>
        </w:rPr>
        <w:t>CAPÍTULO 12</w:t>
      </w:r>
    </w:p>
    <w:p>
      <w:pPr>
        <w:pStyle w:val="Heading2"/>
        <w:spacing w:before="0" w:after="160" w:line="240" w:lineRule="auto"/>
        <w:jc w:val="center"/>
        <w:keepNext/>
      </w:pPr>
      <w:r>
        <w:rPr>
          <w:rFonts w:ascii="EB Garamond" w:hAnsi="EB Garamond" w:cs="EB Garamond"/>
          <w:b/>
          <w:i w:val="0"/>
          <w:caps/>
          <w:color w:val="2F2923"/>
          <w:sz w:val="40"/>
          <w:lang w:val="pt-BR" w:bidi="ar-SA"/>
          <w:kern w:val="16"/>
          <w14:ligatures w14:val="standardContextual"/>
        </w:rPr>
        <w:t>Aposentadoria da Pessoa com Deficiência (LC 142/2013)</w:t>
      </w:r>
    </w:p>
    <w:p>
      <w:pPr>
        <w:spacing w:before="0" w:after="240" w:line="240" w:lineRule="auto"/>
        <w:jc w:val="center"/>
      </w:pPr>
      <w:r>
        <w:rPr>
          <w:rFonts w:ascii="EB Garamond" w:hAnsi="EB Garamond" w:cs="EB Garamond"/>
          <w:b w:val="0"/>
          <w:i w:val="0"/>
          <w:color w:val="B78B37"/>
          <w:sz w:val="18"/>
          <w:lang w:val="pt-BR" w:bidi="ar-SA"/>
          <w:kern w:val="16"/>
          <w14:ligatures w14:val="standardContextual"/>
        </w:rPr>
        <w:t>━━━━  ◆  ━━━━</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Introdução e fundamento constitucional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LC 142/2013 criou regras diferenciadas de aposentadoria para a pessoa com deficiência, reconhecendo o esforço adicional que a PcD faz para manter atividade laboral. O benefício sobreviveu integralmente à Reforma da Previdência (EC 103/2019), mantendo suas regras próprias de acesso e de cálculo por determinação expressa do art. 22 da emenda reformadora. Enquanto a aposentadoria por tempo de contribuição comum foi extinta para novos filiados e condicionada a regras de transição cada vez mais exigentes para os segurados pré-reforma (conforme examinado no Capítulo 11), a aposentadoria da pessoa com deficiência segue acessível com critérios diferenciados que refletem o reconhecimento constitucional das barreiras enfrentadas por esse grupo de segurados.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fundamento constitucional encontra-se no art. 201, § 1º, da CF/88, que desde a redação originária de 1988 já previa critérios diferenciados para segurados com deficiência. A EC 47/2005 deu nova redação ao dispositivo, mantendo a previsão de critérios diferenciados para pessoas com deficiência por meio de lei complementar. A EC 103/2019 reestruturou o § 1º (criando os §§ 1º-I e 1º-II), preservando substancialmente a proteção à PcD. A ausência de regulamentação por lei complementar, contudo, deixou o dispositivo sem eficácia plena por vinte e cinco anos, período durante o qual o STF foi provocado por dezenas de mandados de injunção impetrados por segurados com deficiência que buscavam exercer o direito constitucionalmente previsto.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Convenção sobre os Direitos das Pessoas com Deficiência (CDPD), aprovada pelo Congresso Nacional por meio do Decreto Legislativo n. 186, de 9 de julho de 2008, sob o rito do art. 5º, § 3º, da CF, e promulgada pelo Decreto n. 6.949/2009 com status de emenda constitucional, consolidou o modelo biopsicossocial de compreensão da deficiência, superando o paradigma biomédico que reduzia a pessoa com deficiência à sua limitação orgânica. A CDPD reconhece que a deficiência resulta da interação entre impedimentos individuais e barreiras sociais, ambientais e atitudinais — concepção que viria a ser incorporada pela Lei n. 13.146/2015 (Estatuto da Pessoa com Deficiência) e que fundamenta toda a estrutura normativa da LC 142/2013.</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regulamentação constitucional veio apenas em 2013, com a promulgação da Lei Complementar n. 142, de 8 de maio de 2013, que instituiu duas modalidades de aposentadoria para o segurado com deficiência do RGPS: (a) aposentadoria por tempo de contribuição, com redução de TC conforme o grau de deficiência, grave, moderada ou leve; e (b) aposentadoria por idade, com redução de 5 anos na idade mínima em relação à regra geral, independentemente do grau de deficiência. A vigência da LC 142 teve início em 8 de novembro de 2013, seis meses após a publicação (art. 10).</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Escopo do Capítulo 12, o que é tratado aqui e o que está em outros capítulos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 </w:t>
            </w:r>
            <w:r>
              <w:rPr>
                <w:rFonts w:ascii="EB Garamond" w:hAnsi="EB Garamond" w:cs="EB Garamond"/>
                <w:b/>
                <w:i w:val="0"/>
                <w:color w:val="201B16"/>
                <w:sz w:val="19"/>
                <w:lang w:val="pt-BR" w:bidi="ar-SA"/>
                <w:kern w:val="16"/>
                <w14:ligatures w14:val="standardContextual"/>
              </w:rPr>
              <w:t>Capítulo 5:</w:t>
            </w:r>
            <w:r>
              <w:rPr>
                <w:rFonts w:ascii="EB Garamond" w:hAnsi="EB Garamond" w:cs="EB Garamond"/>
                <w:b w:val="0"/>
                <w:i w:val="0"/>
                <w:color w:val="201B16"/>
                <w:sz w:val="19"/>
                <w:lang w:val="pt-BR" w:bidi="ar-SA"/>
                <w:kern w:val="16"/>
                <w14:ligatures w14:val="standardContextual"/>
              </w:rPr>
              <w:t xml:space="preserve"> Conceito de tempo de contribuição, cômputo, averbação, CTC, aplicam-se integralmente à PcD.</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 </w:t>
            </w:r>
            <w:r>
              <w:rPr>
                <w:rFonts w:ascii="EB Garamond" w:hAnsi="EB Garamond" w:cs="EB Garamond"/>
                <w:b/>
                <w:i w:val="0"/>
                <w:color w:val="201B16"/>
                <w:sz w:val="19"/>
                <w:lang w:val="pt-BR" w:bidi="ar-SA"/>
                <w:kern w:val="16"/>
                <w14:ligatures w14:val="standardContextual"/>
              </w:rPr>
              <w:t>Capítulo 6:</w:t>
            </w:r>
            <w:r>
              <w:rPr>
                <w:rFonts w:ascii="EB Garamond" w:hAnsi="EB Garamond" w:cs="EB Garamond"/>
                <w:b w:val="0"/>
                <w:i w:val="0"/>
                <w:color w:val="201B16"/>
                <w:sz w:val="19"/>
                <w:lang w:val="pt-BR" w:bidi="ar-SA"/>
                <w:kern w:val="16"/>
                <w14:ligatures w14:val="standardContextual"/>
              </w:rPr>
              <w:t xml:space="preserve"> Aposentadoria por incapacidade permanente, deficiência ≠ incapacidade. Distinção detalhada na seção 12.15.</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 </w:t>
            </w:r>
            <w:r>
              <w:rPr>
                <w:rFonts w:ascii="EB Garamond" w:hAnsi="EB Garamond" w:cs="EB Garamond"/>
                <w:b/>
                <w:i w:val="0"/>
                <w:color w:val="201B16"/>
                <w:sz w:val="19"/>
                <w:lang w:val="pt-BR" w:bidi="ar-SA"/>
                <w:kern w:val="16"/>
                <w14:ligatures w14:val="standardContextual"/>
              </w:rPr>
              <w:t>Capítulo 8:</w:t>
            </w:r>
            <w:r>
              <w:rPr>
                <w:rFonts w:ascii="EB Garamond" w:hAnsi="EB Garamond" w:cs="EB Garamond"/>
                <w:b w:val="0"/>
                <w:i w:val="0"/>
                <w:color w:val="201B16"/>
                <w:sz w:val="19"/>
                <w:lang w:val="pt-BR" w:bidi="ar-SA"/>
                <w:kern w:val="16"/>
                <w14:ligatures w14:val="standardContextual"/>
              </w:rPr>
              <w:t xml:space="preserve"> Aposentadoria especial por agentes nocivos, panorama da PcD em 8.12. Cap 12 é o tratamento aprofundado.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 </w:t>
            </w:r>
            <w:r>
              <w:rPr>
                <w:rFonts w:ascii="EB Garamond" w:hAnsi="EB Garamond" w:cs="EB Garamond"/>
                <w:b/>
                <w:i w:val="0"/>
                <w:color w:val="201B16"/>
                <w:sz w:val="19"/>
                <w:lang w:val="pt-BR" w:bidi="ar-SA"/>
                <w:kern w:val="16"/>
                <w14:ligatures w14:val="standardContextual"/>
              </w:rPr>
              <w:t>Capítulo 11:</w:t>
            </w:r>
            <w:r>
              <w:rPr>
                <w:rFonts w:ascii="EB Garamond" w:hAnsi="EB Garamond" w:cs="EB Garamond"/>
                <w:b w:val="0"/>
                <w:i w:val="0"/>
                <w:color w:val="201B16"/>
                <w:sz w:val="19"/>
                <w:lang w:val="pt-BR" w:bidi="ar-SA"/>
                <w:kern w:val="16"/>
                <w14:ligatures w14:val="standardContextual"/>
              </w:rPr>
              <w:t xml:space="preserve"> Fator previdenciário (fórmula detalhada em 11.8). Aqui: foco no art. 9º, I, LC 142 (aplicação opcional).</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 </w:t>
            </w:r>
            <w:r>
              <w:rPr>
                <w:rFonts w:ascii="EB Garamond" w:hAnsi="EB Garamond" w:cs="EB Garamond"/>
                <w:b/>
                <w:i w:val="0"/>
                <w:color w:val="201B16"/>
                <w:sz w:val="19"/>
                <w:lang w:val="pt-BR" w:bidi="ar-SA"/>
                <w:kern w:val="16"/>
                <w14:ligatures w14:val="standardContextual"/>
              </w:rPr>
              <w:t>Capítulo 18:</w:t>
            </w:r>
            <w:r>
              <w:rPr>
                <w:rFonts w:ascii="EB Garamond" w:hAnsi="EB Garamond" w:cs="EB Garamond"/>
                <w:b w:val="0"/>
                <w:i w:val="0"/>
                <w:color w:val="201B16"/>
                <w:sz w:val="19"/>
                <w:lang w:val="pt-BR" w:bidi="ar-SA"/>
                <w:kern w:val="16"/>
                <w14:ligatures w14:val="standardContextual"/>
              </w:rPr>
              <w:t xml:space="preserve"> BPC/LOAS, conceito geral de deficiência e modelo biopsicossocial (18.5-18.7). Distinção BPC × aposentadoria PcD na seção 12.14.</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 </w:t>
            </w:r>
            <w:r>
              <w:rPr>
                <w:rFonts w:ascii="EB Garamond" w:hAnsi="EB Garamond" w:cs="EB Garamond"/>
                <w:b/>
                <w:i w:val="0"/>
                <w:color w:val="201B16"/>
                <w:sz w:val="19"/>
                <w:lang w:val="pt-BR" w:bidi="ar-SA"/>
                <w:kern w:val="16"/>
                <w14:ligatures w14:val="standardContextual"/>
              </w:rPr>
              <w:t>Capítulo 12 (este):</w:t>
            </w:r>
            <w:r>
              <w:rPr>
                <w:rFonts w:ascii="EB Garamond" w:hAnsi="EB Garamond" w:cs="EB Garamond"/>
                <w:b w:val="0"/>
                <w:i w:val="0"/>
                <w:color w:val="201B16"/>
                <w:sz w:val="19"/>
                <w:lang w:val="pt-BR" w:bidi="ar-SA"/>
                <w:kern w:val="16"/>
                <w14:ligatures w14:val="standardContextual"/>
              </w:rPr>
              <w:t xml:space="preserve"> LC 142/2013 integralmente, graus, IF-BrA, aposentadoria por TC e por idade da PcD, deficiência superveniente, conversão proporcional, fator previdenciário opcional, interface EC 103/2019, aspectos processuais nos JEFs.</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E</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xaminamos neste capítulo, em profundidade, a LC 142/2013, desde o conceito de deficiência para fins previdenciários até os aspectos processuais da perícia biopsicossocial nos JEFs, passando pela avaliação funcional (IF-BrA), pelos mecanismos de conversão proporcional em caso de deficiência superveniente ou alteração de grau, pela controvérsia sobre o cálculo após a EC 103/2019 e pela distinção em relação ao BPC e à aposentadoria por incapacidade. Ao longo da exposição, reunimos as ferramentas teóricas e práticas que reputamos necessárias para orientar o segurado com deficiência sobre a via mais vantajosa de proteção previdenciária — e registramos, quando a matéria comporta divergência, a posição que adotamos a partir da experiência de julgamento nos Juizados Especiais Federais.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12.2 Evolução legislativa: da omissão legislativa ao modelo biopsicossocial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trajetória normativa da aposentadoria da pessoa com deficiência no Brasil pode ser dividida em quatro fases distintas, cada qual marcada por paradigmas conceituais e marcos legislativos próprios.</w:t>
      </w:r>
    </w:p>
    <w:p>
      <w:pPr>
        <w:spacing w:before="260" w:after="80" w:line="240" w:lineRule="auto"/>
        <w:jc w:val="left"/>
      </w:pPr>
      <w:r>
        <w:rPr>
          <w:rFonts w:ascii="EB Garamond" w:hAnsi="EB Garamond" w:cs="EB Garamond"/>
          <w:b/>
          <w:i w:val="0"/>
          <w:color w:val="3A3128"/>
          <w:sz w:val="25"/>
          <w:lang w:val="pt-BR" w:bidi="ar-SA"/>
          <w:kern w:val="16"/>
          <w14:ligatures w14:val="standardContextual"/>
        </w:rPr>
        <w:t>12.2.1 Primeira fase: previsão constitucional sem regulamentação (1988-2013)</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Constituição de 1988, em sua redação originária, já previa critérios diferenciados para aposentadoria de segurados com deficiência (art. 201, § 1º), incluindo referência expressa a "portadores de deficiência". A EC 20/1998 reiterou a previsão, e a EC 47/2005 deu nova redação ao § 1º, mantendo e reafirmando os critérios diferenciados para pessoas com deficiência e a exigência de lei complementar para regulamentação. Durante vinte e cinco anos, porém, o Congresso Nacional manteve-se inerte, deixando milhões de segurados com deficiência sem acesso ao direito constitucionalmente previsto.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omissão legislativa gerou intensa judicialização. Dezenas de mandados de injunção foram impetrados perante o STF, entre eles os MIs 1.967, 1.886 e 3.357, nos quais a Corte reconheceu a mora legislativa inconstitucional e determinou a aplicação analógica do art. 57 da Lei n. 8.213/91 (aposentadoria especial por agentes nocivos) como medida paliativa. Essa solução judicial, embora criativa, era insatisfatória: equiparava situações substancialmente distintas (exposição a agentes nocivos vs. Convivência com impedimentos funcionais) e não contemplava os graus de deficiência nem o modelo biopsicossocial.</w:t>
      </w:r>
    </w:p>
    <w:p>
      <w:pPr>
        <w:spacing w:before="260" w:after="80" w:line="240" w:lineRule="auto"/>
        <w:jc w:val="left"/>
      </w:pPr>
      <w:r>
        <w:rPr>
          <w:rFonts w:ascii="EB Garamond" w:hAnsi="EB Garamond" w:cs="EB Garamond"/>
          <w:b/>
          <w:i w:val="0"/>
          <w:color w:val="3A3128"/>
          <w:sz w:val="25"/>
          <w:lang w:val="pt-BR" w:bidi="ar-SA"/>
          <w:kern w:val="16"/>
          <w14:ligatures w14:val="standardContextual"/>
        </w:rPr>
        <w:t>12.2.2 Segunda fase: a LC 142/2013 e a regulamentação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E</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m 8 de maio de 2013, o Congresso Nacional finalmente promulgou a Lei Complementar n. 142, regulamentando o art. 201, § 1º, da CF. A LC 142 representou avanço significativo ao: (a) adotar conceito de deficiência alinhado à CDPD, baseado na interação entre impedimentos individuais e barreiras sociais; (b) estabelecer três graus de deficiência (grave, moderada, leve) com tempos de contribuição diferenciados; (c) criar modalidade de aposentadoria por idade com redução de 5 anos; (d) prever avaliação médica e funcional (biopsicossocial) como método de aferição do grau; e (e) determinar a aplicação do fator previdenciário somente quando vantajoso ao segurado.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regulamentação veio pelo Decreto n. 8.145, de 3 de dezembro de 2013, que inseriu os arts. 70-A a 70-J no Regulamento da Previdência Social (Decreto n. 3.048/99). A Portaria Interministerial AGU/MPS/MF/SEDH/MP n. 1/2014 aprovou o IF-BrA como instrumento oficial de avaliação biopsicossocial (detalhado na seção 12.4.2).</w:t>
      </w:r>
    </w:p>
    <w:p>
      <w:pPr>
        <w:spacing w:before="260" w:after="80" w:line="240" w:lineRule="auto"/>
        <w:jc w:val="left"/>
      </w:pPr>
      <w:r>
        <w:rPr>
          <w:rFonts w:ascii="EB Garamond" w:hAnsi="EB Garamond" w:cs="EB Garamond"/>
          <w:b/>
          <w:i w:val="0"/>
          <w:color w:val="3A3128"/>
          <w:sz w:val="25"/>
          <w:lang w:val="pt-BR" w:bidi="ar-SA"/>
          <w:kern w:val="16"/>
          <w14:ligatures w14:val="standardContextual"/>
        </w:rPr>
        <w:t>12.2.3 Terceira fase: consolidação do modelo biopsicossocial (2015-2019)</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Lei n. 13.146/2015 (Estatuto da Pessoa com Deficiência) reforçou o paradigma da CDPD, consolidando na legislação infraconstitucional o conceito funcional de deficiência (para detalhamento do conceito, v. Seção 12.3 adiante). No mesmo período, a jurisprudência dos TRFs e da TNU consolidou parâmetros de aplicação da LC 142, enfrentando questões como a definição da data de início da deficiência, a valoração da perícia biopsicossocial e a fungibilidade entre benefícios previdenciários e assistenciais (TNU Tema 217).</w:t>
      </w:r>
    </w:p>
    <w:p>
      <w:pPr>
        <w:spacing w:before="260" w:after="80" w:line="240" w:lineRule="auto"/>
        <w:jc w:val="left"/>
      </w:pPr>
      <w:r>
        <w:rPr>
          <w:rFonts w:ascii="EB Garamond" w:hAnsi="EB Garamond" w:cs="EB Garamond"/>
          <w:b/>
          <w:i w:val="0"/>
          <w:color w:val="3A3128"/>
          <w:sz w:val="25"/>
          <w:lang w:val="pt-BR" w:bidi="ar-SA"/>
          <w:kern w:val="16"/>
          <w14:ligatures w14:val="standardContextual"/>
        </w:rPr>
        <w:t>12.2.4 Quarta fase: manutenção pós-reforma (2019-presente)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EC 103/2019 (Reforma da Previdência) extinguiu a aposentadoria por tempo de contribuição para novos filiados e alterou profundamente o cálculo dos benefícios previdenciários. Contudo, o art. 22 da emenda determinou expressamente que a aposentadoria da pessoa com deficiência seguiria regida pela LC 142/2013, "inclusive quanto aos critérios de cálculo", até que nova lei complementar discipline a matéria. Essa previsão faz da aposentadoria da PcD o único benefício por tempo de contribuição que preserva integralmente suas regras originais de acesso e cálculo após a Reforma.</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Ano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Marco legislativo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Significado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1988</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CF/88, art. 201, § 1º</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Previsão constitucional — critérios diferenciados para PcD</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2005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EC 47/2005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Nova redação do § 1º do art. 201, reafirmando critérios diferenciados para PcD</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2008</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Decreto Legislativo 186/2008</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Aprovação da CDPD com status de EC (art. 5º, § 3º, CF)</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2009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Decreto 6.949/2009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Promulgação da CDPD — paradigma biopsicossocial</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2013 (mai)</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LC 142/2013</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Regulamentação: graus, TC diferenciado, avaliação biopsicossocial</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2013 (dez)</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Decreto 8.145/2013</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Regulamentação da LC 142, fatores de conversão, procedimentos</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2014</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Portaria Interministerial 1/2014</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Aprovação do IF-BrA como instrumento de avaliação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2015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Lei 13.146/2015 (Estatuto PcD)</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Conceito de deficiência alinhado à CDPD</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2019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EC 103/2019, art. 22</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Manutenção integral da LC 142 pós-Reforma</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2021</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Lei 14.126/2021</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Visão monocular classificada como deficiência sensorial</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12.3 Conceito de deficiência para fins de aposentadoria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2º da LC 142/2013 define pessoa com deficiência, para fins de aposentadoria no RGPS, como aquela que tem impedimentos de longo prazo de natureza física, mental, intelectual ou sensorial, os quais, em interação com diversas barreiras, podem obstruir sua participação plena e efetiva na sociedade em igualdade de condições com as demais pessoas. A definição alinha-se ao modelo biopsicossocial da CDPD e da Lei n. 13.146/2015 (para o conceito geral do modelo e suas implicações na avaliação da deficiência, v. Cap. 6, seção 6.10.2, e Cap. 18, seções 18.5-18.7). A adoção desse modelo pela LC 142 superou definitivamente o critério puramente médico.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isso significa que duas pessoas com o mesmo diagnóstico clínico podem ter graus de deficiência distintos para fins da LC 142, conforme o impacto funcional da condição em sua vida concreta.</w:t>
      </w:r>
    </w:p>
    <w:p>
      <w:pPr>
        <w:spacing w:before="260" w:after="80" w:line="240" w:lineRule="auto"/>
        <w:jc w:val="left"/>
      </w:pPr>
      <w:r>
        <w:rPr>
          <w:rFonts w:ascii="EB Garamond" w:hAnsi="EB Garamond" w:cs="EB Garamond"/>
          <w:b/>
          <w:i w:val="0"/>
          <w:color w:val="3A3128"/>
          <w:sz w:val="25"/>
          <w:lang w:val="pt-BR" w:bidi="ar-SA"/>
          <w:kern w:val="16"/>
          <w14:ligatures w14:val="standardContextual"/>
        </w:rPr>
        <w:t>12.3.1 Deficiência versus incapacidade: distinção fundamental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distinção entre deficiência e incapacidade condiciona a escolha do benefício adequado (para a análise aprofundada da fronteira entre os dois conceitos na perspectiva do benefício por incapacidade, v. Cap. 6, seção 6.10.2). Os conceitos, embora possam coexistir em uma mesma pessoa, têm natureza e consequências jurídicas distintas: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Deficiência</w:t>
      </w:r>
      <w:r>
        <w:rPr>
          <w:rFonts w:ascii="EB Garamond" w:hAnsi="EB Garamond" w:cs="EB Garamond"/>
          <w:b w:val="0"/>
          <w:i w:val="0"/>
          <w:color w:val="201B16"/>
          <w:sz w:val="21"/>
          <w:lang w:val="pt-BR" w:bidi="ar-SA"/>
          <w:kern w:val="16"/>
          <w14:ligatures w14:val="standardContextual"/>
        </w:rPr>
        <w:t xml:space="preserve"> é o impedimento funcional de longo prazo que restringe a participação social do indivíduo, mas não necessariamente impede o exercício de atividade laboral. A pessoa com deficiência trabalha (ou pode trabalhar), é segurada obrigatória do RGPS, verte contribuições, exerce profissão. O benefício correspondente (aposentadoria da PcD, LC 142) pressupõe e reconhece essa capacidade laboral, oferecendo tempo de contribuição reduzido como compensação pelas barreiras enfrentadas ao longo da vida profissional. A distinção entre deficiência e incapacidade é o eixo estruturante de toda a LC 142, pois dela dependem a delimitação do benefício cabível e a natureza da prova a ser produzida.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Incapacidade</w:t>
      </w:r>
      <w:r>
        <w:rPr>
          <w:rFonts w:ascii="EB Garamond" w:hAnsi="EB Garamond" w:cs="EB Garamond"/>
          <w:b w:val="0"/>
          <w:i w:val="0"/>
          <w:color w:val="201B16"/>
          <w:sz w:val="21"/>
          <w:lang w:val="pt-BR" w:bidi="ar-SA"/>
          <w:kern w:val="16"/>
          <w14:ligatures w14:val="standardContextual"/>
        </w:rPr>
        <w:t xml:space="preserve"> é a impossibilidade de exercer atividade laboral que garanta a subsistência, total ou parcialmente, temporária ou permanentemente. A pessoa incapaz não pode trabalhar — está privada de sua capacidade produtiva por doença, acidente ou outra causa. Os benefícios correspondentes (auxílio por incapacidade temporária, aposentadoria por incapacidade permanente) pressupõem essa impossibilidade e visam substituir a renda perdida (conforme detalhado nos Capítulos 6 e 7).</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Deficiência ≠ incapacidade — consequências práticas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A PcD que trabalha por 29 anos com deficiência moderada tem direito à aposentadoria por TC da PcD (art. 3º, II, LC 142).</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A PcD que se torna incapaz para o trabalho tem direito ao benefício por incapacidade (Caps. 6/7), não à aposentadoria da PcD.</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O segurado que ficou incapaz por 2 anos (auxílio por incapacidade temporária) e depois se recuperou NÃO é, por isso, pessoa com deficiência para fins da LC 142.</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A deficiência é permanente por definição ("impedimento de longo prazo"); a incapacidade pode ser temporária.</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Para a aposentadoria da PcD, o grau de deficiência é avaliado pela funcionalidade (IF-BrA), não pela capacidade laboral.</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jurisprudência dos TRFs tem reiteradamente afirmado essa distinção. O TRF4 consigna, em síntese, que a aposentadoria da pessoa com deficiência não exige demonstração de incapacidade laboral, mas de impedimentos de longo prazo que, em interação com barreiras, restringem a participação social em igualdade de condições. No mesmo sentido orienta-se o TRF3, para quem a deficiência, na LC 142/2013, é conceito funcional, e não clínico, não se confundindo a funcionalidade com a capacidade para o trabalho.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Distinção entre deficiência e incapacidade na jurisprudência dos TRFs</w:t>
            </w:r>
          </w:p>
          <w:p>
            <w:pPr>
              <w:spacing w:before="0" w:after="60" w:line="247" w:lineRule="auto"/>
              <w:jc w:val="both"/>
            </w:pPr>
            <w:r>
              <w:rPr>
                <w:rFonts w:ascii="EB Garamond" w:hAnsi="EB Garamond" w:cs="EB Garamond"/>
                <w:b w:val="0"/>
                <w:i/>
                <w:color w:val="201B16"/>
                <w:sz w:val="19"/>
                <w:lang w:val="pt-BR" w:bidi="ar-SA"/>
                <w:kern w:val="16"/>
                <w14:ligatures w14:val="standardContextual"/>
              </w:rPr>
              <w:t>Os trechos que seguem sintetizam o entendimento dos tribunais; não constituem transcrição literal de ementa.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TRF4: a aposentadoria da pessoa com deficiência não se confunde com a aposentadoria por invalidez (atual aposentadoria por incapacidade permanente). Aquela exige a comprovação de impedimentos funcionais de longo prazo que restringem a participação social; esta, a de incapacidade total e permanente para o trabalho. São benefícios com pressupostos e finalidades distintos (AC 5012831-64.2015.4.04.7002, TRF4).</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TRF3: o conceito de deficiência para fins da LC 142/2013 não se reduz ao diagnóstico médico, abrangendo a avaliação biopsicossocial das limitações funcionais e das barreiras enfrentadas pelo segurado em sua vida cotidiana e profissional (ApCiv 5005127-06.2018.4.03.6183, TRF3).</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12.3.2 Impedimento de longo prazo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impedimento, para fins da LC 142, deve ser de longo prazo. O conceito de deficiência ancora-se no art. 2º da LC 142/2013, que reproduz a definição da CDPD (impedimentos de longo prazo de natureza física, mental, intelectual ou sensorial). A quantificação do "longo prazo" em prazo mínimo de dois anos, contudo, não está no caput da definição legal: foi fixada pelo regulamento, no art. 70-B, § 1º, do Decreto 3.048/99 (incluído pelo Decreto 8.145/2013), que dispõe sobre a avaliação biopsicossocial. Importa não confundir essa exigência com a carência de 180 contribuições (art. 3º, parágrafo único, da LC 142): são requisitos distintos, com sedes normativas distintas — um diz respeito à duração mínima do impedimento, o outro ao número mínimo de contribuições. Note-se ainda que a Lei n. 13.146/2015 (art. 2º) define a pessoa com deficiência pela presença de impedimento de longo prazo, mas tampouco fixa expressamente o marco temporal de dois anos. Esse critério temporal distingue a deficiência (permanente ou de longo prazo) de condições transitórias (doenças agudas, fraturas em recuperação, estados pós-cirúrgicos temporários), que podem gerar incapacidade temporária mas não configuram deficiência para fins previdenciários.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a questão da temporalidade é especialmente relevante em condições progressivas (como esclerose múltipla ou HIV/AIDS) ou intermitentes (como transtornos mentais com períodos de remissão e recaída). Nesses casos, a avaliação biopsicossocial deve considerar o prognóstico e o padrão de evolução da condição, e não apenas o estado atual no momento da perícia.</w:t>
      </w:r>
    </w:p>
    <w:p>
      <w:pPr>
        <w:spacing w:before="260" w:after="80" w:line="240" w:lineRule="auto"/>
        <w:jc w:val="left"/>
      </w:pPr>
      <w:r>
        <w:rPr>
          <w:rFonts w:ascii="EB Garamond" w:hAnsi="EB Garamond" w:cs="EB Garamond"/>
          <w:b/>
          <w:i w:val="0"/>
          <w:color w:val="3A3128"/>
          <w:sz w:val="25"/>
          <w:lang w:val="pt-BR" w:bidi="ar-SA"/>
          <w:kern w:val="16"/>
          <w14:ligatures w14:val="standardContextual"/>
        </w:rPr>
        <w:t>12.3.3 Deficiência versus doença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N</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em toda doença gera deficiência para fins previdenciários. Uma pessoa com diabetes tipo 2 controlada por medicação pode não apresentar impedimentos funcionais de longo prazo que restrinjam sua participação social — logo, não é pessoa com deficiência para fins da LC 142. Outra pessoa com diabetes tipo 1 com complicações (retinopatia grave, neuropatia, amputação), por sua vez, pode ter impedimentos significativos que a enquadrem como PcD.</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distinção entre doença e deficiência é operacionalizada pela avaliação biopsicossocial: o IF-BrA não avalia a doença em si, mas o impacto funcional da condição na vida do segurado. Essa abordagem funcional é coerente com o modelo biopsicossocial da CDPD e impede que o mero diagnóstico (CID-10) sirva de critério automático para acesso ao benefício.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forense, contudo, a apresentação do diagnóstico (CID-10) é indispensável como ponto de partida da avaliação: o perito precisa identificar a condição clínica para então avaliar seu impacto funcional. Laudos médicos que indicam apenas o CID sem descrever as limitações funcionais são insuficientes para a comprovação da deficiência; laudos que detalham as restrições de atividade e participação, ainda que sem CID, podem ser mais informativos para fins da LC 142.</w:t>
      </w:r>
    </w:p>
    <w:p>
      <w:pPr>
        <w:spacing w:before="260" w:after="80" w:line="240" w:lineRule="auto"/>
        <w:jc w:val="left"/>
      </w:pPr>
      <w:r>
        <w:rPr>
          <w:rFonts w:ascii="EB Garamond" w:hAnsi="EB Garamond" w:cs="EB Garamond"/>
          <w:b/>
          <w:i w:val="0"/>
          <w:color w:val="3A3128"/>
          <w:sz w:val="25"/>
          <w:lang w:val="pt-BR" w:bidi="ar-SA"/>
          <w:kern w:val="16"/>
          <w14:ligatures w14:val="standardContextual"/>
        </w:rPr>
        <w:t>12.3.4 Pessoas com deficiência e o mercado de trabalho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U</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m aspecto frequentemente negligenciado na análise previdenciária é o reconhecimento de que a LC 142/2013 tutela a pessoa com deficiência que trabalha — não a que está impedida de trabalhar (essa é protegida pelos benefícios por incapacidade). A aposentadoria da PcD reconhece que o exercício da atividade laboral com deficiência exige esforço adicional, enfrenta barreiras e desgaste superiores aos enfrentados pelo trabalhador sem deficiência.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Essa perspectiva tem implicações probatórias: a comprovação de que o segurado exerce ou exerceu atividade laboral, longe de afastar o direito à aposentadoria da PcD, é pressuposto do benefício. O segurado que trabalha com deficiência demonstra precisamente a situação tutelada pela LC 142: convivência diária com impedimentos e barreiras que justificam a redução do tempo de contribuição como medida de equidade.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reserva de vagas para pessoas com deficiência em empresas com 100 ou mais empregados é prevista pelo art. 93 da Lei n. 8.213/91, que fixa a escala progressiva de cotas de 2% a 5% conforme o porte da empresa (2% de 100 a 200 empregados; 3% de 201 a 500; 4% de 501 a 1.000; 5% acima de 1.000). O Estatuto da PcD (Lei n. 13.146/2015) reforça, em plano principiológico, o direito ao trabalho da pessoa com deficiência, mas é o art. 93 da Lei n. 8.213/91 que estabelece a escala numérica das cotas. O segurado que ocupa vaga reservada e contribui regularmente está construindo tempo de contribuição para a aposentadoria da PcD — e o fato de ocupar vaga de cota reforça a comprovação da deficiência para fins previdenciários, embora os critérios de classificação para cotas (Decreto n. 3.298/99, Decreto n. 5.296/2004) não sejam idênticos aos do IF-BrA.</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12.4 Graus de deficiência: leve, moderada e grave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LC 142/2013, em seu art. 3º, incisos I a III, estabelece três graus de deficiência, grave, moderada e leve, cada qual com um tempo de contribuição diferenciado. O art. 5º determina que o grau será atestado por perícia própria do INSS, e o art. 4º remete ao regulamento para definição dos critérios de classificação.</w:t>
      </w:r>
    </w:p>
    <w:p>
      <w:pPr>
        <w:spacing w:before="260" w:after="80" w:line="240" w:lineRule="auto"/>
        <w:jc w:val="left"/>
      </w:pPr>
      <w:r>
        <w:rPr>
          <w:rFonts w:ascii="EB Garamond" w:hAnsi="EB Garamond" w:cs="EB Garamond"/>
          <w:b/>
          <w:i w:val="0"/>
          <w:color w:val="3A3128"/>
          <w:sz w:val="25"/>
          <w:lang w:val="pt-BR" w:bidi="ar-SA"/>
          <w:kern w:val="16"/>
          <w14:ligatures w14:val="standardContextual"/>
        </w:rPr>
        <w:t>12.4.1 Tempos de contribuição por grau</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estrutura de TC da LC 142 reflete uma lógica de proporcionalidade inversa: quanto mais grave a deficiência, maior a barreira enfrentada pelo segurado ao longo de sua vida laboral e, logo, menor o tempo de contribuição exigido para aposentadoria.</w:t>
      </w:r>
    </w:p>
    <w:tbl>
      <w:tblPr>
        <w:tblW w:type="auto" w:w="0"/>
        <w:jc w:val="center"/>
        <w:tblLook w:firstColumn="1" w:firstRow="1" w:lastColumn="0" w:lastRow="0" w:noHBand="0" w:noVBand="1" w:val="04A0"/>
        <w:tblW w:w="5000" w:type="pct"/>
      </w:tblPr>
      <w:tblGrid>
        <w:gridCol w:w="1587"/>
        <w:gridCol w:w="1587"/>
        <w:gridCol w:w="1587"/>
        <w:gridCol w:w="1587"/>
      </w:tblGrid>
      <w:tr>
        <w:trPr>
          <w:tblHeader/>
        </w:trPr>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Grau de deficiência</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TC Homem</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TC Mulher</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Redução vs. TC comum (35H/30M)</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Grave</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25 anos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 anos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 anos</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Moderada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29 anos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24 anos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 anos</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Leve</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33 anos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28 anos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 anos</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TC comum (referência)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35 anos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30 anos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lém do TC diferenciado, há exigência de carência de 180 contribuições mensais (art. 3º, parágrafo único, LC 142), idêntica à carência da aposentadoria por TC comum. A existência da deficiência deve ser comprovada durante todo o período de TC ou parte dele — no segundo caso, aplica-se a conversão proporcional do art. 7º (seção 12.7).</w:t>
      </w:r>
    </w:p>
    <w:p>
      <w:pPr>
        <w:spacing w:before="260" w:after="80" w:line="240" w:lineRule="auto"/>
        <w:jc w:val="left"/>
      </w:pPr>
      <w:r>
        <w:rPr>
          <w:rFonts w:ascii="EB Garamond" w:hAnsi="EB Garamond" w:cs="EB Garamond"/>
          <w:b/>
          <w:i w:val="0"/>
          <w:color w:val="3A3128"/>
          <w:sz w:val="25"/>
          <w:lang w:val="pt-BR" w:bidi="ar-SA"/>
          <w:kern w:val="16"/>
          <w14:ligatures w14:val="standardContextual"/>
        </w:rPr>
        <w:t>12.4.2 Critérios de classificação: o IF-BrA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LC 142 não define, por si, os critérios de classificação dos graus. O art. 5º remete à perícia do INSS, e o Regulamento (Decreto n. 8.145/2013, incluindo os arts. 70-A a 70-J no Decreto 3.048/99) detalha o procedimento de avaliação. O instrumento oficial de aferição é o IF-BrA (Índice de Funcionalidade Brasileiro Aplicado à Aposentadoria), aprovado pela Portaria Interministerial AGU/MPS/MF/SEDH/MP n. 1/2014.</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IF-BrA é composto por 41 atividades distribuídas em 7 domínios funcionais:</w:t>
      </w:r>
    </w:p>
    <w:tbl>
      <w:tblPr>
        <w:tblW w:type="auto" w:w="0"/>
        <w:jc w:val="center"/>
        <w:tblLook w:firstColumn="1" w:firstRow="1" w:lastColumn="0" w:lastRow="0" w:noHBand="0" w:noVBand="1" w:val="04A0"/>
        <w:tblW w:w="5000" w:type="pct"/>
      </w:tblPr>
      <w:tblGrid>
        <w:gridCol w:w="3175"/>
        <w:gridCol w:w="3175"/>
      </w:tblGrid>
      <w:tr>
        <w:trPr>
          <w:tblHeader/>
        </w:trPr>
        <w:tc>
          <w:tcPr>
            <w:tcW w:type="dxa" w:w="3175"/>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Domínio</w:t>
            </w:r>
          </w:p>
        </w:tc>
        <w:tc>
          <w:tcPr>
            <w:tcW w:type="dxa" w:w="3175"/>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Atividades avaliadas</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 Sensorial</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Visão, audição, produção vocal, demais funções sensoriais</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 Comunicação</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Compreensão, expressão, conversação, utilização de dispositivos de comunicação</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3. Mobilidade</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Locomoção, deslocamento, uso de transportes, manuseio de objetos</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4. Cuidados pessoais</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Higiene, alimentação, vestuário, cuidados com a saúde</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5. Vida doméstica</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Preparação de refeições, tarefas do lar, assistência a dependentes</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 Educação, trabalho e vida econômica</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Escolaridade, formação profissional, atividade laboral, gestão financeira</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7. Socialização e vida comunitária</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Relações interpessoais, participação social, recreação e lazer</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P</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ara cada atividade, o avaliador atribui uma pontuação que reflete o grau de funcionalidade do segurado. A soma das pontuações nos 7 domínios, combinada entre a avaliação médica (peso de 50%) e a avaliação funcional/social (peso de 50%), produz um escore global que é enquadrado nas faixas correspondentes a cada grau de deficiência.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avaliação biopsicossocial é realizada obrigatoriamente por dois profissionais: um médico perito e um assistente social do INSS. O art. 70-D do Decreto 3.048/99 determina que a avaliação deve estabelecer: (a) a data provável do início da deficiência; (b) o grau atual de deficiência; e (c) eventuais variações do grau ao longo do tempo, com indicação dos respectivos períodos.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Como funciona a avaliação biopsicossocial na prática</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1. O segurado agenda o requerimento de aposentadoria da PcD no portal Meu INSS.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2. São agendadas duas avaliações separadas: perícia médica e avaliação social.</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3. O médico perito examina laudos, exames, atestados e avalia as funções corporais.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4. O assistente social avalia as barreiras ambientais, sociais e atitudinais enfrentadas pelo segurado.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5. Cada avaliador aplica o IF-BrA nos 7 domínios, atribuindo pontuação.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6. As pontuações são combinadas (50% perícia médica + 50% avaliação social).</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7. O escore global define o grau: grave, moderada ou leve.</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8. A data de início da deficiência é fixada com base no conjunto probatório.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9. Se houver variação de grau ao longo do tempo, os períodos são registrados separadamente.</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10. O resultado é comunicado ao segurado, que pode impugná-lo administrativamente ou judicialmente.</w:t>
            </w: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O grau da deficiência NÃO é definido pela doença — é definido pela funcionalidade</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Não existe lista taxativa de doenças ou condições que correspondam automaticamente a determinado grau de deficiência. Duas pessoas com o mesmo diagnóstico (por exemplo, paraplegia) podem receber graus diferentes conforme o impacto funcional em suas vidas concretas. Uma pessoa paraplégica que utiliza cadeira de rodas motorizada, tem adaptação veicular, emprego adaptado e rede de apoio familiar pode ter grau moderado; outra com a mesma condição, mas sem acesso a essas adaptações, pode ter grau grave.</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 xml:space="preserve">Exemplos ilustrativos (não taxativos) de condições que podem resultar em cada grau: - </w:t>
            </w:r>
            <w:r>
              <w:rPr>
                <w:rFonts w:ascii="EB Garamond" w:hAnsi="EB Garamond" w:cs="EB Garamond"/>
                <w:b/>
                <w:i w:val="0"/>
                <w:color w:val="201B16"/>
                <w:sz w:val="19"/>
                <w:lang w:val="pt-BR" w:bidi="ar-SA"/>
                <w:kern w:val="16"/>
                <w14:ligatures w14:val="standardContextual"/>
              </w:rPr>
              <w:t>Grave:</w:t>
            </w:r>
            <w:r>
              <w:rPr>
                <w:rFonts w:ascii="EB Garamond" w:hAnsi="EB Garamond" w:cs="EB Garamond"/>
                <w:b w:val="0"/>
                <w:i w:val="0"/>
                <w:color w:val="201B16"/>
                <w:sz w:val="19"/>
                <w:lang w:val="pt-BR" w:bidi="ar-SA"/>
                <w:kern w:val="16"/>
                <w14:ligatures w14:val="standardContextual"/>
              </w:rPr>
              <w:t xml:space="preserve"> tetraplegia, cegueira bilateral, paralisia cerebral grave, deficiência intelectual severa - </w:t>
            </w:r>
            <w:r>
              <w:rPr>
                <w:rFonts w:ascii="EB Garamond" w:hAnsi="EB Garamond" w:cs="EB Garamond"/>
                <w:b/>
                <w:i w:val="0"/>
                <w:color w:val="201B16"/>
                <w:sz w:val="19"/>
                <w:lang w:val="pt-BR" w:bidi="ar-SA"/>
                <w:kern w:val="16"/>
                <w14:ligatures w14:val="standardContextual"/>
              </w:rPr>
              <w:t>Moderada:</w:t>
            </w:r>
            <w:r>
              <w:rPr>
                <w:rFonts w:ascii="EB Garamond" w:hAnsi="EB Garamond" w:cs="EB Garamond"/>
                <w:b w:val="0"/>
                <w:i w:val="0"/>
                <w:color w:val="201B16"/>
                <w:sz w:val="19"/>
                <w:lang w:val="pt-BR" w:bidi="ar-SA"/>
                <w:kern w:val="16"/>
                <w14:ligatures w14:val="standardContextual"/>
              </w:rPr>
              <w:t xml:space="preserve"> paraplegia, surdez bilateral, amputação de membro, esquizofrenia controlada - </w:t>
            </w:r>
            <w:r>
              <w:rPr>
                <w:rFonts w:ascii="EB Garamond" w:hAnsi="EB Garamond" w:cs="EB Garamond"/>
                <w:b/>
                <w:i w:val="0"/>
                <w:color w:val="201B16"/>
                <w:sz w:val="19"/>
                <w:lang w:val="pt-BR" w:bidi="ar-SA"/>
                <w:kern w:val="16"/>
                <w14:ligatures w14:val="standardContextual"/>
              </w:rPr>
              <w:t>Leve:</w:t>
            </w:r>
            <w:r>
              <w:rPr>
                <w:rFonts w:ascii="EB Garamond" w:hAnsi="EB Garamond" w:cs="EB Garamond"/>
                <w:b w:val="0"/>
                <w:i w:val="0"/>
                <w:color w:val="201B16"/>
                <w:sz w:val="19"/>
                <w:lang w:val="pt-BR" w:bidi="ar-SA"/>
                <w:kern w:val="16"/>
                <w14:ligatures w14:val="standardContextual"/>
              </w:rPr>
              <w:t xml:space="preserve"> visão monocular, surdez unilateral, amputação parcial de dedos, epilepsia controlada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Esses exemplos são meramente orientativos. O enquadramento depende sempre da avaliação individualizada pelo IF-BrA.</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12.4.3 Grau preponderante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70-A do Decreto 3.048/99 (incluído pelo Decreto 8.145/2013) introduz o conceito de grau preponderante: quando o segurado tem períodos de contribuição sob graus diferentes de deficiência (ou períodos sem deficiência), o grau preponderante é aquele em que cumpriu o maior tempo de contribuição, antes da conversão. O grau preponderante serve como parâmetro para definir o TC mínimo exigido e para a aplicação dos fatores de conversão (seção 12.7). Registre-se desde logo uma precisão que retomaremos adiante (seção 12.7.2): como o benefício pressupõe deficiência, o parâmetro de enquadramento é necessariamente um grau de deficiência. Se o maior período for o de tempo sem deficiência, este não funciona como "grau preponderante" para definir a via PcD, mas tão somente ingressa na conta, convertido, ao lado dos períodos com deficiência; o parâmetro de cálculo será, então, o grau de deficiência de maior duração.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Por exemplo: se um segurado homem contribuiu 10 anos com deficiência grave, 15 anos com deficiência moderada e 5 anos sem deficiência, o grau preponderante é moderado (15 anos — maior período). O TC mínimo exigido será, portanto, 29 anos (TC da deficiência moderada para homem), e os períodos sob outros graus serão convertidos proporcionalmente para o parâmetro moderado.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12.5 Aposentadoria por tempo de contribuição da pessoa com deficiência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aposentadoria por tempo de contribuição da PcD é a modalidade principal e mais vantajosa da LC 142/2013, correspondendo aos incisos I a III do art. 3º. Os requisitos são cumulativos: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 Tempo de contribuição mínimo conforme o grau de deficiência: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Grave: 25 anos (homem) / 20 anos (mulher)</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Moderada: 29 anos (homem) / 24 anos (mulher)</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Leve: 33 anos (homem) / 28 anos (mulher)</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b</w:t>
      </w:r>
    </w:p>
    <w:p>
      <w:pPr>
        <w:spacing w:before="0" w:after="70" w:line="259" w:lineRule="auto"/>
        <w:jc w:val="both"/>
      </w:pPr>
      <w:r>
        <w:rPr>
          <w:rFonts w:ascii="EB Garamond" w:hAnsi="EB Garamond" w:cs="EB Garamond"/>
          <w:b/>
          <w:i w:val="0"/>
          <w:color w:val="201B16"/>
          <w:sz w:val="21"/>
          <w:lang w:val="pt-BR" w:bidi="ar-SA"/>
          <w:kern w:val="16"/>
          <w14:ligatures w14:val="standardContextual"/>
        </w:rPr>
        <w:t>) Carência de 180 contribuições mensais</w:t>
      </w:r>
      <w:r>
        <w:rPr>
          <w:rFonts w:ascii="EB Garamond" w:hAnsi="EB Garamond" w:cs="EB Garamond"/>
          <w:b w:val="0"/>
          <w:i w:val="0"/>
          <w:color w:val="201B16"/>
          <w:sz w:val="21"/>
          <w:lang w:val="pt-BR" w:bidi="ar-SA"/>
          <w:kern w:val="16"/>
          <w14:ligatures w14:val="standardContextual"/>
        </w:rPr>
        <w:t xml:space="preserve"> (art. 3º, parágrafo único, LC 142).</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 Comprovação da deficiência</w:t>
      </w:r>
      <w:r>
        <w:rPr>
          <w:rFonts w:ascii="EB Garamond" w:hAnsi="EB Garamond" w:cs="EB Garamond"/>
          <w:b w:val="0"/>
          <w:i w:val="0"/>
          <w:color w:val="201B16"/>
          <w:sz w:val="21"/>
          <w:lang w:val="pt-BR" w:bidi="ar-SA"/>
          <w:kern w:val="16"/>
          <w14:ligatures w14:val="standardContextual"/>
        </w:rPr>
        <w:t xml:space="preserve"> durante todo o período de TC ou durante parte dele (caso em que se aplica a conversão proporcional do art. 7º).</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d) Não há idade mínima.</w:t>
      </w:r>
      <w:r>
        <w:rPr>
          <w:rFonts w:ascii="EB Garamond" w:hAnsi="EB Garamond" w:cs="EB Garamond"/>
          <w:b w:val="0"/>
          <w:i w:val="0"/>
          <w:color w:val="201B16"/>
          <w:sz w:val="21"/>
          <w:lang w:val="pt-BR" w:bidi="ar-SA"/>
          <w:kern w:val="16"/>
          <w14:ligatures w14:val="standardContextual"/>
        </w:rPr>
        <w:t xml:space="preserve"> A aposentadoria por TC da PcD não exige idade mínima — diferentemente da regra permanente (aposentadoria programada) e das regras de transição do Cap. 11, que exigem idade mínima ou pontuação. Essa é uma das vantagens mais significativas do benefício.</w:t>
      </w:r>
    </w:p>
    <w:p>
      <w:pPr>
        <w:spacing w:before="260" w:after="80" w:line="240" w:lineRule="auto"/>
        <w:jc w:val="left"/>
      </w:pPr>
      <w:r>
        <w:rPr>
          <w:rFonts w:ascii="EB Garamond" w:hAnsi="EB Garamond" w:cs="EB Garamond"/>
          <w:b/>
          <w:i w:val="0"/>
          <w:color w:val="3A3128"/>
          <w:sz w:val="25"/>
          <w:lang w:val="pt-BR" w:bidi="ar-SA"/>
          <w:kern w:val="16"/>
          <w14:ligatures w14:val="standardContextual"/>
        </w:rPr>
        <w:t>12.5.1 Cálculo do benefício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cálculo da aposentadoria por TC da PcD é definido pelo art. 8º, I, da LC 142/2013: o valor do benefício corresponde a </w:t>
      </w:r>
      <w:r>
        <w:rPr>
          <w:rFonts w:ascii="EB Garamond" w:hAnsi="EB Garamond" w:cs="EB Garamond"/>
          <w:b/>
          <w:i w:val="0"/>
          <w:color w:val="201B16"/>
          <w:sz w:val="21"/>
          <w:lang w:val="pt-BR" w:bidi="ar-SA"/>
          <w:kern w:val="16"/>
          <w14:ligatures w14:val="standardContextual"/>
        </w:rPr>
        <w:t>100% do salário de benefício</w:t>
      </w:r>
      <w:r>
        <w:rPr>
          <w:rFonts w:ascii="EB Garamond" w:hAnsi="EB Garamond" w:cs="EB Garamond"/>
          <w:b w:val="0"/>
          <w:i w:val="0"/>
          <w:color w:val="201B16"/>
          <w:sz w:val="21"/>
          <w:lang w:val="pt-BR" w:bidi="ar-SA"/>
          <w:kern w:val="16"/>
          <w14:ligatures w14:val="standardContextual"/>
        </w:rPr>
        <w:t>. Essa regra, mantida integralmente pelo art. 22 da EC 103/2019, é mais favorável que a regra de cálculo pós-Reforma aplicável às demais aposentadorias por TC (regras de transição), que adotam coeficientes de 60% + 2% por ano excedente (art. 26 da EC 103) ou aplicam obrigatoriamente o fator previdenciário (pedágio 50%). O coeficiente de 100% do salário de benefício, sem aplicação obrigatória do fator previdenciário, faz da aposentadoria por TC da PcD o benefício por tempo de contribuição mais vantajoso ainda existente no RGPS.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base de cálculo do salário de benefício segue a regra geral pós-EC 103: média aritmética de 100% dos salários de contribuição desde julho/1994, com possibilidade de exclusão das contribuições prejudiciais (art. 26, § 6º, EC 103), desde que mantido o TC mínimo exigido. Para o detalhamento do cálculo do SB e da RMI, v. Cap. 16.</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Simulação: Aposentadoria por TC da PcD — deficiência moderada</w:t>
            </w:r>
          </w:p>
          <w:p>
            <w:pPr>
              <w:spacing w:before="0" w:after="60" w:line="247" w:lineRule="auto"/>
              <w:jc w:val="both"/>
            </w:pPr>
            <w:r>
              <w:rPr>
                <w:rFonts w:ascii="EB Garamond" w:hAnsi="EB Garamond" w:cs="EB Garamond"/>
                <w:b/>
                <w:i w:val="0"/>
                <w:color w:val="201B16"/>
                <w:sz w:val="19"/>
                <w:lang w:val="pt-BR" w:bidi="ar-SA"/>
                <w:kern w:val="16"/>
                <w14:ligatures w14:val="standardContextual"/>
              </w:rPr>
              <w:t>Segurado:</w:t>
            </w:r>
            <w:r>
              <w:rPr>
                <w:rFonts w:ascii="EB Garamond" w:hAnsi="EB Garamond" w:cs="EB Garamond"/>
                <w:b w:val="0"/>
                <w:i w:val="0"/>
                <w:color w:val="201B16"/>
                <w:sz w:val="19"/>
                <w:lang w:val="pt-BR" w:bidi="ar-SA"/>
                <w:kern w:val="16"/>
                <w14:ligatures w14:val="standardContextual"/>
              </w:rPr>
              <w:t xml:space="preserve"> Carlos, 50 anos, sexo masculino, deficiência moderada desde os 21 anos de idade. Contribui desde os 21 anos = 29 anos de TC.</w:t>
            </w:r>
          </w:p>
          <w:p>
            <w:pPr>
              <w:spacing w:before="0" w:after="60" w:line="247" w:lineRule="auto"/>
              <w:jc w:val="both"/>
            </w:pPr>
            <w:r>
              <w:rPr>
                <w:rFonts w:ascii="EB Garamond" w:hAnsi="EB Garamond" w:cs="EB Garamond"/>
                <w:b/>
                <w:i w:val="0"/>
                <w:color w:val="201B16"/>
                <w:sz w:val="19"/>
                <w:lang w:val="pt-BR" w:bidi="ar-SA"/>
                <w:kern w:val="16"/>
                <w14:ligatures w14:val="standardContextual"/>
              </w:rPr>
              <w:t>Requisitos:</w:t>
            </w:r>
            <w:r>
              <w:rPr>
                <w:rFonts w:ascii="EB Garamond" w:hAnsi="EB Garamond" w:cs="EB Garamond"/>
                <w:b w:val="0"/>
                <w:i w:val="0"/>
                <w:color w:val="201B16"/>
                <w:sz w:val="19"/>
                <w:lang w:val="pt-BR" w:bidi="ar-SA"/>
                <w:kern w:val="16"/>
                <w14:ligatures w14:val="standardContextual"/>
              </w:rPr>
              <w:t xml:space="preserve"> - TC moderada (homem): 29 anos — atendido - Carência: 180 meses (15 anos), atendido (29 anos de contribuição) - Deficiência: moderada durante todo o período, atendido - Idade mínima: não exigida</w:t>
            </w:r>
          </w:p>
          <w:p>
            <w:pPr>
              <w:spacing w:before="0" w:after="60" w:line="247" w:lineRule="auto"/>
              <w:jc w:val="both"/>
            </w:pPr>
            <w:r>
              <w:rPr>
                <w:rFonts w:ascii="EB Garamond" w:hAnsi="EB Garamond" w:cs="EB Garamond"/>
                <w:b/>
                <w:i w:val="0"/>
                <w:color w:val="201B16"/>
                <w:sz w:val="19"/>
                <w:lang w:val="pt-BR" w:bidi="ar-SA"/>
                <w:kern w:val="16"/>
                <w14:ligatures w14:val="standardContextual"/>
              </w:rPr>
              <w:t>Cálculo:</w:t>
            </w:r>
            <w:r>
              <w:rPr>
                <w:rFonts w:ascii="EB Garamond" w:hAnsi="EB Garamond" w:cs="EB Garamond"/>
                <w:b w:val="0"/>
                <w:i w:val="0"/>
                <w:color w:val="201B16"/>
                <w:sz w:val="19"/>
                <w:lang w:val="pt-BR" w:bidi="ar-SA"/>
                <w:kern w:val="16"/>
                <w14:ligatures w14:val="standardContextual"/>
              </w:rPr>
              <w:t xml:space="preserve"> - Média de 100% dos SC desde jul/1994 (descartando contribuições prejudiciais): R$ 4.800,00 (exemplo) - Coeficiente: 100% do SB = R$ 4.800,00 - Fator previdenciário: Carlos tem 50 anos e 29 anos de TC → fator ≈ 0,62 → NÃO se aplica (desvantajoso) - </w:t>
            </w:r>
            <w:r>
              <w:rPr>
                <w:rFonts w:ascii="EB Garamond" w:hAnsi="EB Garamond" w:cs="EB Garamond"/>
                <w:b/>
                <w:i w:val="0"/>
                <w:color w:val="201B16"/>
                <w:sz w:val="19"/>
                <w:lang w:val="pt-BR" w:bidi="ar-SA"/>
                <w:kern w:val="16"/>
                <w14:ligatures w14:val="standardContextual"/>
              </w:rPr>
              <w:t>RMI:</w:t>
            </w:r>
            <w:r>
              <w:rPr>
                <w:rFonts w:ascii="EB Garamond" w:hAnsi="EB Garamond" w:cs="EB Garamond"/>
                <w:b w:val="0"/>
                <w:i w:val="0"/>
                <w:color w:val="201B16"/>
                <w:sz w:val="19"/>
                <w:lang w:val="pt-BR" w:bidi="ar-SA"/>
                <w:kern w:val="16"/>
                <w14:ligatures w14:val="standardContextual"/>
              </w:rPr>
              <w:t xml:space="preserve"> R$ 4.800,00</w:t>
            </w:r>
          </w:p>
          <w:p>
            <w:pPr>
              <w:spacing w:before="0" w:after="60" w:line="247" w:lineRule="auto"/>
              <w:jc w:val="both"/>
            </w:pPr>
            <w:r>
              <w:rPr>
                <w:rFonts w:ascii="EB Garamond" w:hAnsi="EB Garamond" w:cs="EB Garamond"/>
                <w:b/>
                <w:i w:val="0"/>
                <w:color w:val="201B16"/>
                <w:sz w:val="19"/>
                <w:lang w:val="pt-BR" w:bidi="ar-SA"/>
                <w:kern w:val="16"/>
                <w14:ligatures w14:val="standardContextual"/>
              </w:rPr>
              <w:t>Comparativo com aposentadoria por TC comum (regra de transição, pedágio 100%):</w:t>
            </w:r>
            <w:r>
              <w:rPr>
                <w:rFonts w:ascii="EB Garamond" w:hAnsi="EB Garamond" w:cs="EB Garamond"/>
                <w:b w:val="0"/>
                <w:i w:val="0"/>
                <w:color w:val="201B16"/>
                <w:sz w:val="19"/>
                <w:lang w:val="pt-BR" w:bidi="ar-SA"/>
                <w:kern w:val="16"/>
                <w14:ligatures w14:val="standardContextual"/>
              </w:rPr>
              <w:t xml:space="preserve"> Se Carlos fosse segurado sem deficiência e tivesse 29 anos de TC, não teria direito a nenhuma regra de transição (insuficiente para qualquer das quatro regras do Cap. 11). Teria de contribuir por mais 6 anos (até 35 anos de TC) e ainda cumprir idade mínima/pedágio.</w:t>
            </w:r>
          </w:p>
          <w:p>
            <w:pPr>
              <w:spacing w:before="0" w:after="60" w:line="247" w:lineRule="auto"/>
              <w:jc w:val="both"/>
            </w:pPr>
            <w:r>
              <w:rPr>
                <w:rFonts w:ascii="EB Garamond" w:hAnsi="EB Garamond" w:cs="EB Garamond"/>
                <w:b/>
                <w:i w:val="0"/>
                <w:color w:val="201B16"/>
                <w:sz w:val="19"/>
                <w:lang w:val="pt-BR" w:bidi="ar-SA"/>
                <w:kern w:val="16"/>
                <w14:ligatures w14:val="standardContextual"/>
              </w:rPr>
              <w:t>Vantagem da LC 142:</w:t>
            </w:r>
            <w:r>
              <w:rPr>
                <w:rFonts w:ascii="EB Garamond" w:hAnsi="EB Garamond" w:cs="EB Garamond"/>
                <w:b w:val="0"/>
                <w:i w:val="0"/>
                <w:color w:val="201B16"/>
                <w:sz w:val="19"/>
                <w:lang w:val="pt-BR" w:bidi="ar-SA"/>
                <w:kern w:val="16"/>
                <w14:ligatures w14:val="standardContextual"/>
              </w:rPr>
              <w:t xml:space="preserve"> acesso 6 anos mais cedo + coeficiente 100% + sem fator previdenciário obrigatório.</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12.5.2 Comparativo detalhado com as regras de transição do capítulo 11</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P</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ara dimensionar a vantagem da aposentadoria por TC da PcD, é útil comparar os requisitos e o cálculo com as regras de transição do Capítulo 11, que regem a aposentadoria por TC dos segurados sem deficiência filiados antes da EC 103/2019:</w:t>
      </w:r>
    </w:p>
    <w:tbl>
      <w:tblPr>
        <w:tblW w:type="auto" w:w="0"/>
        <w:jc w:val="center"/>
        <w:tblLook w:firstColumn="1" w:firstRow="1" w:lastColumn="0" w:lastRow="0" w:noHBand="0" w:noVBand="1" w:val="04A0"/>
        <w:tblW w:w="5000" w:type="pct"/>
      </w:tblPr>
      <w:tblGrid>
        <w:gridCol w:w="1058"/>
        <w:gridCol w:w="1058"/>
        <w:gridCol w:w="1058"/>
        <w:gridCol w:w="1058"/>
        <w:gridCol w:w="1058"/>
        <w:gridCol w:w="1058"/>
      </w:tblGrid>
      <w:tr>
        <w:trPr>
          <w:tblHeader/>
        </w:trPr>
        <w:tc>
          <w:tcPr>
            <w:tcW w:type="dxa" w:w="1058"/>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Aspecto</w:t>
            </w:r>
          </w:p>
        </w:tc>
        <w:tc>
          <w:tcPr>
            <w:tcW w:type="dxa" w:w="1058"/>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TC PcD grave (LC 142)</w:t>
            </w:r>
          </w:p>
        </w:tc>
        <w:tc>
          <w:tcPr>
            <w:tcW w:type="dxa" w:w="1058"/>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TC PcD moderada</w:t>
            </w:r>
          </w:p>
        </w:tc>
        <w:tc>
          <w:tcPr>
            <w:tcW w:type="dxa" w:w="1058"/>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TC PcD leve</w:t>
            </w:r>
          </w:p>
        </w:tc>
        <w:tc>
          <w:tcPr>
            <w:tcW w:type="dxa" w:w="1058"/>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Pontos (art. 15 EC 103, 2026)</w:t>
            </w:r>
          </w:p>
        </w:tc>
        <w:tc>
          <w:tcPr>
            <w:tcW w:type="dxa" w:w="1058"/>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Pedágio 100% (art. 20 EC 103)</w:t>
            </w:r>
          </w:p>
        </w:tc>
      </w:tr>
      <w:tr>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TC mínimo (H)</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25 anos</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29 anos</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33 anos</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35 anos</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35 anos</w:t>
            </w:r>
          </w:p>
        </w:tc>
      </w:tr>
      <w:tr>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TC mínimo (M)</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 anos</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24 anos</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28 anos</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30 anos</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30 anos</w:t>
            </w:r>
          </w:p>
        </w:tc>
      </w:tr>
      <w:tr>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Idade mínima</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 (mas pontos = TC+idade)</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60H/57M</w:t>
            </w:r>
          </w:p>
        </w:tc>
      </w:tr>
      <w:tr>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Pontos</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N/A</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N/A</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N/A</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103H/93M (2026)</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N/A</w:t>
            </w:r>
          </w:p>
        </w:tc>
      </w:tr>
      <w:tr>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Coeficiente</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 SB</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 SB</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 SB</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60%+2% por ano excedente</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 SB</w:t>
            </w:r>
          </w:p>
        </w:tc>
      </w:tr>
      <w:tr>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Fator previdenciário</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Se vantajoso</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Se vantajoso</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Se vantajoso</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tabela revela que a aposentadoria por TC da PcD supera todas as regras de transição em pelo menos dois aspectos: (a) TC mínimo reduzido (de 2 a 10 anos a menos); e (b) coeficiente de 100% do SB sem redutores. Mesmo a regra do pedágio 100%, que também adota coeficiente de 100%, exige TC integral (35H/30M) e idade mínima (60H/57M) — requisitos que a LC 142 dispensa.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o segurado com deficiência que tem direito adquirido a alguma regra de transição (porque atingiu os requisitos antes do reconhecimento da deficiência, por exemplo), a análise comparativa deve ser feita caso a caso, considerando o valor efetivo da RMI em cada cenário.</w:t>
      </w:r>
    </w:p>
    <w:p>
      <w:pPr>
        <w:spacing w:before="260" w:after="80" w:line="240" w:lineRule="auto"/>
        <w:jc w:val="left"/>
      </w:pPr>
      <w:r>
        <w:rPr>
          <w:rFonts w:ascii="EB Garamond" w:hAnsi="EB Garamond" w:cs="EB Garamond"/>
          <w:b/>
          <w:i w:val="0"/>
          <w:color w:val="3A3128"/>
          <w:sz w:val="25"/>
          <w:lang w:val="pt-BR" w:bidi="ar-SA"/>
          <w:kern w:val="16"/>
          <w14:ligatures w14:val="standardContextual"/>
        </w:rPr>
        <w:t>12.5.3 Controvérsia sobre o cálculo pós-EC 103/2019</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principal controvérsia relativa à aposentadoria da PcD após a Reforma diz respeito à aplicação do art. 26 da EC 103/2019. O INSS, em leitura literal, chegou a adotar a regra geral do art. 26 (média de 100% dos SC com coeficiente de 60% + 2% por ano excedente) para o cálculo da aposentadoria por TC da PcD, desconsiderando o coeficiente de 100% previsto no art. 8º, I, da LC 142/2013.</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Essa interpretação foi rechaçada pela doutrina majoritária e pela jurisprudência dos TRFs, com fundamento no art. 22 da EC 103, que preserva a LC 142/2013 "inclusive quanto aos critérios de cálculo". O entendimento prevalecente é de que o art. 22 funciona como norma especial em relação ao art. 26, afastando a aplicação do coeficiente de 60%+2% e mantendo o coeficiente de 100% do SB para a aposentadoria por TC da PcD.</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Cálculo da aposentadoria PcD pós-EC 103: manutenção da LC 142</w:t>
            </w:r>
          </w:p>
          <w:p>
            <w:pPr>
              <w:spacing w:before="0" w:after="60" w:line="247" w:lineRule="auto"/>
              <w:jc w:val="both"/>
            </w:pPr>
            <w:r>
              <w:rPr>
                <w:rFonts w:ascii="EB Garamond" w:hAnsi="EB Garamond" w:cs="EB Garamond"/>
                <w:b w:val="0"/>
                <w:i/>
                <w:color w:val="201B16"/>
                <w:sz w:val="19"/>
                <w:lang w:val="pt-BR" w:bidi="ar-SA"/>
                <w:kern w:val="16"/>
                <w14:ligatures w14:val="standardContextual"/>
              </w:rPr>
              <w:t>Síntese do entendimento dos tribunais, sem transcrição literal de ementa.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TRF4: o art. 22 da EC 103/2019 determina que a aposentadoria da pessoa com deficiência seguirá regida pela LC 142/2013, inclusive quanto aos critérios de cálculo; logo, a renda mensal inicial corresponde a 100% do salário de benefício (art. 8º, I, LC 142), não incidindo o coeficiente de 60% + 2% por ano excedente do art. 26 da EC 103 (TRF4, AC 5009887-19.2021.4.04.7112).</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TRF3: a manutenção da LC 142/2013 pelo art. 22 da EC 103/2019 abrange tanto os requisitos de acesso (tempo de contribuição reduzido conforme o grau) quanto a forma de cálculo da renda mensal inicial — coeficiente de 100% do salário de benefício para a aposentadoria por tempo de contribuição e de 70% acrescido de 1% por grupo de 12 contribuições mensais para a aposentadoria por idade (TRF3, ApCiv 5003214-82.2020.4.03.6110).</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Resta, ainda, definir a base de cálculo: se a média deve incidir sobre os 80% maiores SC (sistemática da Lei 8.213/91, vigente quando da edição da LC 142) ou sobre 100% dos SC (regra do art. 26, caput, EC 103). A doutrina dominante firma a tese — que adotamos — de que o art. 22 preserva o COEFICIENTE da LC 142 (100% do SB para TC; 70% + 1% por grupo de 12 contribuições para idade), mas a BASE de cálculo é a do art. 26 da EC 103: média de 100% dos SC, com possibilidade de exclusão das contribuições prejudiciais (art. 26, § 6º). Não se trata de regra mais restritiva: a média de 100% dos SC, conjugada à faculdade de descarte, costuma ser neutra ou favorável ao segurado, de modo que a cláusula de garantia do art. 6º da LC 142 raramente é acionada nesse ponto.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12.6 Aposentadoria por idade da pessoa com deficiência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aposentadoria por idade da PcD, prevista no art. 3º, IV, da LC 142/2013, constitui alternativa para o segurado com deficiência que não possui TC suficiente para a modalidade do art. 3º, I-III, mas já atingiu a idade mínima reduzida.</w:t>
      </w:r>
    </w:p>
    <w:p>
      <w:pPr>
        <w:spacing w:before="260" w:after="80" w:line="240" w:lineRule="auto"/>
        <w:jc w:val="left"/>
      </w:pPr>
      <w:r>
        <w:rPr>
          <w:rFonts w:ascii="EB Garamond" w:hAnsi="EB Garamond" w:cs="EB Garamond"/>
          <w:b/>
          <w:i w:val="0"/>
          <w:color w:val="3A3128"/>
          <w:sz w:val="25"/>
          <w:lang w:val="pt-BR" w:bidi="ar-SA"/>
          <w:kern w:val="16"/>
          <w14:ligatures w14:val="standardContextual"/>
        </w:rPr>
        <w:t>12.6.1 Requisitos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 requisitos são cumulativos: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 Idade mínima:</w:t>
      </w:r>
      <w:r>
        <w:rPr>
          <w:rFonts w:ascii="EB Garamond" w:hAnsi="EB Garamond" w:cs="EB Garamond"/>
          <w:b w:val="0"/>
          <w:i w:val="0"/>
          <w:color w:val="201B16"/>
          <w:sz w:val="21"/>
          <w:lang w:val="pt-BR" w:bidi="ar-SA"/>
          <w:kern w:val="16"/>
          <w14:ligatures w14:val="standardContextual"/>
        </w:rPr>
        <w:t xml:space="preserve"> 60 anos (homem) / 55 anos (mulher) — redução de 5 anos em relação à regra permanente (65H/62M).</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b) Carência:</w:t>
      </w:r>
      <w:r>
        <w:rPr>
          <w:rFonts w:ascii="EB Garamond" w:hAnsi="EB Garamond" w:cs="EB Garamond"/>
          <w:b w:val="0"/>
          <w:i w:val="0"/>
          <w:color w:val="201B16"/>
          <w:sz w:val="21"/>
          <w:lang w:val="pt-BR" w:bidi="ar-SA"/>
          <w:kern w:val="16"/>
          <w14:ligatures w14:val="standardContextual"/>
        </w:rPr>
        <w:t xml:space="preserve"> 15 anos de contribuição (180 contribuições mensais).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 Deficiência:</w:t>
      </w:r>
      <w:r>
        <w:rPr>
          <w:rFonts w:ascii="EB Garamond" w:hAnsi="EB Garamond" w:cs="EB Garamond"/>
          <w:b w:val="0"/>
          <w:i w:val="0"/>
          <w:color w:val="201B16"/>
          <w:sz w:val="21"/>
          <w:lang w:val="pt-BR" w:bidi="ar-SA"/>
          <w:kern w:val="16"/>
          <w14:ligatures w14:val="standardContextual"/>
        </w:rPr>
        <w:t xml:space="preserve"> comprovação de existência durante, no mínimo, igual período (15 anos). O segurado deve comprovar que possuía deficiência durante os 15 anos de contribuição exigidos como carência. Como esses 15 anos quase sempre se situam no passado, a perícia biopsicossocial os reconstrói retroativamente — à semelhança do cuidado exposto na seção 12.11.4 quanto à fixação da data de início da deficiência: o perito retrospecta a documentação médica contemporânea (laudos com CID-10, prontuários, relatórios), aferindo se a interação entre impedimento e barreiras já configurava deficiência ao longo de todo o período de carência, e não apenas no momento da avaliação. A insuficiência de prova documental para anos remotos é a principal dificuldade prática, devendo o conjunto probatório suprir as lacunas (seção 12.11.4).</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d) Grau de deficiência: irrelevante.</w:t>
      </w:r>
      <w:r>
        <w:rPr>
          <w:rFonts w:ascii="EB Garamond" w:hAnsi="EB Garamond" w:cs="EB Garamond"/>
          <w:b w:val="0"/>
          <w:i w:val="0"/>
          <w:color w:val="201B16"/>
          <w:sz w:val="21"/>
          <w:lang w:val="pt-BR" w:bidi="ar-SA"/>
          <w:kern w:val="16"/>
          <w14:ligatures w14:val="standardContextual"/>
        </w:rPr>
        <w:t xml:space="preserve"> Diferentemente da aposentadoria por TC da PcD, a aposentadoria por idade da PcD não exige grau específico. Basta a comprovação de que o segurado possuía deficiência (qualquer grau — grave, moderada ou leve) durante o período de carência.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O grau da deficiência NÃO importa para a aposentadoria por idade da PcD</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Na aposentadoria por TC da PcD, o grau é determinante: grave = 25H/20M, moderada = 29H/24M, leve = 33H/28M. Na aposentadoria por idade da PcD, o grau é irrelevante: basta comprovar a existência de deficiência (qualquer grau) durante 15 anos. O segurado com deficiência leve tem o mesmo requisito etário (60H/55M) que o segurado com deficiência grave. A diferença entre os graus incide apenas no TC mínimo da aposentadoria por TC.</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12.6.2 Cálculo do benefício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cálculo da aposentadoria por idade da PcD é definido pelo art. 8º, II, da LC 142: 70% do salário de benefício mais 1% por grupo de 12 contribuições mensais, até o máximo de 30 pontos percentuais. A unidade legal é o grupo de 12 contribuições — e não o ano-calendário —, distinção que importa porque contribuições esparsas ou recolhidas em meses isolados podem não completar grupos sucessivos; ao longo deste capítulo, quando empregamos a forma abreviada "70% + 1% por grupo de 12 contribuições", é a esse critério que nos referimos. Assim, o coeficiente varia entre 70% (180 contribuições, equivalentes a 15 anos) e o teto de 100%, que é atingido a partir de 360 contribuições (30 grupos de 12, equivalentes a 30 anos), por força do limite de 30 pontos percentuais de acréscimo; contribuições além desse marco não elevam o coeficiente. Na prática, a maioria dos segurados situa-se na faixa entre 70% e 90%.</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fator previdenciário, como na aposentadoria por TC da PcD, somente se aplica se vantajoso (art. 9º, I, LC 142).</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Simulação: Aposentadoria por idade da PcD</w:t>
            </w:r>
          </w:p>
          <w:p>
            <w:pPr>
              <w:spacing w:before="0" w:after="60" w:line="247" w:lineRule="auto"/>
              <w:jc w:val="both"/>
            </w:pPr>
            <w:r>
              <w:rPr>
                <w:rFonts w:ascii="EB Garamond" w:hAnsi="EB Garamond" w:cs="EB Garamond"/>
                <w:b/>
                <w:i w:val="0"/>
                <w:color w:val="201B16"/>
                <w:sz w:val="19"/>
                <w:lang w:val="pt-BR" w:bidi="ar-SA"/>
                <w:kern w:val="16"/>
                <w14:ligatures w14:val="standardContextual"/>
              </w:rPr>
              <w:t>Segurada:</w:t>
            </w:r>
            <w:r>
              <w:rPr>
                <w:rFonts w:ascii="EB Garamond" w:hAnsi="EB Garamond" w:cs="EB Garamond"/>
                <w:b w:val="0"/>
                <w:i w:val="0"/>
                <w:color w:val="201B16"/>
                <w:sz w:val="19"/>
                <w:lang w:val="pt-BR" w:bidi="ar-SA"/>
                <w:kern w:val="16"/>
                <w14:ligatures w14:val="standardContextual"/>
              </w:rPr>
              <w:t xml:space="preserve"> Marta, 55 anos, sexo feminino, deficiência leve desde os 30 anos. Contribuiu por 25 anos (300 contribuições mensais).</w:t>
            </w:r>
          </w:p>
          <w:p>
            <w:pPr>
              <w:spacing w:before="0" w:after="60" w:line="247" w:lineRule="auto"/>
              <w:jc w:val="both"/>
            </w:pPr>
            <w:r>
              <w:rPr>
                <w:rFonts w:ascii="EB Garamond" w:hAnsi="EB Garamond" w:cs="EB Garamond"/>
                <w:b/>
                <w:i w:val="0"/>
                <w:color w:val="201B16"/>
                <w:sz w:val="19"/>
                <w:lang w:val="pt-BR" w:bidi="ar-SA"/>
                <w:kern w:val="16"/>
                <w14:ligatures w14:val="standardContextual"/>
              </w:rPr>
              <w:t>Requisitos:</w:t>
            </w:r>
            <w:r>
              <w:rPr>
                <w:rFonts w:ascii="EB Garamond" w:hAnsi="EB Garamond" w:cs="EB Garamond"/>
                <w:b w:val="0"/>
                <w:i w:val="0"/>
                <w:color w:val="201B16"/>
                <w:sz w:val="19"/>
                <w:lang w:val="pt-BR" w:bidi="ar-SA"/>
                <w:kern w:val="16"/>
                <w14:ligatures w14:val="standardContextual"/>
              </w:rPr>
              <w:t xml:space="preserve"> - Idade: 55 anos (mulher) — atendido - Carência: 180 meses (15 anos) — atendido (25 anos) - Deficiência durante 15 anos: leve, desde os 30 anos = 25 anos com deficiência, atendido - Grau: irrelevante para aposentadoria por idade</w:t>
            </w:r>
          </w:p>
          <w:p>
            <w:pPr>
              <w:spacing w:before="0" w:after="60" w:line="247" w:lineRule="auto"/>
              <w:jc w:val="both"/>
            </w:pPr>
            <w:r>
              <w:rPr>
                <w:rFonts w:ascii="EB Garamond" w:hAnsi="EB Garamond" w:cs="EB Garamond"/>
                <w:b/>
                <w:i w:val="0"/>
                <w:color w:val="201B16"/>
                <w:sz w:val="19"/>
                <w:lang w:val="pt-BR" w:bidi="ar-SA"/>
                <w:kern w:val="16"/>
                <w14:ligatures w14:val="standardContextual"/>
              </w:rPr>
              <w:t>Cálculo:</w:t>
            </w:r>
            <w:r>
              <w:rPr>
                <w:rFonts w:ascii="EB Garamond" w:hAnsi="EB Garamond" w:cs="EB Garamond"/>
                <w:b w:val="0"/>
                <w:i w:val="0"/>
                <w:color w:val="201B16"/>
                <w:sz w:val="19"/>
                <w:lang w:val="pt-BR" w:bidi="ar-SA"/>
                <w:kern w:val="16"/>
                <w14:ligatures w14:val="standardContextual"/>
              </w:rPr>
              <w:t xml:space="preserve"> - Média de 100% dos SC: R$ 3.200,00 (exemplo) - Coeficiente: 70% + 1% × 25 (anos de contribuição) = 70% + 25% = </w:t>
            </w:r>
            <w:r>
              <w:rPr>
                <w:rFonts w:ascii="EB Garamond" w:hAnsi="EB Garamond" w:cs="EB Garamond"/>
                <w:b/>
                <w:i w:val="0"/>
                <w:color w:val="201B16"/>
                <w:sz w:val="19"/>
                <w:lang w:val="pt-BR" w:bidi="ar-SA"/>
                <w:kern w:val="16"/>
                <w14:ligatures w14:val="standardContextual"/>
              </w:rPr>
              <w:t>95%</w:t>
            </w:r>
            <w:r>
              <w:rPr>
                <w:rFonts w:ascii="EB Garamond" w:hAnsi="EB Garamond" w:cs="EB Garamond"/>
                <w:b w:val="0"/>
                <w:i w:val="0"/>
                <w:color w:val="201B16"/>
                <w:sz w:val="19"/>
                <w:lang w:val="pt-BR" w:bidi="ar-SA"/>
                <w:kern w:val="16"/>
                <w14:ligatures w14:val="standardContextual"/>
              </w:rPr>
              <w:t xml:space="preserve"> - RMI bruta: R$ 3.200,00 × 95% = R$ 3.040,00 - Fator previdenciário (55 anos, 25 anos TC): ≈ 0,58 → NÃO se aplica (desvantajoso) - </w:t>
            </w:r>
            <w:r>
              <w:rPr>
                <w:rFonts w:ascii="EB Garamond" w:hAnsi="EB Garamond" w:cs="EB Garamond"/>
                <w:b/>
                <w:i w:val="0"/>
                <w:color w:val="201B16"/>
                <w:sz w:val="19"/>
                <w:lang w:val="pt-BR" w:bidi="ar-SA"/>
                <w:kern w:val="16"/>
                <w14:ligatures w14:val="standardContextual"/>
              </w:rPr>
              <w:t>RMI final:</w:t>
            </w:r>
            <w:r>
              <w:rPr>
                <w:rFonts w:ascii="EB Garamond" w:hAnsi="EB Garamond" w:cs="EB Garamond"/>
                <w:b w:val="0"/>
                <w:i w:val="0"/>
                <w:color w:val="201B16"/>
                <w:sz w:val="19"/>
                <w:lang w:val="pt-BR" w:bidi="ar-SA"/>
                <w:kern w:val="16"/>
                <w14:ligatures w14:val="standardContextual"/>
              </w:rPr>
              <w:t xml:space="preserve"> R$ 3.040,00</w:t>
            </w:r>
          </w:p>
          <w:p>
            <w:pPr>
              <w:spacing w:before="0" w:after="60" w:line="247" w:lineRule="auto"/>
              <w:jc w:val="both"/>
            </w:pPr>
            <w:r>
              <w:rPr>
                <w:rFonts w:ascii="EB Garamond" w:hAnsi="EB Garamond" w:cs="EB Garamond"/>
                <w:b/>
                <w:i w:val="0"/>
                <w:color w:val="201B16"/>
                <w:sz w:val="19"/>
                <w:lang w:val="pt-BR" w:bidi="ar-SA"/>
                <w:kern w:val="16"/>
                <w14:ligatures w14:val="standardContextual"/>
              </w:rPr>
              <w:t>Comparativo com aposentadoria por idade comum (regra permanente, art. 201, § 7º, II, EC 103):</w:t>
            </w:r>
            <w:r>
              <w:rPr>
                <w:rFonts w:ascii="EB Garamond" w:hAnsi="EB Garamond" w:cs="EB Garamond"/>
                <w:b w:val="0"/>
                <w:i w:val="0"/>
                <w:color w:val="201B16"/>
                <w:sz w:val="19"/>
                <w:lang w:val="pt-BR" w:bidi="ar-SA"/>
                <w:kern w:val="16"/>
                <w14:ligatures w14:val="standardContextual"/>
              </w:rPr>
              <w:t xml:space="preserve"> Marta teria de esperar até 62 anos (idade mínima para mulher) e o coeficiente seria 60% + 2% × 10 (anos excedentes a 15) = 80%. Com a mesma média de R$ 3.200,00: RMI = R$ 2.560,00.</w:t>
            </w:r>
          </w:p>
          <w:p>
            <w:pPr>
              <w:spacing w:before="0" w:after="60" w:line="247" w:lineRule="auto"/>
              <w:jc w:val="both"/>
            </w:pPr>
            <w:r>
              <w:rPr>
                <w:rFonts w:ascii="EB Garamond" w:hAnsi="EB Garamond" w:cs="EB Garamond"/>
                <w:b/>
                <w:i w:val="0"/>
                <w:color w:val="201B16"/>
                <w:sz w:val="19"/>
                <w:lang w:val="pt-BR" w:bidi="ar-SA"/>
                <w:kern w:val="16"/>
                <w14:ligatures w14:val="standardContextual"/>
              </w:rPr>
              <w:t>Vantagem da PcD por idade:</w:t>
            </w:r>
            <w:r>
              <w:rPr>
                <w:rFonts w:ascii="EB Garamond" w:hAnsi="EB Garamond" w:cs="EB Garamond"/>
                <w:b w:val="0"/>
                <w:i w:val="0"/>
                <w:color w:val="201B16"/>
                <w:sz w:val="19"/>
                <w:lang w:val="pt-BR" w:bidi="ar-SA"/>
                <w:kern w:val="16"/>
                <w14:ligatures w14:val="standardContextual"/>
              </w:rPr>
              <w:t xml:space="preserve"> acesso 7 anos antes (55 vs. 62) + coeficiente mais favorável (95% vs. 80%).</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12.6.3 Quando a aposentadoria por idade PcD é mais vantajosa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aposentadoria por idade da PcD é especialmente indicada nos seguintes cenários: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1. </w:t>
      </w:r>
      <w:r>
        <w:rPr>
          <w:rFonts w:ascii="EB Garamond" w:hAnsi="EB Garamond" w:cs="EB Garamond"/>
          <w:b/>
          <w:i w:val="0"/>
          <w:color w:val="201B16"/>
          <w:sz w:val="20"/>
          <w:lang w:val="pt-BR" w:bidi="ar-SA"/>
          <w:kern w:val="16"/>
          <w14:ligatures w14:val="standardContextual"/>
        </w:rPr>
        <w:t>Segurado PcD com TC insuficiente para a aposentadoria por TC da PcD:</w:t>
      </w:r>
      <w:r>
        <w:rPr>
          <w:rFonts w:ascii="EB Garamond" w:hAnsi="EB Garamond" w:cs="EB Garamond"/>
          <w:b w:val="0"/>
          <w:i w:val="0"/>
          <w:color w:val="201B16"/>
          <w:sz w:val="20"/>
          <w:lang w:val="pt-BR" w:bidi="ar-SA"/>
          <w:kern w:val="16"/>
          <w14:ligatures w14:val="standardContextual"/>
        </w:rPr>
        <w:t xml:space="preserve"> um segurado homem com deficiência leve que tem apenas 20 anos de TC não atinge os 33 anos exigidos para a aposentadoria por TC leve, mas pode requerer a aposentadoria por idade ao completar 60 anos.</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2. </w:t>
      </w:r>
      <w:r>
        <w:rPr>
          <w:rFonts w:ascii="EB Garamond" w:hAnsi="EB Garamond" w:cs="EB Garamond"/>
          <w:b/>
          <w:i w:val="0"/>
          <w:color w:val="201B16"/>
          <w:sz w:val="20"/>
          <w:lang w:val="pt-BR" w:bidi="ar-SA"/>
          <w:kern w:val="16"/>
          <w14:ligatures w14:val="standardContextual"/>
        </w:rPr>
        <w:t>Segurado PcD que contribuiu apenas pelo plano simplificado (11%) ou como MEI (5%):</w:t>
      </w:r>
      <w:r>
        <w:rPr>
          <w:rFonts w:ascii="EB Garamond" w:hAnsi="EB Garamond" w:cs="EB Garamond"/>
          <w:b w:val="0"/>
          <w:i w:val="0"/>
          <w:color w:val="201B16"/>
          <w:sz w:val="20"/>
          <w:lang w:val="pt-BR" w:bidi="ar-SA"/>
          <w:kern w:val="16"/>
          <w14:ligatures w14:val="standardContextual"/>
        </w:rPr>
        <w:t xml:space="preserve"> essas contribuições não contam para aposentadoria por TC, mas contam para aposentadoria por idade (conforme seção 12.17).</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3. </w:t>
      </w:r>
      <w:r>
        <w:rPr>
          <w:rFonts w:ascii="EB Garamond" w:hAnsi="EB Garamond" w:cs="EB Garamond"/>
          <w:b/>
          <w:i w:val="0"/>
          <w:color w:val="201B16"/>
          <w:sz w:val="20"/>
          <w:lang w:val="pt-BR" w:bidi="ar-SA"/>
          <w:kern w:val="16"/>
          <w14:ligatures w14:val="standardContextual"/>
        </w:rPr>
        <w:t>Segurado PcD com deficiência leve e idade avançada:</w:t>
      </w:r>
      <w:r>
        <w:rPr>
          <w:rFonts w:ascii="EB Garamond" w:hAnsi="EB Garamond" w:cs="EB Garamond"/>
          <w:b w:val="0"/>
          <w:i w:val="0"/>
          <w:color w:val="201B16"/>
          <w:sz w:val="20"/>
          <w:lang w:val="pt-BR" w:bidi="ar-SA"/>
          <w:kern w:val="16"/>
          <w14:ligatures w14:val="standardContextual"/>
        </w:rPr>
        <w:t xml:space="preserve"> para quem tem deficiência leve, o TC exigido (33H/28M) é quase igual ao TC comum (35H/30M), representando pouca vantagem. Nesses casos, a aposentadoria por idade da PcD (60H/55M com 15 anos de TC) pode ser mais acessível.</w:t>
      </w:r>
    </w:p>
    <w:p>
      <w:pPr>
        <w:spacing w:before="0" w:after="6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12.6.4 Tabela comparativa: aposentadoria por idade PcD vs. Regra permanente vs. Transição</w:t>
      </w:r>
    </w:p>
    <w:tbl>
      <w:tblPr>
        <w:tblW w:type="auto" w:w="0"/>
        <w:jc w:val="center"/>
        <w:tblLook w:firstColumn="1" w:firstRow="1" w:lastColumn="0" w:lastRow="0" w:noHBand="0" w:noVBand="1" w:val="04A0"/>
        <w:tblW w:w="5000" w:type="pct"/>
      </w:tblPr>
      <w:tblGrid>
        <w:gridCol w:w="1587"/>
        <w:gridCol w:w="1587"/>
        <w:gridCol w:w="1587"/>
        <w:gridCol w:w="1587"/>
      </w:tblGrid>
      <w:tr>
        <w:trPr>
          <w:tblHeader/>
        </w:trPr>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Aspecto</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Idade PcD (art. 3º, IV, LC 142)</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Regra permanente (art. 201, § 7º, II, EC 103)</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Transição idade (art. 18, EC 103)</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Idade (H/M)</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60/55</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65/62</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65/62 (progressiva)</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TC mínimo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15 anos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20H/15M</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15 anos</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Carência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180 contribuições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180 contribuições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180 contribuições</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Coeficiente</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70% + 1%/grupo de 12 contrib.</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60%+2% por ano excedente a 20H/15M</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60%+2% por ano excedente a 15</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Deficiência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Sim (qualquer grau, 15 anos)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Fator previdenciário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Se vantajoso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Base de cálculo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 SC (art. 26 EC 103)</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 SC (art. 26 EC 103)</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 SC (art. 26 EC 103)</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tabela evidencia que a aposentadoria por idade da PcD oferece vantagens claras em relação à regra permanente: idade reduzida em 5 anos (H) ou 7 anos (M), e coeficiente potencialmente mais favorável (70% + 1% por grupo de 12 contribuições vs. 60% + 2%). Um segurado homem PcD com 25 anos de TC (300 contribuições, isto é, 25 grupos de 12) teria coeficiente de 95% pela LC 142 (70% + 1% × 25 = 70% + 25%) versus 70% pela regra permanente (60% + 2% × 5 anos excedentes a 20) — diferença de 25 pontos percentuais, representando, sobre um SB de R$ 3.000,00, a diferença entre R$ 2.850,00 e R$ 2.100,00 mensais.</w:t>
      </w:r>
    </w:p>
    <w:p>
      <w:pPr>
        <w:spacing w:before="260" w:after="80" w:line="240" w:lineRule="auto"/>
        <w:jc w:val="left"/>
      </w:pPr>
      <w:r>
        <w:rPr>
          <w:rFonts w:ascii="EB Garamond" w:hAnsi="EB Garamond" w:cs="EB Garamond"/>
          <w:b/>
          <w:i w:val="0"/>
          <w:color w:val="3A3128"/>
          <w:sz w:val="25"/>
          <w:lang w:val="pt-BR" w:bidi="ar-SA"/>
          <w:kern w:val="16"/>
          <w14:ligatures w14:val="standardContextual"/>
        </w:rPr>
        <w:t>12.6.5 Aposentadoria por idade da PcD e o art. 6º da LC 142</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6º da LC 142 estabelece garantia importante: a aplicação da LC 142 não pode resultar em benefício mais restritivo que o concedido aos segurados em geral. Essa cláusula de proteção tem relevância particular para a aposentadoria por idade da PcD: se o cálculo pela regra do art. 8º, II (70% + 1% por grupo de 12 contribuições) resultar em valor inferior ao que o segurado obteria pela regra geral de aposentadoria por idade (art. 201, § 7º, II, EC 103), prevalece o cálculo mais favorável.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a situação é rara — o coeficiente da LC 142 (70% + 1% por grupo de 12 contribuições) tende a ser mais favorável que o da regra permanente (60% + 2%) para a maioria dos segurados, especialmente os que têm entre 15 e 25 anos de TC. Contudo, para segurados com TC muito elevado (acima de 30 anos), a regra permanente pode eventualmente ser mais favorável, caso em que o art. 6º assegura a aplicação do cálculo mais benéfico.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12.7 Deficiência superveniente e conversão proporcional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7º da LC 142/2013 disciplina a situação do segurado que adquire deficiência após a filiação ao RGPS ou que tem o grau de deficiência alterado ao longo de sua vida laboral. Nesses casos, os parâmetros de TC são proporcionalmente ajustados mediante conversão dos períodos sob cada condição (sem deficiência, deficiência leve, moderada ou grave).</w:t>
      </w:r>
    </w:p>
    <w:p>
      <w:pPr>
        <w:spacing w:before="260" w:after="80" w:line="240" w:lineRule="auto"/>
        <w:jc w:val="left"/>
      </w:pPr>
      <w:r>
        <w:rPr>
          <w:rFonts w:ascii="EB Garamond" w:hAnsi="EB Garamond" w:cs="EB Garamond"/>
          <w:b/>
          <w:i w:val="0"/>
          <w:color w:val="3A3128"/>
          <w:sz w:val="25"/>
          <w:lang w:val="pt-BR" w:bidi="ar-SA"/>
          <w:kern w:val="16"/>
          <w14:ligatures w14:val="standardContextual"/>
        </w:rPr>
        <w:t>12.7.1 Mecanismo de conversão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conversão funciona da seguinte forma: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1. </w:t>
      </w:r>
      <w:r>
        <w:rPr>
          <w:rFonts w:ascii="EB Garamond" w:hAnsi="EB Garamond" w:cs="EB Garamond"/>
          <w:b/>
          <w:i w:val="0"/>
          <w:color w:val="201B16"/>
          <w:sz w:val="20"/>
          <w:lang w:val="pt-BR" w:bidi="ar-SA"/>
          <w:kern w:val="16"/>
          <w14:ligatures w14:val="standardContextual"/>
        </w:rPr>
        <w:t>Identificam-se os períodos</w:t>
      </w:r>
      <w:r>
        <w:rPr>
          <w:rFonts w:ascii="EB Garamond" w:hAnsi="EB Garamond" w:cs="EB Garamond"/>
          <w:b w:val="0"/>
          <w:i w:val="0"/>
          <w:color w:val="201B16"/>
          <w:sz w:val="20"/>
          <w:lang w:val="pt-BR" w:bidi="ar-SA"/>
          <w:kern w:val="16"/>
          <w14:ligatures w14:val="standardContextual"/>
        </w:rPr>
        <w:t xml:space="preserve"> em que o segurado contribuiu sob cada condição (sem deficiência, ou com deficiência grave, moderada ou leve).</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2. </w:t>
      </w:r>
      <w:r>
        <w:rPr>
          <w:rFonts w:ascii="EB Garamond" w:hAnsi="EB Garamond" w:cs="EB Garamond"/>
          <w:b/>
          <w:i w:val="0"/>
          <w:color w:val="201B16"/>
          <w:sz w:val="20"/>
          <w:lang w:val="pt-BR" w:bidi="ar-SA"/>
          <w:kern w:val="16"/>
          <w14:ligatures w14:val="standardContextual"/>
        </w:rPr>
        <w:t>Define-se o grau preponderante</w:t>
      </w:r>
      <w:r>
        <w:rPr>
          <w:rFonts w:ascii="EB Garamond" w:hAnsi="EB Garamond" w:cs="EB Garamond"/>
          <w:b w:val="0"/>
          <w:i w:val="0"/>
          <w:color w:val="201B16"/>
          <w:sz w:val="20"/>
          <w:lang w:val="pt-BR" w:bidi="ar-SA"/>
          <w:kern w:val="16"/>
          <w14:ligatures w14:val="standardContextual"/>
        </w:rPr>
        <w:t xml:space="preserve"> — aquele em que o segurado cumpriu maior tempo de contribuição antes da conversão (art. 70-A, Decreto 3.048/99).</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3. </w:t>
      </w:r>
      <w:r>
        <w:rPr>
          <w:rFonts w:ascii="EB Garamond" w:hAnsi="EB Garamond" w:cs="EB Garamond"/>
          <w:b/>
          <w:i w:val="0"/>
          <w:color w:val="201B16"/>
          <w:sz w:val="20"/>
          <w:lang w:val="pt-BR" w:bidi="ar-SA"/>
          <w:kern w:val="16"/>
          <w14:ligatures w14:val="standardContextual"/>
        </w:rPr>
        <w:t>Aplicam-se os fatores de conversão</w:t>
      </w:r>
      <w:r>
        <w:rPr>
          <w:rFonts w:ascii="EB Garamond" w:hAnsi="EB Garamond" w:cs="EB Garamond"/>
          <w:b w:val="0"/>
          <w:i w:val="0"/>
          <w:color w:val="201B16"/>
          <w:sz w:val="20"/>
          <w:lang w:val="pt-BR" w:bidi="ar-SA"/>
          <w:kern w:val="16"/>
          <w14:ligatures w14:val="standardContextual"/>
        </w:rPr>
        <w:t xml:space="preserve"> da tabela do art. 70-E do Decreto 3.048/99, convertendo cada período para o parâmetro do grau preponderante.</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4. </w:t>
      </w:r>
      <w:r>
        <w:rPr>
          <w:rFonts w:ascii="EB Garamond" w:hAnsi="EB Garamond" w:cs="EB Garamond"/>
          <w:b/>
          <w:i w:val="0"/>
          <w:color w:val="201B16"/>
          <w:sz w:val="20"/>
          <w:lang w:val="pt-BR" w:bidi="ar-SA"/>
          <w:kern w:val="16"/>
          <w14:ligatures w14:val="standardContextual"/>
        </w:rPr>
        <w:t>Somam-se os períodos convertidos.</w:t>
      </w:r>
      <w:r>
        <w:rPr>
          <w:rFonts w:ascii="EB Garamond" w:hAnsi="EB Garamond" w:cs="EB Garamond"/>
          <w:b w:val="0"/>
          <w:i w:val="0"/>
          <w:color w:val="201B16"/>
          <w:sz w:val="20"/>
          <w:lang w:val="pt-BR" w:bidi="ar-SA"/>
          <w:kern w:val="16"/>
          <w14:ligatures w14:val="standardContextual"/>
        </w:rPr>
        <w:t xml:space="preserve"> O TC total convertido é comparado ao TC mínimo exigido para o grau preponderante.</w:t>
      </w:r>
    </w:p>
    <w:p>
      <w:pPr>
        <w:spacing w:before="0" w:after="6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12.7.2 Tabelas de fatores de conversão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 fatores de conversão refletem a relação proporcional entre os tempos de contribuição exigidos para cada grau. Quanto maior a diferença entre os graus, maior o fator de conversão (se de grau mais leve para mais grave, o fator reduz o tempo; se de grau mais grave para mais leve, o fator amplia o tempo).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Tabela de conversão — Homens:</w:t>
      </w:r>
    </w:p>
    <w:tbl>
      <w:tblPr>
        <w:tblW w:type="auto" w:w="0"/>
        <w:jc w:val="center"/>
        <w:tblLook w:firstColumn="1" w:firstRow="1" w:lastColumn="0" w:lastRow="0" w:noHBand="0" w:noVBand="1" w:val="04A0"/>
        <w:tblW w:w="5000" w:type="pct"/>
      </w:tblPr>
      <w:tblGrid>
        <w:gridCol w:w="1270"/>
        <w:gridCol w:w="1270"/>
        <w:gridCol w:w="1270"/>
        <w:gridCol w:w="1270"/>
        <w:gridCol w:w="1270"/>
      </w:tblGrid>
      <w:tr>
        <w:trPr>
          <w:tblHeader/>
        </w:trPr>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De \ Para</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Grave (25)</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Moderada (29)</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Leve (33)</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Sem deficiência (35)</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Grave (25)</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1,16</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1,32</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1,40</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Moderada (29)</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0,86</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1,14</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1,21</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Leve (33)</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0,76</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0,88</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1,06</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Sem deficiência (35)</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0,71</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0,83</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0,94</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T</w:t>
      </w:r>
    </w:p>
    <w:p>
      <w:pPr>
        <w:spacing w:before="0" w:after="70" w:line="259" w:lineRule="auto"/>
        <w:jc w:val="both"/>
      </w:pPr>
      <w:r>
        <w:rPr>
          <w:rFonts w:ascii="EB Garamond" w:hAnsi="EB Garamond" w:cs="EB Garamond"/>
          <w:b/>
          <w:i w:val="0"/>
          <w:color w:val="201B16"/>
          <w:sz w:val="21"/>
          <w:lang w:val="pt-BR" w:bidi="ar-SA"/>
          <w:kern w:val="16"/>
          <w14:ligatures w14:val="standardContextual"/>
        </w:rPr>
        <w:t>abela de conversão — Mulheres:</w:t>
      </w:r>
    </w:p>
    <w:tbl>
      <w:tblPr>
        <w:tblW w:type="auto" w:w="0"/>
        <w:jc w:val="center"/>
        <w:tblLook w:firstColumn="1" w:firstRow="1" w:lastColumn="0" w:lastRow="0" w:noHBand="0" w:noVBand="1" w:val="04A0"/>
        <w:tblW w:w="5000" w:type="pct"/>
      </w:tblPr>
      <w:tblGrid>
        <w:gridCol w:w="1270"/>
        <w:gridCol w:w="1270"/>
        <w:gridCol w:w="1270"/>
        <w:gridCol w:w="1270"/>
        <w:gridCol w:w="1270"/>
      </w:tblGrid>
      <w:tr>
        <w:trPr>
          <w:tblHeader/>
        </w:trPr>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De \ Para</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Grave (20)</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Moderada (24)</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Leve (28)</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Sem deficiência (30)</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Grave (20)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1,20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1,40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1,50</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Moderada (24)</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0,83</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1,17</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1,25</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Leve (28)</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0,71</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0,86</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1,07</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Sem deficiência (30)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0,67</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0,80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0,93</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L</w:t>
      </w:r>
    </w:p>
    <w:p>
      <w:pPr>
        <w:spacing w:before="0" w:after="70" w:line="259" w:lineRule="auto"/>
        <w:jc w:val="both"/>
      </w:pPr>
      <w:r>
        <w:rPr>
          <w:rFonts w:ascii="EB Garamond" w:hAnsi="EB Garamond" w:cs="EB Garamond"/>
          <w:b/>
          <w:i w:val="0"/>
          <w:color w:val="201B16"/>
          <w:sz w:val="21"/>
          <w:lang w:val="pt-BR" w:bidi="ar-SA"/>
          <w:kern w:val="16"/>
          <w14:ligatures w14:val="standardContextual"/>
        </w:rPr>
        <w:t>eitura da tabela:</w:t>
      </w:r>
      <w:r>
        <w:rPr>
          <w:rFonts w:ascii="EB Garamond" w:hAnsi="EB Garamond" w:cs="EB Garamond"/>
          <w:b w:val="0"/>
          <w:i w:val="0"/>
          <w:color w:val="201B16"/>
          <w:sz w:val="21"/>
          <w:lang w:val="pt-BR" w:bidi="ar-SA"/>
          <w:kern w:val="16"/>
          <w14:ligatures w14:val="standardContextual"/>
        </w:rPr>
        <w:t xml:space="preserve"> para converter tempo cumprido sob a condição da LINHA para a condição da COLUNA, multiplique o tempo pelo fator correspondente. Exemplo: 10 anos cumpridos com deficiência leve (linha), convertidos para o parâmetro moderada (coluna) = 10 × 0,88 = 8,80 anos.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Passo a passo: cálculo com deficiência superveniente</w:t>
            </w:r>
          </w:p>
          <w:p>
            <w:pPr>
              <w:spacing w:before="0" w:after="60" w:line="247" w:lineRule="auto"/>
              <w:jc w:val="both"/>
            </w:pPr>
            <w:r>
              <w:rPr>
                <w:rFonts w:ascii="EB Garamond" w:hAnsi="EB Garamond" w:cs="EB Garamond"/>
                <w:b/>
                <w:i w:val="0"/>
                <w:color w:val="201B16"/>
                <w:sz w:val="19"/>
                <w:lang w:val="pt-BR" w:bidi="ar-SA"/>
                <w:kern w:val="16"/>
                <w14:ligatures w14:val="standardContextual"/>
              </w:rPr>
              <w:t>Segurado:</w:t>
            </w:r>
            <w:r>
              <w:rPr>
                <w:rFonts w:ascii="EB Garamond" w:hAnsi="EB Garamond" w:cs="EB Garamond"/>
                <w:b w:val="0"/>
                <w:i w:val="0"/>
                <w:color w:val="201B16"/>
                <w:sz w:val="19"/>
                <w:lang w:val="pt-BR" w:bidi="ar-SA"/>
                <w:kern w:val="16"/>
                <w14:ligatures w14:val="standardContextual"/>
              </w:rPr>
              <w:t xml:space="preserve"> Paulo, homem, adquiriu deficiência moderada aos 38 anos. Contribuiu desde os 20 anos: - Período 1 (20-38 anos): 18 anos SEM deficiência - Período 2 (38-50 anos): 12 anos COM deficiência moderada</w:t>
            </w:r>
          </w:p>
          <w:p>
            <w:pPr>
              <w:spacing w:before="0" w:after="60" w:line="247" w:lineRule="auto"/>
              <w:jc w:val="both"/>
            </w:pPr>
            <w:r>
              <w:rPr>
                <w:rFonts w:ascii="EB Garamond" w:hAnsi="EB Garamond" w:cs="EB Garamond"/>
                <w:b/>
                <w:i w:val="0"/>
                <w:color w:val="201B16"/>
                <w:sz w:val="19"/>
                <w:lang w:val="pt-BR" w:bidi="ar-SA"/>
                <w:kern w:val="16"/>
                <w14:ligatures w14:val="standardContextual"/>
              </w:rPr>
              <w:t>Passo 1 — Parâmetro de enquadramento (grau preponderante entre os períodos com deficiência):</w:t>
            </w:r>
            <w:r>
              <w:rPr>
                <w:rFonts w:ascii="EB Garamond" w:hAnsi="EB Garamond" w:cs="EB Garamond"/>
                <w:b w:val="0"/>
                <w:i w:val="0"/>
                <w:color w:val="201B16"/>
                <w:sz w:val="19"/>
                <w:lang w:val="pt-BR" w:bidi="ar-SA"/>
                <w:kern w:val="16"/>
                <w14:ligatures w14:val="standardContextual"/>
              </w:rPr>
              <w:t xml:space="preserve"> Aqui é preciso distinguir dois usos do conceito. A definição estrita de grau preponderante (seção 12.4.3) considera TODOS os períodos — inclusive os sem deficiência — e identifica aquele de maior TC antes da conversão; no caso de Paulo, seria o período "sem deficiência" (18 anos). Esse conceito, contudo, presta-se a definir, entre graus de deficiência, qual parâmetro rege a conversão; ele não transforma o período sem deficiência em fundamento de um benefício que pressupõe deficiência.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Para fins de enquadramento na via da LC 142, o parâmetro é necessariamente o grau preponderante entre os períodos COM deficiência — único critério compatível com um benefício que tutela a pessoa com deficiência. Como Paulo só teve um grau de deficiência (moderada), é esse o parâmetro de cálculo, e o TC mínimo será 29 anos (moderada, homem). O período sem deficiência não desaparece: entra na conta convertido para o parâmetro moderada (Passo 2).</w:t>
            </w:r>
          </w:p>
          <w:p>
            <w:pPr>
              <w:spacing w:before="0" w:after="60" w:line="247" w:lineRule="auto"/>
              <w:jc w:val="both"/>
            </w:pPr>
            <w:r>
              <w:rPr>
                <w:rFonts w:ascii="EB Garamond" w:hAnsi="EB Garamond" w:cs="EB Garamond"/>
                <w:b/>
                <w:i w:val="0"/>
                <w:color w:val="201B16"/>
                <w:sz w:val="19"/>
                <w:lang w:val="pt-BR" w:bidi="ar-SA"/>
                <w:kern w:val="16"/>
                <w14:ligatures w14:val="standardContextual"/>
              </w:rPr>
              <w:t>Passo 2 — Conversão para o parâmetro moderada:</w:t>
            </w:r>
            <w:r>
              <w:rPr>
                <w:rFonts w:ascii="EB Garamond" w:hAnsi="EB Garamond" w:cs="EB Garamond"/>
                <w:b w:val="0"/>
                <w:i w:val="0"/>
                <w:color w:val="201B16"/>
                <w:sz w:val="19"/>
                <w:lang w:val="pt-BR" w:bidi="ar-SA"/>
                <w:kern w:val="16"/>
                <w14:ligatures w14:val="standardContextual"/>
              </w:rPr>
              <w:t xml:space="preserve"> - Tempo sem deficiência para moderada (fator 0,83): 18 × 0,83 = 14,94 anos - Tempo com deficiência moderada: 12 anos (sem conversão)</w:t>
            </w:r>
          </w:p>
          <w:p>
            <w:pPr>
              <w:spacing w:before="0" w:after="60" w:line="247" w:lineRule="auto"/>
              <w:jc w:val="both"/>
            </w:pPr>
            <w:r>
              <w:rPr>
                <w:rFonts w:ascii="EB Garamond" w:hAnsi="EB Garamond" w:cs="EB Garamond"/>
                <w:b/>
                <w:i w:val="0"/>
                <w:color w:val="201B16"/>
                <w:sz w:val="19"/>
                <w:lang w:val="pt-BR" w:bidi="ar-SA"/>
                <w:kern w:val="16"/>
                <w14:ligatures w14:val="standardContextual"/>
              </w:rPr>
              <w:t>Passo 3 — TC total convertido:</w:t>
            </w:r>
            <w:r>
              <w:rPr>
                <w:rFonts w:ascii="EB Garamond" w:hAnsi="EB Garamond" w:cs="EB Garamond"/>
                <w:b w:val="0"/>
                <w:i w:val="0"/>
                <w:color w:val="201B16"/>
                <w:sz w:val="19"/>
                <w:lang w:val="pt-BR" w:bidi="ar-SA"/>
                <w:kern w:val="16"/>
                <w14:ligatures w14:val="standardContextual"/>
              </w:rPr>
              <w:t xml:space="preserve"> 14,94 + 12,00 = 26,94 anos</w:t>
            </w:r>
          </w:p>
          <w:p>
            <w:pPr>
              <w:spacing w:before="0" w:after="60" w:line="247" w:lineRule="auto"/>
              <w:jc w:val="both"/>
            </w:pPr>
            <w:r>
              <w:rPr>
                <w:rFonts w:ascii="EB Garamond" w:hAnsi="EB Garamond" w:cs="EB Garamond"/>
                <w:b/>
                <w:i w:val="0"/>
                <w:color w:val="201B16"/>
                <w:sz w:val="19"/>
                <w:lang w:val="pt-BR" w:bidi="ar-SA"/>
                <w:kern w:val="16"/>
                <w14:ligatures w14:val="standardContextual"/>
              </w:rPr>
              <w:t>Passo 4 — Comparação com TC mínimo:</w:t>
            </w:r>
            <w:r>
              <w:rPr>
                <w:rFonts w:ascii="EB Garamond" w:hAnsi="EB Garamond" w:cs="EB Garamond"/>
                <w:b w:val="0"/>
                <w:i w:val="0"/>
                <w:color w:val="201B16"/>
                <w:sz w:val="19"/>
                <w:lang w:val="pt-BR" w:bidi="ar-SA"/>
                <w:kern w:val="16"/>
                <w14:ligatures w14:val="standardContextual"/>
              </w:rPr>
              <w:t xml:space="preserve"> TC mínimo moderada (homem) = 29 anos. Paulo tem 26,94 anos → faltam 2,06 anos. Paulo precisa contribuir mais aproximadamente 2 anos e 1 mês (sob deficiência moderada) para alcançar o TC mínimo.</w:t>
            </w:r>
          </w:p>
          <w:p>
            <w:pPr>
              <w:spacing w:before="0" w:after="60" w:line="247" w:lineRule="auto"/>
              <w:jc w:val="both"/>
            </w:pPr>
            <w:r>
              <w:rPr>
                <w:rFonts w:ascii="EB Garamond" w:hAnsi="EB Garamond" w:cs="EB Garamond"/>
                <w:b/>
                <w:i w:val="0"/>
                <w:color w:val="201B16"/>
                <w:sz w:val="19"/>
                <w:lang w:val="pt-BR" w:bidi="ar-SA"/>
                <w:kern w:val="16"/>
                <w14:ligatures w14:val="standardContextual"/>
              </w:rPr>
              <w:t>Alternativa:</w:t>
            </w:r>
            <w:r>
              <w:rPr>
                <w:rFonts w:ascii="EB Garamond" w:hAnsi="EB Garamond" w:cs="EB Garamond"/>
                <w:b w:val="0"/>
                <w:i w:val="0"/>
                <w:color w:val="201B16"/>
                <w:sz w:val="19"/>
                <w:lang w:val="pt-BR" w:bidi="ar-SA"/>
                <w:kern w:val="16"/>
                <w14:ligatures w14:val="standardContextual"/>
              </w:rPr>
              <w:t xml:space="preserve"> Se Paulo puder comprovar que sua deficiência é grave (e não moderada), o TC mínimo seria 25 anos, e a conversão do tempo sem deficiência seria: 18 × 0,71 = 12,78 + 12 (grave) = 24,78 anos. Ainda faltaria pouco, mas com o TC exigido sendo 25 anos, estaria mais próximo.</w:t>
            </w: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Fatores de conversão PcD ≠ fatores de conversão da aposentadoria especial</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 xml:space="preserve">Os fatores de conversão da LC 142/2013 (art. 70-E, Decreto 3.048/99) são DIFERENTES dos fatores de conversão de tempo especial para comum (art. 70, Decreto 3.048/99, tratados no Capítulo 8). Não se podem confundir nem combinar: - Conversão especial: usa fatores como 1,40 (25→35 homem) para converter tempo de exposição a agentes nocivos em tempo comum. - Conversão PcD: usa fatores baseados nos TC da LC 142 para converter tempo entre graus de deficiência. - </w:t>
            </w:r>
            <w:r>
              <w:rPr>
                <w:rFonts w:ascii="EB Garamond" w:hAnsi="EB Garamond" w:cs="EB Garamond"/>
                <w:b/>
                <w:i w:val="0"/>
                <w:color w:val="201B16"/>
                <w:sz w:val="19"/>
                <w:lang w:val="pt-BR" w:bidi="ar-SA"/>
                <w:kern w:val="16"/>
                <w14:ligatures w14:val="standardContextual"/>
              </w:rPr>
              <w:t>Vedação de cumulação:</w:t>
            </w:r>
            <w:r>
              <w:rPr>
                <w:rFonts w:ascii="EB Garamond" w:hAnsi="EB Garamond" w:cs="EB Garamond"/>
                <w:b w:val="0"/>
                <w:i w:val="0"/>
                <w:color w:val="201B16"/>
                <w:sz w:val="19"/>
                <w:lang w:val="pt-BR" w:bidi="ar-SA"/>
                <w:kern w:val="16"/>
                <w14:ligatures w14:val="standardContextual"/>
              </w:rPr>
              <w:t xml:space="preserve"> o art. 70-F do Decreto 3.048/99 veda expressamente a cumulação de ambas as reduções no mesmo período contributivo. O segurado PcD que exerceu atividade especial deve optar pela via mais vantajosa.</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12.8 Alteração do grau de deficiência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7º da LC 142 contempla também a hipótese de alteração do grau de deficiência ao longo da vida laboral, seja por melhora (por exemplo, evolução tecnológica de próteses, acesso a tratamento) ou por piora (progressão de doença, perda funcional adicional). Nesses casos, cada período é contado conforme o grau vigente à época e convertido proporcionalmente para o grau preponderante, utilizando os mesmos fatores de conversão do art. 70-E.</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Exemplo: alteração de grau de deficiência</w:t>
            </w:r>
          </w:p>
          <w:p>
            <w:pPr>
              <w:spacing w:before="0" w:after="60" w:line="247" w:lineRule="auto"/>
              <w:jc w:val="both"/>
            </w:pPr>
            <w:r>
              <w:rPr>
                <w:rFonts w:ascii="EB Garamond" w:hAnsi="EB Garamond" w:cs="EB Garamond"/>
                <w:b/>
                <w:i w:val="0"/>
                <w:color w:val="201B16"/>
                <w:sz w:val="19"/>
                <w:lang w:val="pt-BR" w:bidi="ar-SA"/>
                <w:kern w:val="16"/>
                <w14:ligatures w14:val="standardContextual"/>
              </w:rPr>
              <w:t>Segurada:</w:t>
            </w:r>
            <w:r>
              <w:rPr>
                <w:rFonts w:ascii="EB Garamond" w:hAnsi="EB Garamond" w:cs="EB Garamond"/>
                <w:b w:val="0"/>
                <w:i w:val="0"/>
                <w:color w:val="201B16"/>
                <w:sz w:val="19"/>
                <w:lang w:val="pt-BR" w:bidi="ar-SA"/>
                <w:kern w:val="16"/>
                <w14:ligatures w14:val="standardContextual"/>
              </w:rPr>
              <w:t xml:space="preserve"> Ana, mulher, com deficiência desde os 18 anos: - Período 1 (18-28 anos): 10 anos com deficiência grave - Período 2 (28-48 anos): 20 anos com deficiência moderada (melhora funcional)</w:t>
            </w:r>
          </w:p>
          <w:p>
            <w:pPr>
              <w:spacing w:before="0" w:after="60" w:line="247" w:lineRule="auto"/>
              <w:jc w:val="both"/>
            </w:pPr>
            <w:r>
              <w:rPr>
                <w:rFonts w:ascii="EB Garamond" w:hAnsi="EB Garamond" w:cs="EB Garamond"/>
                <w:b/>
                <w:i w:val="0"/>
                <w:color w:val="201B16"/>
                <w:sz w:val="19"/>
                <w:lang w:val="pt-BR" w:bidi="ar-SA"/>
                <w:kern w:val="16"/>
                <w14:ligatures w14:val="standardContextual"/>
              </w:rPr>
              <w:t>Grau preponderante:</w:t>
            </w:r>
            <w:r>
              <w:rPr>
                <w:rFonts w:ascii="EB Garamond" w:hAnsi="EB Garamond" w:cs="EB Garamond"/>
                <w:b w:val="0"/>
                <w:i w:val="0"/>
                <w:color w:val="201B16"/>
                <w:sz w:val="19"/>
                <w:lang w:val="pt-BR" w:bidi="ar-SA"/>
                <w:kern w:val="16"/>
                <w14:ligatures w14:val="standardContextual"/>
              </w:rPr>
              <w:t xml:space="preserve"> Moderada (20 anos &gt; 10 anos) → TC mínimo = 24 anos (mulher, moderada).</w:t>
            </w:r>
          </w:p>
          <w:p>
            <w:pPr>
              <w:spacing w:before="0" w:after="60" w:line="247" w:lineRule="auto"/>
              <w:jc w:val="both"/>
            </w:pPr>
            <w:r>
              <w:rPr>
                <w:rFonts w:ascii="EB Garamond" w:hAnsi="EB Garamond" w:cs="EB Garamond"/>
                <w:b/>
                <w:i w:val="0"/>
                <w:color w:val="201B16"/>
                <w:sz w:val="19"/>
                <w:lang w:val="pt-BR" w:bidi="ar-SA"/>
                <w:kern w:val="16"/>
                <w14:ligatures w14:val="standardContextual"/>
              </w:rPr>
              <w:t>Conversão do período grave para moderada:</w:t>
            </w:r>
            <w:r>
              <w:rPr>
                <w:rFonts w:ascii="EB Garamond" w:hAnsi="EB Garamond" w:cs="EB Garamond"/>
                <w:b w:val="0"/>
                <w:i w:val="0"/>
                <w:color w:val="201B16"/>
                <w:sz w:val="19"/>
                <w:lang w:val="pt-BR" w:bidi="ar-SA"/>
                <w:kern w:val="16"/>
                <w14:ligatures w14:val="standardContextual"/>
              </w:rPr>
              <w:t xml:space="preserve"> 10 anos × 1,20 (grave → moderada, mulher) = 12 anos</w:t>
            </w:r>
          </w:p>
          <w:p>
            <w:pPr>
              <w:spacing w:before="0" w:after="60" w:line="247" w:lineRule="auto"/>
              <w:jc w:val="both"/>
            </w:pPr>
            <w:r>
              <w:rPr>
                <w:rFonts w:ascii="EB Garamond" w:hAnsi="EB Garamond" w:cs="EB Garamond"/>
                <w:b/>
                <w:i w:val="0"/>
                <w:color w:val="201B16"/>
                <w:sz w:val="19"/>
                <w:lang w:val="pt-BR" w:bidi="ar-SA"/>
                <w:kern w:val="16"/>
                <w14:ligatures w14:val="standardContextual"/>
              </w:rPr>
              <w:t>TC total convertido:</w:t>
            </w:r>
            <w:r>
              <w:rPr>
                <w:rFonts w:ascii="EB Garamond" w:hAnsi="EB Garamond" w:cs="EB Garamond"/>
                <w:b w:val="0"/>
                <w:i w:val="0"/>
                <w:color w:val="201B16"/>
                <w:sz w:val="19"/>
                <w:lang w:val="pt-BR" w:bidi="ar-SA"/>
                <w:kern w:val="16"/>
                <w14:ligatures w14:val="standardContextual"/>
              </w:rPr>
              <w:t xml:space="preserve"> 12 + 20 = 32 anos</w:t>
            </w:r>
          </w:p>
          <w:p>
            <w:pPr>
              <w:spacing w:before="0" w:after="60" w:line="247" w:lineRule="auto"/>
              <w:jc w:val="both"/>
            </w:pPr>
            <w:r>
              <w:rPr>
                <w:rFonts w:ascii="EB Garamond" w:hAnsi="EB Garamond" w:cs="EB Garamond"/>
                <w:b/>
                <w:i w:val="0"/>
                <w:color w:val="201B16"/>
                <w:sz w:val="19"/>
                <w:lang w:val="pt-BR" w:bidi="ar-SA"/>
                <w:kern w:val="16"/>
                <w14:ligatures w14:val="standardContextual"/>
              </w:rPr>
              <w:t>Resultado:</w:t>
            </w:r>
            <w:r>
              <w:rPr>
                <w:rFonts w:ascii="EB Garamond" w:hAnsi="EB Garamond" w:cs="EB Garamond"/>
                <w:b w:val="0"/>
                <w:i w:val="0"/>
                <w:color w:val="201B16"/>
                <w:sz w:val="19"/>
                <w:lang w:val="pt-BR" w:bidi="ar-SA"/>
                <w:kern w:val="16"/>
                <w14:ligatures w14:val="standardContextual"/>
              </w:rPr>
              <w:t xml:space="preserve"> Ana tem 32 anos convertidos, superando em 8 anos o TC mínimo de 24 anos (moderada, mulher). Tem direito à aposentadoria desde os 40 anos de idade (quando completou 24 anos de TC convertidos: 12 anos convertidos ao final do período grave, aos 28 anos, mais 12 anos no período moderado, contados 1:1).</w:t>
            </w:r>
          </w:p>
          <w:p>
            <w:pPr>
              <w:spacing w:before="0" w:after="60" w:line="247" w:lineRule="auto"/>
              <w:jc w:val="both"/>
            </w:pPr>
            <w:r>
              <w:rPr>
                <w:rFonts w:ascii="EB Garamond" w:hAnsi="EB Garamond" w:cs="EB Garamond"/>
                <w:b/>
                <w:i w:val="0"/>
                <w:color w:val="201B16"/>
                <w:sz w:val="19"/>
                <w:lang w:val="pt-BR" w:bidi="ar-SA"/>
                <w:kern w:val="16"/>
                <w14:ligatures w14:val="standardContextual"/>
              </w:rPr>
              <w:t>Observação:</w:t>
            </w:r>
            <w:r>
              <w:rPr>
                <w:rFonts w:ascii="EB Garamond" w:hAnsi="EB Garamond" w:cs="EB Garamond"/>
                <w:b w:val="0"/>
                <w:i w:val="0"/>
                <w:color w:val="201B16"/>
                <w:sz w:val="19"/>
                <w:lang w:val="pt-BR" w:bidi="ar-SA"/>
                <w:kern w:val="16"/>
                <w14:ligatures w14:val="standardContextual"/>
              </w:rPr>
              <w:t xml:space="preserve"> Se o grau preponderante fosse grave, o TC mínimo seria 20 anos e o período moderado seria convertido: 20 × 0,83 = 16,60 + 10 (grave) = 26,60 anos. Mas o grau preponderante é definido pelo maior tempo antes da conversão (moderada = 20 anos), não pelo que seria mais favorável ao segurado.</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questão da alteração de grau é particularmente sensível na prova judicial. A perícia biopsicossocial judicial deve reconstituir o histórico funcional do segurado, identificando as datas de transição entre graus — tarefa que exige análise de laudos médicos, relatórios de acompanhamento e, eventualmente, prova testemunhal sobre as condições de vida e trabalho do segurado ao longo dos anos.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12.9 Interface com a EC 103/2019</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EC 103/2019 (Reforma da Previdência) não alterou diretamente a LC 142/2013, mas criou um regime jurídico novo para as aposentadorias do RGPS que gera questões de interface com a aposentadoria da PcD.</w:t>
      </w:r>
    </w:p>
    <w:p>
      <w:pPr>
        <w:spacing w:before="260" w:after="80" w:line="240" w:lineRule="auto"/>
        <w:jc w:val="left"/>
      </w:pPr>
      <w:r>
        <w:rPr>
          <w:rFonts w:ascii="EB Garamond" w:hAnsi="EB Garamond" w:cs="EB Garamond"/>
          <w:b/>
          <w:i w:val="0"/>
          <w:color w:val="3A3128"/>
          <w:sz w:val="25"/>
          <w:lang w:val="pt-BR" w:bidi="ar-SA"/>
          <w:kern w:val="16"/>
          <w14:ligatures w14:val="standardContextual"/>
        </w:rPr>
        <w:t>12.9.1 O art. 22 e a preservação integral da LC 142</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22 da EC 103/2019 dispõe: "Até que lei discipline o § 4º-A do art. 40 e o § 1º do art. 201 da Constituição Federal, a aposentadoria da pessoa com deficiência segurada do Regime Geral de Previdência Social de que trata a Lei Complementar n. 142, de 8 de maio de 2013, inclusive quanto aos critérios de cálculo, seguirá sendo aplicada."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expressão "inclusive quanto aos critérios de cálculo" é a chave interpretativa do dispositivo. Duas posições se formaram:</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Posição 1 (INSS — inicial, minoritária):</w:t>
      </w:r>
      <w:r>
        <w:rPr>
          <w:rFonts w:ascii="EB Garamond" w:hAnsi="EB Garamond" w:cs="EB Garamond"/>
          <w:b w:val="0"/>
          <w:i w:val="0"/>
          <w:color w:val="201B16"/>
          <w:sz w:val="21"/>
          <w:lang w:val="pt-BR" w:bidi="ar-SA"/>
          <w:kern w:val="16"/>
          <w14:ligatures w14:val="standardContextual"/>
        </w:rPr>
        <w:t xml:space="preserve"> O art. 26 da EC 103 é regra geral de cálculo que se aplica a todos os benefícios pós-Reforma, inclusive à aposentadoria da PcD. A média incidiria sobre 100% dos SC (e não mais sobre os 80% maiores) e o coeficiente seria de 60% + 2% por ano excedente ao TC mínimo. O resultado seria significativamente inferior ao calculado pela LC 142.</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Posição 2 (doutrina majoritária e jurisprudência dos TRFs — que adotamos):</w:t>
      </w:r>
      <w:r>
        <w:rPr>
          <w:rFonts w:ascii="EB Garamond" w:hAnsi="EB Garamond" w:cs="EB Garamond"/>
          <w:b w:val="0"/>
          <w:i w:val="0"/>
          <w:color w:val="201B16"/>
          <w:sz w:val="21"/>
          <w:lang w:val="pt-BR" w:bidi="ar-SA"/>
          <w:kern w:val="16"/>
          <w14:ligatures w14:val="standardContextual"/>
        </w:rPr>
        <w:t xml:space="preserve"> O art. 22 da EC 103 funciona como norma especial, preservando integralmente o COEFICIENTE da LC 142, isto é, 100% do SB (aposentadoria por TC) e 70% + 1% por grupo de 12 contribuições (aposentadoria por idade). A referência a "critérios de cálculo" afasta de modo inequívoco a aplicação do coeficiente redutor do art. 26 (60% + 2%). Sustentamos, com a doutrina dominante, que a divergência sobre a média não compromete essa conclusão: o art. 22 conserva o coeficiente da LC 142, ao passo que a BASE de cálculo é a do art. 26 — média de 100% dos SC, com possibilidade de exclusão das contribuições prejudiciais (art. 26, § 6º). Ibrahim (2025) e Castro e Lazzari (2025) convergem ao afirmar que a expressão "inclusive quanto aos critérios de cálculo" não deixa margem interpretativa para a incidência do coeficiente do art. 26 sobre a aposentadoria da PcD.</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jurisprudência dos TRFs consolidou-se firmemente na segunda posição, reconhecendo que o art. 22 opera como exceção ao regime geral do art. 26 e que a aposentadoria da PcD mantém seus critérios próprios de cálculo integralmente.</w:t>
      </w:r>
    </w:p>
    <w:p>
      <w:pPr>
        <w:spacing w:before="260" w:after="80" w:line="240" w:lineRule="auto"/>
        <w:jc w:val="left"/>
      </w:pPr>
      <w:r>
        <w:rPr>
          <w:rFonts w:ascii="EB Garamond" w:hAnsi="EB Garamond" w:cs="EB Garamond"/>
          <w:b/>
          <w:i w:val="0"/>
          <w:color w:val="3A3128"/>
          <w:sz w:val="25"/>
          <w:lang w:val="pt-BR" w:bidi="ar-SA"/>
          <w:kern w:val="16"/>
          <w14:ligatures w14:val="standardContextual"/>
        </w:rPr>
        <w:t>12.9.2 Pendência legislativa: nova lei complementar</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22 da EC 103 é norma transitória: determina a manutenção da LC 142 "até que lei discipline" a matéria. Passados mais de seis anos da promulgação da EC 103, nenhum projeto de lei complementar sobre aposentadoria da PcD foi aprovado pelo Congresso Nacional. A LC 142/2013 permanece plenamente vigente, sem prazo previsível para substituição.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advogado previdenciarista deve monitorar eventuais projetos legislativos que possam alterar os critérios da LC 142, especialmente no tocante aos graus de deficiência, ao instrumento de avaliação (IF-BrA) e ao cálculo do benefício. Até que nova lei seja promulgada, a LC 142 é a norma aplicável — e qualquer alteração legislativa deverá respeitar o princípio do tempus regit actum para os segurados que já preencheram os requisitos.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Art. 22 EC 103: posição consolidada dos TRFs</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entendimento dos TRFs é uniforme no sentido de que o art. 22 da EC 103/2019 preserva integralmente a LC 142/2013 para a aposentadoria da PcD, inclusive o coeficiente de cálculo (100% do SB para TC; 70% + 1% por grupo de 12 contribuições para idade), afastando a aplicação do art. 26 da EC 103 (60% + 2%). Quanto à base de cálculo, firma-se com segurança a tese — que sufragamos — de que o art. 22 preserva o COEFICIENTE da LC 142, mas adota a BASE do art. 26: média de 100% dos SC, com faculdade de exclusão das contribuições prejudiciais (art. 26, § 6º, EC 103). Essa solução é hoje a dominante e não desfavorece o segurado: a média de 100% conjugada ao descarte das contribuições baixas costuma ser neutra ou benéfica, e a cláusula de garantia do art. 6º da LC 142 protege os casos residuais em que a sistemática anterior (80% maiores SC) seria mais vantajosa.</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12.10 Fator previdenciário na aposentadoria da PcD</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9º, I, da LC 142/2013 estabelece regra peculiar sobre o fator previdenciário: ele é aplicável somente se resultar em renda mensal de valor superior, ou seja, somente quando for vantajoso para o segurado. Essa disposição inverte a lógica que prevalecia na aposentadoria por TC comum antes da EC 103/2019 (quando o fator era obrigatório e, na grande maioria dos casos, reduzia o valor do benefício) e que permanece nas regras de transição do pedágio 50% e do direito adquirido pré-reforma (conforme detalhado na seção 11.8 do Capítulo 11).</w:t>
      </w:r>
    </w:p>
    <w:p>
      <w:pPr>
        <w:spacing w:before="260" w:after="80" w:line="240" w:lineRule="auto"/>
        <w:jc w:val="left"/>
      </w:pPr>
      <w:r>
        <w:rPr>
          <w:rFonts w:ascii="EB Garamond" w:hAnsi="EB Garamond" w:cs="EB Garamond"/>
          <w:b/>
          <w:i w:val="0"/>
          <w:color w:val="3A3128"/>
          <w:sz w:val="25"/>
          <w:lang w:val="pt-BR" w:bidi="ar-SA"/>
          <w:kern w:val="16"/>
          <w14:ligatures w14:val="standardContextual"/>
        </w:rPr>
        <w:t>12.10.1 Por que o fator previdenciário é quase sempre desvantajoso na PcD</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fator previdenciário é uma variável composta por três elementos: idade (Id), tempo de contribuição (TC) e expectativa de sobrevida (Es). A fórmula favorece segurados mais velhos, com mais tempo de contribuição e menor expectativa de sobrevida. Segurados jovens com pouco TC tendem a ter fator inferior a 1,0, que reduziria o valor do benefício.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aposentadoria da PcD, esse cenário é a regra: o segurado com deficiência grave se aposenta com apenas 25 anos de TC (homem) ou 20 anos (mulher), frequentemente antes dos 50 anos de idade. Nessas condições, o fator previdenciário é tipicamente muito inferior a 1,0 (entre 0,40 e 0,70), o que, se aplicado, reduziria drasticamente o valor do benefício. A não aplicação do fator é, portanto, a norma — e constitui uma das grandes vantagens da aposentadoria da PcD.</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Quando o fator pode ser vantajoso:</w:t>
      </w:r>
      <w:r>
        <w:rPr>
          <w:rFonts w:ascii="EB Garamond" w:hAnsi="EB Garamond" w:cs="EB Garamond"/>
          <w:b w:val="0"/>
          <w:i w:val="0"/>
          <w:color w:val="201B16"/>
          <w:sz w:val="21"/>
          <w:lang w:val="pt-BR" w:bidi="ar-SA"/>
          <w:kern w:val="16"/>
          <w14:ligatures w14:val="standardContextual"/>
        </w:rPr>
        <w:t xml:space="preserve"> excepcionalmente, se o segurado PcD acumular TC muito superior ao mínimo exigido e atingir idade avançada, o fator pode ultrapassar 1,0 e incrementar o valor do benefício. Exemplo: segurado homem com deficiência leve, 60 anos de idade e 40 anos de TC, o fator previdenciário pode ser superior a 1,0, tornando sua aplicação vantajosa. Nesse caso, o INSS deve aplicar o fator (art. 9º, I).</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a fórmula detalhada do fator previdenciário, consulte a seção 11.8 do Capítulo 11.</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Fator previdenciário na aposentadoria da PcD: a regra é a NÃO aplicação</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Situação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Fator previdenciário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Efeito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Aposentadoria por TC da PcD (regra geral)</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Somente se vantajoso (art. 9º, I, LC 142)</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Na maioria dos casos, NÃO se aplica</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Aposentadoria por idade da PcD</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Somente se vantajoso (art. 9º, I, LC 142)</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Quase nunca se aplica (TC e idade baixos)</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Pedágio 50% (Cap. 11)</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OBRIGATÓRIO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Sempre se aplica (geralmente desvantajoso)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Aposentadoria programada (Cap. 10)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 se aplica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Regra permanente não usa fator</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Pontos, pedágio 100%, idade progressiva (Cap. 11)</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 se aplica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Regras de transição sem fator</w:t>
                  </w:r>
                </w:p>
              </w:tc>
            </w:tr>
          </w:tbl>
          <w:p/>
          <w:p>
            <w:pPr>
              <w:spacing w:before="0" w:after="0" w:line="240" w:lineRule="auto"/>
            </w:pP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aplicação do fator previdenciário somente quando vantajoso é uma das características mais favoráveis da aposentadoria da PcD, diferenciando-a das regras de transição do Capítulo 11. O segurado PcD recebe 100% do SB (TC) ou 70% + 1% por grupo de 12 contribuições (idade) sem qualquer redutor atuarial — exceto nos raros casos em que o fator seria um majorador.</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12.10.2 Bônus no fator: mulher e professor</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bônus de 5 anos no TC da fórmula do fator previdenciário para mulheres aplica-se normalmente à segurada PcD. O bônus de professor (5 anos para homem e 10 anos para mulher, conforme art. 29, § 9º, II e III, Lei 8.213/91) também se aplica ao professor com deficiência que se aposente pela LC 142, embora a LC 142 não mencione expressamente o professor, o art. 70-I do Decreto 3.048/99 determina que as demais normas do RGPS se aplicam subsidiariamente à aposentadoria da PcD.</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Não há, contudo, bônus específico de PcD no fator previdenciário — diferentemente do professor, que conta com acréscimo de 5 ou 10 anos. A justificativa é que o benefício da PcD já contempla redução direta do TC mínimo (de 2 a 10 anos conforme o grau), tornando desnecessário um bônus adicional no fator.</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12.11 Avaliação biopsicossocial: perícia médica e funcional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avaliação biopsicossocial é o núcleo operacional da LC 142/2013: é o procedimento que traduz o conceito abstrato de deficiência em um grau concreto (grave, moderada ou leve) que determina os requisitos de acesso à aposentadoria. O art. 4º da LC 142, combinado com o art. 2º, § 1º, da Lei n. 13.146/2015, estabelece que a avaliação deve ser médica e funcional, realizada por equipe multiprofissional e interdisciplinar.</w:t>
      </w:r>
    </w:p>
    <w:p>
      <w:pPr>
        <w:spacing w:before="260" w:after="80" w:line="240" w:lineRule="auto"/>
        <w:jc w:val="left"/>
      </w:pPr>
      <w:r>
        <w:rPr>
          <w:rFonts w:ascii="EB Garamond" w:hAnsi="EB Garamond" w:cs="EB Garamond"/>
          <w:b/>
          <w:i w:val="0"/>
          <w:color w:val="3A3128"/>
          <w:sz w:val="25"/>
          <w:lang w:val="pt-BR" w:bidi="ar-SA"/>
          <w:kern w:val="16"/>
          <w14:ligatures w14:val="standardContextual"/>
        </w:rPr>
        <w:t>12.11.1 Dupla avaliação obrigatória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avaliação biopsicossocial é composta por duas etapas obrigatórias e complementares: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Perícia médica</w:t>
      </w:r>
      <w:r>
        <w:rPr>
          <w:rFonts w:ascii="EB Garamond" w:hAnsi="EB Garamond" w:cs="EB Garamond"/>
          <w:b w:val="0"/>
          <w:i w:val="0"/>
          <w:color w:val="201B16"/>
          <w:sz w:val="21"/>
          <w:lang w:val="pt-BR" w:bidi="ar-SA"/>
          <w:kern w:val="16"/>
          <w14:ligatures w14:val="standardContextual"/>
        </w:rPr>
        <w:t xml:space="preserve"> — realizada por médico perito do INSS, examina: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Diagnóstico clínico: identificação das condições de saúde (CID-10/CID-11)</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Estrutura e função corporal: limitações anatômicas, fisiológicas, neurológicas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Exames e laudos médicos: análise da documentação apresentada pelo segurado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Prognóstico: estabilidade, progressividade ou possibilidade de melhora da condição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Data provável de início: fixação do marco temporal da deficiência</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i w:val="0"/>
          <w:color w:val="201B16"/>
          <w:sz w:val="21"/>
          <w:lang w:val="pt-BR" w:bidi="ar-SA"/>
          <w:kern w:val="16"/>
          <w14:ligatures w14:val="standardContextual"/>
        </w:rPr>
        <w:t>valiação funcional (social)</w:t>
      </w:r>
      <w:r>
        <w:rPr>
          <w:rFonts w:ascii="EB Garamond" w:hAnsi="EB Garamond" w:cs="EB Garamond"/>
          <w:b w:val="0"/>
          <w:i w:val="0"/>
          <w:color w:val="201B16"/>
          <w:sz w:val="21"/>
          <w:lang w:val="pt-BR" w:bidi="ar-SA"/>
          <w:kern w:val="16"/>
          <w14:ligatures w14:val="standardContextual"/>
        </w:rPr>
        <w:t xml:space="preserve"> — realizada por assistente social do INSS, examina: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Barreiras ambientais: acessibilidade do ambiente doméstico, profissional e comunitário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Barreiras sociais e atitudinais: discriminação, preconceito, estigma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Limitação de atividades: dificuldades no desempenho de atividades cotidianas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Restrição de participação: obstáculos à participação em atividades sociais, educacionais e profissionais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Fatores pessoais: escolaridade, profissão, contexto familiar, rede de apoio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Facilitadores: tecnologias assistivas, adaptações, suporte institucional</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C</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ada avaliador aplica o IF-BrA nos 7 domínios e atribui pontuação independente. O resultado final combina as pontuações das duas avaliações com peso igual (50% perícia médica + 50% avaliação social), produzindo um escore global que é enquadrado nas faixas de deficiência grave, moderada ou leve.</w:t>
      </w:r>
    </w:p>
    <w:p>
      <w:pPr>
        <w:spacing w:before="260" w:after="80" w:line="240" w:lineRule="auto"/>
        <w:jc w:val="left"/>
      </w:pPr>
      <w:r>
        <w:rPr>
          <w:rFonts w:ascii="EB Garamond" w:hAnsi="EB Garamond" w:cs="EB Garamond"/>
          <w:b/>
          <w:i w:val="0"/>
          <w:color w:val="3A3128"/>
          <w:sz w:val="25"/>
          <w:lang w:val="pt-BR" w:bidi="ar-SA"/>
          <w:kern w:val="16"/>
          <w14:ligatures w14:val="standardContextual"/>
        </w:rPr>
        <w:t>12.11.2 O IF-BrA em detalhe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Índice de Funcionalidade Brasileiro Aplicado à Aposentadoria (IF-BrA), aprovado pela Portaria Interministerial n. 1/2014, é o instrumento oficial de avaliação biopsicossocial para fins de concessão da aposentadoria da PcD. O IF-BrA avalia 41 atividades distribuídas em 7 domínios, conforme detalhado na seção 12.4.2.</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Metodologia de pontuação: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cada atividade, o avaliador atribui uma nota em escala que varia de independência total a dependência completa, considerando: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Se o segurado realiza a atividade de forma independente, sem qualquer auxílio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Se necessita de supervisão ou orientação para realizar a atividade</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Se necessita de assistência parcial (auxílio de terceiro para parte da atividade)</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Se é totalmente dependente de terceiros para realizar a atividade</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Se não realiza a atividade (independentemente de auxílio disponível)</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combinação das notas nos 41 itens produz o escore global, cujas faixas de corte determinam o grau de deficiência. As faixas são calibradas para refletir a distinção entre deficiência grave (comprometimento funcional extenso e generalizado), moderada (comprometimento funcional significativo em múltiplos domínios) e leve (comprometimento funcional localizado ou parcial).</w:t>
      </w:r>
    </w:p>
    <w:p>
      <w:pPr>
        <w:spacing w:before="260" w:after="80" w:line="240" w:lineRule="auto"/>
        <w:jc w:val="left"/>
      </w:pPr>
      <w:r>
        <w:rPr>
          <w:rFonts w:ascii="EB Garamond" w:hAnsi="EB Garamond" w:cs="EB Garamond"/>
          <w:b/>
          <w:i w:val="0"/>
          <w:color w:val="3A3128"/>
          <w:sz w:val="25"/>
          <w:lang w:val="pt-BR" w:bidi="ar-SA"/>
          <w:kern w:val="16"/>
          <w14:ligatures w14:val="standardContextual"/>
        </w:rPr>
        <w:t>12.11.3 Controvérsias e limitações da avaliação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avaliação biopsicossocial pelo IF-BrA não é isenta de controvérsias. As limitações do instrumento repercutem diretamente na esfera processual, impondo ao juiz o dever de complementar a prova técnica sempre que a pontuação do IF-BrA não retratar adequadamente a realidade funcional do segurado. As principais críticas envolvem:</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Subjetividade:</w:t>
      </w:r>
      <w:r>
        <w:rPr>
          <w:rFonts w:ascii="EB Garamond" w:hAnsi="EB Garamond" w:cs="EB Garamond"/>
          <w:b w:val="0"/>
          <w:i w:val="0"/>
          <w:color w:val="201B16"/>
          <w:sz w:val="21"/>
          <w:lang w:val="pt-BR" w:bidi="ar-SA"/>
          <w:kern w:val="16"/>
          <w14:ligatures w14:val="standardContextual"/>
        </w:rPr>
        <w:t xml:space="preserve"> A pontuação atribuída por cada avaliador envolve margem de apreciação subjetiva, especialmente nos domínios de socialização, vida doméstica e educação/trabalho. Dois avaliadores podem atribuir pontuações diferentes ao mesmo segurado, conforme a sensibilidade e a experiência de cada profissional.</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Divergência entre peritos:</w:t>
      </w:r>
      <w:r>
        <w:rPr>
          <w:rFonts w:ascii="EB Garamond" w:hAnsi="EB Garamond" w:cs="EB Garamond"/>
          <w:b w:val="0"/>
          <w:i w:val="0"/>
          <w:color w:val="201B16"/>
          <w:sz w:val="21"/>
          <w:lang w:val="pt-BR" w:bidi="ar-SA"/>
          <w:kern w:val="16"/>
          <w14:ligatures w14:val="standardContextual"/>
        </w:rPr>
        <w:t xml:space="preserve"> A divergência entre a pontuação do médico perito e a do assistente social não é rara, especialmente quando o segurado apresenta boa funcionalidade física mas enfrenta barreiras sociais significativas (ou vice-versa). A média das duas pontuações pode mascarar disparidades relevantes.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Momento da avaliação:</w:t>
      </w:r>
      <w:r>
        <w:rPr>
          <w:rFonts w:ascii="EB Garamond" w:hAnsi="EB Garamond" w:cs="EB Garamond"/>
          <w:b w:val="0"/>
          <w:i w:val="0"/>
          <w:color w:val="201B16"/>
          <w:sz w:val="21"/>
          <w:lang w:val="pt-BR" w:bidi="ar-SA"/>
          <w:kern w:val="16"/>
          <w14:ligatures w14:val="standardContextual"/>
        </w:rPr>
        <w:t xml:space="preserve"> A condição funcional do segurado pode variar ao longo do tempo, e a avaliação retrata apenas o estado no momento da perícia. Condições intermitentes (como transtornos mentais com períodos de crise e remissão) são especialmente difíceis de capturar em uma avaliação pontual.</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Fixação da data de início:</w:t>
      </w:r>
      <w:r>
        <w:rPr>
          <w:rFonts w:ascii="EB Garamond" w:hAnsi="EB Garamond" w:cs="EB Garamond"/>
          <w:b w:val="0"/>
          <w:i w:val="0"/>
          <w:color w:val="201B16"/>
          <w:sz w:val="21"/>
          <w:lang w:val="pt-BR" w:bidi="ar-SA"/>
          <w:kern w:val="16"/>
          <w14:ligatures w14:val="standardContextual"/>
        </w:rPr>
        <w:t xml:space="preserve"> A determinação da data provável de início da deficiência é frequentemente controversa, pois depende de retrospecção baseada em documentação médica que pode ser incompleta ou inexistente para períodos remotos.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O que o segurado deve levar à avaliação biopsicossocial do INSS</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preparação adequada para a avaliação biopsicossocial condiciona diretamente a obtenção de um resultado justo. O segurado deve apresentar:</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Laudos médicos detalhados (com CID-10, descrição da condição, data de início, prognóstico)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Exames complementares (ressonância, tomografia, audiometria, campo visual, etc.)</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Relatórios de acompanhamento médico ao longo dos anos (evolução da condição)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Prescrição de medicamentos contínuos (com posologia e periodicidade)</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Relatório de tratamento (fisioterapia, terapia ocupacional, fonoaudiologia, psicoterapia)</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Laudos de reabilitação profissional (se houver)</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Documentos que comprovem barreiras (fotos da acessibilidade da residência, declaração do empregador sobre adaptações, relatório social)</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Comprovante de uso de tecnologia assistiva (cadeira de rodas, prótese, aparelho auditivo, software de acessibilidade)</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Avaliação anterior do INSS (se houver — administrativa ou judicial)</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Documentos pessoais (RG, CPF, CTPS, NIT/PIS)</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12.11.4 Avaliação judicial versus administrativa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Q</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uando a avaliação administrativa do INSS resulta em negativa do benefício ou em enquadramento em grau que o segurado considera inferior ao correto, a via judicial é o caminho para contestação. Nos JEFs, o juiz determinará perícia biopsicossocial judicial, nomeando perito médico e, em muitos casos, assistente social (ou perito com formação interdisciplinar) para realizar nova avaliação.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perícia judicial difere da administrativa em aspectos relevantes: (a) o perito judicial é independente do INSS; (b) as partes podem formular quesitos; (c) o segurado pode indicar assistente técnico (art. 465, § 1º, CPC); e (d) o juiz não está vinculado ao resultado da perícia judicial, podendo formar sua convicção a partir do conjunto probatório (art. 479 c/c art. 371, CPC).</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divergência entre o resultado da perícia administrativa e da judicial é relativamente comum e constitui um dos motivos mais frequentes de judicialização da aposentadoria da PcD. A jurisprudência dos TRFs admite que o juiz adote conclusão diversa da perícia judicial quando fundamentada em outros elementos de prova (laudos médicos particulares, relatórios de reabilitação, prova testemunhal qualificada).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nossa experiência de julgamento nos JEFs, o ponto sensível raramente é a existência da deficiência — quase sempre documentada —, e sim o enquadramento do grau e a fixação da data de início, justamente os dois vértices de que dependem o TC mínimo exigível e o termo inicial do benefício. Por isso temos por boa prática não tratar o escore do IF-BrA como número fechado: ele é o ponto de partida da convicção, não o seu termo. Quando a pontuação fica na fronteira entre dois graus, ou quando a avaliação social foi omitida ou apressada, entendemos que o melhor caminho é colher esclarecimentos do perito e cotejá-los com a prova documental contemporânea, antes de converter um número marginal em decisão definitiva sobre o direito.</w:t>
      </w:r>
    </w:p>
    <w:p>
      <w:pPr>
        <w:spacing w:before="260" w:after="80" w:line="240" w:lineRule="auto"/>
        <w:jc w:val="left"/>
      </w:pPr>
      <w:r>
        <w:rPr>
          <w:rFonts w:ascii="EB Garamond" w:hAnsi="EB Garamond" w:cs="EB Garamond"/>
          <w:b/>
          <w:i w:val="0"/>
          <w:color w:val="3A3128"/>
          <w:sz w:val="25"/>
          <w:lang w:val="pt-BR" w:bidi="ar-SA"/>
          <w:kern w:val="16"/>
          <w14:ligatures w14:val="standardContextual"/>
        </w:rPr>
        <w:t>12.11.5 Diferenças entre IF-BrA e IFBrM</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C</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onvém ter clareza sobre as diferenças entre os instrumentos de avaliação existentes no ordenamento brasileiro, pois temos observado que a confusão entre eles é frequente, tanto na via administrativa quanto na judicial:</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IF-BrA (Índice de Funcionalidade Brasileiro Aplicado à Aposentadoria):</w:t>
      </w:r>
      <w:r>
        <w:rPr>
          <w:rFonts w:ascii="EB Garamond" w:hAnsi="EB Garamond" w:cs="EB Garamond"/>
          <w:b w:val="0"/>
          <w:i w:val="0"/>
          <w:color w:val="201B16"/>
          <w:sz w:val="21"/>
          <w:lang w:val="pt-BR" w:bidi="ar-SA"/>
          <w:kern w:val="16"/>
          <w14:ligatures w14:val="standardContextual"/>
        </w:rPr>
        <w:t xml:space="preserve"> Instrumento específico para avaliação da deficiência no contexto previdenciário (aposentadoria da PcD, LC 142/2013). Aprovado pela Portaria Interministerial n. 1/2014. Aplicado exclusivamente pelo INSS para fins de concessão de aposentadoria.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IFBrM (Índice de Funcionalidade Brasileiro Modificado):</w:t>
      </w:r>
      <w:r>
        <w:rPr>
          <w:rFonts w:ascii="EB Garamond" w:hAnsi="EB Garamond" w:cs="EB Garamond"/>
          <w:b w:val="0"/>
          <w:i w:val="0"/>
          <w:color w:val="201B16"/>
          <w:sz w:val="21"/>
          <w:lang w:val="pt-BR" w:bidi="ar-SA"/>
          <w:kern w:val="16"/>
          <w14:ligatures w14:val="standardContextual"/>
        </w:rPr>
        <w:t xml:space="preserve"> Instrumento mais amplo, desenvolvido para avaliar a deficiência em diversas políticas públicas (BPC, cotas, isenções, reserva de vagas). É a evolução do IFBr original, com ajustes metodológicos para aplicação em contextos assistenciais e de inclusão social. A Lei n. 13.146/2015 (art. 2º, § 2º) prevê que a avaliação biopsicossocial da deficiência será realizada por instrumento definido em regulamento — referência que abrange o IFBrM.</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Implicação prática:</w:t>
      </w:r>
      <w:r>
        <w:rPr>
          <w:rFonts w:ascii="EB Garamond" w:hAnsi="EB Garamond" w:cs="EB Garamond"/>
          <w:b w:val="0"/>
          <w:i w:val="0"/>
          <w:color w:val="201B16"/>
          <w:sz w:val="21"/>
          <w:lang w:val="pt-BR" w:bidi="ar-SA"/>
          <w:kern w:val="16"/>
          <w14:ligatures w14:val="standardContextual"/>
        </w:rPr>
        <w:t xml:space="preserve"> Uma avaliação pelo IFBrM (realizada, por exemplo, para concessão de BPC ou para reserva de vaga em concurso público) não substitui a avaliação pelo IF-BrA para fins de aposentadoria da PcD. São instrumentos distintos, com faixas de corte, domínios e finalidades diferentes. Contudo, o resultado de uma avaliação por qualquer dos instrumentos pode servir como elemento de prova complementar em processo judicial que discuta o grau de deficiência do segurado.</w:t>
      </w:r>
    </w:p>
    <w:p>
      <w:pPr>
        <w:spacing w:before="260" w:after="80" w:line="240" w:lineRule="auto"/>
        <w:jc w:val="left"/>
      </w:pPr>
      <w:r>
        <w:rPr>
          <w:rFonts w:ascii="EB Garamond" w:hAnsi="EB Garamond" w:cs="EB Garamond"/>
          <w:b/>
          <w:i w:val="0"/>
          <w:color w:val="3A3128"/>
          <w:sz w:val="25"/>
          <w:lang w:val="pt-BR" w:bidi="ar-SA"/>
          <w:kern w:val="16"/>
          <w14:ligatures w14:val="standardContextual"/>
        </w:rPr>
        <w:t>12.11.6 Tempo de espera e acessibilidade do procedimento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U</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m dos obstáculos práticos mais relevantes para o segurado PcD é o tempo de espera para agendamento da avaliação biopsicossocial no INSS. Em diversas localidades, a escassez de assistentes sociais e médicos peritos habilitados para a aplicação do IF-BrA resulta em filas de espera que podem ultrapassar vários meses, retardando significativamente o acesso ao benefício.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Lei n. 13.146/2015 (Estatuto da PcD) e a CDPD impõem ao poder público o dever de assegurar acessibilidade plena nos procedimentos administrativos. Na prática da avaliação biopsicossocial, isso significa que: (a) o local de avaliação deve ser acessível (rampa, elevador, sinalização tátil, intérprete de Libras); (b) o segurado que não pode se deslocar tem direito à avaliação domiciliar ou hospitalar; (c) a comunicação deve ser adaptada ao tipo de impedimento (visual, auditivo, intelectual); e (d) o tempo de avaliação deve ser adequado — avaliações apressadas comprometem a qualidade do resultado.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descumprimento desses deveres de acessibilidade pode ser impugnado administrativamente (ouvidoria do INSS) ou judicialmente (mandado de segurança para garantir avaliação acessível e em prazo razoável).</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12.12 Prova da deficiência no processo judicial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comprovação da deficiência em juízo é uma das questões mais complexas da aposentadoria da PcD, envolvendo múltiplos meios de prova e uma dinâmica processual peculiar nos JEFs.</w:t>
      </w:r>
    </w:p>
    <w:p>
      <w:pPr>
        <w:spacing w:before="260" w:after="80" w:line="240" w:lineRule="auto"/>
        <w:jc w:val="left"/>
      </w:pPr>
      <w:r>
        <w:rPr>
          <w:rFonts w:ascii="EB Garamond" w:hAnsi="EB Garamond" w:cs="EB Garamond"/>
          <w:b/>
          <w:i w:val="0"/>
          <w:color w:val="3A3128"/>
          <w:sz w:val="25"/>
          <w:lang w:val="pt-BR" w:bidi="ar-SA"/>
          <w:kern w:val="16"/>
          <w14:ligatures w14:val="standardContextual"/>
        </w:rPr>
        <w:t>12.12.1 Ônus da prova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ônus de provar a deficiência, seu grau e sua duração incumbem ao segurado (art. 373, I, CPC). Não se aplica inversão do ônus da prova, pois a deficiência é fato constitutivo do direito do autor. Contudo, a jurisprudência tem reconhecido que, em matéria previdenciária, o ônus probatório deve ser interpretado com razoabilidade, considerando a hipossuficiência do segurado e as dificuldades inerentes à prova de condições funcionais de longo prazo.</w:t>
      </w:r>
    </w:p>
    <w:p>
      <w:pPr>
        <w:spacing w:before="260" w:after="80" w:line="240" w:lineRule="auto"/>
        <w:jc w:val="left"/>
      </w:pPr>
      <w:r>
        <w:rPr>
          <w:rFonts w:ascii="EB Garamond" w:hAnsi="EB Garamond" w:cs="EB Garamond"/>
          <w:b/>
          <w:i w:val="0"/>
          <w:color w:val="3A3128"/>
          <w:sz w:val="25"/>
          <w:lang w:val="pt-BR" w:bidi="ar-SA"/>
          <w:kern w:val="16"/>
          <w14:ligatures w14:val="standardContextual"/>
        </w:rPr>
        <w:t>12.12.2 Prova pericial judicial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prova pericial é o meio de prova central na aposentadoria da PcD. O juiz dos JEFs determinará perícia biopsicossocial, que idealmente deve contemplar:</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Perito médico judicial:</w:t>
      </w:r>
      <w:r>
        <w:rPr>
          <w:rFonts w:ascii="EB Garamond" w:hAnsi="EB Garamond" w:cs="EB Garamond"/>
          <w:b w:val="0"/>
          <w:i w:val="0"/>
          <w:color w:val="201B16"/>
          <w:sz w:val="21"/>
          <w:lang w:val="pt-BR" w:bidi="ar-SA"/>
          <w:kern w:val="16"/>
          <w14:ligatures w14:val="standardContextual"/>
        </w:rPr>
        <w:t xml:space="preserve"> examina o segurado, analisa documentação médica, responde quesitos técnicos sobre diagnóstico, grau de funcionalidade, data de início e variações de grau.</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Assistente social (ou segundo perito):</w:t>
      </w:r>
      <w:r>
        <w:rPr>
          <w:rFonts w:ascii="EB Garamond" w:hAnsi="EB Garamond" w:cs="EB Garamond"/>
          <w:b w:val="0"/>
          <w:i w:val="0"/>
          <w:color w:val="201B16"/>
          <w:sz w:val="21"/>
          <w:lang w:val="pt-BR" w:bidi="ar-SA"/>
          <w:kern w:val="16"/>
          <w14:ligatures w14:val="standardContextual"/>
        </w:rPr>
        <w:t xml:space="preserve"> avalia as barreiras sociais, ambientais e atitudinais enfrentadas pelo segurado, respondendo quesitos sobre limitação de atividades e restrição de participação.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dos JEFs, nem sempre há nomeação de dois peritos. Alguns juízos nomeiam apenas perito médico, que deve, na medida do possível, avaliar também os aspectos funcionais e sociais. A ausência de avaliação social autônoma pode comprometer a fidedignidade do resultado, especialmente em casos de deficiência mental, intelectual ou sensorial com forte componente de barreira social.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Quesitos sugeridos para perícia biopsicossocial judicial</w:t>
            </w:r>
          </w:p>
          <w:p>
            <w:pPr>
              <w:spacing w:before="0" w:after="60" w:line="247" w:lineRule="auto"/>
              <w:jc w:val="both"/>
            </w:pPr>
            <w:r>
              <w:rPr>
                <w:rFonts w:ascii="EB Garamond" w:hAnsi="EB Garamond" w:cs="EB Garamond"/>
                <w:b/>
                <w:i w:val="0"/>
                <w:color w:val="201B16"/>
                <w:sz w:val="19"/>
                <w:lang w:val="pt-BR" w:bidi="ar-SA"/>
                <w:kern w:val="16"/>
                <w14:ligatures w14:val="standardContextual"/>
              </w:rPr>
              <w:t>Ao perito médico:</w:t>
            </w:r>
            <w:r>
              <w:rPr>
                <w:rFonts w:ascii="EB Garamond" w:hAnsi="EB Garamond" w:cs="EB Garamond"/>
                <w:b w:val="0"/>
                <w:i w:val="0"/>
                <w:color w:val="201B16"/>
                <w:sz w:val="19"/>
                <w:lang w:val="pt-BR" w:bidi="ar-SA"/>
                <w:kern w:val="16"/>
                <w14:ligatures w14:val="standardContextual"/>
              </w:rPr>
              <w:t xml:space="preserve"> 1. O segurado apresenta impedimentos de natureza física, mental, intelectual ou sensorial? Quais? 2. Esses impedimentos são de longo prazo (duração mínima de 2 anos)? 3. Qual a data provável de início dos impedimentos? 4. Qual o grau de deficiência do segurado conforme o IF-BrA (grave, moderada ou leve)? 5. Houve variação do grau ao longo do tempo? Em caso positivo, indique os períodos e graus correspondentes. 6. Os impedimentos, em interação com barreiras, restringem a participação plena do segurado em igualdade de condições? 7. O segurado utiliza tecnologia assistiva? Qual? Há quanto tempo? 8. Existe possibilidade de melhora funcional com tratamento ou reabilitação?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Ao assistente social (se nomeado):</w:t>
            </w:r>
            <w:r>
              <w:rPr>
                <w:rFonts w:ascii="EB Garamond" w:hAnsi="EB Garamond" w:cs="EB Garamond"/>
                <w:b w:val="0"/>
                <w:i w:val="0"/>
                <w:color w:val="201B16"/>
                <w:sz w:val="19"/>
                <w:lang w:val="pt-BR" w:bidi="ar-SA"/>
                <w:kern w:val="16"/>
                <w14:ligatures w14:val="standardContextual"/>
              </w:rPr>
              <w:t xml:space="preserve"> 1. Descreva as condições de moradia, acessibilidade e ambiente doméstico do segurado. 2. Quais barreiras ambientais, sociais e atitudinais o segurado enfrenta em sua vida cotidiana? 3. Quais atividades da vida diária o segurado realiza com dificuldade ou não realiza? 4. O segurado possui rede de apoio familiar ou institucional? 5. Quais limitações de participação social o segurado enfrenta (educação, trabalho, lazer, vida comunitária)? 6. O segurado exerce atividade laboral? Com quais adaptações ou limitações? 7. Avalie os 7 domínios do IF-BrA conforme sua percepção funcional do segurado.</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12.12.3 Prova documental complementar</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perícia judicial deve ser complementada por documentação que corrobore a existência, o grau e a duração da deficiência: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Laudos médicos particulares:</w:t>
      </w:r>
      <w:r>
        <w:rPr>
          <w:rFonts w:ascii="EB Garamond" w:hAnsi="EB Garamond" w:cs="EB Garamond"/>
          <w:b w:val="0"/>
          <w:i w:val="0"/>
          <w:color w:val="201B16"/>
          <w:sz w:val="20"/>
          <w:lang w:val="pt-BR" w:bidi="ar-SA"/>
          <w:kern w:val="16"/>
          <w14:ligatures w14:val="standardContextual"/>
        </w:rPr>
        <w:t xml:space="preserve"> devem ser detalhados, com CID, descrição funcional e data. Laudos genéricos ("paciente com deficiência") ou sem CID têm pouco valor probatório.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Relatórios de acompanhamento terapêutico:</w:t>
      </w:r>
      <w:r>
        <w:rPr>
          <w:rFonts w:ascii="EB Garamond" w:hAnsi="EB Garamond" w:cs="EB Garamond"/>
          <w:b w:val="0"/>
          <w:i w:val="0"/>
          <w:color w:val="201B16"/>
          <w:sz w:val="20"/>
          <w:lang w:val="pt-BR" w:bidi="ar-SA"/>
          <w:kern w:val="16"/>
          <w14:ligatures w14:val="standardContextual"/>
        </w:rPr>
        <w:t xml:space="preserve"> fisioterapia, terapia ocupacional, fonoaudiologia, psicoterapia — demonstram a continuidade do impedimento.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Laudos de serviços de reabilitação:</w:t>
      </w:r>
      <w:r>
        <w:rPr>
          <w:rFonts w:ascii="EB Garamond" w:hAnsi="EB Garamond" w:cs="EB Garamond"/>
          <w:b w:val="0"/>
          <w:i w:val="0"/>
          <w:color w:val="201B16"/>
          <w:sz w:val="20"/>
          <w:lang w:val="pt-BR" w:bidi="ar-SA"/>
          <w:kern w:val="16"/>
          <w14:ligatures w14:val="standardContextual"/>
        </w:rPr>
        <w:t xml:space="preserve"> INSS, APAE, associações especializadas — comprovam a deficiência e eventuais variações.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Avaliação anterior do INSS:</w:t>
      </w:r>
      <w:r>
        <w:rPr>
          <w:rFonts w:ascii="EB Garamond" w:hAnsi="EB Garamond" w:cs="EB Garamond"/>
          <w:b w:val="0"/>
          <w:i w:val="0"/>
          <w:color w:val="201B16"/>
          <w:sz w:val="20"/>
          <w:lang w:val="pt-BR" w:bidi="ar-SA"/>
          <w:kern w:val="16"/>
          <w14:ligatures w14:val="standardContextual"/>
        </w:rPr>
        <w:t xml:space="preserve"> se o segurado já foi submetido a avaliação biopsicossocial administrativa (mesmo com resultado negativo), o documento deve ser juntado como elemento comparativo.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CID-10/CID-11 e CIF:</w:t>
      </w:r>
      <w:r>
        <w:rPr>
          <w:rFonts w:ascii="EB Garamond" w:hAnsi="EB Garamond" w:cs="EB Garamond"/>
          <w:b w:val="0"/>
          <w:i w:val="0"/>
          <w:color w:val="201B16"/>
          <w:sz w:val="20"/>
          <w:lang w:val="pt-BR" w:bidi="ar-SA"/>
          <w:kern w:val="16"/>
          <w14:ligatures w14:val="standardContextual"/>
        </w:rPr>
        <w:t xml:space="preserve"> a classificação da condição segundo a CID e a classificação funcional segundo a CIF (Classificação Internacional de Funcionalidade, Incapacidade e Saúde) são referenciais técnicos relevantes, embora não vinculem o perito.</w:t>
      </w:r>
    </w:p>
    <w:p>
      <w:pPr>
        <w:spacing w:before="0" w:after="6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12.12.4 Prova testemunhal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prova testemunhal tem papel subsidiário na aposentadoria da PcD: não substitui a perícia, mas pode complementá-la, especialmente para: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Comprovar a existência da deficiência em períodos remotos (quando não há documentação médica);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Demonstrar as barreiras enfrentadas pelo segurado no ambiente de trabalho e na vida comunitária;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Corroborar a data de início da deficiência, quando a documentação médica é insuficiente.</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jurisprudência dos TRFs admite a prova testemunhal como meio complementar, mas é uniforme em exigir a perícia como prova principal. Decisões que concedem a aposentadoria da PcD exclusivamente com base em prova testemunhal são excepcionais e geralmente reformadas em grau recursal.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Valoração da prova pericial nos JEFs — aposentadoria da PcD</w:t>
            </w:r>
          </w:p>
          <w:p>
            <w:pPr>
              <w:spacing w:before="0" w:after="60" w:line="247" w:lineRule="auto"/>
              <w:jc w:val="both"/>
            </w:pPr>
            <w:r>
              <w:rPr>
                <w:rFonts w:ascii="EB Garamond" w:hAnsi="EB Garamond" w:cs="EB Garamond"/>
                <w:b w:val="0"/>
                <w:i/>
                <w:color w:val="201B16"/>
                <w:sz w:val="19"/>
                <w:lang w:val="pt-BR" w:bidi="ar-SA"/>
                <w:kern w:val="16"/>
                <w14:ligatures w14:val="standardContextual"/>
              </w:rPr>
              <w:t>Síntese do entendimento dos tribunais, sem transcrição literal de ementa.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TRF4: a perícia biopsicossocial é meio de prova indispensável para a aferição do grau de deficiência e fixação da data de início, nos termos da LC 142/2013; o juiz pode, contudo, complementar ou afastar as conclusões periciais quando fundamentado em outros elementos do conjunto probatório, especialmente laudos médicos particulares contemporâneos ao período controvertido (TRF4, AC 5008734-55.2019.4.04.7001).</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TNU: a perícia biopsicossocial para fins da LC 142/2013 deve avaliar tanto os aspectos médicos (estrutura e função corporal) quanto os sociais (barreiras e limitação de participação), nos termos da CDPD e da Lei 13.146/2015; a omissão da avaliação social compromete a validade da perícia (TNU, PEDILEF 0502831-39.2017.4.05.8300).</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12.13 Visão monocular e deficiência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Lei n. 14.126, de 22 de março de 2021, classificou a visão monocular como deficiência sensorial do tipo visual para todos os efeitos legais. Essa classificação legal teve impacto direto na aplicação da LC 142/2013, ao ampliar o universo de segurados elegíveis à aposentadoria da PcD.</w:t>
      </w:r>
    </w:p>
    <w:p>
      <w:pPr>
        <w:spacing w:before="260" w:after="80" w:line="240" w:lineRule="auto"/>
        <w:jc w:val="left"/>
      </w:pPr>
      <w:r>
        <w:rPr>
          <w:rFonts w:ascii="EB Garamond" w:hAnsi="EB Garamond" w:cs="EB Garamond"/>
          <w:b/>
          <w:i w:val="0"/>
          <w:color w:val="3A3128"/>
          <w:sz w:val="25"/>
          <w:lang w:val="pt-BR" w:bidi="ar-SA"/>
          <w:kern w:val="16"/>
          <w14:ligatures w14:val="standardContextual"/>
        </w:rPr>
        <w:t>12.13.1 Enquadramento na LC 142</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visão monocular, classificada legalmente como deficiência sensorial, permite ao segurado que comprove essa condição requerer a aposentadoria da PcD. Contudo, a Lei 14.126/2021 não define automaticamente o grau de deficiência da pessoa com visão monocular — a classificação em leve, moderada ou grave depende da avaliação biopsicossocial (IF-BrA), que considera não apenas o diagnóstico (visão monocular) mas o impacto funcional da condição na vida do segurado.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a maioria dos segurados com visão monocular é classificada como pessoa com deficiência leve, pois a perda de visão em um olho, embora configure deficiência sensorial, tipicamente não compromete extensamente os domínios avaliados pelo IF-BrA (comunicação, mobilidade, cuidados pessoais, vida doméstica, socialização). Exceções ocorrem quando a visão monocular se combina com outros impedimentos ou quando a atividade profissional do segurado exige visão binocular (como pilotos, operadores de guindastes, microscopistas), caso em que o impacto funcional é maior e pode resultar em grau moderado.</w:t>
      </w:r>
    </w:p>
    <w:p>
      <w:pPr>
        <w:spacing w:before="260" w:after="80" w:line="240" w:lineRule="auto"/>
        <w:jc w:val="left"/>
      </w:pPr>
      <w:r>
        <w:rPr>
          <w:rFonts w:ascii="EB Garamond" w:hAnsi="EB Garamond" w:cs="EB Garamond"/>
          <w:b/>
          <w:i w:val="0"/>
          <w:color w:val="3A3128"/>
          <w:sz w:val="25"/>
          <w:lang w:val="pt-BR" w:bidi="ar-SA"/>
          <w:kern w:val="16"/>
          <w14:ligatures w14:val="standardContextual"/>
        </w:rPr>
        <w:t>12.13.2 Divergência jurisprudencial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jurisprudência sobre visão monocular e LC 142 apresenta divergência relevante:</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Posição da TNU:</w:t>
      </w:r>
      <w:r>
        <w:rPr>
          <w:rFonts w:ascii="EB Garamond" w:hAnsi="EB Garamond" w:cs="EB Garamond"/>
          <w:b w:val="0"/>
          <w:i w:val="0"/>
          <w:color w:val="201B16"/>
          <w:sz w:val="21"/>
          <w:lang w:val="pt-BR" w:bidi="ar-SA"/>
          <w:kern w:val="16"/>
          <w14:ligatures w14:val="standardContextual"/>
        </w:rPr>
        <w:t xml:space="preserve"> O mero diagnóstico de visão monocular não garante, por si só, a aposentadoria da PcD. É imprescindível a avaliação biopsicossocial (IF-BrA) para aferição do grau de deficiência, pois o conceito de deficiência da LC 142 é funcional, não diagnóstico. A visão monocular pode configurar deficiência leve, moderada ou mesmo não configurar deficiência para fins previdenciários, conforme o resultado da avaliação.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Posição da TRU da 4ª Região (JEF):</w:t>
      </w:r>
      <w:r>
        <w:rPr>
          <w:rFonts w:ascii="EB Garamond" w:hAnsi="EB Garamond" w:cs="EB Garamond"/>
          <w:b w:val="0"/>
          <w:i w:val="0"/>
          <w:color w:val="201B16"/>
          <w:sz w:val="21"/>
          <w:lang w:val="pt-BR" w:bidi="ar-SA"/>
          <w:kern w:val="16"/>
          <w14:ligatures w14:val="standardContextual"/>
        </w:rPr>
        <w:t xml:space="preserve"> A visão monocular presume deficiência leve para fins de aposentadoria pela LC 142/2013, dispensando a aplicação do IF-BrA quando a condição está suficientemente documentada por exames oftalmológicos. Esse entendimento — firmado pela Turma Regional de Uniformização dos Juizados Especiais Federais da 4ª Região, e não pelo colegiado do TRF4 enquanto tribunal — é mais favorável ao segurado, mas não é unânime.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Cumpre, aqui, uma ressalva crítica. Embora a presunção fixada pela TRU da 4ª Região seja, em regra, benéfica ao segurado, parece-nos dogmaticamente frágil. Ao dispensar o IF-BrA mediante a só comprovação do diagnóstico oftalmológico, a tese reintroduz pela porta dos fundos o critério biomédico que a CDPD e a própria LC 142 expressamente abandonaram: converte o rótulo clínico (visão monocular) em grau de deficiência, quando o sistema da LC 142 condiciona o grau ao impacto funcional concreto, aferido pela interação entre impedimento e barreiras. A presunção tem, ainda, dupla face: se é cômoda ao segurado de funcionalidade preservada, prejudica aquele cujo impedimento visual, somado a outros fatores, justificaria enquadramento em grau mais elevado — e que, sob a presunção, teria seu pleito artificialmente nivelado por baixo. Por isso, entendemos preferível a orientação da TNU, que preserva a coerência do modelo biopsicossocial e melhor se ajusta à finalidade da norma. A presunção de grau leve, quando muito, deve operar como piso probatório, jamais como teto que obste a demonstração de grau superior.</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Visão monocular e aposentadoria da PcD: divergência TNU × TRU da 4ª Região (JEF)</w:t>
            </w:r>
          </w:p>
          <w:p>
            <w:pPr>
              <w:spacing w:before="0" w:after="60" w:line="247" w:lineRule="auto"/>
              <w:jc w:val="both"/>
            </w:pPr>
            <w:r>
              <w:rPr>
                <w:rFonts w:ascii="EB Garamond" w:hAnsi="EB Garamond" w:cs="EB Garamond"/>
                <w:b w:val="0"/>
                <w:i/>
                <w:color w:val="201B16"/>
                <w:sz w:val="19"/>
                <w:lang w:val="pt-BR" w:bidi="ar-SA"/>
                <w:kern w:val="16"/>
                <w14:ligatures w14:val="standardContextual"/>
              </w:rPr>
              <w:t>Síntese do entendimento dos tribunais, sem transcrição literal de ementa.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TNU: o diagnóstico de visão monocular, ainda que classificado como deficiência sensorial pela Lei 14.126/2021, não dispensa a avaliação biopsicossocial para fins de concessão da aposentadoria prevista na LC 142/2013; o grau deve ser aferido pelo IF-BrA, considerando a interação entre o impedimento visual e as barreiras enfrentadas pelo segurado (TNU, PEDILEF 5003741-40.2019.4.04.7107).</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TRU da 4ª Região (JEF): a pessoa com visão monocular é presumivelmente deficiente leve para fins da LC 142/2013, bastando a comprovação da condição por exames oftalmológicos para ensejar a aposentadoria por tempo de contribuição da pessoa com deficiência (TRU da 4ª Região, 5015273-33.2017.4.04.7107). Trata-se de orientação da Turma Regional de Uniformização dos Juizados Especiais Federais, não de jurisprudência do colegiado do TRF4 enquanto tribunal.</w:t>
            </w: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Visão monocular: é deficiência, mas o grau depende da avaliação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Após a Lei 14.126/2021, não há dúvida de que a visão monocular é deficiência sensorial para todos os efeitos legais. Contudo: - O enquadramento na LC 142/2013 (grave, moderada ou leve) depende da avaliação biopsicossocial. - Na maioria dos casos, resultará em deficiência leve (TC de 33H/28M). - Em casos excepcionais (atividade profissional que exige visão binocular, presença de outros impedimentos), pode resultar em grau moderado. - A TNU exige avaliação biopsicossocial; a TRU da 4ª Região (JEF) admite presunção de deficiência leve. - O advogado deve preparar a prova para demonstrar o impacto funcional concreto da visão monocular na vida do segurado, independentemente da posição do tribunal competente.</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12.14 Distinção BPC × aposentadoria PcD: qual pedir?</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distinção entre o BPC/LOAS e a aposentadoria da PcD (LC 142/2013) é decisiva para a orientação do cliente nos JEFs. Ambos os benefícios atendem pessoas com deficiência, mas com naturezas e consequências distintas (para o tratamento completo do BPC, v. Cap. 18).</w:t>
      </w:r>
    </w:p>
    <w:p>
      <w:pPr>
        <w:spacing w:before="260" w:after="80" w:line="240" w:lineRule="auto"/>
        <w:jc w:val="left"/>
      </w:pPr>
      <w:r>
        <w:rPr>
          <w:rFonts w:ascii="EB Garamond" w:hAnsi="EB Garamond" w:cs="EB Garamond"/>
          <w:b/>
          <w:i w:val="0"/>
          <w:color w:val="3A3128"/>
          <w:sz w:val="25"/>
          <w:lang w:val="pt-BR" w:bidi="ar-SA"/>
          <w:kern w:val="16"/>
          <w14:ligatures w14:val="standardContextual"/>
        </w:rPr>
        <w:t>12.14.1 Comparativo estrutural</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Aspecto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BPC/LOAS (Cap. 18)</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Aposentadoria PcD (LC 142)</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Natureza jurídica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Assistencial</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Previdenciário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Requisito de contribuição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 (não contributivo)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SIM (carência de 180 meses ou 15 anos para idade)</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Requisito de miserabilidade</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SIM (renda per capita ≤ 1/4 SM)</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Idade mínima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 (deficiência)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60H/55M (idade) ou sem idade (TC)</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Valor mensal</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 SM fixo (R$ 1.621,00 em 2026*)</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70% a 100% do SB (pode ser &gt; 1 SM)</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13º salário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SIM</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Pensão por morte</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 gera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SIM (gera para dependentes)</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Acumulação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Vedada com aposentadoria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Regra geral de cumulação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Cessação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Sujeita a revisão a cada 2 anos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Definitiva (salvo fraude)</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Valor patrimonial/familiar</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Limitado a 1 SM vitalício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Potencialmente superior + pensão</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12.14.2 Critérios de escolha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escolha entre BPC e aposentadoria da PcD depende da situação concreta do segurado: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Quando pedir BPC (detalhamento no Cap. 18):</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Segurado sem contribuições suficientes ou que nunca contribuiu</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Renda per capita familiar ≤ 1/4 do SM</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Q</w:t>
      </w:r>
    </w:p>
    <w:p>
      <w:pPr>
        <w:spacing w:before="0" w:after="70" w:line="259" w:lineRule="auto"/>
        <w:jc w:val="both"/>
      </w:pPr>
      <w:r>
        <w:rPr>
          <w:rFonts w:ascii="EB Garamond" w:hAnsi="EB Garamond" w:cs="EB Garamond"/>
          <w:b/>
          <w:i w:val="0"/>
          <w:color w:val="201B16"/>
          <w:sz w:val="21"/>
          <w:lang w:val="pt-BR" w:bidi="ar-SA"/>
          <w:kern w:val="16"/>
          <w14:ligatures w14:val="standardContextual"/>
        </w:rPr>
        <w:t>uando pedir aposentadoria PcD (LC 142):</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Segurado com carência cumprida (180 meses para TC; 15 anos para idade)</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TC suficiente conforme o grau de deficiência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Renda não é critério (pode ter qualquer renda familiar)</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Benefício potencialmente superior a 1 SM</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Proteção previdenciária plena (13º salário, pensão por morte para dependentes)</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Q</w:t>
      </w:r>
    </w:p>
    <w:p>
      <w:pPr>
        <w:spacing w:before="0" w:after="70" w:line="259" w:lineRule="auto"/>
        <w:jc w:val="both"/>
      </w:pPr>
      <w:r>
        <w:rPr>
          <w:rFonts w:ascii="EB Garamond" w:hAnsi="EB Garamond" w:cs="EB Garamond"/>
          <w:b/>
          <w:i w:val="0"/>
          <w:color w:val="201B16"/>
          <w:sz w:val="21"/>
          <w:lang w:val="pt-BR" w:bidi="ar-SA"/>
          <w:kern w:val="16"/>
          <w14:ligatures w14:val="standardContextual"/>
        </w:rPr>
        <w:t>uando há dúvida: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Pedir ambos (aposentadoria PcD como principal + BPC como subsidiário)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A fungibilidade (TNU Tema 217) permite que o juiz conceda o benefício mais adequado</w:t>
      </w:r>
    </w:p>
    <w:p>
      <w:pPr>
        <w:spacing w:before="0" w:after="6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Fluxograma decisório: BPC ou aposentadoria PcD?</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1. O segurado TEM contribuições previdenciárias?  - NÃO → Somente BPC (verificar miserabilidade)  - SIM → Prosseguir para 2</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2. O segurado tem carência suficiente (180 meses TC ou 15 anos idade)?  - NÃO → BPC (se preencher miserabilidade) ou aguardar carência  - SIM → Prosseguir para 3</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3. O segurado tem TC suficiente conforme o grau (25/29/33H ou 20/24/28M)?  - SIM → Aposentadoria por TC da PcD (sem idade mínima)  - NÃO → Prosseguir para 4</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4. O segurado tem idade suficiente (60H/55M)?  - SIM → Aposentadoria por idade da PcD (15 anos TC + deficiência)  - NÃO → BPC (se miserabilidade) ou aguardar idade/TC</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5. Em qualquer caso: avaliar se o BPC é mais imediato (não exige contribuição) e se a aposentadoria é mais vantajosa a longo prazo (13º, pensão por morte, valor potencialmente superior).</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6. Em caso de dúvida judicial: pedir aposentadoria PcD + subsidiariamente BPC (fungibilidade, TNU Tema 217).</w:t>
            </w: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O BPC NÃO gera pensão por morte — consequência grave para dependentes</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Esta é a distinção mais impactante para o planejamento familiar: o segurado que recebe BPC e falece não deixa pensão por morte para seus dependentes. O cônjuge, os filhos menores e demais dependentes não recebem nenhum benefício derivado do BPC.</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segurado que se aposenta pela LC 142 e falece gera direito à pensão por morte para seus dependentes, nos termos dos arts. 74 a 79 da Lei 8.213/91 (conforme detalhado no Capítulo 19).</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Essa diferença deve ser informada ao cliente de forma clara, especialmente quando o segurado com deficiência tem filhos menores ou cônjuge dependente economicamente. A aposentadoria da PcD, mesmo com valor mensal similar ao BPC, oferece proteção previdenciária que o BPC não oferece.</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12.14.3 Fungibilidade: TNU Tema 217</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Tema 217 da TNU consagrou o princípio da fungibilidade entre benefícios previdenciários e assistenciais. A tese firmada reconhece que há fungibilidade entre o BPC/LOAS e os benefícios por incapacidade (auxílio por incapacidade temporária e aposentadoria por incapacidade permanente), permitindo que o juiz conheça de um deles mesmo que o requerimento administrativo verse sobre outro, desde que preenchidos os requisitos legais e garantido o contraditório.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extensão analógica do Tema 217 à aposentadoria da PcD (LC 142) é admitida pela jurisprudência dos TRFs: se o segurado requereu administrativamente BPC e, no curso do processo judicial, verifica-se que preenche os requisitos da aposentadoria da PcD (ou vice-versa), o juiz pode conceder o benefício mais adequado, sem exigência de novo requerimento administrativo para o benefício diverso. Essa fungibilidade é particularmente relevante nos JEFs, onde o princípio da simplicidade e da celeridade processual justifica a concessão do benefício mais vantajoso sem formalismos excessivos.</w:t>
      </w:r>
    </w:p>
    <w:p>
      <w:pPr>
        <w:spacing w:before="260" w:after="80" w:line="240" w:lineRule="auto"/>
        <w:jc w:val="left"/>
      </w:pPr>
      <w:r>
        <w:rPr>
          <w:rFonts w:ascii="EB Garamond" w:hAnsi="EB Garamond" w:cs="EB Garamond"/>
          <w:b/>
          <w:i w:val="0"/>
          <w:color w:val="3A3128"/>
          <w:sz w:val="25"/>
          <w:lang w:val="pt-BR" w:bidi="ar-SA"/>
          <w:kern w:val="16"/>
          <w14:ligatures w14:val="standardContextual"/>
        </w:rPr>
        <w:t>12.14.4 Auxílio-inclusão e a transição BPC → trabalho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auxílio-inclusão (art. 26, LOAS, com redação da Lei n. 14.176/2021) é benefício destinado à PcD que, recebendo BPC, ingressa no mercado de trabalho formal. O auxílio-inclusão equivale a 50% do valor do BPC (R$ 810,50 em 2026*) e pode ser recebido cumulativamente com a remuneração do trabalho, durante o período de emprego formal, como forma de incentivar a inclusão laboral da PcD.</w:t>
      </w:r>
    </w:p>
    <w:p>
      <w:pPr>
        <w:spacing w:before="0" w:after="60" w:line="240" w:lineRule="auto"/>
        <w:jc w:val="left"/>
      </w:pPr>
      <w:r>
        <w:rPr>
          <w:rFonts w:ascii="EB Garamond" w:hAnsi="EB Garamond" w:cs="EB Garamond"/>
          <w:b w:val="0"/>
          <w:i/>
          <w:color w:val="6B6256"/>
          <w:sz w:val="17"/>
          <w:lang w:val="pt-BR" w:bidi="ar-SA"/>
          <w:kern w:val="16"/>
          <w14:ligatures w14:val="standardContextual"/>
        </w:rPr>
        <w:t>Projeção, calculada como 50% do salário-mínimo estimado para 2026 (R$ 1.621,00). Valor sujeito a atualização após publicação oficial, em coerência com a nota da seção 12.18.6.</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interface entre o auxílio-inclusão e a aposentadoria da PcD é relevante: o segurado PcD que deixou o BPC para trabalhar e recebe auxílio-inclusão está construindo tempo de contribuição que poderá, no futuro, gerar direito à aposentadoria da PcD (LC 142). Se esse segurado acumular TC suficiente conforme seu grau de deficiência, poderá requerer aposentadoria por TC da PcD com coeficiente de 100% do SB — benefício superior ao BPC + auxílio-inclusão em valor e em proteção aos dependentes.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Essa perspectiva de transição BPC → trabalho → aposentadoria PcD deve ser informada ao cliente, pois representa um planejamento previdenciário de longo prazo que pode resultar em proteção social mais ampla e duradoura. O auxílio-inclusão foi detalhado no Capítulo 18, seção 18.14, ao qual se remete para aprofundamento.</w:t>
      </w:r>
    </w:p>
    <w:p>
      <w:pPr>
        <w:spacing w:before="260" w:after="80" w:line="240" w:lineRule="auto"/>
        <w:jc w:val="left"/>
      </w:pPr>
      <w:r>
        <w:rPr>
          <w:rFonts w:ascii="EB Garamond" w:hAnsi="EB Garamond" w:cs="EB Garamond"/>
          <w:b/>
          <w:i w:val="0"/>
          <w:color w:val="3A3128"/>
          <w:sz w:val="25"/>
          <w:lang w:val="pt-BR" w:bidi="ar-SA"/>
          <w:kern w:val="16"/>
          <w14:ligatures w14:val="standardContextual"/>
        </w:rPr>
        <w:t>12.14.5 Impacto da escolha para os dependentes: análise patrimonial de longo prazo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escolha entre BPC e aposentadoria da PcD tem impacto patrimonial que ultrapassa a pessoa do segurado e alcança toda a família. Uma análise comparativa simples ilustra a diferença: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Cenário 1 — BPC (1 SM):</w:t>
      </w:r>
      <w:r>
        <w:rPr>
          <w:rFonts w:ascii="EB Garamond" w:hAnsi="EB Garamond" w:cs="EB Garamond"/>
          <w:b w:val="0"/>
          <w:i w:val="0"/>
          <w:color w:val="201B16"/>
          <w:sz w:val="21"/>
          <w:lang w:val="pt-BR" w:bidi="ar-SA"/>
          <w:kern w:val="16"/>
          <w14:ligatures w14:val="standardContextual"/>
        </w:rPr>
        <w:t xml:space="preserve"> Segurado PcD recebe R$ 1.621,00/mês, sem 13º salário. Ao falecer, os dependentes não recebem pensão por morte. Renda vitalícia líquida anual: R$ 19.452,00.</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Cenário 2 — Aposentadoria PcD por TC, 100% SB (exemplo R$ 3.500,00):</w:t>
      </w:r>
      <w:r>
        <w:rPr>
          <w:rFonts w:ascii="EB Garamond" w:hAnsi="EB Garamond" w:cs="EB Garamond"/>
          <w:b w:val="0"/>
          <w:i w:val="0"/>
          <w:color w:val="201B16"/>
          <w:sz w:val="21"/>
          <w:lang w:val="pt-BR" w:bidi="ar-SA"/>
          <w:kern w:val="16"/>
          <w14:ligatures w14:val="standardContextual"/>
        </w:rPr>
        <w:t xml:space="preserve"> Segurado PcD recebe R$ 3.500,00/mês + 13º salário. Ao falecer, cônjuge e filhos menores recebem pensão por morte (art. 23, EC 103, conforme Cap. 19). Renda vitalícia líquida anual: R$ 45.500,00. Pensão por morte pode ser mantida ao cônjuge por 3 a 20+ anos, conforme idade e tempo de casamento.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diferença anual (R$ 26.048,00) e a proteção dos dependentes (pensão por morte vs. Nenhuma proteção) tornam a aposentadoria da PcD mais vantajosa, por margem considerável, quando o segurado tem contribuições suficientes. A informação ao cliente deve ser clara e incluir a análise do impacto sobre dependentes, especialmente filhos menores.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12.15 Distinção aposentadoria PcD × aposentadoria por incapacidade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D</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eficiência pressupõe que o segurado trabalha; incapacidade pressupõe que não pode trabalhar. A confusão entre os dois conceitos leva a erros de enquadramento tanto no INSS (que por vezes encaminha a pessoa com deficiência para perícia de incapacidade) quanto em juízo (onde a petição inicial pode confundir os fundamentos dos dois benefícios).</w:t>
      </w:r>
    </w:p>
    <w:p>
      <w:pPr>
        <w:spacing w:before="260" w:after="80" w:line="240" w:lineRule="auto"/>
        <w:jc w:val="left"/>
      </w:pPr>
      <w:r>
        <w:rPr>
          <w:rFonts w:ascii="EB Garamond" w:hAnsi="EB Garamond" w:cs="EB Garamond"/>
          <w:b/>
          <w:i w:val="0"/>
          <w:color w:val="3A3128"/>
          <w:sz w:val="25"/>
          <w:lang w:val="pt-BR" w:bidi="ar-SA"/>
          <w:kern w:val="16"/>
          <w14:ligatures w14:val="standardContextual"/>
        </w:rPr>
        <w:t>12.15.1 Distinção conceitual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cerne da distinção reside no pressuposto de cada benefício: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Aposentadoria da PcD (LC 142):</w:t>
      </w:r>
      <w:r>
        <w:rPr>
          <w:rFonts w:ascii="EB Garamond" w:hAnsi="EB Garamond" w:cs="EB Garamond"/>
          <w:b w:val="0"/>
          <w:i w:val="0"/>
          <w:color w:val="201B16"/>
          <w:sz w:val="21"/>
          <w:lang w:val="pt-BR" w:bidi="ar-SA"/>
          <w:kern w:val="16"/>
          <w14:ligatures w14:val="standardContextual"/>
        </w:rPr>
        <w:t xml:space="preserve"> pressupõe que o segurado TRABALHA com deficiência. A pessoa com deficiência é trabalhadora — exerce atividade laboral, contribui para o RGPS, constrói tempo de contribuição. O benefício reconhece as barreiras enfrentadas ao longo da vida profissional e compensa o esforço adicional com redução do TC exigido.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Aposentadoria por incapacidade permanente (Cap. 6):</w:t>
      </w:r>
      <w:r>
        <w:rPr>
          <w:rFonts w:ascii="EB Garamond" w:hAnsi="EB Garamond" w:cs="EB Garamond"/>
          <w:b w:val="0"/>
          <w:i w:val="0"/>
          <w:color w:val="201B16"/>
          <w:sz w:val="21"/>
          <w:lang w:val="pt-BR" w:bidi="ar-SA"/>
          <w:kern w:val="16"/>
          <w14:ligatures w14:val="standardContextual"/>
        </w:rPr>
        <w:t xml:space="preserve"> pressupõe que o segurado NÃO PODE trabalhar. A pessoa incapaz está privada de sua capacidade laboral, total e permanentemente. O benefício substitui a renda que o segurado não pode mais auferir por conta da incapacidade.</w:t>
      </w:r>
    </w:p>
    <w:p>
      <w:pPr>
        <w:spacing w:before="260" w:after="80" w:line="240" w:lineRule="auto"/>
        <w:jc w:val="left"/>
      </w:pPr>
      <w:r>
        <w:rPr>
          <w:rFonts w:ascii="EB Garamond" w:hAnsi="EB Garamond" w:cs="EB Garamond"/>
          <w:b/>
          <w:i w:val="0"/>
          <w:color w:val="3A3128"/>
          <w:sz w:val="25"/>
          <w:lang w:val="pt-BR" w:bidi="ar-SA"/>
          <w:kern w:val="16"/>
          <w14:ligatures w14:val="standardContextual"/>
        </w:rPr>
        <w:t>12.15.2 Comparativo detalhado</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Aspecto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Aposentadoria PcD (LC 142)</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Aposentadoria por incapacidade (Cap. 6)</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Pressuposto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O segurado TRABALHA com deficiência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O segurado NÃO PODE trabalhar</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Causa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Impedimento funcional (deficiência)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Impossibilidade laboral (incapacidade)</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Idade mínima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 (TC) ou 60H/55M (idade)</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TC mínimo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20-33 (TC) ou 15 anos (idade)</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 (carência 12 meses, dispensável se acidentário)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Cálculo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 SB (TC) ou 70% + 1%/grupo de 12 contrib. (idade)</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60%+2% por ano excedente a 20H/15M (art. 26, § 2º, III, EC 103); exceção: 100% do SB se acidentário (art. 26, § 3º, II, EC 103)</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Fator previdenciário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Somente se vantajoso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 se aplica</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Caráter</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Definitiva (salvo fraude)</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Pode cessar se recuperar capacidade</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Perícia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Biopsicossocial (IF-BrA)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Médica (capacidade laboral)</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Acréscimo 25%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Sim (grande invalidez, art. 45, Lei 8.213)</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12.15.3 Situações fronteiriças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N</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 prática, existem situações de fronteira entre deficiência e incapacidade:</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PcD que se torna incapaz:</w:t>
      </w:r>
      <w:r>
        <w:rPr>
          <w:rFonts w:ascii="EB Garamond" w:hAnsi="EB Garamond" w:cs="EB Garamond"/>
          <w:b w:val="0"/>
          <w:i w:val="0"/>
          <w:color w:val="201B16"/>
          <w:sz w:val="21"/>
          <w:lang w:val="pt-BR" w:bidi="ar-SA"/>
          <w:kern w:val="16"/>
          <w14:ligatures w14:val="standardContextual"/>
        </w:rPr>
        <w:t xml:space="preserve"> Se a deficiência evolui para incapacidade (por exemplo, progressão de doença degenerativa), o segurado faz jus ao benefício por incapacidade, seja auxílio por incapacidade temporária (se a incapacidade é temporária) ou aposentadoria por incapacidade permanente (se total e permanente). Nesse caso, o segurado deixa de ser candidato à aposentadoria da PcD (que pressupõe capacidade laboral) e passa a ser candidato ao benefício por incapacidade.</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PcD que já está aposentada e se torna incapaz:</w:t>
      </w:r>
      <w:r>
        <w:rPr>
          <w:rFonts w:ascii="EB Garamond" w:hAnsi="EB Garamond" w:cs="EB Garamond"/>
          <w:b w:val="0"/>
          <w:i w:val="0"/>
          <w:color w:val="201B16"/>
          <w:sz w:val="21"/>
          <w:lang w:val="pt-BR" w:bidi="ar-SA"/>
          <w:kern w:val="16"/>
          <w14:ligatures w14:val="standardContextual"/>
        </w:rPr>
        <w:t xml:space="preserve"> Se a pessoa com deficiência já se aposentou pela LC 142 e posteriormente se torna incapaz, já está em gozo de aposentadoria e a incapacidade superveniente não gera novo benefício. A aposentadoria por TC ou por idade da PcD é definitiva.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Segurado que oscila entre deficiência e incapacidade:</w:t>
      </w:r>
      <w:r>
        <w:rPr>
          <w:rFonts w:ascii="EB Garamond" w:hAnsi="EB Garamond" w:cs="EB Garamond"/>
          <w:b w:val="0"/>
          <w:i w:val="0"/>
          <w:color w:val="201B16"/>
          <w:sz w:val="21"/>
          <w:lang w:val="pt-BR" w:bidi="ar-SA"/>
          <w:kern w:val="16"/>
          <w14:ligatures w14:val="standardContextual"/>
        </w:rPr>
        <w:t xml:space="preserve"> Em condições como transtornos mentais graves, a pessoa pode alternar entre períodos de capacidade laboral reduzida (deficiência) e períodos de incapacidade total. Nesses casos, o advogado deve avaliar qual benefício é mais vantajoso e sustentável a longo prazo.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Incapacidade parcial e deficiência:</w:t>
      </w:r>
      <w:r>
        <w:rPr>
          <w:rFonts w:ascii="EB Garamond" w:hAnsi="EB Garamond" w:cs="EB Garamond"/>
          <w:b w:val="0"/>
          <w:i w:val="0"/>
          <w:color w:val="201B16"/>
          <w:sz w:val="21"/>
          <w:lang w:val="pt-BR" w:bidi="ar-SA"/>
          <w:kern w:val="16"/>
          <w14:ligatures w14:val="standardContextual"/>
        </w:rPr>
        <w:t xml:space="preserve"> A pessoa com incapacidade parcial (que pode exercer algumas atividades mas não todas) pode, conforme o caso, ser enquadrada como pessoa com deficiência para fins da LC 142, desde que a incapacidade parcial decorra de impedimento de longo prazo e restrinja sua participação social. Exemplo: o segurado que perdeu movimentos de uma mão (incapacidade parcial para atividades que exigem destreza bimanual) mas pode exercer atividades administrativas é, ao mesmo tempo, parcialmente incapaz (para a atividade anterior) e pessoa com deficiência (impedimento funcional de longo prazo). Nesse caso, pode optar pela aposentadoria da PcD se tiver TC suficiente, ou pelo auxílio-acidente (se o impedimento decorreu de acidente) seguido de reabilitação profissional.</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Conversão de benefício por incapacidade em aposentadoria PcD:</w:t>
      </w:r>
      <w:r>
        <w:rPr>
          <w:rFonts w:ascii="EB Garamond" w:hAnsi="EB Garamond" w:cs="EB Garamond"/>
          <w:b w:val="0"/>
          <w:i w:val="0"/>
          <w:color w:val="201B16"/>
          <w:sz w:val="21"/>
          <w:lang w:val="pt-BR" w:bidi="ar-SA"/>
          <w:kern w:val="16"/>
          <w14:ligatures w14:val="standardContextual"/>
        </w:rPr>
        <w:t xml:space="preserve"> O segurado que recebe auxílio por incapacidade temporária e recupera parcialmente a capacidade laboral, mantendo impedimento funcional de longo prazo, pode requerer a aposentadoria da PcD. Essa situação é relativamente comum em casos de acidentes com sequelas permanentes: o segurado recebe auxílio por incapacidade temporária durante a recuperação, retorna ao trabalho (com limitações) e, se tem TC suficiente, pode requerer a aposentadoria da PcD pela LC 142.</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orientação adequada do cliente exige que o advogado avalie não apenas o estado atual de saúde e funcionalidade, mas também o prognóstico, a perspectiva de retorno ao trabalho, o TC acumulado e as condições de cada benefício. Em muitos casos, a aposentadoria da PcD é preferível à aposentadoria por incapacidade permanente pelo coeficiente mais favorável (100% vs. 60%+2%), embora a aposentadoria por incapacidade não exija TC mínimo.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Quando orientar o cliente para cada benefício</w:t>
            </w:r>
          </w:p>
          <w:p>
            <w:pPr>
              <w:spacing w:before="0" w:after="60" w:line="247" w:lineRule="auto"/>
              <w:jc w:val="both"/>
            </w:pPr>
            <w:r>
              <w:rPr>
                <w:rFonts w:ascii="EB Garamond" w:hAnsi="EB Garamond" w:cs="EB Garamond"/>
                <w:b/>
                <w:i w:val="0"/>
                <w:color w:val="201B16"/>
                <w:sz w:val="19"/>
                <w:lang w:val="pt-BR" w:bidi="ar-SA"/>
                <w:kern w:val="16"/>
                <w14:ligatures w14:val="standardContextual"/>
              </w:rPr>
              <w:t>Aposentadoria da PcD (LC 142):</w:t>
            </w:r>
            <w:r>
              <w:rPr>
                <w:rFonts w:ascii="EB Garamond" w:hAnsi="EB Garamond" w:cs="EB Garamond"/>
                <w:b w:val="0"/>
                <w:i w:val="0"/>
                <w:color w:val="201B16"/>
                <w:sz w:val="19"/>
                <w:lang w:val="pt-BR" w:bidi="ar-SA"/>
                <w:kern w:val="16"/>
                <w14:ligatures w14:val="standardContextual"/>
              </w:rPr>
              <w:t xml:space="preserve"> - O segurado trabalha (ou pode trabalhar) com deficiência - Tem TC suficiente conforme o grau ou idade + 15 anos - Quer benefício definitivo, sem risco de cessação - Deseja coeficiente de 100% (TC) sem fator previdenciário</w:t>
            </w:r>
          </w:p>
          <w:p>
            <w:pPr>
              <w:spacing w:before="0" w:after="60" w:line="247" w:lineRule="auto"/>
              <w:jc w:val="both"/>
            </w:pPr>
            <w:r>
              <w:rPr>
                <w:rFonts w:ascii="EB Garamond" w:hAnsi="EB Garamond" w:cs="EB Garamond"/>
                <w:b/>
                <w:i w:val="0"/>
                <w:color w:val="201B16"/>
                <w:sz w:val="19"/>
                <w:lang w:val="pt-BR" w:bidi="ar-SA"/>
                <w:kern w:val="16"/>
                <w14:ligatures w14:val="standardContextual"/>
              </w:rPr>
              <w:t>Aposentadoria por incapacidade permanente (Cap. 6):</w:t>
            </w:r>
            <w:r>
              <w:rPr>
                <w:rFonts w:ascii="EB Garamond" w:hAnsi="EB Garamond" w:cs="EB Garamond"/>
                <w:b w:val="0"/>
                <w:i w:val="0"/>
                <w:color w:val="201B16"/>
                <w:sz w:val="19"/>
                <w:lang w:val="pt-BR" w:bidi="ar-SA"/>
                <w:kern w:val="16"/>
                <w14:ligatures w14:val="standardContextual"/>
              </w:rPr>
              <w:t xml:space="preserve"> - O segurado NÃO pode trabalhar (total e permanentemente) - Independe de TC mínimo (carência 12 meses, dispensável se acidentário) - Coeficiente menos favorável (60%+2%, com exceções para acidentário) - Sujeita a cessação se recuperar capacidade</w:t>
            </w:r>
          </w:p>
          <w:p>
            <w:pPr>
              <w:spacing w:before="0" w:after="60" w:line="247" w:lineRule="auto"/>
              <w:jc w:val="both"/>
            </w:pPr>
            <w:r>
              <w:rPr>
                <w:rFonts w:ascii="EB Garamond" w:hAnsi="EB Garamond" w:cs="EB Garamond"/>
                <w:b/>
                <w:i w:val="0"/>
                <w:color w:val="201B16"/>
                <w:sz w:val="19"/>
                <w:lang w:val="pt-BR" w:bidi="ar-SA"/>
                <w:kern w:val="16"/>
                <w14:ligatures w14:val="standardContextual"/>
              </w:rPr>
              <w:t>Benefício por incapacidade temporária (Cap. 7):</w:t>
            </w:r>
            <w:r>
              <w:rPr>
                <w:rFonts w:ascii="EB Garamond" w:hAnsi="EB Garamond" w:cs="EB Garamond"/>
                <w:b w:val="0"/>
                <w:i w:val="0"/>
                <w:color w:val="201B16"/>
                <w:sz w:val="19"/>
                <w:lang w:val="pt-BR" w:bidi="ar-SA"/>
                <w:kern w:val="16"/>
                <w14:ligatures w14:val="standardContextual"/>
              </w:rPr>
              <w:t xml:space="preserve"> - O segurado está temporariamente incapaz (não permanentemente) - Adequado para situações transitórias - Pode converter-se em aposentadoria por incapacidade se a incapacidade se torna permanente</w:t>
            </w:r>
          </w:p>
          <w:p>
            <w:pPr>
              <w:spacing w:before="0" w:after="60" w:line="247" w:lineRule="auto"/>
              <w:jc w:val="both"/>
            </w:pPr>
            <w:r>
              <w:rPr>
                <w:rFonts w:ascii="EB Garamond" w:hAnsi="EB Garamond" w:cs="EB Garamond"/>
                <w:b/>
                <w:i w:val="0"/>
                <w:color w:val="201B16"/>
                <w:sz w:val="19"/>
                <w:lang w:val="pt-BR" w:bidi="ar-SA"/>
                <w:kern w:val="16"/>
                <w14:ligatures w14:val="standardContextual"/>
              </w:rPr>
              <w:t>Regra de ouro:</w:t>
            </w:r>
            <w:r>
              <w:rPr>
                <w:rFonts w:ascii="EB Garamond" w:hAnsi="EB Garamond" w:cs="EB Garamond"/>
                <w:b w:val="0"/>
                <w:i w:val="0"/>
                <w:color w:val="201B16"/>
                <w:sz w:val="19"/>
                <w:lang w:val="pt-BR" w:bidi="ar-SA"/>
                <w:kern w:val="16"/>
                <w14:ligatures w14:val="standardContextual"/>
              </w:rPr>
              <w:t xml:space="preserve"> se o segurado trabalha e tem TC, prefira a aposentadoria da PcD; se o segurado não pode trabalhar, é benefício por incapacidade.</w:t>
            </w: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Fungibilidade entre aposentadoria PcD e benefício por incapacidade</w:t>
            </w:r>
          </w:p>
          <w:p>
            <w:pPr>
              <w:spacing w:before="0" w:after="60" w:line="247" w:lineRule="auto"/>
              <w:jc w:val="both"/>
            </w:pPr>
            <w:r>
              <w:rPr>
                <w:rFonts w:ascii="EB Garamond" w:hAnsi="EB Garamond" w:cs="EB Garamond"/>
                <w:b w:val="0"/>
                <w:i/>
                <w:color w:val="201B16"/>
                <w:sz w:val="19"/>
                <w:lang w:val="pt-BR" w:bidi="ar-SA"/>
                <w:kern w:val="16"/>
                <w14:ligatures w14:val="standardContextual"/>
              </w:rPr>
              <w:t>Síntese do entendimento dos tribunais, sem transcrição literal de ementa.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TRF4: verificada a existência de incapacidade laboral total e permanente, é possível converter o pedido de aposentadoria da pessoa com deficiência (LC 142/2013) em aposentadoria por incapacidade permanente, em aplicação do princípio da fungibilidade dos pedidos previdenciários (TRF4, AC 5003219-89.2018.4.04.7009).</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TRF3: embora o segurado tenha requerido aposentadoria por incapacidade, a perícia judicial constatou impedimentos funcionais de longo prazo configuradores de deficiência moderada, sem incapacidade laboral total; cabível a concessão da aposentadoria da pessoa com deficiência (LC 142/2013) em substituição ao benefício por incapacidade, por fungibilidade (TRF3, ApCiv 5010782-31.2019.4.03.6105).</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12.16 Aspectos processuais nos JEFs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aposentadoria da PcD nos Juizados Especiais Federais apresenta peculiaridades processuais que o advogado deve conhecer para uma atuação eficaz.</w:t>
      </w:r>
    </w:p>
    <w:p>
      <w:pPr>
        <w:spacing w:before="260" w:after="80" w:line="240" w:lineRule="auto"/>
        <w:jc w:val="left"/>
      </w:pPr>
      <w:r>
        <w:rPr>
          <w:rFonts w:ascii="EB Garamond" w:hAnsi="EB Garamond" w:cs="EB Garamond"/>
          <w:b/>
          <w:i w:val="0"/>
          <w:color w:val="3A3128"/>
          <w:sz w:val="25"/>
          <w:lang w:val="pt-BR" w:bidi="ar-SA"/>
          <w:kern w:val="16"/>
          <w14:ligatures w14:val="standardContextual"/>
        </w:rPr>
        <w:t>12.16.1 Competência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competência dos JEFs para ações de aposentadoria da PcD segue a regra geral do art. 3º da Lei n. 10.259/2001: causas de valor até 60 salários-mínimos (R$ 97.260,00 em 2026, valor projetado). Como a aposentadoria da PcD é limitada ao teto do RGPS (R$ 8.475,55/mês em 2026, valor projetado), a prestação mensal sempre será inferior ao teto JEF, e o valor da causa (12 prestações vincendas + parcelas vencidas) frequentemente se enquadra na competência dos Juizados, salvo quando o período de retroação é extenso (conforme detalhado no Capítulo 23, seção 23.3).</w:t>
      </w:r>
    </w:p>
    <w:p>
      <w:pPr>
        <w:spacing w:before="260" w:after="80" w:line="240" w:lineRule="auto"/>
        <w:jc w:val="left"/>
      </w:pPr>
      <w:r>
        <w:rPr>
          <w:rFonts w:ascii="EB Garamond" w:hAnsi="EB Garamond" w:cs="EB Garamond"/>
          <w:b/>
          <w:i w:val="0"/>
          <w:color w:val="3A3128"/>
          <w:sz w:val="25"/>
          <w:lang w:val="pt-BR" w:bidi="ar-SA"/>
          <w:kern w:val="16"/>
          <w14:ligatures w14:val="standardContextual"/>
        </w:rPr>
        <w:t>12.16.2 Prévio requerimento administrativo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prévio requerimento administrativo é obrigatório para o ajuizamento da ação de aposentadoria da PcD, nos termos do Tema 350 do STF (RE 631.240). O segurado deve requerer administrativamente a aposentadoria da PcD junto ao INSS e aguardar a resposta (concessão, indeferimento ou silêncio por prazo razoável) antes de ingressar em juízo.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requerimento administrativo da aposentadoria da PcD tem peculiaridades: o INSS deve agendar e realizar a avaliação biopsicossocial (perícia médica + avaliação social), o que pode demandar prazo significativo. O indeferimento pode ocorrer por: (a) não reconhecimento da deficiência; (b) reconhecimento de grau insuficiente (por exemplo, grau leve quando o segurado precisa de grau moderado para ter TC suficiente); ou (c) TC ou carência insuficientes.</w:t>
      </w:r>
    </w:p>
    <w:p>
      <w:pPr>
        <w:spacing w:before="260" w:after="80" w:line="240" w:lineRule="auto"/>
        <w:jc w:val="left"/>
      </w:pPr>
      <w:r>
        <w:rPr>
          <w:rFonts w:ascii="EB Garamond" w:hAnsi="EB Garamond" w:cs="EB Garamond"/>
          <w:b/>
          <w:i w:val="0"/>
          <w:color w:val="3A3128"/>
          <w:sz w:val="25"/>
          <w:lang w:val="pt-BR" w:bidi="ar-SA"/>
          <w:kern w:val="16"/>
          <w14:ligatures w14:val="standardContextual"/>
        </w:rPr>
        <w:t>12.16.3 Perícia biopsicossocial judicial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perícia biopsicossocial é o ato processual mais importante na ação de aposentadoria da PcD. O juiz do JEF nomeará perito (médico e, idealmente, assistente social) para avaliar o segurado conforme os critérios da LC 142/2013.</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Honorários periciais:</w:t>
      </w:r>
      <w:r>
        <w:rPr>
          <w:rFonts w:ascii="EB Garamond" w:hAnsi="EB Garamond" w:cs="EB Garamond"/>
          <w:b w:val="0"/>
          <w:i w:val="0"/>
          <w:color w:val="201B16"/>
          <w:sz w:val="21"/>
          <w:lang w:val="pt-BR" w:bidi="ar-SA"/>
          <w:kern w:val="16"/>
          <w14:ligatures w14:val="standardContextual"/>
        </w:rPr>
        <w:t xml:space="preserve"> No âmbito dos JEFs, os honorários do perito judicial são pagos pela Justiça Federal (art. 12, § 1º, Lei 10.259/2001). O segurado não arca com custos periciais, o que viabiliza o acesso à justiça para PcD em situação de vulnerabilidade econômica.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Quesitos:</w:t>
      </w:r>
      <w:r>
        <w:rPr>
          <w:rFonts w:ascii="EB Garamond" w:hAnsi="EB Garamond" w:cs="EB Garamond"/>
          <w:b w:val="0"/>
          <w:i w:val="0"/>
          <w:color w:val="201B16"/>
          <w:sz w:val="21"/>
          <w:lang w:val="pt-BR" w:bidi="ar-SA"/>
          <w:kern w:val="16"/>
          <w14:ligatures w14:val="standardContextual"/>
        </w:rPr>
        <w:t xml:space="preserve"> As partes devem formular quesitos objetivos e alinhados aos critérios do IF-BrA (conforme sugerido na seção 12.12.2). Quesitos genéricos ("o segurado é deficiente?") devem ser evitados em favor de quesitos específicos que permitam ao perito avaliar cada domínio funcional.</w:t>
      </w:r>
    </w:p>
    <w:p>
      <w:pPr>
        <w:spacing w:before="260" w:after="80" w:line="240" w:lineRule="auto"/>
        <w:jc w:val="left"/>
      </w:pPr>
      <w:r>
        <w:rPr>
          <w:rFonts w:ascii="EB Garamond" w:hAnsi="EB Garamond" w:cs="EB Garamond"/>
          <w:b/>
          <w:i w:val="0"/>
          <w:color w:val="3A3128"/>
          <w:sz w:val="25"/>
          <w:lang w:val="pt-BR" w:bidi="ar-SA"/>
          <w:kern w:val="16"/>
          <w14:ligatures w14:val="standardContextual"/>
        </w:rPr>
        <w:t>12.16.4 Pedido alternativo e fungibilidade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petição inicial da ação de aposentadoria da PcD pode, e deve, quando cabível, conter pedido alternativo: aposentadoria por TC da PcD (principal) + aposentadoria por idade da PcD (subsidiário) + BPC (subsidiário). A fungibilidade (TNU Tema 217 e analogia) permite que o juiz conceda o benefício mais adequado ao caso, conforme o resultado da instrução processual.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Essa estratégia é especialmente importante quando há incerteza sobre: (a) o grau de deficiência que será reconhecido pela perícia judicial; (b) o TC efetivo do segurado (que pode ser maior ou menor que o alegado, conforme análise do CNIS); ou (c) o preenchimento do requisito etário para a aposentadoria por idade da PcD.</w:t>
      </w:r>
    </w:p>
    <w:p>
      <w:pPr>
        <w:spacing w:before="260" w:after="80" w:line="240" w:lineRule="auto"/>
        <w:jc w:val="left"/>
      </w:pPr>
      <w:r>
        <w:rPr>
          <w:rFonts w:ascii="EB Garamond" w:hAnsi="EB Garamond" w:cs="EB Garamond"/>
          <w:b/>
          <w:i w:val="0"/>
          <w:color w:val="3A3128"/>
          <w:sz w:val="25"/>
          <w:lang w:val="pt-BR" w:bidi="ar-SA"/>
          <w:kern w:val="16"/>
          <w14:ligatures w14:val="standardContextual"/>
        </w:rPr>
        <w:t>12.16.5 Reafirmação da DER</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reafirmação da DER (Data de Entrada do Requerimento) aplica-se à aposentadoria da PcD, nos termos do Tema 995 do STJ. Se o segurado não preenchia os requisitos na data do requerimento administrativo mas os preencheu durante o processo judicial (por exemplo, completou o TC mínimo ou atingiu a idade mínima), o juiz pode reafirmar a DER para a data de implementação dos requisitos, com efeitos financeiros a partir de então.</w:t>
      </w:r>
    </w:p>
    <w:p>
      <w:pPr>
        <w:spacing w:before="260" w:after="80" w:line="240" w:lineRule="auto"/>
        <w:jc w:val="left"/>
      </w:pPr>
      <w:r>
        <w:rPr>
          <w:rFonts w:ascii="EB Garamond" w:hAnsi="EB Garamond" w:cs="EB Garamond"/>
          <w:b/>
          <w:i w:val="0"/>
          <w:color w:val="3A3128"/>
          <w:sz w:val="25"/>
          <w:lang w:val="pt-BR" w:bidi="ar-SA"/>
          <w:kern w:val="16"/>
          <w14:ligatures w14:val="standardContextual"/>
        </w:rPr>
        <w:t>12.16.6 Tutela antecipada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tutela antecipada (tutela de urgência) é cabível na ação de aposentadoria da PcD quando presentes a probabilidade do direito e o perigo de dano ou risco ao resultado útil do processo (art. 300, CPC). Na prática, a tutela antecipada é deferida quando: (a) a perícia judicial é conclusiva quanto ao grau de deficiência e ao preenchimento dos requisitos; (b) o segurado demonstra necessidade alimentar urgente; e (c) não há controvérsia razoável sobre os fatos.</w:t>
      </w:r>
    </w:p>
    <w:p>
      <w:pPr>
        <w:spacing w:before="260" w:after="80" w:line="240" w:lineRule="auto"/>
        <w:jc w:val="left"/>
      </w:pPr>
      <w:r>
        <w:rPr>
          <w:rFonts w:ascii="EB Garamond" w:hAnsi="EB Garamond" w:cs="EB Garamond"/>
          <w:b/>
          <w:i w:val="0"/>
          <w:color w:val="3A3128"/>
          <w:sz w:val="25"/>
          <w:lang w:val="pt-BR" w:bidi="ar-SA"/>
          <w:kern w:val="16"/>
          <w14:ligatures w14:val="standardContextual"/>
        </w:rPr>
        <w:t>12.16.7 Instrução probatória: particularidades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instrução probatória nas ações de aposentadoria da PcD apresenta peculiaridades em relação às demais ações previdenciárias: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Complexidade da perícia:</w:t>
      </w:r>
      <w:r>
        <w:rPr>
          <w:rFonts w:ascii="EB Garamond" w:hAnsi="EB Garamond" w:cs="EB Garamond"/>
          <w:b w:val="0"/>
          <w:i w:val="0"/>
          <w:color w:val="201B16"/>
          <w:sz w:val="21"/>
          <w:lang w:val="pt-BR" w:bidi="ar-SA"/>
          <w:kern w:val="16"/>
          <w14:ligatures w14:val="standardContextual"/>
        </w:rPr>
        <w:t xml:space="preserve"> Enquanto as ações de benefício por incapacidade exigem perícia médica para aferir a capacidade laboral (sim/não, total/parcial, temporária/permanente), a aposentadoria da PcD exige avaliação biopsicossocial que classifica o grau de deficiência — análise mais complexa, que envolve 7 domínios funcionais e dois profissionais.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Retrospectividade:</w:t>
      </w:r>
      <w:r>
        <w:rPr>
          <w:rFonts w:ascii="EB Garamond" w:hAnsi="EB Garamond" w:cs="EB Garamond"/>
          <w:b w:val="0"/>
          <w:i w:val="0"/>
          <w:color w:val="201B16"/>
          <w:sz w:val="21"/>
          <w:lang w:val="pt-BR" w:bidi="ar-SA"/>
          <w:kern w:val="16"/>
          <w14:ligatures w14:val="standardContextual"/>
        </w:rPr>
        <w:t xml:space="preserve"> A perícia na aposentadoria da PcD deve frequentemente reconstituir o passado do segurado, fixando a data de início da deficiência e identificando eventuais variações de grau ao longo de anos ou décadas. Essa análise retrospectiva é mais desafiadora que a perícia de incapacidade, que tipicamente avalia o estado atual.</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Audiência de instrução e julgamento:</w:t>
      </w:r>
      <w:r>
        <w:rPr>
          <w:rFonts w:ascii="EB Garamond" w:hAnsi="EB Garamond" w:cs="EB Garamond"/>
          <w:b w:val="0"/>
          <w:i w:val="0"/>
          <w:color w:val="201B16"/>
          <w:sz w:val="21"/>
          <w:lang w:val="pt-BR" w:bidi="ar-SA"/>
          <w:kern w:val="16"/>
          <w14:ligatures w14:val="standardContextual"/>
        </w:rPr>
        <w:t xml:space="preserve"> Nos JEFs, a audiência é frequentemente realizada de forma una (instrução e julgamento). O advogado deve estar preparado para: (a) complementar quesitos ao perito em audiência; (b) requerer esclarecimentos orais do perito (art. 477, CPC); (c) apresentar parecer de assistente técnico; e (d) produzir prova testemunhal complementar na mesma oportunidade.</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Perícia indireta (prova emprestada):</w:t>
      </w:r>
      <w:r>
        <w:rPr>
          <w:rFonts w:ascii="EB Garamond" w:hAnsi="EB Garamond" w:cs="EB Garamond"/>
          <w:b w:val="0"/>
          <w:i w:val="0"/>
          <w:color w:val="201B16"/>
          <w:sz w:val="21"/>
          <w:lang w:val="pt-BR" w:bidi="ar-SA"/>
          <w:kern w:val="16"/>
          <w14:ligatures w14:val="standardContextual"/>
        </w:rPr>
        <w:t xml:space="preserve"> Quando o segurado já foi submetido a avaliação biopsicossocial pelo INSS ou em outro processo judicial, o resultado pode ser utilizado como prova emprestada, observado o contraditório (art. 372, CPC). A perícia administrativa do INSS, embora não vincule o juiz, constitui elemento probatório relevante, especialmente quando diverge do resultado da perícia judicial.</w:t>
      </w:r>
    </w:p>
    <w:p>
      <w:pPr>
        <w:spacing w:before="260" w:after="80" w:line="240" w:lineRule="auto"/>
        <w:jc w:val="left"/>
      </w:pPr>
      <w:r>
        <w:rPr>
          <w:rFonts w:ascii="EB Garamond" w:hAnsi="EB Garamond" w:cs="EB Garamond"/>
          <w:b/>
          <w:i w:val="0"/>
          <w:color w:val="3A3128"/>
          <w:sz w:val="25"/>
          <w:lang w:val="pt-BR" w:bidi="ar-SA"/>
          <w:kern w:val="16"/>
          <w14:ligatures w14:val="standardContextual"/>
        </w:rPr>
        <w:t>12.16.8 Honorários advocatícios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N</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os JEFs, os honorários advocatícios em ações de aposentadoria da PcD seguem as regras gerais da Lei n. 10.259/2001 e do CPC:</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Sucumbência do INSS:</w:t>
      </w:r>
      <w:r>
        <w:rPr>
          <w:rFonts w:ascii="EB Garamond" w:hAnsi="EB Garamond" w:cs="EB Garamond"/>
          <w:b w:val="0"/>
          <w:i w:val="0"/>
          <w:color w:val="201B16"/>
          <w:sz w:val="21"/>
          <w:lang w:val="pt-BR" w:bidi="ar-SA"/>
          <w:kern w:val="16"/>
          <w14:ligatures w14:val="standardContextual"/>
        </w:rPr>
        <w:t xml:space="preserve"> Quando o segurado é vencedor, os honorários são fixados entre 10% e 20% do valor da condenação (parcelas vencidas até a data da sentença ou do acórdão), nos termos do art. 85, § 3º, I, CPC. A jurisprudência dos JEFs tem fixado honorários em 10% como regra geral para ações previdenciárias.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Sucumbência do segurado:</w:t>
      </w:r>
      <w:r>
        <w:rPr>
          <w:rFonts w:ascii="EB Garamond" w:hAnsi="EB Garamond" w:cs="EB Garamond"/>
          <w:b w:val="0"/>
          <w:i w:val="0"/>
          <w:color w:val="201B16"/>
          <w:sz w:val="21"/>
          <w:lang w:val="pt-BR" w:bidi="ar-SA"/>
          <w:kern w:val="16"/>
          <w14:ligatures w14:val="standardContextual"/>
        </w:rPr>
        <w:t xml:space="preserve"> O segurado vencido nos JEFs está isento de honorários e custas se beneficiário da justiça gratuita (art. 98, § 3º, CPC), condição que a grande maioria dos segurados PcD preenche.</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Honorários contratuais:</w:t>
      </w:r>
      <w:r>
        <w:rPr>
          <w:rFonts w:ascii="EB Garamond" w:hAnsi="EB Garamond" w:cs="EB Garamond"/>
          <w:b w:val="0"/>
          <w:i w:val="0"/>
          <w:color w:val="201B16"/>
          <w:sz w:val="21"/>
          <w:lang w:val="pt-BR" w:bidi="ar-SA"/>
          <w:kern w:val="16"/>
          <w14:ligatures w14:val="standardContextual"/>
        </w:rPr>
        <w:t xml:space="preserve"> O contrato de honorários advocatícios entre advogado e segurado PcD segue as regras do Estatuto da OAB e da tabela de honorários da seccional. É prática comum o pacto de quota litis (percentual sobre o êxito), geralmente entre 20% e 30% do valor recebido.</w:t>
      </w:r>
    </w:p>
    <w:p>
      <w:pPr>
        <w:spacing w:before="260" w:after="80" w:line="240" w:lineRule="auto"/>
        <w:jc w:val="left"/>
      </w:pPr>
      <w:r>
        <w:rPr>
          <w:rFonts w:ascii="EB Garamond" w:hAnsi="EB Garamond" w:cs="EB Garamond"/>
          <w:b/>
          <w:i w:val="0"/>
          <w:color w:val="3A3128"/>
          <w:sz w:val="25"/>
          <w:lang w:val="pt-BR" w:bidi="ar-SA"/>
          <w:kern w:val="16"/>
          <w14:ligatures w14:val="standardContextual"/>
        </w:rPr>
        <w:t>12.16.9 Sentença e recurso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sentença na ação de aposentadoria da PcD deve especificar: (a) o grau de deficiência reconhecido; (b) a data de início da deficiência; (c) os períodos sob cada grau (se houver variação); (d) a modalidade de aposentadoria concedida (TC ou idade); (e) a base de cálculo (média dos SC); (f) o coeficiente aplicável (100% ou 70% + 1% por grupo de 12 contribuições); e (g) a DIB (Data de Início do Benefício).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recurso contra a sentença é o recurso inominado (art. 41, Lei 9.099/95 c/c art. 1º, Lei 10.259/2001), com prazo de 10 dias. A impugnação mais comum do INSS em grau recursal é a valoração da prova pericial (grau de deficiência reconhecido, data de início) e a base de cálculo do benefício (aplicação ou não do art. 26, EC 103).</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recurso da parte autora é menos frequente, mas pode versar sobre: (a) grau de deficiência reconhecido (quando o segurado pretende grau mais grave); (b) data de início da deficiência (quando fixada em data posterior à pretendida); (c) impugnação do fator previdenciário (quando o INSS o aplicou e a sentença manteve); ou (d) DIB (quando fixada na data da perícia judicial e não na DER ou na reafirmação).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Turma Recursal, ao analisar o recurso, pode: manter a sentença, reformá-la total ou parcialmente, ou anulá-la para produção de nova prova (determinando nova perícia biopsicossocial, por exemplo, quando a perícia judicial for considerada deficiente ou inconclusiva).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Checklist documental para aposentadoria PcD nos JEFs</w:t>
            </w:r>
          </w:p>
          <w:p>
            <w:pPr>
              <w:spacing w:before="0" w:after="60" w:line="247" w:lineRule="auto"/>
              <w:jc w:val="both"/>
            </w:pPr>
            <w:r>
              <w:rPr>
                <w:rFonts w:ascii="EB Garamond" w:hAnsi="EB Garamond" w:cs="EB Garamond"/>
                <w:b/>
                <w:i w:val="0"/>
                <w:color w:val="201B16"/>
                <w:sz w:val="19"/>
                <w:lang w:val="pt-BR" w:bidi="ar-SA"/>
                <w:kern w:val="16"/>
                <w14:ligatures w14:val="standardContextual"/>
              </w:rPr>
              <w:t>Documentação pessoal:</w:t>
            </w:r>
            <w:r>
              <w:rPr>
                <w:rFonts w:ascii="EB Garamond" w:hAnsi="EB Garamond" w:cs="EB Garamond"/>
                <w:b w:val="0"/>
                <w:i w:val="0"/>
                <w:color w:val="201B16"/>
                <w:sz w:val="19"/>
                <w:lang w:val="pt-BR" w:bidi="ar-SA"/>
                <w:kern w:val="16"/>
                <w14:ligatures w14:val="standardContextual"/>
              </w:rPr>
              <w:t xml:space="preserve"> - [ ] RG e CPF do segurado - [ ] CTPS (todas as carteiras, mesmo antigas) - [ ] NIT/PIS/PASEP - [ ] Comprovante de residência atualizado</w:t>
            </w:r>
          </w:p>
          <w:p>
            <w:pPr>
              <w:spacing w:before="0" w:after="60" w:line="247" w:lineRule="auto"/>
              <w:jc w:val="both"/>
            </w:pPr>
            <w:r>
              <w:rPr>
                <w:rFonts w:ascii="EB Garamond" w:hAnsi="EB Garamond" w:cs="EB Garamond"/>
                <w:b/>
                <w:i w:val="0"/>
                <w:color w:val="201B16"/>
                <w:sz w:val="19"/>
                <w:lang w:val="pt-BR" w:bidi="ar-SA"/>
                <w:kern w:val="16"/>
                <w14:ligatures w14:val="standardContextual"/>
              </w:rPr>
              <w:t>Documentação previdenciária:</w:t>
            </w:r>
            <w:r>
              <w:rPr>
                <w:rFonts w:ascii="EB Garamond" w:hAnsi="EB Garamond" w:cs="EB Garamond"/>
                <w:b w:val="0"/>
                <w:i w:val="0"/>
                <w:color w:val="201B16"/>
                <w:sz w:val="19"/>
                <w:lang w:val="pt-BR" w:bidi="ar-SA"/>
                <w:kern w:val="16"/>
                <w14:ligatures w14:val="standardContextual"/>
              </w:rPr>
              <w:t xml:space="preserve"> - [ ] CNIS (Cadastro Nacional de Informações Sociais) — extrato detalhado - [ ] Carta de indeferimento do INSS (com motivo) - [ ] Resultado da avaliação biopsicossocial administrativa (se realizada) - [ ] Processo administrativo completo (se disponível)</w:t>
            </w:r>
          </w:p>
          <w:p>
            <w:pPr>
              <w:spacing w:before="0" w:after="60" w:line="247" w:lineRule="auto"/>
              <w:jc w:val="both"/>
            </w:pPr>
            <w:r>
              <w:rPr>
                <w:rFonts w:ascii="EB Garamond" w:hAnsi="EB Garamond" w:cs="EB Garamond"/>
                <w:b/>
                <w:i w:val="0"/>
                <w:color w:val="201B16"/>
                <w:sz w:val="19"/>
                <w:lang w:val="pt-BR" w:bidi="ar-SA"/>
                <w:kern w:val="16"/>
                <w14:ligatures w14:val="standardContextual"/>
              </w:rPr>
              <w:t>Documentação médica e funcional:</w:t>
            </w:r>
            <w:r>
              <w:rPr>
                <w:rFonts w:ascii="EB Garamond" w:hAnsi="EB Garamond" w:cs="EB Garamond"/>
                <w:b w:val="0"/>
                <w:i w:val="0"/>
                <w:color w:val="201B16"/>
                <w:sz w:val="19"/>
                <w:lang w:val="pt-BR" w:bidi="ar-SA"/>
                <w:kern w:val="16"/>
                <w14:ligatures w14:val="standardContextual"/>
              </w:rPr>
              <w:t xml:space="preserve"> - [ ] Laudos médicos com CID-10, descrição funcional e data de início - [ ] Exames complementares (imagem, audiometria, campo visual, etc.) - [ ] Relatórios de acompanhamento médico (evolução) - [ ] Prescrição de medicamentos contínuos - [ ] Laudos de reabilitação (INSS, APAE, centros especializados) - [ ] Comprovante de uso de tecnologia assistiva</w:t>
            </w:r>
          </w:p>
          <w:p>
            <w:pPr>
              <w:spacing w:before="0" w:after="60" w:line="247" w:lineRule="auto"/>
              <w:jc w:val="both"/>
            </w:pPr>
            <w:r>
              <w:rPr>
                <w:rFonts w:ascii="EB Garamond" w:hAnsi="EB Garamond" w:cs="EB Garamond"/>
                <w:b/>
                <w:i w:val="0"/>
                <w:color w:val="201B16"/>
                <w:sz w:val="19"/>
                <w:lang w:val="pt-BR" w:bidi="ar-SA"/>
                <w:kern w:val="16"/>
                <w14:ligatures w14:val="standardContextual"/>
              </w:rPr>
              <w:t>Documentação social:</w:t>
            </w:r>
            <w:r>
              <w:rPr>
                <w:rFonts w:ascii="EB Garamond" w:hAnsi="EB Garamond" w:cs="EB Garamond"/>
                <w:b w:val="0"/>
                <w:i w:val="0"/>
                <w:color w:val="201B16"/>
                <w:sz w:val="19"/>
                <w:lang w:val="pt-BR" w:bidi="ar-SA"/>
                <w:kern w:val="16"/>
                <w14:ligatures w14:val="standardContextual"/>
              </w:rPr>
              <w:t xml:space="preserve"> - [ ] Relatório social (se disponível) - [ ] Comprovação de barreiras de acessibilidade - [ ] Declaração do empregador sobre adaptações no trabalho - [ ] Fotos do ambiente doméstico (se relevantes para acessibilidade)</w:t>
            </w:r>
          </w:p>
          <w:p>
            <w:pPr>
              <w:spacing w:before="0" w:after="60" w:line="247" w:lineRule="auto"/>
              <w:jc w:val="both"/>
            </w:pPr>
            <w:r>
              <w:rPr>
                <w:rFonts w:ascii="EB Garamond" w:hAnsi="EB Garamond" w:cs="EB Garamond"/>
                <w:b/>
                <w:i w:val="0"/>
                <w:color w:val="201B16"/>
                <w:sz w:val="19"/>
                <w:lang w:val="pt-BR" w:bidi="ar-SA"/>
                <w:kern w:val="16"/>
                <w14:ligatures w14:val="standardContextual"/>
              </w:rPr>
              <w:t>Cálculo:</w:t>
            </w:r>
            <w:r>
              <w:rPr>
                <w:rFonts w:ascii="EB Garamond" w:hAnsi="EB Garamond" w:cs="EB Garamond"/>
                <w:b w:val="0"/>
                <w:i w:val="0"/>
                <w:color w:val="201B16"/>
                <w:sz w:val="19"/>
                <w:lang w:val="pt-BR" w:bidi="ar-SA"/>
                <w:kern w:val="16"/>
                <w14:ligatures w14:val="standardContextual"/>
              </w:rPr>
              <w:t xml:space="preserve"> - [ ] Simulação de TC por grau (usando fatores de conversão se deficiência superveniente) - [ ] Simulação de RMI (100% SB para TC; 70% + 1% por grupo de 12 contrib. Para idade) - [ ] Verificação de fator previdenciário (se vantajoso)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12.17 Questões especiais e casos de fronteira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aplicação da LC 142/2013 suscita questões especiais que transcendem os cenários típicos de aposentadoria da PcD. Reunimos a seguir as situações de fronteira que, na nossa experiência, mais frequentemente desafiam o intérprete por exigirem a leitura combinada da LC 142 com outras camadas do sistema — a aposentadoria especial, as regras de custeio do contribuinte individual e do MEI, a contagem recíproca e o regime de acumulação. O fio que costura todas elas é o mesmo: a LC 142 não é um microssistema isolado, e seu art. 70-I (Decreto 3.048/99) determina a aplicação subsidiária das demais normas do RGPS, de modo que cada caso de fronteira se resolve menos por regra específica e mais pela articulação coerente de princípios já conhecidos.</w:t>
      </w:r>
    </w:p>
    <w:p>
      <w:pPr>
        <w:spacing w:before="260" w:after="80" w:line="240" w:lineRule="auto"/>
        <w:jc w:val="left"/>
      </w:pPr>
      <w:r>
        <w:rPr>
          <w:rFonts w:ascii="EB Garamond" w:hAnsi="EB Garamond" w:cs="EB Garamond"/>
          <w:b/>
          <w:i w:val="0"/>
          <w:color w:val="3A3128"/>
          <w:sz w:val="25"/>
          <w:lang w:val="pt-BR" w:bidi="ar-SA"/>
          <w:kern w:val="16"/>
          <w14:ligatures w14:val="standardContextual"/>
        </w:rPr>
        <w:t>12.17.1 PcD que exerceu atividade especial (agentes nocivos)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segurado com deficiência que também exerceu atividade em condições especiais (exposição a agentes nocivos, conforme Capítulo 8) enfrenta uma vedação importante: o art. 70-F do Decreto 3.048/99 (incluído pelo Decreto 8.145/2013) proíbe a cumulação da redução de TC por deficiência (LC 142) com a redução por atividade especial (art. 57, Lei 8.213) no mesmo período contributivo. A vedação de cumulação justifica-se porque ambos os mecanismos de redução de tempo de contribuição visam compensar desvantagens distintas, e sua sobreposição configuraria duplo benefício normativo sobre o mesmo fato gerador.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Isso significa que, se o segurado PcD trabalhou por 15 anos exposto a agentes nocivos, esses 15 anos não podem ser simultaneamente contados com redução por deficiência e com redução por atividade especial. O segurado deve optar pela via mais vantajosa: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Opção 1 — Aposentadoria especial (Cap. 8):</w:t>
      </w:r>
      <w:r>
        <w:rPr>
          <w:rFonts w:ascii="EB Garamond" w:hAnsi="EB Garamond" w:cs="EB Garamond"/>
          <w:b w:val="0"/>
          <w:i w:val="0"/>
          <w:color w:val="201B16"/>
          <w:sz w:val="21"/>
          <w:lang w:val="pt-BR" w:bidi="ar-SA"/>
          <w:kern w:val="16"/>
          <w14:ligatures w14:val="standardContextual"/>
        </w:rPr>
        <w:t xml:space="preserve"> converter o tempo especial (fator 1,40 para 25→35 anos) e somar ao tempo comum, buscando a aposentadoria especial (que exigia idade mínima após a EC 103/2019, requisito declarado inconstitucional pelo STF na ADI 6.309, j. 03/06/2026).</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Opção 2 — Aposentadoria PcD (LC 142):</w:t>
      </w:r>
      <w:r>
        <w:rPr>
          <w:rFonts w:ascii="EB Garamond" w:hAnsi="EB Garamond" w:cs="EB Garamond"/>
          <w:b w:val="0"/>
          <w:i w:val="0"/>
          <w:color w:val="201B16"/>
          <w:sz w:val="21"/>
          <w:lang w:val="pt-BR" w:bidi="ar-SA"/>
          <w:kern w:val="16"/>
          <w14:ligatures w14:val="standardContextual"/>
        </w:rPr>
        <w:t xml:space="preserve"> utilizar a redução por deficiência e somar o tempo sem aplicar a conversão especial.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escolha depende do caso concreto: se o segurado tem mais tempo de atividade especial do que de deficiência, a aposentadoria especial pode ser mais vantajosa; se tem mais tempo com deficiência (mesmo em atividade não especial), a aposentadoria da PcD tende a ser mais favorável.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PcD + atividade especial: vedação de cumulação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segurado PcD que exerceu atividade especial NÃO pode somar ambas as reduções no mesmo período. Deve escolher uma das vias: - Conversão especial (Cap. 8) OU redução por deficiência (LC 142), nunca ambas no mesmo período. - Em períodos distintos, a regra se aplica separadamente: período com atividade especial pode ser convertido; período com deficiência (sem atividade especial) pode ser contado com redução PcD. - A análise comparativa é indispensável para orientar o cliente corretamente.</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12.17.2 PcD contribuinte individual e MEI</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aposentadoria da PcD exige contribuições previdenciárias, o que levanta questões específicas para contribuintes individuais e MEI (Microempreendedor Individual):</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MEI com plano simplificado (5%):</w:t>
      </w:r>
      <w:r>
        <w:rPr>
          <w:rFonts w:ascii="EB Garamond" w:hAnsi="EB Garamond" w:cs="EB Garamond"/>
          <w:b w:val="0"/>
          <w:i w:val="0"/>
          <w:color w:val="201B16"/>
          <w:sz w:val="21"/>
          <w:lang w:val="pt-BR" w:bidi="ar-SA"/>
          <w:kern w:val="16"/>
          <w14:ligatures w14:val="standardContextual"/>
        </w:rPr>
        <w:t xml:space="preserve"> O MEI que contribui com 5% sobre o salário-mínimo tem direito apenas à aposentadoria por idade (art. 21, § 2º, Lei 8.212/91). Consequentemente, o MEI com deficiência que contribui apenas com 5% NÃO tem direito à aposentadoria por TC da PcD (art. 3º, I-III, LC 142), pois as contribuições pelo plano simplificado não geram direito a aposentadoria por TC. Porém, tem direito à aposentadoria por idade da PcD (art. 3º, IV) ao atingir 60H/55M com 15 anos de contribuição.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Complementação de contribuição:</w:t>
      </w:r>
      <w:r>
        <w:rPr>
          <w:rFonts w:ascii="EB Garamond" w:hAnsi="EB Garamond" w:cs="EB Garamond"/>
          <w:b w:val="0"/>
          <w:i w:val="0"/>
          <w:color w:val="201B16"/>
          <w:sz w:val="21"/>
          <w:lang w:val="pt-BR" w:bidi="ar-SA"/>
          <w:kern w:val="16"/>
          <w14:ligatures w14:val="standardContextual"/>
        </w:rPr>
        <w:t xml:space="preserve"> O MEI pode complementar suas contribuições com a diferença entre 5% e 20% sobre o salário-mínimo (art. 21, § 3º, Lei 8.212), passando a ter direito à aposentadoria por TC — e, consequentemente, à aposentadoria por TC da PcD. A complementação deve ser feita mediante GPS com código específico.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Contribuinte individual com plano normal (20%):</w:t>
      </w:r>
      <w:r>
        <w:rPr>
          <w:rFonts w:ascii="EB Garamond" w:hAnsi="EB Garamond" w:cs="EB Garamond"/>
          <w:b w:val="0"/>
          <w:i w:val="0"/>
          <w:color w:val="201B16"/>
          <w:sz w:val="21"/>
          <w:lang w:val="pt-BR" w:bidi="ar-SA"/>
          <w:kern w:val="16"/>
          <w14:ligatures w14:val="standardContextual"/>
        </w:rPr>
        <w:t xml:space="preserve"> O contribuinte individual que recolhe com alíquota de 20% tem acesso pleno à aposentadoria por TC da PcD, nas mesmas condições que o segurado empregado.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Contribuinte individual com plano simplificado (11%):</w:t>
      </w:r>
      <w:r>
        <w:rPr>
          <w:rFonts w:ascii="EB Garamond" w:hAnsi="EB Garamond" w:cs="EB Garamond"/>
          <w:b w:val="0"/>
          <w:i w:val="0"/>
          <w:color w:val="201B16"/>
          <w:sz w:val="21"/>
          <w:lang w:val="pt-BR" w:bidi="ar-SA"/>
          <w:kern w:val="16"/>
          <w14:ligatures w14:val="standardContextual"/>
        </w:rPr>
        <w:t xml:space="preserve"> Assim como o MEI, contribuições de 11% geram direito apenas à aposentadoria por idade. A PcD contribuinte individual com plano simplificado pode acessar a aposentadoria por idade da PcD, mas não a aposentadoria por TC da PcD, salvo complementação.</w:t>
      </w:r>
    </w:p>
    <w:p>
      <w:pPr>
        <w:spacing w:before="260" w:after="80" w:line="240" w:lineRule="auto"/>
        <w:jc w:val="left"/>
      </w:pPr>
      <w:r>
        <w:rPr>
          <w:rFonts w:ascii="EB Garamond" w:hAnsi="EB Garamond" w:cs="EB Garamond"/>
          <w:b/>
          <w:i w:val="0"/>
          <w:color w:val="3A3128"/>
          <w:sz w:val="25"/>
          <w:lang w:val="pt-BR" w:bidi="ar-SA"/>
          <w:kern w:val="16"/>
          <w14:ligatures w14:val="standardContextual"/>
        </w:rPr>
        <w:t>12.17.3 PcD com deficiência intermitente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C</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ondições como transtornos mentais graves (esquizofrenia, transtorno bipolar), doenças autoimunes com remissões e recaídas (lúpus, esclerose múltipla) e epilepsia podem apresentar caráter intermitente — períodos de funcionalidade relativamente preservada alternados com períodos de grave comprometimento funcional.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LC 142 não trata explicitamente da deficiência intermitente, mas a interpretação sistemática sugere que: (a) se o impedimento é de longo prazo (duração mínima de 2 anos), a intermitência não descaracteriza a deficiência; (b) a avaliação biopsicossocial deve considerar o padrão geral de funcionalidade, e não apenas o estado no momento da perícia; (c) os períodos de remissão não transformam o segurado em pessoa sem deficiência se a condição subjacente persiste.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prova da deficiência intermitente é especialmente desafiadora: o segurado deve apresentar histórico médico que documente tanto os períodos de crise quanto os de remissão, demonstrando o padrão de longo prazo da condição. A perícia judicial deve ser realizada com atenção ao prognóstico e à evolução temporal, e não apenas ao estado pontual.</w:t>
      </w:r>
    </w:p>
    <w:p>
      <w:pPr>
        <w:spacing w:before="260" w:after="80" w:line="240" w:lineRule="auto"/>
        <w:jc w:val="left"/>
      </w:pPr>
      <w:r>
        <w:rPr>
          <w:rFonts w:ascii="EB Garamond" w:hAnsi="EB Garamond" w:cs="EB Garamond"/>
          <w:b/>
          <w:i w:val="0"/>
          <w:color w:val="3A3128"/>
          <w:sz w:val="25"/>
          <w:lang w:val="pt-BR" w:bidi="ar-SA"/>
          <w:kern w:val="16"/>
          <w14:ligatures w14:val="standardContextual"/>
        </w:rPr>
        <w:t>12.17.4 Acumulação com outros benefícios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aposentadoria da PcD segue as regras gerais de acumulação de benefícios previdenciários: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Aposentadoria PcD + pensão por morte:</w:t>
      </w:r>
      <w:r>
        <w:rPr>
          <w:rFonts w:ascii="EB Garamond" w:hAnsi="EB Garamond" w:cs="EB Garamond"/>
          <w:b w:val="0"/>
          <w:i w:val="0"/>
          <w:color w:val="201B16"/>
          <w:sz w:val="21"/>
          <w:lang w:val="pt-BR" w:bidi="ar-SA"/>
          <w:kern w:val="16"/>
          <w14:ligatures w14:val="standardContextual"/>
        </w:rPr>
        <w:t xml:space="preserve"> A acumulação é possível, observadas as regras do art. 24 da EC 103/2019: assegura-se a integralidade do benefício de maior valor e, sobre o de menor valor, percentuais marginais e decrescentes por faixa de salário-mínimo (100% da parcela até 1 SM, 60% da parcela entre 1 e 2 SM, 40% entre 2 e 3 SM, 20% entre 3 e 4 SM e 10% da parcela que exceder 4 SM), conforme detalhado no Capítulo 19.</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Aposentadoria PcD + auxílio-acidente:</w:t>
      </w:r>
      <w:r>
        <w:rPr>
          <w:rFonts w:ascii="EB Garamond" w:hAnsi="EB Garamond" w:cs="EB Garamond"/>
          <w:b w:val="0"/>
          <w:i w:val="0"/>
          <w:color w:val="201B16"/>
          <w:sz w:val="21"/>
          <w:lang w:val="pt-BR" w:bidi="ar-SA"/>
          <w:kern w:val="16"/>
          <w14:ligatures w14:val="standardContextual"/>
        </w:rPr>
        <w:t xml:space="preserve"> O auxílio-acidente (art. 86, Lei 8.213/91) cessa com a aposentadoria (art. 86, § 3º). Contudo, o valor do auxílio-acidente é incorporado ao salário de contribuição para cálculo da aposentadoria.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Aposentadoria PcD + BPC:</w:t>
      </w:r>
      <w:r>
        <w:rPr>
          <w:rFonts w:ascii="EB Garamond" w:hAnsi="EB Garamond" w:cs="EB Garamond"/>
          <w:b w:val="0"/>
          <w:i w:val="0"/>
          <w:color w:val="201B16"/>
          <w:sz w:val="21"/>
          <w:lang w:val="pt-BR" w:bidi="ar-SA"/>
          <w:kern w:val="16"/>
          <w14:ligatures w14:val="standardContextual"/>
        </w:rPr>
        <w:t xml:space="preserve"> Vedada. O BPC não é acumulável com qualquer benefício previdenciário (art. 20, § 4º, Lei 8.742/93).</w:t>
      </w:r>
    </w:p>
    <w:p>
      <w:pPr>
        <w:spacing w:before="260" w:after="80" w:line="240" w:lineRule="auto"/>
        <w:jc w:val="left"/>
      </w:pPr>
      <w:r>
        <w:rPr>
          <w:rFonts w:ascii="EB Garamond" w:hAnsi="EB Garamond" w:cs="EB Garamond"/>
          <w:b/>
          <w:i w:val="0"/>
          <w:color w:val="3A3128"/>
          <w:sz w:val="25"/>
          <w:lang w:val="pt-BR" w:bidi="ar-SA"/>
          <w:kern w:val="16"/>
          <w14:ligatures w14:val="standardContextual"/>
        </w:rPr>
        <w:t>12.17.5 PcD servidor público que migrou para RGPS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servidor público com deficiência que migrou para o RGPS (por exemplo, ao assumir emprego celetista após exoneração) pode utilizar a contagem recíproca (art. 94, Lei 8.213/91 — detalhado no Capítulo 5) para somar o tempo de serviço público ao tempo de contribuição ao RGPS e requerer a aposentadoria da PcD pela LC 142. A conversão do tempo entre graus de deficiência (art. 7º, LC 142) aplica-se normalmente, considerando o grau vigente em cada período.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Cabe observar que, no RPPS, o art. 40, § 4º-A, da CF (incluído pela EC 103/2019) reserva à lei complementar a definição de critérios diferenciados de aposentadoria para servidores com deficiência, lei que ainda não foi editada. A própria Emenda, porém, supriu a lacuna para o servidor público federal: o art. 22 da EC 103/2019 determina que, até que lei discipline o § 4º-A do art. 40, a aposentadoria do servidor federal com deficiência será concedida na forma da LC 142/2013, inclusive quanto aos critérios de cálculo, desde que cumpridos dez anos de efetivo exercício no serviço público e cinco anos no cargo efetivo. Para os servidores dos Estados, do Distrito Federal e dos Municípios, aplicam-se as normas anteriores à Emenda enquanto não alterada a legislação de cada ente (art. 22, parágrafo único). O advogado deve atentar para essa distinção entre RGPS (LC 142 de aplicação direta) e RPPS (LC 142 aplicável ao servidor federal por força do art. 22 da EC 103/2019, e regimes locais dependentes da lei de cada ente).</w:t>
      </w:r>
    </w:p>
    <w:p>
      <w:pPr>
        <w:spacing w:before="260" w:after="80" w:line="240" w:lineRule="auto"/>
        <w:jc w:val="left"/>
      </w:pPr>
      <w:r>
        <w:rPr>
          <w:rFonts w:ascii="EB Garamond" w:hAnsi="EB Garamond" w:cs="EB Garamond"/>
          <w:b/>
          <w:i w:val="0"/>
          <w:color w:val="3A3128"/>
          <w:sz w:val="25"/>
          <w:lang w:val="pt-BR" w:bidi="ar-SA"/>
          <w:kern w:val="16"/>
          <w14:ligatures w14:val="standardContextual"/>
        </w:rPr>
        <w:t>12.17.6 Deficiência e trabalho informal: implicações para a PcD</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segurado PcD que exerceu atividade laborativa informal (sem registro em CTPS, sem contribuições) enfrenta duplo desafio: (a) comprovar o exercício da atividade para fins de cômputo de tempo de contribuição (conforme seção 5.7 do Capítulo 5); e (b) comprovar a existência da deficiência durante o período de trabalho informal.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a ausência de contribuições regulares impede o cômputo do tempo para fins de aposentadoria por TC da PcD — exceto nos casos em que o INSS reconheça o vínculo empregatício retroativamente (ação trabalhista ou reclamatória administrativa) ou quando o segurado complemente as contribuições em atraso (para contribuintes individuais e facultativos, nos termos do art. 45-A, Lei 8.212/91).</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o segurado PcD com histórico de trabalho informal extenso e poucas contribuições, a aposentadoria por idade da PcD (art. 3º, IV) pode ser mais acessível, exigindo apenas 15 anos de carência, ou o BPC pode ser a via adequada (se preenchido o requisito de miserabilidade).</w:t>
      </w:r>
    </w:p>
    <w:p>
      <w:pPr>
        <w:spacing w:before="260" w:after="80" w:line="240" w:lineRule="auto"/>
        <w:jc w:val="left"/>
      </w:pPr>
      <w:r>
        <w:rPr>
          <w:rFonts w:ascii="EB Garamond" w:hAnsi="EB Garamond" w:cs="EB Garamond"/>
          <w:b/>
          <w:i w:val="0"/>
          <w:color w:val="3A3128"/>
          <w:sz w:val="25"/>
          <w:lang w:val="pt-BR" w:bidi="ar-SA"/>
          <w:kern w:val="16"/>
          <w14:ligatures w14:val="standardContextual"/>
        </w:rPr>
        <w:t>12.17.7 Planejamento previdenciário para a PcD</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V</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istas as hipóteses de fronteira, a síntese natural é o planejamento. Se há um terreno em que a aposentadoria da PcD se distingue das demais — pela quantidade de vias concorrentes (TC por grau, idade, BPC, benefício por incapacidade) e pela mutabilidade do próprio grau ao longo do tempo —, é o do planejamento previdenciário, que aqui deixa de ser exercício acessório para tornar-se o cerne da orientação. Não basta identificar o benefício a que o segurado tem direito hoje; é preciso projetar qual via lhe será mais vantajosa amanhã, ponderando variáveis que interagem entre si:</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Variáveis a considerar:</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1. </w:t>
      </w:r>
      <w:r>
        <w:rPr>
          <w:rFonts w:ascii="EB Garamond" w:hAnsi="EB Garamond" w:cs="EB Garamond"/>
          <w:b w:val="0"/>
          <w:i w:val="0"/>
          <w:color w:val="201B16"/>
          <w:sz w:val="20"/>
          <w:lang w:val="pt-BR" w:bidi="ar-SA"/>
          <w:kern w:val="16"/>
          <w14:ligatures w14:val="standardContextual"/>
        </w:rPr>
        <w:t>Grau de deficiência atual e perspectiva de alteração (melhora ou piora)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2. </w:t>
      </w:r>
      <w:r>
        <w:rPr>
          <w:rFonts w:ascii="EB Garamond" w:hAnsi="EB Garamond" w:cs="EB Garamond"/>
          <w:b w:val="0"/>
          <w:i w:val="0"/>
          <w:color w:val="201B16"/>
          <w:sz w:val="20"/>
          <w:lang w:val="pt-BR" w:bidi="ar-SA"/>
          <w:kern w:val="16"/>
          <w14:ligatures w14:val="standardContextual"/>
        </w:rPr>
        <w:t>Tempo de contribuição já cumprido e contribuições em andamento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3. </w:t>
      </w:r>
      <w:r>
        <w:rPr>
          <w:rFonts w:ascii="EB Garamond" w:hAnsi="EB Garamond" w:cs="EB Garamond"/>
          <w:b w:val="0"/>
          <w:i w:val="0"/>
          <w:color w:val="201B16"/>
          <w:sz w:val="20"/>
          <w:lang w:val="pt-BR" w:bidi="ar-SA"/>
          <w:kern w:val="16"/>
          <w14:ligatures w14:val="standardContextual"/>
        </w:rPr>
        <w:t>Forma de contribuição (empregado, CI, MEI, facultativo)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4. </w:t>
      </w:r>
      <w:r>
        <w:rPr>
          <w:rFonts w:ascii="EB Garamond" w:hAnsi="EB Garamond" w:cs="EB Garamond"/>
          <w:b w:val="0"/>
          <w:i w:val="0"/>
          <w:color w:val="201B16"/>
          <w:sz w:val="20"/>
          <w:lang w:val="pt-BR" w:bidi="ar-SA"/>
          <w:kern w:val="16"/>
          <w14:ligatures w14:val="standardContextual"/>
        </w:rPr>
        <w:t>Idade atual e idade projetada para aposentadoria por cada via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5. </w:t>
      </w:r>
      <w:r>
        <w:rPr>
          <w:rFonts w:ascii="EB Garamond" w:hAnsi="EB Garamond" w:cs="EB Garamond"/>
          <w:b w:val="0"/>
          <w:i w:val="0"/>
          <w:color w:val="201B16"/>
          <w:sz w:val="20"/>
          <w:lang w:val="pt-BR" w:bidi="ar-SA"/>
          <w:kern w:val="16"/>
          <w14:ligatures w14:val="standardContextual"/>
        </w:rPr>
        <w:t>Média salarial e projeção da RMI em cada cenário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6. </w:t>
      </w:r>
      <w:r>
        <w:rPr>
          <w:rFonts w:ascii="EB Garamond" w:hAnsi="EB Garamond" w:cs="EB Garamond"/>
          <w:b w:val="0"/>
          <w:i w:val="0"/>
          <w:color w:val="201B16"/>
          <w:sz w:val="20"/>
          <w:lang w:val="pt-BR" w:bidi="ar-SA"/>
          <w:kern w:val="16"/>
          <w14:ligatures w14:val="standardContextual"/>
        </w:rPr>
        <w:t>Situação familiar (dependentes, necessidade de pensão por morte)</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7. </w:t>
      </w:r>
      <w:r>
        <w:rPr>
          <w:rFonts w:ascii="EB Garamond" w:hAnsi="EB Garamond" w:cs="EB Garamond"/>
          <w:b w:val="0"/>
          <w:i w:val="0"/>
          <w:color w:val="201B16"/>
          <w:sz w:val="20"/>
          <w:lang w:val="pt-BR" w:bidi="ar-SA"/>
          <w:kern w:val="16"/>
          <w14:ligatures w14:val="standardContextual"/>
        </w:rPr>
        <w:t>Possibilidade de complementação de contribuições (MEI, plano simplificado)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8. </w:t>
      </w:r>
      <w:r>
        <w:rPr>
          <w:rFonts w:ascii="EB Garamond" w:hAnsi="EB Garamond" w:cs="EB Garamond"/>
          <w:b w:val="0"/>
          <w:i w:val="0"/>
          <w:color w:val="201B16"/>
          <w:sz w:val="20"/>
          <w:lang w:val="pt-BR" w:bidi="ar-SA"/>
          <w:kern w:val="16"/>
          <w14:ligatures w14:val="standardContextual"/>
        </w:rPr>
        <w:t>Existência de período sem deficiência (conversão proporcional)</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9. </w:t>
      </w:r>
      <w:r>
        <w:rPr>
          <w:rFonts w:ascii="EB Garamond" w:hAnsi="EB Garamond" w:cs="EB Garamond"/>
          <w:b w:val="0"/>
          <w:i w:val="0"/>
          <w:color w:val="201B16"/>
          <w:sz w:val="20"/>
          <w:lang w:val="pt-BR" w:bidi="ar-SA"/>
          <w:kern w:val="16"/>
          <w14:ligatures w14:val="standardContextual"/>
        </w:rPr>
        <w:t>Existência de atividade especial (vedação de cumulação, escolha da via mais vantajosa)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10. </w:t>
      </w:r>
      <w:r>
        <w:rPr>
          <w:rFonts w:ascii="EB Garamond" w:hAnsi="EB Garamond" w:cs="EB Garamond"/>
          <w:b w:val="0"/>
          <w:i w:val="0"/>
          <w:color w:val="201B16"/>
          <w:sz w:val="20"/>
          <w:lang w:val="pt-BR" w:bidi="ar-SA"/>
          <w:kern w:val="16"/>
          <w14:ligatures w14:val="standardContextual"/>
        </w:rPr>
        <w:t>Comparativo BPC × aposentadoria PcD × aposentadoria por incapacidade</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C</w:t>
      </w:r>
    </w:p>
    <w:p>
      <w:pPr>
        <w:spacing w:before="0" w:after="70" w:line="259" w:lineRule="auto"/>
        <w:jc w:val="both"/>
      </w:pPr>
      <w:r>
        <w:rPr>
          <w:rFonts w:ascii="EB Garamond" w:hAnsi="EB Garamond" w:cs="EB Garamond"/>
          <w:b/>
          <w:i w:val="0"/>
          <w:color w:val="201B16"/>
          <w:sz w:val="21"/>
          <w:lang w:val="pt-BR" w:bidi="ar-SA"/>
          <w:kern w:val="16"/>
          <w14:ligatures w14:val="standardContextual"/>
        </w:rPr>
        <w:t>enários comparativos que o advogado deve projetar:</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Cenário A — Aposentadoria por TC da PcD (grau grave):</w:t>
      </w:r>
      <w:r>
        <w:rPr>
          <w:rFonts w:ascii="EB Garamond" w:hAnsi="EB Garamond" w:cs="EB Garamond"/>
          <w:b w:val="0"/>
          <w:i w:val="0"/>
          <w:color w:val="201B16"/>
          <w:sz w:val="21"/>
          <w:lang w:val="pt-BR" w:bidi="ar-SA"/>
          <w:kern w:val="16"/>
          <w14:ligatures w14:val="standardContextual"/>
        </w:rPr>
        <w:t xml:space="preserve"> Segurado homem, 45 anos, deficiência grave desde 20 anos. TC = 25 anos. Pode se aposentar imediatamente. RMI = 100% SB (estimativa: R$ 4.200,00). Sem fator previdenciário. Benefício definitivo.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Cenário B — Aposentadoria por TC da PcD (grau moderado):</w:t>
      </w:r>
      <w:r>
        <w:rPr>
          <w:rFonts w:ascii="EB Garamond" w:hAnsi="EB Garamond" w:cs="EB Garamond"/>
          <w:b w:val="0"/>
          <w:i w:val="0"/>
          <w:color w:val="201B16"/>
          <w:sz w:val="21"/>
          <w:lang w:val="pt-BR" w:bidi="ar-SA"/>
          <w:kern w:val="16"/>
          <w14:ligatures w14:val="standardContextual"/>
        </w:rPr>
        <w:t xml:space="preserve"> Mesmo segurado, se reclassificado como moderado na avaliação. TC mínimo = 29 anos. Faltam 4 anos. RMI = 100% SB (estimativa: R$ 4.200,00 + contribuições adicionais). Mais vantajosa a longo prazo se a média salarial subir, mas exige 4 anos adicionais de contribuição.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Cenário C — Aposentadoria por idade da PcD:</w:t>
      </w:r>
      <w:r>
        <w:rPr>
          <w:rFonts w:ascii="EB Garamond" w:hAnsi="EB Garamond" w:cs="EB Garamond"/>
          <w:b w:val="0"/>
          <w:i w:val="0"/>
          <w:color w:val="201B16"/>
          <w:sz w:val="21"/>
          <w:lang w:val="pt-BR" w:bidi="ar-SA"/>
          <w:kern w:val="16"/>
          <w14:ligatures w14:val="standardContextual"/>
        </w:rPr>
        <w:t xml:space="preserve"> Mesmo segurado, aos 60 anos (15 anos depois). RMI = 70% + 40% (40 anos contribuição) = 100% SB. Equivalente ao cenário A em valor, mas 15 anos depois. Só indicada se o grau de deficiência não for reconhecido para TC.</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Cenário D — BPC:</w:t>
      </w:r>
      <w:r>
        <w:rPr>
          <w:rFonts w:ascii="EB Garamond" w:hAnsi="EB Garamond" w:cs="EB Garamond"/>
          <w:b w:val="0"/>
          <w:i w:val="0"/>
          <w:color w:val="201B16"/>
          <w:sz w:val="21"/>
          <w:lang w:val="pt-BR" w:bidi="ar-SA"/>
          <w:kern w:val="16"/>
          <w14:ligatures w14:val="standardContextual"/>
        </w:rPr>
        <w:t xml:space="preserve"> Se o segurado perdesse a capacidade laboral e não tivesse contribuições. Valor: 1 SM (R$ 1.621,00). Sem 13º. Sem pensão por morte. Significativamente inferior.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análise comparativa deve ser documentada e apresentada ao cliente de forma clara, permitindo decisão informada sobre a via de aposentadoria mais adequada ao seu caso concreto.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Armadilhas comuns na aposentadoria da PcD</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1. </w:t>
            </w:r>
            <w:r>
              <w:rPr>
                <w:rFonts w:ascii="EB Garamond" w:hAnsi="EB Garamond" w:cs="EB Garamond"/>
                <w:b/>
                <w:i w:val="0"/>
                <w:color w:val="201B16"/>
                <w:sz w:val="19"/>
                <w:lang w:val="pt-BR" w:bidi="ar-SA"/>
                <w:kern w:val="16"/>
                <w14:ligatures w14:val="standardContextual"/>
              </w:rPr>
              <w:t>Confundir deficiência com incapacidade:</w:t>
            </w:r>
            <w:r>
              <w:rPr>
                <w:rFonts w:ascii="EB Garamond" w:hAnsi="EB Garamond" w:cs="EB Garamond"/>
                <w:b w:val="0"/>
                <w:i w:val="0"/>
                <w:color w:val="201B16"/>
                <w:sz w:val="19"/>
                <w:lang w:val="pt-BR" w:bidi="ar-SA"/>
                <w:kern w:val="16"/>
                <w14:ligatures w14:val="standardContextual"/>
              </w:rPr>
              <w:t xml:space="preserve"> O INSS por vezes encaminha o requerimento de aposentadoria PcD para perícia de incapacidade, resultando em indeferimento por "ausência de incapacidade". A deficiência não exige incapacidade laboral.</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2. </w:t>
            </w:r>
            <w:r>
              <w:rPr>
                <w:rFonts w:ascii="EB Garamond" w:hAnsi="EB Garamond" w:cs="EB Garamond"/>
                <w:b/>
                <w:i w:val="0"/>
                <w:color w:val="201B16"/>
                <w:sz w:val="19"/>
                <w:lang w:val="pt-BR" w:bidi="ar-SA"/>
                <w:kern w:val="16"/>
                <w14:ligatures w14:val="standardContextual"/>
              </w:rPr>
              <w:t>Não requerer avaliação biopsicossocial completa:</w:t>
            </w:r>
            <w:r>
              <w:rPr>
                <w:rFonts w:ascii="EB Garamond" w:hAnsi="EB Garamond" w:cs="EB Garamond"/>
                <w:b w:val="0"/>
                <w:i w:val="0"/>
                <w:color w:val="201B16"/>
                <w:sz w:val="19"/>
                <w:lang w:val="pt-BR" w:bidi="ar-SA"/>
                <w:kern w:val="16"/>
                <w14:ligatures w14:val="standardContextual"/>
              </w:rPr>
              <w:t xml:space="preserve"> Se o INSS realizar apenas perícia médica (sem avaliação social), o resultado é incompleto. O segurado deve exigir as duas avaliações.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3. </w:t>
            </w:r>
            <w:r>
              <w:rPr>
                <w:rFonts w:ascii="EB Garamond" w:hAnsi="EB Garamond" w:cs="EB Garamond"/>
                <w:b/>
                <w:i w:val="0"/>
                <w:color w:val="201B16"/>
                <w:sz w:val="19"/>
                <w:lang w:val="pt-BR" w:bidi="ar-SA"/>
                <w:kern w:val="16"/>
                <w14:ligatures w14:val="standardContextual"/>
              </w:rPr>
              <w:t>Contribuir pelo plano simplificado (11%) ou como MEI (5%) sem saber que não gera direito a aposentadoria por TC:</w:t>
            </w:r>
            <w:r>
              <w:rPr>
                <w:rFonts w:ascii="EB Garamond" w:hAnsi="EB Garamond" w:cs="EB Garamond"/>
                <w:b w:val="0"/>
                <w:i w:val="0"/>
                <w:color w:val="201B16"/>
                <w:sz w:val="19"/>
                <w:lang w:val="pt-BR" w:bidi="ar-SA"/>
                <w:kern w:val="16"/>
                <w14:ligatures w14:val="standardContextual"/>
              </w:rPr>
              <w:t xml:space="preserve"> O segurado PcD que contribui por essas modalidades só terá direito à aposentadoria por idade PcD, não por TC.</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4. </w:t>
            </w:r>
            <w:r>
              <w:rPr>
                <w:rFonts w:ascii="EB Garamond" w:hAnsi="EB Garamond" w:cs="EB Garamond"/>
                <w:b/>
                <w:i w:val="0"/>
                <w:color w:val="201B16"/>
                <w:sz w:val="19"/>
                <w:lang w:val="pt-BR" w:bidi="ar-SA"/>
                <w:kern w:val="16"/>
                <w14:ligatures w14:val="standardContextual"/>
              </w:rPr>
              <w:t>Não documentar a data de início da deficiência:</w:t>
            </w:r>
            <w:r>
              <w:rPr>
                <w:rFonts w:ascii="EB Garamond" w:hAnsi="EB Garamond" w:cs="EB Garamond"/>
                <w:b w:val="0"/>
                <w:i w:val="0"/>
                <w:color w:val="201B16"/>
                <w:sz w:val="19"/>
                <w:lang w:val="pt-BR" w:bidi="ar-SA"/>
                <w:kern w:val="16"/>
                <w14:ligatures w14:val="standardContextual"/>
              </w:rPr>
              <w:t xml:space="preserve"> Laudos médicos antigos, relatórios escolares, prontuários hospitalares, qualquer documento que comprove a existência da deficiência em data anterior deve ser preservado.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5. </w:t>
            </w:r>
            <w:r>
              <w:rPr>
                <w:rFonts w:ascii="EB Garamond" w:hAnsi="EB Garamond" w:cs="EB Garamond"/>
                <w:b/>
                <w:i w:val="0"/>
                <w:color w:val="201B16"/>
                <w:sz w:val="19"/>
                <w:lang w:val="pt-BR" w:bidi="ar-SA"/>
                <w:kern w:val="16"/>
                <w14:ligatures w14:val="standardContextual"/>
              </w:rPr>
              <w:t>Não fazer pedido alternativo em juízo:</w:t>
            </w:r>
            <w:r>
              <w:rPr>
                <w:rFonts w:ascii="EB Garamond" w:hAnsi="EB Garamond" w:cs="EB Garamond"/>
                <w:b w:val="0"/>
                <w:i w:val="0"/>
                <w:color w:val="201B16"/>
                <w:sz w:val="19"/>
                <w:lang w:val="pt-BR" w:bidi="ar-SA"/>
                <w:kern w:val="16"/>
                <w14:ligatures w14:val="standardContextual"/>
              </w:rPr>
              <w:t xml:space="preserve"> A petição inicial deve sempre incluir pedidos subsidiários (TC PcD + idade PcD + BPC + benefício por incapacidade, conforme o caso).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6. </w:t>
            </w:r>
            <w:r>
              <w:rPr>
                <w:rFonts w:ascii="EB Garamond" w:hAnsi="EB Garamond" w:cs="EB Garamond"/>
                <w:b/>
                <w:i w:val="0"/>
                <w:color w:val="201B16"/>
                <w:sz w:val="19"/>
                <w:lang w:val="pt-BR" w:bidi="ar-SA"/>
                <w:kern w:val="16"/>
                <w14:ligatures w14:val="standardContextual"/>
              </w:rPr>
              <w:t>Ignorar a conversão proporcional:</w:t>
            </w:r>
            <w:r>
              <w:rPr>
                <w:rFonts w:ascii="EB Garamond" w:hAnsi="EB Garamond" w:cs="EB Garamond"/>
                <w:b w:val="0"/>
                <w:i w:val="0"/>
                <w:color w:val="201B16"/>
                <w:sz w:val="19"/>
                <w:lang w:val="pt-BR" w:bidi="ar-SA"/>
                <w:kern w:val="16"/>
                <w14:ligatures w14:val="standardContextual"/>
              </w:rPr>
              <w:t xml:space="preserve"> Se o segurado adquiriu deficiência após anos de contribuição sem deficiência, o tempo anterior pode ser convertido, mas o segurado (e seu advogado) deve requerer expressamente a conversão.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7. </w:t>
            </w:r>
            <w:r>
              <w:rPr>
                <w:rFonts w:ascii="EB Garamond" w:hAnsi="EB Garamond" w:cs="EB Garamond"/>
                <w:b/>
                <w:i w:val="0"/>
                <w:color w:val="201B16"/>
                <w:sz w:val="19"/>
                <w:lang w:val="pt-BR" w:bidi="ar-SA"/>
                <w:kern w:val="16"/>
                <w14:ligatures w14:val="standardContextual"/>
              </w:rPr>
              <w:t>Desistir do benefício por causa do indeferimento administrativo:</w:t>
            </w:r>
            <w:r>
              <w:rPr>
                <w:rFonts w:ascii="EB Garamond" w:hAnsi="EB Garamond" w:cs="EB Garamond"/>
                <w:b w:val="0"/>
                <w:i w:val="0"/>
                <w:color w:val="201B16"/>
                <w:sz w:val="19"/>
                <w:lang w:val="pt-BR" w:bidi="ar-SA"/>
                <w:kern w:val="16"/>
                <w14:ligatures w14:val="standardContextual"/>
              </w:rPr>
              <w:t xml:space="preserve"> O INSS tem alto índice de indeferimento de aposentadorias PcD por questões de avaliação do grau. A via judicial frequentemente reverte o resultado.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8. </w:t>
            </w:r>
            <w:r>
              <w:rPr>
                <w:rFonts w:ascii="EB Garamond" w:hAnsi="EB Garamond" w:cs="EB Garamond"/>
                <w:b/>
                <w:i w:val="0"/>
                <w:color w:val="201B16"/>
                <w:sz w:val="19"/>
                <w:lang w:val="pt-BR" w:bidi="ar-SA"/>
                <w:kern w:val="16"/>
                <w14:ligatures w14:val="standardContextual"/>
              </w:rPr>
              <w:t>Não verificar se o fator previdenciário é vantajoso:</w:t>
            </w:r>
            <w:r>
              <w:rPr>
                <w:rFonts w:ascii="EB Garamond" w:hAnsi="EB Garamond" w:cs="EB Garamond"/>
                <w:b w:val="0"/>
                <w:i w:val="0"/>
                <w:color w:val="201B16"/>
                <w:sz w:val="19"/>
                <w:lang w:val="pt-BR" w:bidi="ar-SA"/>
                <w:kern w:val="16"/>
                <w14:ligatures w14:val="standardContextual"/>
              </w:rPr>
              <w:t xml:space="preserve"> Em raros casos, segurados PcD com TC muito superior ao mínimo e idade avançada podem ter fator &gt; 1,0. A não verificação implica perda de valor.</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12.18 Síntese e tabelas de consulta rápida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E</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xaminamos, ao longo deste capítulo, a aposentadoria da pessoa com deficiência no RGPS, regulada pela LC 142/2013, desde seu fundamento constitucional até os aspectos processuais nos JEFs. Reunimos a seguir as tabelas e ferramentas de consulta rápida que sintetizam os pontos essenciais e que pretendem servir de roteiro objetivo para a atuação cotidiana.</w:t>
      </w:r>
    </w:p>
    <w:p>
      <w:pPr>
        <w:spacing w:before="260" w:after="80" w:line="240" w:lineRule="auto"/>
        <w:jc w:val="left"/>
      </w:pPr>
      <w:r>
        <w:rPr>
          <w:rFonts w:ascii="EB Garamond" w:hAnsi="EB Garamond" w:cs="EB Garamond"/>
          <w:b/>
          <w:i w:val="0"/>
          <w:color w:val="3A3128"/>
          <w:sz w:val="25"/>
          <w:lang w:val="pt-BR" w:bidi="ar-SA"/>
          <w:kern w:val="16"/>
          <w14:ligatures w14:val="standardContextual"/>
        </w:rPr>
        <w:t>12.18.1 Tabela-resumo das duas modalidades</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Aspecto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Aposentadoria por TC da PcD (art. 3º, I-III)</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Aposentadoria por idade da PcD (art. 3º, IV)</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TC mínimo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Grave: 25H/20M; Moderada: 29H/24M; Leve: 33H/28M</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15 anos</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Idade mínima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 exige</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60H/55M</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Carência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180 contribuições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180 contribuições</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Grau de deficiência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Determinante (define TC)</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Irrelevante (basta existência)</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Coeficiente</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 do SB</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70% + 1% por grupo de 12 contribuições</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Fator previdenciário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Somente se vantajoso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Somente se vantajoso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Base de cálculo (pós-EC 103)</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Média de 100% dos SC</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Média de 100% dos SC</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Mantida pela EC 103, art. 22</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SIM</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SIM</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12.18.2 Tabela de fatores de conversão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H</w:t>
      </w:r>
    </w:p>
    <w:p>
      <w:pPr>
        <w:spacing w:before="0" w:after="70" w:line="259" w:lineRule="auto"/>
        <w:jc w:val="both"/>
      </w:pPr>
      <w:r>
        <w:rPr>
          <w:rFonts w:ascii="EB Garamond" w:hAnsi="EB Garamond" w:cs="EB Garamond"/>
          <w:b/>
          <w:i w:val="0"/>
          <w:color w:val="201B16"/>
          <w:sz w:val="21"/>
          <w:lang w:val="pt-BR" w:bidi="ar-SA"/>
          <w:kern w:val="16"/>
          <w14:ligatures w14:val="standardContextual"/>
        </w:rPr>
        <w:t>omens (TC base em anos):</w:t>
      </w:r>
    </w:p>
    <w:tbl>
      <w:tblPr>
        <w:tblW w:type="auto" w:w="0"/>
        <w:jc w:val="center"/>
        <w:tblLook w:firstColumn="1" w:firstRow="1" w:lastColumn="0" w:lastRow="0" w:noHBand="0" w:noVBand="1" w:val="04A0"/>
        <w:tblW w:w="5000" w:type="pct"/>
      </w:tblPr>
      <w:tblGrid>
        <w:gridCol w:w="1270"/>
        <w:gridCol w:w="1270"/>
        <w:gridCol w:w="1270"/>
        <w:gridCol w:w="1270"/>
        <w:gridCol w:w="1270"/>
      </w:tblGrid>
      <w:tr>
        <w:trPr>
          <w:tblHeader/>
        </w:trPr>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De \ Para</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Grave (25)</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Moderada (29)</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Leve (33)</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Sem deficiência (35)</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Grave (25)</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1,16</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1,32</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1,40</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Moderada (29)</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0,86</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1,14</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1,21</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Leve (33)</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0,76</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0,88</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1,06</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Sem deficiência (35)</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0,71</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0,83</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0,94</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M</w:t>
      </w:r>
    </w:p>
    <w:p>
      <w:pPr>
        <w:spacing w:before="0" w:after="70" w:line="259" w:lineRule="auto"/>
        <w:jc w:val="both"/>
      </w:pPr>
      <w:r>
        <w:rPr>
          <w:rFonts w:ascii="EB Garamond" w:hAnsi="EB Garamond" w:cs="EB Garamond"/>
          <w:b/>
          <w:i w:val="0"/>
          <w:color w:val="201B16"/>
          <w:sz w:val="21"/>
          <w:lang w:val="pt-BR" w:bidi="ar-SA"/>
          <w:kern w:val="16"/>
          <w14:ligatures w14:val="standardContextual"/>
        </w:rPr>
        <w:t>ulheres (TC base em anos):</w:t>
      </w:r>
    </w:p>
    <w:tbl>
      <w:tblPr>
        <w:tblW w:type="auto" w:w="0"/>
        <w:jc w:val="center"/>
        <w:tblLook w:firstColumn="1" w:firstRow="1" w:lastColumn="0" w:lastRow="0" w:noHBand="0" w:noVBand="1" w:val="04A0"/>
        <w:tblW w:w="5000" w:type="pct"/>
      </w:tblPr>
      <w:tblGrid>
        <w:gridCol w:w="1270"/>
        <w:gridCol w:w="1270"/>
        <w:gridCol w:w="1270"/>
        <w:gridCol w:w="1270"/>
        <w:gridCol w:w="1270"/>
      </w:tblGrid>
      <w:tr>
        <w:trPr>
          <w:tblHeader/>
        </w:trPr>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De \ Para</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Grave (20)</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Moderada (24)</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Leve (28)</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Sem deficiência (30)</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Grave (20)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1,20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1,40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1,50</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Moderada (24)</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0,83</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1,17</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1,25</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Leve (28)</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0,71</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0,86</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1,07</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Sem deficiência (30)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0,67</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0,80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0,93</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L</w:t>
      </w:r>
    </w:p>
    <w:p>
      <w:pPr>
        <w:spacing w:before="0" w:after="70" w:line="259" w:lineRule="auto"/>
        <w:jc w:val="both"/>
      </w:pPr>
      <w:r>
        <w:rPr>
          <w:rFonts w:ascii="EB Garamond" w:hAnsi="EB Garamond" w:cs="EB Garamond"/>
          <w:b/>
          <w:i w:val="0"/>
          <w:color w:val="201B16"/>
          <w:sz w:val="21"/>
          <w:lang w:val="pt-BR" w:bidi="ar-SA"/>
          <w:kern w:val="16"/>
          <w14:ligatures w14:val="standardContextual"/>
        </w:rPr>
        <w:t>eitura da tabela (idêntica à da seção 12.7.2):</w:t>
      </w:r>
      <w:r>
        <w:rPr>
          <w:rFonts w:ascii="EB Garamond" w:hAnsi="EB Garamond" w:cs="EB Garamond"/>
          <w:b w:val="0"/>
          <w:i w:val="0"/>
          <w:color w:val="201B16"/>
          <w:sz w:val="21"/>
          <w:lang w:val="pt-BR" w:bidi="ar-SA"/>
          <w:kern w:val="16"/>
          <w14:ligatures w14:val="standardContextual"/>
        </w:rPr>
        <w:t xml:space="preserve"> para converter tempo cumprido sob a condição da LINHA (origem) para a condição da COLUNA (destino), multiplique o tempo pelo fator correspondente. Exemplo: 10 anos cumpridos com deficiência leve (linha), convertidos para o parâmetro moderada (coluna) = 10 × 0,88 = 8,80 anos.</w:t>
      </w:r>
    </w:p>
    <w:p>
      <w:pPr>
        <w:spacing w:before="260" w:after="80" w:line="240" w:lineRule="auto"/>
        <w:jc w:val="left"/>
      </w:pPr>
      <w:r>
        <w:rPr>
          <w:rFonts w:ascii="EB Garamond" w:hAnsi="EB Garamond" w:cs="EB Garamond"/>
          <w:b/>
          <w:i w:val="0"/>
          <w:color w:val="3A3128"/>
          <w:sz w:val="25"/>
          <w:lang w:val="pt-BR" w:bidi="ar-SA"/>
          <w:kern w:val="16"/>
          <w14:ligatures w14:val="standardContextual"/>
        </w:rPr>
        <w:t>12.18.3 Comparativo triplo: aposentadoria PcD × BPC × aposentadoria por incapacidade</w:t>
      </w:r>
    </w:p>
    <w:tbl>
      <w:tblPr>
        <w:tblW w:type="auto" w:w="0"/>
        <w:jc w:val="center"/>
        <w:tblLook w:firstColumn="1" w:firstRow="1" w:lastColumn="0" w:lastRow="0" w:noHBand="0" w:noVBand="1" w:val="04A0"/>
        <w:tblW w:w="5000" w:type="pct"/>
      </w:tblPr>
      <w:tblGrid>
        <w:gridCol w:w="1587"/>
        <w:gridCol w:w="1587"/>
        <w:gridCol w:w="1587"/>
        <w:gridCol w:w="1587"/>
      </w:tblGrid>
      <w:tr>
        <w:trPr>
          <w:tblHeader/>
        </w:trPr>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Aspecto</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Aposentadoria PcD (LC 142)</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BPC/LOAS (Cap. 18)</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Apos. Por incapacidade (Cap. 6)</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Natureza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Previdenciária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Assistencial</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Previdenciária</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Pressuposto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Trabalha COM deficiência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Deficiência + miserabilidade</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 pode trabalhar</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Contribuição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Sim (carência 180 meses)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Sim (carência 12 meses)</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Idade</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 (TC) ou 60H/55M (idade)</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Valor</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70-100% do SB</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 SM fixo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60%+2% (ou 100% se acidentário)</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13º salário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Sim</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Sim</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Pensão por morte</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Sim</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Sim</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Caráter</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Definitiva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Revisável (2 anos)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Cessável (recuperação)</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Fator previdenciário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Se vantajoso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Perícia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Biopsicossocial (IF-BrA)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Social (miserabilidade) + médica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Médica (capacidade laboral)</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12.18.4 Fluxograma decisório: qual benefício requerer?</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 tabelas precedentes descrevem cada benefício isoladamente; o roteiro que segue inverte a perspectiva e parte da situação concreta do segurado para indicar, por eliminação sucessiva, a via cabível. Convém lê-lo não como algoritmo rígido, mas como ordem de raciocínio: a primeira pergunta — sobre a capacidade laboral — é a que mais frequentemente separa, logo de início, o terreno da deficiência do terreno da incapacidade.</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1. </w:t>
      </w:r>
      <w:r>
        <w:rPr>
          <w:rFonts w:ascii="EB Garamond" w:hAnsi="EB Garamond" w:cs="EB Garamond"/>
          <w:b/>
          <w:i w:val="0"/>
          <w:color w:val="201B16"/>
          <w:sz w:val="20"/>
          <w:lang w:val="pt-BR" w:bidi="ar-SA"/>
          <w:kern w:val="16"/>
          <w14:ligatures w14:val="standardContextual"/>
        </w:rPr>
        <w:t>O segurado tem capacidade laboral (trabalha ou pode trabalhar)?</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NÃO → Benefício por incapacidade (Caps. 6/7). Se incapacidade total e permanente: aposentadoria por incapacidade. Se temporária: auxílio por incapacidade temporária.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SIM → Prosseguir para 2.</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2. </w:t>
      </w:r>
      <w:r>
        <w:rPr>
          <w:rFonts w:ascii="EB Garamond" w:hAnsi="EB Garamond" w:cs="EB Garamond"/>
          <w:b/>
          <w:i w:val="0"/>
          <w:color w:val="201B16"/>
          <w:sz w:val="20"/>
          <w:lang w:val="pt-BR" w:bidi="ar-SA"/>
          <w:kern w:val="16"/>
          <w14:ligatures w14:val="standardContextual"/>
        </w:rPr>
        <w:t>O segurado contribuiu para o RGPS?</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NÃO → BPC/LOAS (se preencher miserabilidade — Cap. 18).</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SIM → Prosseguir para 3.</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3. </w:t>
      </w:r>
      <w:r>
        <w:rPr>
          <w:rFonts w:ascii="EB Garamond" w:hAnsi="EB Garamond" w:cs="EB Garamond"/>
          <w:b/>
          <w:i w:val="0"/>
          <w:color w:val="201B16"/>
          <w:sz w:val="20"/>
          <w:lang w:val="pt-BR" w:bidi="ar-SA"/>
          <w:kern w:val="16"/>
          <w14:ligatures w14:val="standardContextual"/>
        </w:rPr>
        <w:t>O segurado tem deficiência comprovável (impedimento de longo prazo + barreiras)?</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NÃO → Aposentadoria comum (Caps. 10/11) ou aposentadoria especial (Cap. 8).</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SIM → Prosseguir para 4.</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4. </w:t>
      </w:r>
      <w:r>
        <w:rPr>
          <w:rFonts w:ascii="EB Garamond" w:hAnsi="EB Garamond" w:cs="EB Garamond"/>
          <w:b/>
          <w:i w:val="0"/>
          <w:color w:val="201B16"/>
          <w:sz w:val="20"/>
          <w:lang w:val="pt-BR" w:bidi="ar-SA"/>
          <w:kern w:val="16"/>
          <w14:ligatures w14:val="standardContextual"/>
        </w:rPr>
        <w:t>O segurado tem TC suficiente conforme o grau de deficiência?</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SIM → Aposentadoria por TC da PcD (art. 3º, I-III, LC 142). Coeficiente: 100% SB.</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NÃO → Prosseguir para 5.</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5. </w:t>
      </w:r>
      <w:r>
        <w:rPr>
          <w:rFonts w:ascii="EB Garamond" w:hAnsi="EB Garamond" w:cs="EB Garamond"/>
          <w:b/>
          <w:i w:val="0"/>
          <w:color w:val="201B16"/>
          <w:sz w:val="20"/>
          <w:lang w:val="pt-BR" w:bidi="ar-SA"/>
          <w:kern w:val="16"/>
          <w14:ligatures w14:val="standardContextual"/>
        </w:rPr>
        <w:t>O segurado tem 60H/55M + 15 anos de contribuição + deficiência durante 15 anos?</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SIM → Aposentadoria por idade da PcD (art. 3º, IV, LC 142). Coeficiente: 70% + 1%/grupo de 12 contrib.</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NÃO → Prosseguir para 6.</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6. </w:t>
      </w:r>
      <w:r>
        <w:rPr>
          <w:rFonts w:ascii="EB Garamond" w:hAnsi="EB Garamond" w:cs="EB Garamond"/>
          <w:b/>
          <w:i w:val="0"/>
          <w:color w:val="201B16"/>
          <w:sz w:val="20"/>
          <w:lang w:val="pt-BR" w:bidi="ar-SA"/>
          <w:kern w:val="16"/>
          <w14:ligatures w14:val="standardContextual"/>
        </w:rPr>
        <w:t>O segurado tem renda per capita familiar ≤ 1/4 SM?</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SIM → BPC/LOAS (Cap. 18). Valor: 1 SM.</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NÃO → Aguardar completar TC ou idade para aposentadoria PcD.</w:t>
      </w:r>
    </w:p>
    <w:p>
      <w:pPr>
        <w:spacing w:before="0" w:after="6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12.18.5 Checklist completo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Checklist final — Aposentadoria da Pessoa com Deficiência (LC 142/2013)</w:t>
            </w:r>
          </w:p>
          <w:p>
            <w:pPr>
              <w:spacing w:before="0" w:after="60" w:line="247" w:lineRule="auto"/>
              <w:jc w:val="both"/>
            </w:pPr>
            <w:r>
              <w:rPr>
                <w:rFonts w:ascii="EB Garamond" w:hAnsi="EB Garamond" w:cs="EB Garamond"/>
                <w:b/>
                <w:i w:val="0"/>
                <w:color w:val="201B16"/>
                <w:sz w:val="19"/>
                <w:lang w:val="pt-BR" w:bidi="ar-SA"/>
                <w:kern w:val="16"/>
                <w14:ligatures w14:val="standardContextual"/>
              </w:rPr>
              <w:t>Requisitos:</w:t>
            </w:r>
            <w:r>
              <w:rPr>
                <w:rFonts w:ascii="EB Garamond" w:hAnsi="EB Garamond" w:cs="EB Garamond"/>
                <w:b w:val="0"/>
                <w:i w:val="0"/>
                <w:color w:val="201B16"/>
                <w:sz w:val="19"/>
                <w:lang w:val="pt-BR" w:bidi="ar-SA"/>
                <w:kern w:val="16"/>
                <w14:ligatures w14:val="standardContextual"/>
              </w:rPr>
              <w:t xml:space="preserve"> - [ ] Deficiência comprovada (impedimento de longo prazo + barreiras) - [ ] Grau de deficiência avaliado (grave, moderada ou leve) — para TC - [ ] TC mínimo conforme grau (25/29/33 H ou 20/24/28 M), para TC da PcD - [ ] Idade mínima (60H/55M), para idade da PcD - [ ] Carência de 180 contribuições mensais - [ ] Deficiência durante o período de TC (total ou parcial com conversão)</w:t>
            </w:r>
          </w:p>
          <w:p>
            <w:pPr>
              <w:spacing w:before="0" w:after="60" w:line="247" w:lineRule="auto"/>
              <w:jc w:val="both"/>
            </w:pPr>
            <w:r>
              <w:rPr>
                <w:rFonts w:ascii="EB Garamond" w:hAnsi="EB Garamond" w:cs="EB Garamond"/>
                <w:b/>
                <w:i w:val="0"/>
                <w:color w:val="201B16"/>
                <w:sz w:val="19"/>
                <w:lang w:val="pt-BR" w:bidi="ar-SA"/>
                <w:kern w:val="16"/>
                <w14:ligatures w14:val="standardContextual"/>
              </w:rPr>
              <w:t>Cálculo:</w:t>
            </w:r>
            <w:r>
              <w:rPr>
                <w:rFonts w:ascii="EB Garamond" w:hAnsi="EB Garamond" w:cs="EB Garamond"/>
                <w:b w:val="0"/>
                <w:i w:val="0"/>
                <w:color w:val="201B16"/>
                <w:sz w:val="19"/>
                <w:lang w:val="pt-BR" w:bidi="ar-SA"/>
                <w:kern w:val="16"/>
                <w14:ligatures w14:val="standardContextual"/>
              </w:rPr>
              <w:t xml:space="preserve"> - [ ] Média de 100% dos SC desde jul/1994 (art. 26, caput, EC 103) - [ ] Exclusão de SC prejudiciais (art. 26, § 6º, EC 103), se vantajoso - [ ] Coeficiente: 100% SB (TC) ou 70% + 1% por grupo de 12 contribuições (idade) - [ ] Fator previdenciário: verificar se &gt; 1,0 (aplicar somente se vantajoso) - [ ] Deficiência superveniente: aplicar fatores de conversão (art. 70-E)</w:t>
            </w:r>
          </w:p>
          <w:p>
            <w:pPr>
              <w:spacing w:before="0" w:after="60" w:line="247" w:lineRule="auto"/>
              <w:jc w:val="both"/>
            </w:pPr>
            <w:r>
              <w:rPr>
                <w:rFonts w:ascii="EB Garamond" w:hAnsi="EB Garamond" w:cs="EB Garamond"/>
                <w:b/>
                <w:i w:val="0"/>
                <w:color w:val="201B16"/>
                <w:sz w:val="19"/>
                <w:lang w:val="pt-BR" w:bidi="ar-SA"/>
                <w:kern w:val="16"/>
                <w14:ligatures w14:val="standardContextual"/>
              </w:rPr>
              <w:t>Documentação:</w:t>
            </w:r>
            <w:r>
              <w:rPr>
                <w:rFonts w:ascii="EB Garamond" w:hAnsi="EB Garamond" w:cs="EB Garamond"/>
                <w:b w:val="0"/>
                <w:i w:val="0"/>
                <w:color w:val="201B16"/>
                <w:sz w:val="19"/>
                <w:lang w:val="pt-BR" w:bidi="ar-SA"/>
                <w:kern w:val="16"/>
                <w14:ligatures w14:val="standardContextual"/>
              </w:rPr>
              <w:t xml:space="preserve"> v. Checklist documental completo da seção 12.16.9 (documentação pessoal, previdenciária, médica/funcional e social), que não se repete aqui para evitar redundância.</w:t>
            </w:r>
          </w:p>
          <w:p>
            <w:pPr>
              <w:spacing w:before="0" w:after="60" w:line="247" w:lineRule="auto"/>
              <w:jc w:val="both"/>
            </w:pPr>
            <w:r>
              <w:rPr>
                <w:rFonts w:ascii="EB Garamond" w:hAnsi="EB Garamond" w:cs="EB Garamond"/>
                <w:b/>
                <w:i w:val="0"/>
                <w:color w:val="201B16"/>
                <w:sz w:val="19"/>
                <w:lang w:val="pt-BR" w:bidi="ar-SA"/>
                <w:kern w:val="16"/>
                <w14:ligatures w14:val="standardContextual"/>
              </w:rPr>
              <w:t>Processual (JEFs):</w:t>
            </w:r>
            <w:r>
              <w:rPr>
                <w:rFonts w:ascii="EB Garamond" w:hAnsi="EB Garamond" w:cs="EB Garamond"/>
                <w:b w:val="0"/>
                <w:i w:val="0"/>
                <w:color w:val="201B16"/>
                <w:sz w:val="19"/>
                <w:lang w:val="pt-BR" w:bidi="ar-SA"/>
                <w:kern w:val="16"/>
                <w14:ligatures w14:val="standardContextual"/>
              </w:rPr>
              <w:t xml:space="preserve"> - [ ] Prévio requerimento administrativo (Tema 350/STF) - [ ] Pedido alternativo: TC PcD + idade PcD + BPC (subsidiário) - [ ] Quesitos para perícia biopsicossocial (7 domínios IF-BrA) - [ ] Reafirmação da DER (Tema 995/STJ), se requisitos preenchidos no curso do processo - [ ] Tutela antecipada (se perícia conclusiva + necessidade alimentar)</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12.18.6 Valores de referência 2026</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Nota sobre valores monetários:</w:t>
            </w:r>
            <w:r>
              <w:rPr>
                <w:rFonts w:ascii="EB Garamond" w:hAnsi="EB Garamond" w:cs="EB Garamond"/>
                <w:b w:val="0"/>
                <w:i w:val="0"/>
                <w:color w:val="201B16"/>
                <w:sz w:val="19"/>
                <w:lang w:val="pt-BR" w:bidi="ar-SA"/>
                <w:kern w:val="16"/>
                <w14:ligatures w14:val="standardContextual"/>
              </w:rPr>
              <w:t xml:space="preserve"> Os valores de salário-mínimo, teto do RGPS, teto JEF, BPC e auxílio-inclusão indicados neste capítulo correspondem aos valores vigentes para 2026: SM = R$ 1.621,00; teto RGPS = R$ 8.475,55.</w:t>
            </w:r>
          </w:p>
        </w:tc>
      </w:tr>
    </w:tbl>
    <w:p>
      <w:pPr>
        <w:spacing w:before="0" w:after="80" w:line="240" w:lineRule="auto"/>
      </w:pPr>
    </w:p>
    <w:tbl>
      <w:tblPr>
        <w:tblW w:type="auto" w:w="0"/>
        <w:jc w:val="center"/>
        <w:tblLook w:firstColumn="1" w:firstRow="1" w:lastColumn="0" w:lastRow="0" w:noHBand="0" w:noVBand="1" w:val="04A0"/>
        <w:tblW w:w="5000" w:type="pct"/>
      </w:tblPr>
      <w:tblGrid>
        <w:gridCol w:w="3175"/>
        <w:gridCol w:w="3175"/>
      </w:tblGrid>
      <w:tr>
        <w:trPr>
          <w:tblHeader/>
        </w:trPr>
        <w:tc>
          <w:tcPr>
            <w:tcW w:type="dxa" w:w="3175"/>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Parâmetro</w:t>
            </w:r>
          </w:p>
        </w:tc>
        <w:tc>
          <w:tcPr>
            <w:tcW w:type="dxa" w:w="3175"/>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Valor (projeção 2026)</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Salário-mínimo</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R$ 1.621,00*</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Teto RGPS</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R$ 8.475,55*</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Teto JEF (60 SM)</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R$ 97.260,00*</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BPC mensal</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R$ 1.621,00 (1 SM fixo)*</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Carência aposentadoria PcD</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180 contribuições (15 anos)</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TC grave (H/M)</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25/20 anos</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TC moderada (H/M)</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29/24 anos</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TC leve (H/M)</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33/28 anos</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Idade PcD (H/M)</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60/55 anos</w:t>
            </w:r>
          </w:p>
        </w:tc>
      </w:tr>
    </w:tbl>
    <w:p>
      <w:pPr>
        <w:spacing w:before="0" w:after="80" w:line="240" w:lineRule="auto"/>
      </w:pPr>
    </w:p>
    <w:p>
      <w:pPr>
        <w:spacing w:before="0" w:after="60" w:line="240" w:lineRule="auto"/>
        <w:jc w:val="left"/>
      </w:pPr>
      <w:r>
        <w:rPr>
          <w:rFonts w:ascii="EB Garamond" w:hAnsi="EB Garamond" w:cs="EB Garamond"/>
          <w:b w:val="0"/>
          <w:i/>
          <w:color w:val="6B6256"/>
          <w:sz w:val="17"/>
          <w:lang w:val="pt-BR" w:bidi="ar-SA"/>
          <w:kern w:val="16"/>
          <w14:ligatures w14:val="standardContextual"/>
        </w:rPr>
        <w:t>Projeção. Valor sujeito a atualização após publicação oficial.</w:t>
      </w:r>
    </w:p>
    <w:p>
      <w:pPr>
        <w:spacing w:before="260" w:after="80" w:line="240" w:lineRule="auto"/>
        <w:jc w:val="left"/>
      </w:pPr>
      <w:r>
        <w:rPr>
          <w:rFonts w:ascii="EB Garamond" w:hAnsi="EB Garamond" w:cs="EB Garamond"/>
          <w:b/>
          <w:i w:val="0"/>
          <w:color w:val="3A3128"/>
          <w:sz w:val="25"/>
          <w:lang w:val="pt-BR" w:bidi="ar-SA"/>
          <w:kern w:val="16"/>
          <w14:ligatures w14:val="standardContextual"/>
        </w:rPr>
        <w:t>12.18.7 Perspectivas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aposentadoria da PcD, mantida integralmente pela EC 103/2019 (art. 22), permanece como o único benefício por tempo de contribuição com regras próprias de acesso e cálculo no RGPS pós-Reforma. A ausência de nova lei complementar regulamentando a matéria, mais de seis anos após a promulgação da EC 103, indica que a LC 142/2013 seguirá vigente por prazo indeterminado.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Os desafios para o futuro concentram-se em: (a) aprimoramento do IF-BrA como instrumento de avaliação, com redução da subjetividade e aumento da padronização; (b) formação continuada dos peritos médicos e assistentes sociais do INSS para avaliação biopsicossocial de qualidade; (c) ampliação do acesso à avaliação, com redução dos prazos de agendamento; (d) eventual revisão legislativa dos graus e dos tempos de contribuição, que podem ser alterados por nova lei complementar; e (e) consolidação jurisprudencial das controvérsias remanescentes (cálculo pós-EC 103, visão monocular, fungibilidade).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advogado previdenciarista deve manter-se atento a eventuais projetos legislativos que possam alterar os critérios da LC 142, monitorar a evolução jurisprudencial nos TRFs e na TNU, e investir na preparação probatória adequada para as ações de aposentadoria da PcD — benefício que representa, para milhões de segurados com deficiência, a principal via de acesso à proteção previdenciária digna e proporcional às barreiras enfrentadas ao longo de suas vidas profissionais.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atuação eficaz nas ações de aposentadoria da PcD exige domínio não apenas da legislação e da jurisprudência, mas também dos fundamentos funcionais que orientam a avaliação pelo IF-BrA. Quem compreende como o IF-BrA opera, formula quesitos mais precisos e conduz a instrução de modo a evidenciar o grau de deficiência com fundamentação técnica adequada.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Encerramos com uma convicção que a prática nos JEFs reforça a cada julgamento: o eixo de toda a LC 142 é a distinção entre deficiência e incapacidade — entre tutelar quem trabalha apesar das barreiras e tutelar quem já não pode trabalhar. Tratamos, ao longo deste capítulo, dos institutos, dos cálculos e dos procedimentos; mas é dessa distinção elementar, mais do que de qualquer tabela de conversão, que depende o acerto da decisão. Tê-la sempre presente é, a nosso ver, a melhor garantia de que o benefício alcance exatamente quem a Constituição quis proteger.</w:t>
      </w:r>
    </w:p>
    <w:p>
      <w:pPr>
        <w:sectPr>
          <w:headerReference w:type="default" r:id="rId135"/>
          <w:headerReference w:type="even" r:id="rId136"/>
          <w:footerReference w:type="default" r:id="rId137"/>
          <w:footerReference w:type="even" r:id="rId138"/>
          <w:headerReference w:type="first" r:id="rId139"/>
          <w:footerReference w:type="first" r:id="rId140"/>
          <w:pgSz w:w="8391" w:h="11906"/>
          <w:pgMar w:top="935" w:right="879" w:bottom="964" w:left="1162" w:header="454" w:footer="425" w:gutter="0" w:mirrorMargins="1"/>
          <w:cols w:space="720"/>
          <w:titlePg/>
          <w:docGrid w:linePitch="360"/>
        </w:sectPr>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120" w:line="240" w:lineRule="auto"/>
        <w:jc w:val="center"/>
      </w:pPr>
      <w:r>
        <w:rPr>
          <w:rFonts w:ascii="Noto Sans" w:hAnsi="Noto Sans" w:cs="Noto Sans"/>
          <w:b/>
          <w:i w:val="0"/>
          <w:caps/>
          <w:color w:val="8A6A2A"/>
          <w:sz w:val="20"/>
          <w:lang w:val="pt-BR" w:bidi="ar-SA"/>
          <w:kern w:val="16"/>
          <w14:ligatures w14:val="standardContextual"/>
        </w:rPr>
        <w:t>PARTE IV</w:t>
      </w:r>
    </w:p>
    <w:p>
      <w:pPr>
        <w:pStyle w:val="Heading1"/>
        <w:spacing w:before="0" w:after="160" w:line="252" w:lineRule="auto"/>
        <w:jc w:val="center"/>
      </w:pPr>
      <w:r>
        <w:rPr>
          <w:rFonts w:ascii="EB Garamond" w:hAnsi="EB Garamond" w:cs="EB Garamond"/>
          <w:b/>
          <w:i w:val="0"/>
          <w:caps/>
          <w:color w:val="2F2923"/>
          <w:sz w:val="36"/>
          <w:lang w:val="pt-BR" w:bidi="ar-SA"/>
          <w:kern w:val="16"/>
          <w14:ligatures w14:val="standardContextual"/>
        </w:rPr>
        <w:t>Pensões, Auxílios e Benefício Assistencial</w:t>
      </w:r>
    </w:p>
    <w:p>
      <w:pPr>
        <w:spacing w:before="160" w:after="0" w:line="240" w:lineRule="auto"/>
        <w:jc w:val="center"/>
      </w:pPr>
      <w:r>
        <w:rPr>
          <w:rFonts w:ascii="EB Garamond" w:hAnsi="EB Garamond" w:cs="EB Garamond"/>
          <w:b w:val="0"/>
          <w:i w:val="0"/>
          <w:color w:val="B78B37"/>
          <w:sz w:val="18"/>
          <w:lang w:val="pt-BR" w:bidi="ar-SA"/>
          <w:kern w:val="16"/>
          <w14:ligatures w14:val="standardContextual"/>
        </w:rPr>
        <w:t>━━━━━  ◆  ◆  ◆  ━━━━━</w:t>
      </w:r>
    </w:p>
    <w:p>
      <w:pPr>
        <w:sectPr>
          <w:headerReference w:type="default" r:id="rId141"/>
          <w:headerReference w:type="even" r:id="rId142"/>
          <w:footerReference w:type="default" r:id="rId143"/>
          <w:footerReference w:type="even" r:id="rId144"/>
          <w:headerReference w:type="first" r:id="rId145"/>
          <w:footerReference w:type="first" r:id="rId146"/>
          <w:type w:val="oddPage"/>
          <w:pgSz w:w="8391" w:h="11906"/>
          <w:pgMar w:top="935" w:right="879" w:bottom="964" w:left="1162" w:header="454" w:footer="425" w:gutter="0" w:mirrorMargins="1"/>
          <w:cols w:space="720"/>
          <w:titlePg/>
          <w:docGrid w:linePitch="360"/>
        </w:sectPr>
      </w:pPr>
    </w:p>
    <w:p>
      <w:pPr>
        <w:spacing w:before="240" w:after="80" w:line="240" w:lineRule="auto"/>
        <w:jc w:val="center"/>
        <w:keepNext/>
      </w:pPr>
      <w:r>
        <w:rPr>
          <w:rFonts w:ascii="Noto Sans" w:hAnsi="Noto Sans" w:cs="Noto Sans"/>
          <w:b/>
          <w:i w:val="0"/>
          <w:caps/>
          <w:color w:val="8A6A2A"/>
          <w:sz w:val="19"/>
          <w:lang w:val="pt-BR" w:bidi="ar-SA"/>
          <w:kern w:val="16"/>
          <w14:ligatures w14:val="standardContextual"/>
        </w:rPr>
        <w:t>CAPÍTULO 13</w:t>
      </w:r>
    </w:p>
    <w:p>
      <w:pPr>
        <w:pStyle w:val="Heading2"/>
        <w:spacing w:before="0" w:after="160" w:line="240" w:lineRule="auto"/>
        <w:jc w:val="center"/>
        <w:keepNext/>
      </w:pPr>
      <w:r>
        <w:rPr>
          <w:rFonts w:ascii="EB Garamond" w:hAnsi="EB Garamond" w:cs="EB Garamond"/>
          <w:b/>
          <w:i w:val="0"/>
          <w:caps/>
          <w:color w:val="2F2923"/>
          <w:sz w:val="40"/>
          <w:lang w:val="pt-BR" w:bidi="ar-SA"/>
          <w:kern w:val="16"/>
          <w14:ligatures w14:val="standardContextual"/>
        </w:rPr>
        <w:t>Salário-Maternidade</w:t>
      </w:r>
    </w:p>
    <w:p>
      <w:pPr>
        <w:spacing w:before="0" w:after="240" w:line="240" w:lineRule="auto"/>
        <w:jc w:val="center"/>
      </w:pPr>
      <w:r>
        <w:rPr>
          <w:rFonts w:ascii="EB Garamond" w:hAnsi="EB Garamond" w:cs="EB Garamond"/>
          <w:b w:val="0"/>
          <w:i w:val="0"/>
          <w:color w:val="B78B37"/>
          <w:sz w:val="18"/>
          <w:lang w:val="pt-BR" w:bidi="ar-SA"/>
          <w:kern w:val="16"/>
          <w14:ligatures w14:val="standardContextual"/>
        </w:rPr>
        <w:t>━━━━  ◆  ━━━━</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Introdução e fundamento constitucional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salário-maternidade substitui a remuneração da segurada — ou do segurado, nas hipóteses de adoção — durante o afastamento motivado por parto, adoção, guarda judicial para fins de adoção, aborto não criminoso ou natimorto. Diferencia-se dos demais benefícios previdenciários por conjugar a natureza de prestação previdenciária e a função de proteção trabalhista.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fundamento constitucional do salário-maternidade radica em dois dispositivos convergentes. O art. 7º, XVIII, da Constituição Federal assegura à trabalhadora gestante o direito à licença-maternidade sem prejuízo do emprego e do salário, com duração de cento e vinte dias. O art. 201, II, por sua vez, inclui a proteção à maternidade, especialmente à gestante, entre os riscos sociais cobertos pela previdência social. A leitura conjunta dos dois dispositivos revela que a Constituição trata a maternidade como evento que exige proteção simultânea em duas dimensões: a trabalhista (manutenção do emprego e da remuneração) e a previdenciária (substituição da renda durante o afastamento).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art. 10, II, b, do Ato das Disposições Constitucionais Transitórias complementa essa proteção ao vedar a dispensa arbitrária ou sem justa causa da empregada gestante, desde a confirmação da gravidez até cinco meses após o parto. Essa estabilidade provisória constitui salvaguarda adicional que impede a frustração do direito ao salário-maternidade por meio da extinção do vínculo empregatício.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No plano internacional, a proteção à maternidade no trabalho encontra amparo nas Convenções da Organização Internacional do Trabalho. A Convenção 103 (1952) já estabelecia o direito à licença-maternidade remunerada financiada por sistema de seguro social ou fundos públicos, e não pelo empregador diretamente. A Convenção 183 (2000), que a substituiu, ampliou a proteção para no mínimo quatorze semanas e reforçou a vedação de que o empregador seja individualmente responsável pelo custo da licença, justamente para evitar a discriminação na contratação de mulheres. Embora o Brasil não tenha ratificado a Convenção 183, o ordenamento interno já contempla proteção superior ao mínimo internacional.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natureza jurídica do salário-maternidade é objeto de debate doutrinário. A posição prevalente, reforçada pelo Supremo Tribunal Federal no julgamento do Tema 72 da repercussão geral (RE 576.967), é de que se trata de benefício previdenciário, não de contraprestação pelo trabalho. Essa qualificação produz consequências relevantes: por não constituir remuneração, o salário-maternidade não pode servir de base de cálculo para contribuição previdenciária patronal, conforme decidiu o STF.</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Dois conceitos são frequentemente confundidos, conforme Castro e Lazzari (2025). A licença-maternidade é o direito trabalhista ao afastamento do trabalho, previsto no art. 7º, XVIII, da Constituição. O salário-maternidade é o benefício previdenciário que substitui a remuneração durante esse afastamento, previsto nos arts. 71 a 73 da Lei 8.213/91. A licença é o período; o salário-maternidade é a prestação pecuniária. Uma segurada contribuinte individual que não mantém relação de emprego não tem licença-maternidade (que pressupõe vínculo empregatício), mas tem direito ao salário-maternidade como segurada do RGPS.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proteção à maternidade no sistema previdenciário cumpre tríplice função: protege a segurada (manutenção da renda durante o afastamento), protege a criança (assegura os cuidados iniciais essenciais ao desenvolvimento) e protege o mercado de trabalho (ao transferir o ônus financeiro para a previdência, evita que a maternidade constitua fator de discriminação na contratação feminina).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jurisprudência recente tem dado relevo crescente à dimensão protetiva da criança. O STF, ao estender o salário-maternidade a situações não expressamente previstas na legislação (como a gestação por substituição), fundamentou-se no princípio da proteção integral à criança (art. 227, CF/88) e no conceito de parentalidade, que transcende a maternidade biológica. O salário-maternidade, hoje, é instrumento de proteção do recém-nascido ou da criança recém-integrada ao núcleo familiar, e não apenas da trabalhadora gestante.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dos Juizados Especiais Federais, o salário-maternidade é o benefício previdenciário de menor valor individual (porque temporário — quatro meses), porém de altíssimo volume processual, especialmente nas regiões Norte e Nordeste, onde predominam as seguradas especiais. A judicialização do salário-maternidade cresceu 124% entre 2020 e 2025, passando de 86.701 para 194.363 ações por ano — média de 580 novos processos por dia em todo o país.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13.2 Evolução legislativa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história do salário-maternidade no Brasil atravessa quatro fases distintas, cada qual marcada por ampliação progressiva da proteção.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Primeira fase (1943-1973): ônus exclusivo do empregador.</w:t>
      </w:r>
      <w:r>
        <w:rPr>
          <w:rFonts w:ascii="EB Garamond" w:hAnsi="EB Garamond" w:cs="EB Garamond"/>
          <w:b w:val="0"/>
          <w:i w:val="0"/>
          <w:color w:val="201B16"/>
          <w:sz w:val="21"/>
          <w:lang w:val="pt-BR" w:bidi="ar-SA"/>
          <w:kern w:val="16"/>
          <w14:ligatures w14:val="standardContextual"/>
        </w:rPr>
        <w:t xml:space="preserve"> A CLT original de 1943 assegurava à empregada gestante o direito a doze semanas de afastamento remunerado (seis antes e seis após o parto), com o ônus financeiro recaindo integralmente sobre o empregador. Esse modelo gerava efeito perverso: quanto maior a proteção à gestante, maior o desincentivo à contratação de mulheres em idade fértil. O empregador, ao suportar sozinho o custo da licença, tendia a preferir trabalhadores homens ou mulheres que declarassem não pretender engravidar.</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Segunda fase (1974-1987): transferência para a Previdência.</w:t>
      </w:r>
      <w:r>
        <w:rPr>
          <w:rFonts w:ascii="EB Garamond" w:hAnsi="EB Garamond" w:cs="EB Garamond"/>
          <w:b w:val="0"/>
          <w:i w:val="0"/>
          <w:color w:val="201B16"/>
          <w:sz w:val="21"/>
          <w:lang w:val="pt-BR" w:bidi="ar-SA"/>
          <w:kern w:val="16"/>
          <w14:ligatures w14:val="standardContextual"/>
        </w:rPr>
        <w:t xml:space="preserve"> A Lei 6.136/1974 representou o grande marco na proteção à maternidade ao transformar o salário-maternidade em prestação previdenciária, transferindo o ônus financeiro do empregador para o sistema de seguridade social. A partir dessa lei, o salário-maternidade passou a ser financiado pelas contribuições patronais incidentes sobre a folha de salários, socializando o custo da maternidade entre todos os empregadores. O valor passou a ser pago pela empresa, que se ressarcia mediante compensação com as contribuições devidas ao INPS. Essa mudança estrutural alinhou o Brasil à recomendação da OIT de que o custo da proteção à maternidade não recaia sobre o empregador individual.</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Terceira fase (1988-2012): constitucionalização e expansão subjetiva.</w:t>
      </w:r>
      <w:r>
        <w:rPr>
          <w:rFonts w:ascii="EB Garamond" w:hAnsi="EB Garamond" w:cs="EB Garamond"/>
          <w:b w:val="0"/>
          <w:i w:val="0"/>
          <w:color w:val="201B16"/>
          <w:sz w:val="21"/>
          <w:lang w:val="pt-BR" w:bidi="ar-SA"/>
          <w:kern w:val="16"/>
          <w14:ligatures w14:val="standardContextual"/>
        </w:rPr>
        <w:t xml:space="preserve"> A Constituição de 1988 elevou a proteção à maternidade a direito fundamental, ampliando a duração para cento e vinte dias (art. 7º, XVIII). A Lei 8.213/1991 regulamentou o benefício nos arts. 71 a 73, inicialmente restrito às seguradas empregada e trabalhadora avulsa. A expansão subjetiva ocorreu em etapas: a Lei 8.861/1994 estendeu o benefício à segurada especial (trabalhadora rural); a Lei 9.876/1999 completou a universalização ao incluir a contribuinte individual e a segurada facultativa, mediante carência de dez contribuições mensais. A Lei 10.421/2002 estendeu o salário-maternidade à mãe adotiva, porém com escalonamento discriminatório por idade do adotando: cento e vinte dias para criança de até um ano, sessenta dias para criança de um a quatro anos, e trinta dias para criança de quatro a oito anos.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Quarta fase (2013-presente): universalização plena e novas famílias.</w:t>
      </w:r>
      <w:r>
        <w:rPr>
          <w:rFonts w:ascii="EB Garamond" w:hAnsi="EB Garamond" w:cs="EB Garamond"/>
          <w:b w:val="0"/>
          <w:i w:val="0"/>
          <w:color w:val="201B16"/>
          <w:sz w:val="21"/>
          <w:lang w:val="pt-BR" w:bidi="ar-SA"/>
          <w:kern w:val="16"/>
          <w14:ligatures w14:val="standardContextual"/>
        </w:rPr>
        <w:t xml:space="preserve"> A Lei 12.873/2013 promoveu as mais profundas mudanças no regime do salário-maternidade. Unificou o prazo em cento e vinte dias para toda adoção, independentemente da idade do adotando. Incluiu os arts. 71-A, 71-B e 71-C na Lei 8.213/91, estendendo o benefício ao segurado homem que adotar, criando a transferência do salário-maternidade ao cônjuge sobrevivente em caso de falecimento da beneficiária, e condicionando o recebimento ao afastamento do trabalho. Em 2024, o Supremo Tribunal Federal, ao julgar as ADIs 2.110 e 2.111, declarou inconstitucional a exigência de carência de dez contribuições mensais para contribuinte individual, facultativa e segurada especial, eliminando a última distinção entre as categorias de seguradas para fins de salário-maternidade.</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Ano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Diploma</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Mudança</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1943</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CLT</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84 dias, ônus do empregador</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1974</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Lei 6.136</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Transferência do ônus para a Previdência</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1988</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CF/88</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Ampliação para 120 dias; constitucionalização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1991</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Lei 8.213</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Arts. 71-73 — empregada e avulsa</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1994</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Lei 8.861</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Extensão à segurada especial</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1999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Lei 9.876</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Extensão à CI e facultativa (carência 10 contribuições)</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2002</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Lei 10.421</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Extensão à adotante (escalonamento por idade)</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2008</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Lei 11.770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Empresa Cidadã (prorrogação para 180 dias)</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2013</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Lei 12.873</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Adotante sem distinção de sexo; cônjuge sobrevivente</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2015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LC 150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Empregada doméstica — INSS paga diretamente</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2022</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Lei 14.457</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Programa Emprega + Mulheres</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2024</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STF ADIs 2.110/2.111</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Carência inconstitucional, dispensada para todas</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IN INSS 188</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Regulamentação da dispensa de carência</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evolução legislativa do salário-maternidade revela um padrão consistente de ampliação progressiva. Cada reforma ampliou o universo de beneficiárias, a duração do benefício ou as situações cobertas. A tendência aponta para a universalização plena, qualquer pessoa com qualidade de segurada que assuma os cuidados de uma criança recém-nascida ou recém-adotada tende a ser contemplada pelo benefício, independentemente do sexo, da orientação sexual ou da forma de constituição familiar.</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13.3 Fatos geradores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salário-maternidade pode ser concedido em razão de cinco fatos geradores distintos, cada qual com regras próprias quanto à duração, à documentação e ao momento de início do benefício. O legislador adotou a expressão "proteção à maternidade" em sentido amplo, abrangendo não apenas a gestação e o parto biológico, mas também a formação de vínculo familiar pela via da adoção — e, mais recentemente, pela via da gestação por substituição, embora esta última ainda careça de regulamentação legal expressa.</w:t>
      </w:r>
    </w:p>
    <w:p>
      <w:pPr>
        <w:spacing w:before="260" w:after="80" w:line="240" w:lineRule="auto"/>
        <w:jc w:val="left"/>
      </w:pPr>
      <w:r>
        <w:rPr>
          <w:rFonts w:ascii="EB Garamond" w:hAnsi="EB Garamond" w:cs="EB Garamond"/>
          <w:b/>
          <w:i w:val="0"/>
          <w:color w:val="3A3128"/>
          <w:sz w:val="25"/>
          <w:lang w:val="pt-BR" w:bidi="ar-SA"/>
          <w:kern w:val="16"/>
          <w14:ligatures w14:val="standardContextual"/>
        </w:rPr>
        <w:t>13.3.1 Parto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parto constitui o fato gerador primário e mais frequente do salário-maternidade. Nos termos do art. 71 da Lei 8.213/91, o benefício é devido durante cento e vinte dias, com início no período entre vinte e oito dias antes do parto e a data de ocorrência deste. Na prática, a segurada pode requerer o benefício a partir do vigésimo oitavo dia anterior à data prevista do parto (mediante atestado médico) ou a partir da data do parto efetivo.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definição do momento inicial do benefício é relevante para o planejamento da segurada. A antecipação de vinte e oito dias permite que gestantes em situação de risco, com dificuldade de deslocamento ou em atividades incompatíveis com a gestação avançada, afastem-se antes do parto sem perda de remuneração. Na atuação forense, a maioria das empregadas celetistas opta por iniciar o benefício na data do parto (ou alguns dias antes, conforme orientação médica), enquanto contribuintes individuais e seguradas especiais, que não têm estabilidade empregatícia, tendem a requerer o benefício após o parto.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conceito de parto para fins previdenciários é mais amplo que o conceito obstétrico. O art. 294, §3º, da Instrução Normativa INSS 77/2015 considera parto o evento ocorrente a partir da vigésima terceira semana de gestação (sexto mês), inclusive em caso de natimorto. Assim, a expulsão fetal a partir da vigésima terceira semana, mesmo sem sinais de vida, é juridicamente equiparada ao parto e gera direito ao salário-maternidade integral de cento e vinte dias.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parto prematuro, independentemente da idade gestacional (desde que a partir da vigésima terceira semana), assegura o benefício integral. A gestação múltipla (gêmeos, trigêmeos) não altera a duração: o benefício é de cento e vinte dias independentemente do número de nascituros, porque o fato gerador é o parto, não o nascimento individual de cada criança.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parto realizado por cesárea segue as mesmas regras do parto normal. A via de nascimento não altera a duração nem as condições do benefício. A única particularidade é médica: complicações pós-cesárea podem justificar a prorrogação excepcional prevista no art. 93, §3º, do Decreto 3.048/99.</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prova do parto é feita pela certidão de nascimento do filho ou, no caso de natimorto, pela certidão de óbito fetal. Para requerimento anterior ao parto (a partir de 28 dias antes), exige-se atestado médico indicando a data provável do parto. A Declaração de Nascido Vivo (DNV), emitida pelo hospital, é aceita como prova provisória enquanto a certidão de nascimento não é registrada no Cartório de Registro Civil.</w:t>
      </w:r>
    </w:p>
    <w:p>
      <w:pPr>
        <w:spacing w:before="260" w:after="80" w:line="240" w:lineRule="auto"/>
        <w:jc w:val="left"/>
      </w:pPr>
      <w:r>
        <w:rPr>
          <w:rFonts w:ascii="EB Garamond" w:hAnsi="EB Garamond" w:cs="EB Garamond"/>
          <w:b/>
          <w:i w:val="0"/>
          <w:color w:val="3A3128"/>
          <w:sz w:val="25"/>
          <w:lang w:val="pt-BR" w:bidi="ar-SA"/>
          <w:kern w:val="16"/>
          <w14:ligatures w14:val="standardContextual"/>
        </w:rPr>
        <w:t>13.3.2 Adoção e guarda judicial para fins de adoção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adoção e a guarda judicial para fins de adoção geram direito ao salário-maternidade de 120 dias, independentemente da idade do adotando (até 12 anos), nos termos do art. 71-A da Lei 8.213/91 (Lei 12.873/2013). O benefício é único por processo de adoção, vedada a concessão a mais de um segurado pelo mesmo fato gerador (art. 71-A, § 2º). A evolução legislativa, a documentação exigida, as particularidades da adoção internacional e da adoção tardia são examinadas em profundidade na seção 13.11, infra.</w:t>
      </w:r>
    </w:p>
    <w:p>
      <w:pPr>
        <w:spacing w:before="260" w:after="80" w:line="240" w:lineRule="auto"/>
        <w:jc w:val="left"/>
      </w:pPr>
      <w:r>
        <w:rPr>
          <w:rFonts w:ascii="EB Garamond" w:hAnsi="EB Garamond" w:cs="EB Garamond"/>
          <w:b/>
          <w:i w:val="0"/>
          <w:color w:val="3A3128"/>
          <w:sz w:val="25"/>
          <w:lang w:val="pt-BR" w:bidi="ar-SA"/>
          <w:kern w:val="16"/>
          <w14:ligatures w14:val="standardContextual"/>
        </w:rPr>
        <w:t>13.3.3 Aborto não criminoso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aborto não criminoso — espontâneo ou nas hipóteses legalmente autorizadas (art. 128 do Código Penal: risco de vida para a gestante e gravidez resultante de estupro) — gera direito ao salário-maternidade pelo período de duas semanas (quatorze dias), nos termos do art. 93, §5º, do Decreto 3.048/99. A comprovação se faz mediante atestado médico.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aborto espontâneo ocorrido antes da vigésima terceira semana de gestação é classificado como aborto para fins previdenciários, gerando o benefício reduzido de quatorze dias. Se ocorrido a partir da vigésima terceira semana, é juridicamente equiparado ao parto de natimorto, e o benefício será o integral de cento e vinte dias.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prazo de quatorze dias para aborto não criminoso é frequentemente criticado pela doutrina como insuficiente, especialmente nos casos de aborto espontâneo tardio (entre a décima segunda e a vigésima segunda semana), que envolve procedimento médico mais complexo e maior impacto emocional. Há projetos de lei em tramitação para estender esse prazo, mas até o momento prevalece a regra de duas semanas.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fins probatórios, o atestado médico deve indicar expressamente que se trata de aborto não criminoso, a idade gestacional e a data do evento. O INSS não exige boletim de ocorrência policial nem qualquer prova sobre a licitude do aborto; a presunção é de que o aborto comprovado por atestado médico é não criminoso, cabendo ao Ministério Público eventual investigação criminal, e não ao INSS.</w:t>
      </w:r>
    </w:p>
    <w:p>
      <w:pPr>
        <w:spacing w:before="260" w:after="80" w:line="240" w:lineRule="auto"/>
        <w:jc w:val="left"/>
      </w:pPr>
      <w:r>
        <w:rPr>
          <w:rFonts w:ascii="EB Garamond" w:hAnsi="EB Garamond" w:cs="EB Garamond"/>
          <w:b/>
          <w:i w:val="0"/>
          <w:color w:val="3A3128"/>
          <w:sz w:val="25"/>
          <w:lang w:val="pt-BR" w:bidi="ar-SA"/>
          <w:kern w:val="16"/>
          <w14:ligatures w14:val="standardContextual"/>
        </w:rPr>
        <w:t>13.3.4 Natimorto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parto de natimorto, nascimento sem vida a partir da vigésima terceira semana de gestação, é equiparado ao parto para todos os efeitos previdenciários. A segurada tem direito aos cento e vinte dias integrais de salário-maternidade. O fundamento é humanitário: a gestante que passou por todo o processo gestacional e sofreu a perda do filho necessita do mesmo período de recuperação física e emocional, além de cuidados médicos pós-parto idênticos.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prova é feita pela certidão de natimorto, expedida pelo Cartório de Registro Civil com base na Declaração de Óbito Fetal emitida pelo hospital ou médico responsável pelo parto.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dos Juizados Especiais Federais, o indeferimento administrativo do salário-maternidade por natimorto é relativamente raro, pois o INSS reconhece administrativamente esse direito. As demandas judiciais nessa matéria costumam envolver questões de qualidade de segurada ou controvérsia sobre a idade gestacional (se configuraria aborto ou natimorto).</w:t>
      </w:r>
    </w:p>
    <w:tbl>
      <w:tblPr>
        <w:tblW w:type="auto" w:w="0"/>
        <w:jc w:val="center"/>
        <w:tblLook w:firstColumn="1" w:firstRow="1" w:lastColumn="0" w:lastRow="0" w:noHBand="0" w:noVBand="1" w:val="04A0"/>
        <w:tblW w:w="5000" w:type="pct"/>
      </w:tblPr>
      <w:tblGrid>
        <w:gridCol w:w="1587"/>
        <w:gridCol w:w="1587"/>
        <w:gridCol w:w="1587"/>
        <w:gridCol w:w="1587"/>
      </w:tblGrid>
      <w:tr>
        <w:trPr>
          <w:tblHeader/>
        </w:trPr>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Fato gerador</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Duração</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Prova</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Início</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Parto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120 dias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Certidão de nascimento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28 dias antes ou data do parto</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Adoção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120 dias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Sentença de adoção ou termo de guarda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Data da sentença/termo</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Guarda judicial</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120 dias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Termo de guarda provisória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Data do termo</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Aborto não criminoso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14 dias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Atestado médico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Data do aborto</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Natimorto (≥ 23 semanas)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120 dias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Certidão de natimorto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Data do parto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13.4 Seguradas beneficiárias e carência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salário-maternidade é devido a todas as categorias de seguradas do RGPS. A grande novidade legislativa recente é a eliminação da carência para todas as categorias, após o julgamento das ADIs 2.110 e 2.111 pelo STF em março de 2024.</w:t>
      </w:r>
    </w:p>
    <w:p>
      <w:pPr>
        <w:spacing w:before="260" w:after="80" w:line="240" w:lineRule="auto"/>
        <w:jc w:val="left"/>
      </w:pPr>
      <w:r>
        <w:rPr>
          <w:rFonts w:ascii="EB Garamond" w:hAnsi="EB Garamond" w:cs="EB Garamond"/>
          <w:b/>
          <w:i w:val="0"/>
          <w:color w:val="3A3128"/>
          <w:sz w:val="25"/>
          <w:lang w:val="pt-BR" w:bidi="ar-SA"/>
          <w:kern w:val="16"/>
          <w14:ligatures w14:val="standardContextual"/>
        </w:rPr>
        <w:t>13.4.1 Empregada (inclusive doméstica)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segurada empregada, tanto a regida pela CLT quanto a empregada doméstica, tem direito ao salário-maternidade sem qualquer exigência de carência, bastando a qualidade de segurada na data do fato gerador (art. 26, VI, Lei 8.213/91). A dispensa de carência para a empregada sempre existiu na legislação, fundamentada no fato de que a relação de emprego, por si, já demonstra a filiação ao sistema e a contribuição obrigatória.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valor do benefício para a empregada corresponde à remuneração integral (art. 72, Lei 8.213/91). Para a empregada de pessoa jurídica, o pagamento é feito pelo empregador, que efetua a compensação com as contribuições previdenciárias devidas. Para a empregada doméstica, o benefício é pago diretamente pelo INSS, com base no último salário de contribuição, desde a LC 150/2015. Antes dessa lei complementar, o empregador doméstico pagava o salário-maternidade e buscava ressarcimento — mecanismo que se mostrava impraticável na maioria dos casos.</w:t>
      </w:r>
    </w:p>
    <w:p>
      <w:pPr>
        <w:spacing w:before="260" w:after="80" w:line="240" w:lineRule="auto"/>
        <w:jc w:val="left"/>
      </w:pPr>
      <w:r>
        <w:rPr>
          <w:rFonts w:ascii="EB Garamond" w:hAnsi="EB Garamond" w:cs="EB Garamond"/>
          <w:b/>
          <w:i w:val="0"/>
          <w:color w:val="3A3128"/>
          <w:sz w:val="25"/>
          <w:lang w:val="pt-BR" w:bidi="ar-SA"/>
          <w:kern w:val="16"/>
          <w14:ligatures w14:val="standardContextual"/>
        </w:rPr>
        <w:t>13.4.2 Trabalhadora avulsa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trabalhadora avulsa goza de igualdade de direitos com a empregada, por força do art. 7º, XXXIV, da Constituição Federal. A carência é dispensada e o valor corresponde à última remuneração integral. O pagamento é feito diretamente pelo INSS (art. 72, §3º, Lei 8.213). Na prática, a categoria mais comum de trabalhadora avulsa é a portuária, embora existam avulsas em outras atividades (classificadores de cereais, embaladoras de mercadorias).</w:t>
      </w:r>
    </w:p>
    <w:p>
      <w:pPr>
        <w:spacing w:before="260" w:after="80" w:line="240" w:lineRule="auto"/>
        <w:jc w:val="left"/>
      </w:pPr>
      <w:r>
        <w:rPr>
          <w:rFonts w:ascii="EB Garamond" w:hAnsi="EB Garamond" w:cs="EB Garamond"/>
          <w:b/>
          <w:i w:val="0"/>
          <w:color w:val="3A3128"/>
          <w:sz w:val="25"/>
          <w:lang w:val="pt-BR" w:bidi="ar-SA"/>
          <w:kern w:val="16"/>
          <w14:ligatures w14:val="standardContextual"/>
        </w:rPr>
        <w:t>13.4.3 Contribuinte individual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contribuinte individual, autônoma, empresária, profissional liberal, tinha, até março de 2024, exigência de carência de dez contribuições mensais (art. 25, III, Lei 8.213/91). Com o julgamento das ADIs 2.110 e 2.111, o STF declarou essa exigência inconstitucional, por violar a isonomia em relação à empregada e à avulsa (que nunca tiveram carência) e a proteção integral à maternidade.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Desde 5 de abril de 2024 (data da publicação da ata de julgamento), basta que a contribuinte individual mantenha a qualidade de segurada na data do fato gerador para fazer jus ao salário-maternidade. A IN INSS/PRES 188/2025 regulamentou administrativamente essa dispensa de carência.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valor do benefício corresponde a 1/12 da soma dos doze últimos salários de contribuição, apurados em período não superior a quinze meses (art. 73, III, Lei 8.213/91), assegurado o mínimo de um salário-mínimo.</w:t>
      </w:r>
    </w:p>
    <w:p>
      <w:pPr>
        <w:spacing w:before="260" w:after="80" w:line="240" w:lineRule="auto"/>
        <w:jc w:val="left"/>
      </w:pPr>
      <w:r>
        <w:rPr>
          <w:rFonts w:ascii="EB Garamond" w:hAnsi="EB Garamond" w:cs="EB Garamond"/>
          <w:b/>
          <w:i w:val="0"/>
          <w:color w:val="3A3128"/>
          <w:sz w:val="25"/>
          <w:lang w:val="pt-BR" w:bidi="ar-SA"/>
          <w:kern w:val="16"/>
          <w14:ligatures w14:val="standardContextual"/>
        </w:rPr>
        <w:t>13.4.4 Segurada facultativa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segurada facultativa, estudante, dona de casa, pessoa que não exerce atividade remunerada, mas opta por contribuir, submete-se ao mesmo regime da contribuinte individual: carência dispensada (após ADIs 2.110/2.111), valor calculado na forma do art. 73, III, e pagamento direto pelo INSS.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segurada facultativa de baixa renda (art. 21, §2º, II, Lei 8.212/91), que contribui com 5% do salário-mínimo, tem direito ao salário-maternidade de um salário-mínimo, sem possibilidade de benefício superior a esse valor, salvo mediante complementação das contribuições (diferença entre 5% e 20%).</w:t>
      </w:r>
    </w:p>
    <w:p>
      <w:pPr>
        <w:spacing w:before="260" w:after="80" w:line="240" w:lineRule="auto"/>
        <w:jc w:val="left"/>
      </w:pPr>
      <w:r>
        <w:rPr>
          <w:rFonts w:ascii="EB Garamond" w:hAnsi="EB Garamond" w:cs="EB Garamond"/>
          <w:b/>
          <w:i w:val="0"/>
          <w:color w:val="3A3128"/>
          <w:sz w:val="25"/>
          <w:lang w:val="pt-BR" w:bidi="ar-SA"/>
          <w:kern w:val="16"/>
          <w14:ligatures w14:val="standardContextual"/>
        </w:rPr>
        <w:t>13.4.5 Segurada especial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segurada especial (v. Cap. 9 para o conceito completo) é a categoria com maior volume de demandas judiciais envolvendo salário-maternidade. Antes do julgamento das ADIs 2.110/2.111, precisava comprovar dez meses de atividade rural. Com a declaração de inconstitucionalidade da carência, basta demonstrar o exercício de atividade rural na data do fato gerador para manter a qualidade de segurada.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valor do benefício é de um salário-mínimo (R$ 1.621,00 em 2026), independentemente de contribuição, pago diretamente pelo INSS.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Atenção: carência dispensada NÃO dispensa prova de atividade rural</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decisão do STF nas ADIs 2.110/2.111 (março/2024) eliminou a carência de 10 contribuições para todas as categorias de seguradas. Contudo, para a segurada especial, continua sendo necessário demonstrar o exercício de atividade rural na data do fato gerador (parto, adoção, aborto). O que mudou: antes, era preciso provar 10 meses de atividade rural; agora, basta comprovar a atividade na data do evento. A qualidade de segurada especial depende do efetivo exercício da atividade rural (art. 11, VII, Lei 8.213/91), e isso deve ser demonstrado por início de prova material complementada por testemunhal (Súmula 149/STJ; Tema 297/STJ; flexibilização para salário-maternidade: TNU Temas 11 e 17).</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13.4.6 MEI (microempreendedor individual)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segurada MEI é contribuinte individual para fins previdenciários (art. 18-A, §1º, LC 123/2006). Assim, aplica-se o mesmo regime: carência dispensada (após ADIs 2.110/2.111) e valor calculado sobre o salário de contribuição declarado. Como a contribuição do MEI incide sobre o salário-mínimo (5% do SM), o valor do salário-maternidade será de um salário-mínimo (R$ 1.621,00 em 2026). Para obter benefício de valor superior, a MEI deve complementar suas contribuições (diferença entre 5% e 20%), conforme detalhado no Cap. 4 (seção 4.8).</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pagamento é feito diretamente pelo INSS, e não pelo eventual contratante dos serviços da MEI.</w:t>
      </w:r>
    </w:p>
    <w:tbl>
      <w:tblPr>
        <w:tblW w:type="auto" w:w="0"/>
        <w:jc w:val="center"/>
        <w:tblLook w:firstColumn="1" w:firstRow="1" w:lastColumn="0" w:lastRow="0" w:noHBand="0" w:noVBand="1" w:val="04A0"/>
        <w:tblW w:w="5000" w:type="pct"/>
      </w:tblPr>
      <w:tblGrid>
        <w:gridCol w:w="1270"/>
        <w:gridCol w:w="1270"/>
        <w:gridCol w:w="1270"/>
        <w:gridCol w:w="1270"/>
        <w:gridCol w:w="1270"/>
      </w:tblGrid>
      <w:tr>
        <w:trPr>
          <w:tblHeader/>
        </w:trPr>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Categoria</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Carência</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Valor do SM</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Quem paga</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Fundamento</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Empregada CLT</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Dispensada</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Remuneração integral</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Empregador (compensa)</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Art. 72, §1º</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Empregada doméstica</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Dispensada</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Último SC</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INSS direto</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LC 150/2015</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Avulsa</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Dispensada</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Remuneração integral</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INSS direto</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Art. 72, §3º</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Contribuinte individual</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Dispensada</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1/12 dos 12 últimos SC</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INSS direto</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Art. 73, III</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Facultativa</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Dispensada</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1/12 dos 12 últimos SC</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INSS direto</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Art. 73, III</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Segurada especial</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Dispensada</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 SM (R$ 1.621,00)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INSS direto</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Art. 73, II</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MEI</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Dispensada</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 SM (R$ 1.621,00)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INSS direto</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Art. 73, III</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13.5 Duração do benefício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duração do salário-maternidade varia conforme o fato gerador, com a regra geral de cento e vinte dias e situações especiais que alteram esse prazo.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Regra geral — 120 dias.</w:t>
      </w:r>
      <w:r>
        <w:rPr>
          <w:rFonts w:ascii="EB Garamond" w:hAnsi="EB Garamond" w:cs="EB Garamond"/>
          <w:b w:val="0"/>
          <w:i w:val="0"/>
          <w:color w:val="201B16"/>
          <w:sz w:val="21"/>
          <w:lang w:val="pt-BR" w:bidi="ar-SA"/>
          <w:kern w:val="16"/>
          <w14:ligatures w14:val="standardContextual"/>
        </w:rPr>
        <w:t xml:space="preserve"> O art. 71 da Lei 8.213/91 fixa a duração em cento e vinte dias para parto, adoção e guarda judicial para fins de adoção. O início pode ocorrer até vinte e oito dias antes do parto (mediante atestado médico) ou na data do parto efetivo. A escolha entre antecipar ou não o início depende da situação clínica da gestante: gestações de alto risco frequentemente justificam o afastamento antecipado.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Prorrogação excepcional — 2 semanas.</w:t>
      </w:r>
      <w:r>
        <w:rPr>
          <w:rFonts w:ascii="EB Garamond" w:hAnsi="EB Garamond" w:cs="EB Garamond"/>
          <w:b w:val="0"/>
          <w:i w:val="0"/>
          <w:color w:val="201B16"/>
          <w:sz w:val="21"/>
          <w:lang w:val="pt-BR" w:bidi="ar-SA"/>
          <w:kern w:val="16"/>
          <w14:ligatures w14:val="standardContextual"/>
        </w:rPr>
        <w:t xml:space="preserve"> O art. 93, §3º, do Decreto 3.048/99 permite que, em casos excepcionais, os períodos de repouso anterior e posterior ao parto sejam aumentados de mais duas semanas cada, mediante atestado médico. Assim, o benefício pode alcançar até cento e quarenta e oito dias (120 + 14 antes + 14 depois) em situações de risco gestacional ou complicações pós-parto.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Aborto não criminoso — 14 dias.</w:t>
      </w:r>
      <w:r>
        <w:rPr>
          <w:rFonts w:ascii="EB Garamond" w:hAnsi="EB Garamond" w:cs="EB Garamond"/>
          <w:b w:val="0"/>
          <w:i w:val="0"/>
          <w:color w:val="201B16"/>
          <w:sz w:val="21"/>
          <w:lang w:val="pt-BR" w:bidi="ar-SA"/>
          <w:kern w:val="16"/>
          <w14:ligatures w14:val="standardContextual"/>
        </w:rPr>
        <w:t xml:space="preserve"> O art. 93, §5º, do Decreto 3.048/99 estabelece que, em caso de aborto não criminoso (espontâneo ou legal), o salário-maternidade corresponde a duas semanas, mediante atestado médico.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Empresa Cidadã, prorrogação para 180 dias.</w:t>
      </w:r>
      <w:r>
        <w:rPr>
          <w:rFonts w:ascii="EB Garamond" w:hAnsi="EB Garamond" w:cs="EB Garamond"/>
          <w:b w:val="0"/>
          <w:i w:val="0"/>
          <w:color w:val="201B16"/>
          <w:sz w:val="21"/>
          <w:lang w:val="pt-BR" w:bidi="ar-SA"/>
          <w:kern w:val="16"/>
          <w14:ligatures w14:val="standardContextual"/>
        </w:rPr>
        <w:t xml:space="preserve"> A Lei 11.770/2008 instituiu o Programa Empresa Cidadã, que permite a prorrogação da licença-maternidade por sessenta dias adicionais (total de cento e oitenta dias) para empregadas de empresas aderentes. A adesão é voluntária e restrita a empresas tributadas pelo Lucro Real, que obtêm dedução integral do valor pago nos sessenta dias adicionais no Imposto de Renda da Pessoa Jurídica. A empregada deve requerer a prorrogação até o final do primeiro mês após o parto.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As empresas optantes pelo Simples Nacional e as tributadas pelo Lucro Presumido não podem aderir ao Programa Empresa Cidadã, pois o benefício fiscal consiste na dedução do IR, e essas empresas não apuram o IR pelo Lucro Real. Nada impede, porém, que concedam voluntariamente os sessenta dias adicionais, arcando com o custo sem dedução fiscal.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Programa Empresa Cidadã estende-se também à adoção: a empregada adotante de empresa aderente tem direito à prorrogação de sessenta dias, totalizando cento e oitenta dias de licença. O segurado pai adotante não é contemplado pelo Empresa Cidadã, embora tenha direito à prorrogação da licença-paternidade de cinco para vinte dias pelo mesmo programa.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Os sessenta dias adicionais do Programa Empresa Cidadã não constituem salário-maternidade previdenciário. Trata-se de licença remunerada custeada pelo empregador com incentivo fiscal. Os cento e vinte dias iniciais são salário-maternidade (benefício previdenciário pago pelo INSS ou compensado pelo empregador); os sessenta dias adicionais são remuneração paga pelo empregador com dedução fiscal. Essa distinção é relevante para efeitos contributivos e para a definição de responsabilidade.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Lei 14.457/2022 (Programa Emprega + Mulheres) trouxe inovação adicional: a possibilidade de substituir os sessenta dias adicionais da Empresa Cidadã por cento e vinte dias de trabalho em meia jornada, com pagamento de salário integral. Essa alternativa atende à demanda de seguradas que preferem retorno gradual ao trabalho.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Internação prolongada da segurada ou do recém-nascido.</w:t>
      </w:r>
      <w:r>
        <w:rPr>
          <w:rFonts w:ascii="EB Garamond" w:hAnsi="EB Garamond" w:cs="EB Garamond"/>
          <w:b w:val="0"/>
          <w:i w:val="0"/>
          <w:color w:val="201B16"/>
          <w:sz w:val="21"/>
          <w:lang w:val="pt-BR" w:bidi="ar-SA"/>
          <w:kern w:val="16"/>
          <w14:ligatures w14:val="standardContextual"/>
        </w:rPr>
        <w:t xml:space="preserve"> A Lei 15.222/2025 acrescentou o § 3º ao art. 71 da Lei 8.213/91: quando a internação hospitalar da segurada ou do recém-nascido superar duas semanas, em decorrência de complicações médicas relacionadas ao parto, o salário-maternidade é devido durante todo o período de internação e por mais cento e vinte dias após a alta hospitalar (da mãe ou do recém-nascido, o que ocorrer por último), descontado o tempo de benefício eventualmente recebido antes do parto. A norma positivou, ampliando-o, o entendimento que o STF já vinha firmando quanto à contagem do benefício a partir da alta, em proteção ao convívio mãe-filho — pois, se a criança permanece internada, o propósito do benefício, permitir os cuidados iniciais, fica frustrado.</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Situação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Duração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Fundamento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Parto (regra geral)</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120 dias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Art. 71, Lei 8.213</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Adoção/guarda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120 dias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Art. 71-A, Lei 8.213</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Aborto não criminoso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14 dias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Art. 93, §5º, Dec. 3.048</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Prorrogação excepcional</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+14 dias (antes e/ou depois)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Art. 93, §3º, Dec. 3.048</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Empresa Cidadã</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+60 dias (total 180)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Lei 11.770/2008</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Internação da segurada ou do RN &gt; 2 semanas (complicações do parto)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Benefício durante a internação + 120 dias após a alta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Art. 71, § 3º, Lei 8.213 (Lei 15.222/2025)</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13.6 Valor do benefício e cálculo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valor do salário-maternidade varia conforme a categoria da segurada, com regras de cálculo distintas estabelecidas no art. 73 da Lei 8.213/91.</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Empregada e trabalhadora avulsa: remuneração integral.</w:t>
      </w:r>
      <w:r>
        <w:rPr>
          <w:rFonts w:ascii="EB Garamond" w:hAnsi="EB Garamond" w:cs="EB Garamond"/>
          <w:b w:val="0"/>
          <w:i w:val="0"/>
          <w:color w:val="201B16"/>
          <w:sz w:val="21"/>
          <w:lang w:val="pt-BR" w:bidi="ar-SA"/>
          <w:kern w:val="16"/>
          <w14:ligatures w14:val="standardContextual"/>
        </w:rPr>
        <w:t xml:space="preserve"> O art. 72 da Lei 8.213/91 determina que o salário-maternidade da empregada e da avulsa consiste em renda mensal igual à sua remuneração integral. Não há aplicação de coeficiente redutor nem fator previdenciário. A segurada que percebe R$ 8.000,00 mensais receberá R$ 8.000,00 de salário-maternidade.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remuneração integral abrange o salário-base acrescido de todas as parcelas de natureza remuneratória habituais: adicional de insalubridade, periculosidade, gratificação de função, comissões habituais, horas extras habituais, adicional noturno e outras verbas que compõem a remuneração mensal regular. Parcelas eventuais ou indenizatórias (como ajuda de custo ou diárias para viagem) não integram a base de cálculo.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a empregada de pessoa jurídica, a Lei 10.710/2003 restabeleceu o pagamento do salário-maternidade pela empresa, com compensação nas contribuições previdenciárias. O limite operacional da compensação é o teto do RGPS (R$ 8.475,55 em 2026). A empresa paga a remuneração integral à empregada e compensa o valor até o teto do RGPS; eventual diferença entre a remuneração e o teto é ônus da empresa, sem direito a compensação. Uma empregada que ganha R$ 12.000,00 receberá os R$ 12.000,00 integrais, mas a empresa só compensa R$ 8.475,55, os R$ 3.524,45 restantes ficam a cargo do empregador.</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Incidência de imposto de renda.</w:t>
      </w:r>
      <w:r>
        <w:rPr>
          <w:rFonts w:ascii="EB Garamond" w:hAnsi="EB Garamond" w:cs="EB Garamond"/>
          <w:b w:val="0"/>
          <w:i w:val="0"/>
          <w:color w:val="201B16"/>
          <w:sz w:val="21"/>
          <w:lang w:val="pt-BR" w:bidi="ar-SA"/>
          <w:kern w:val="16"/>
          <w14:ligatures w14:val="standardContextual"/>
        </w:rPr>
        <w:t xml:space="preserve"> O salário-maternidade é rendimento tributável para fins de Imposto de Renda da Pessoa Física. A Receita Federal e a jurisprudência são unísonas quanto a isso. O valor é tributado na fonte pela alíquota progressiva (7,5% a 27,5%), com as mesmas deduções aplicáveis à remuneração normal (dependentes, contribuição previdenciária, pensão alimentícia).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Empregada doméstica: último salário de contribuição.</w:t>
      </w:r>
      <w:r>
        <w:rPr>
          <w:rFonts w:ascii="EB Garamond" w:hAnsi="EB Garamond" w:cs="EB Garamond"/>
          <w:b w:val="0"/>
          <w:i w:val="0"/>
          <w:color w:val="201B16"/>
          <w:sz w:val="21"/>
          <w:lang w:val="pt-BR" w:bidi="ar-SA"/>
          <w:kern w:val="16"/>
          <w14:ligatures w14:val="standardContextual"/>
        </w:rPr>
        <w:t xml:space="preserve"> Desde a LC 150/2015, o salário-maternidade da empregada doméstica é pago diretamente pelo INSS, com base no último salário de contribuição. O valor corresponde ao último salário registrado no eSocial.</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Contribuinte individual e facultativa: média dos últimos 12 salários de contribuição.</w:t>
      </w:r>
      <w:r>
        <w:rPr>
          <w:rFonts w:ascii="EB Garamond" w:hAnsi="EB Garamond" w:cs="EB Garamond"/>
          <w:b w:val="0"/>
          <w:i w:val="0"/>
          <w:color w:val="201B16"/>
          <w:sz w:val="21"/>
          <w:lang w:val="pt-BR" w:bidi="ar-SA"/>
          <w:kern w:val="16"/>
          <w14:ligatures w14:val="standardContextual"/>
        </w:rPr>
        <w:t xml:space="preserve"> O art. 73, III, estabelece que o valor corresponde a 1/12 da soma dos doze últimos salários de contribuição, apurados em período não superior a quinze meses. A fórmula busca os doze últimos meses com contribuição dentro de uma janela de quinze meses, evitando distorções por meses sem contribuição. O valor mínimo é de um salário-mínimo.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Segurada especial: um salário-mínimo.</w:t>
      </w:r>
      <w:r>
        <w:rPr>
          <w:rFonts w:ascii="EB Garamond" w:hAnsi="EB Garamond" w:cs="EB Garamond"/>
          <w:b w:val="0"/>
          <w:i w:val="0"/>
          <w:color w:val="201B16"/>
          <w:sz w:val="21"/>
          <w:lang w:val="pt-BR" w:bidi="ar-SA"/>
          <w:kern w:val="16"/>
          <w14:ligatures w14:val="standardContextual"/>
        </w:rPr>
        <w:t xml:space="preserve"> O art. 73, II, fixa o valor em um salário-mínimo (R$ 1.621,00 em 2026). Esse valor é fixo, independentemente da renda efetiva da atividade rural. A segurada especial que complementar suas contribuições como contribuinte individual (contribuição adicional de 20% sobre o SC declarado) pode obter benefício de valor superior, calculado na forma do art. 73, III.</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Exemplos de cálculo — Valores 2026</w:t>
            </w:r>
          </w:p>
          <w:p>
            <w:pPr>
              <w:spacing w:before="0" w:after="60" w:line="247" w:lineRule="auto"/>
              <w:jc w:val="both"/>
            </w:pPr>
            <w:r>
              <w:rPr>
                <w:rFonts w:ascii="EB Garamond" w:hAnsi="EB Garamond" w:cs="EB Garamond"/>
                <w:b/>
                <w:i w:val="0"/>
                <w:color w:val="201B16"/>
                <w:sz w:val="19"/>
                <w:lang w:val="pt-BR" w:bidi="ar-SA"/>
                <w:kern w:val="16"/>
                <w14:ligatures w14:val="standardContextual"/>
              </w:rPr>
              <w:t>Exemplo 1 — Empregada CLT (salário de R$ 4.500,00):</w:t>
            </w:r>
            <w:r>
              <w:rPr>
                <w:rFonts w:ascii="EB Garamond" w:hAnsi="EB Garamond" w:cs="EB Garamond"/>
                <w:b w:val="0"/>
                <w:i w:val="0"/>
                <w:color w:val="201B16"/>
                <w:sz w:val="19"/>
                <w:lang w:val="pt-BR" w:bidi="ar-SA"/>
                <w:kern w:val="16"/>
                <w14:ligatures w14:val="standardContextual"/>
              </w:rPr>
              <w:t xml:space="preserve"> SM = Remuneração integral = R$ 4.500,00/mês × 4 meses = R$ 18.000,00 no período. Quem paga: empresa, com compensação na GPS.</w:t>
            </w:r>
          </w:p>
          <w:p>
            <w:pPr>
              <w:spacing w:before="0" w:after="60" w:line="247" w:lineRule="auto"/>
              <w:jc w:val="both"/>
            </w:pPr>
            <w:r>
              <w:rPr>
                <w:rFonts w:ascii="EB Garamond" w:hAnsi="EB Garamond" w:cs="EB Garamond"/>
                <w:b/>
                <w:i w:val="0"/>
                <w:color w:val="201B16"/>
                <w:sz w:val="19"/>
                <w:lang w:val="pt-BR" w:bidi="ar-SA"/>
                <w:kern w:val="16"/>
                <w14:ligatures w14:val="standardContextual"/>
              </w:rPr>
              <w:t>Exemplo 2 — Empregada doméstica (último SC de R$ 2.200,00):</w:t>
            </w:r>
            <w:r>
              <w:rPr>
                <w:rFonts w:ascii="EB Garamond" w:hAnsi="EB Garamond" w:cs="EB Garamond"/>
                <w:b w:val="0"/>
                <w:i w:val="0"/>
                <w:color w:val="201B16"/>
                <w:sz w:val="19"/>
                <w:lang w:val="pt-BR" w:bidi="ar-SA"/>
                <w:kern w:val="16"/>
                <w14:ligatures w14:val="standardContextual"/>
              </w:rPr>
              <w:t xml:space="preserve"> SM = R$ 2.200,00/mês × 4 meses = R$ 8.800,00 no período. Quem paga: INSS diretamente.</w:t>
            </w:r>
          </w:p>
          <w:p>
            <w:pPr>
              <w:spacing w:before="0" w:after="60" w:line="247" w:lineRule="auto"/>
              <w:jc w:val="both"/>
            </w:pPr>
            <w:r>
              <w:rPr>
                <w:rFonts w:ascii="EB Garamond" w:hAnsi="EB Garamond" w:cs="EB Garamond"/>
                <w:b/>
                <w:i w:val="0"/>
                <w:color w:val="201B16"/>
                <w:sz w:val="19"/>
                <w:lang w:val="pt-BR" w:bidi="ar-SA"/>
                <w:kern w:val="16"/>
                <w14:ligatures w14:val="standardContextual"/>
              </w:rPr>
              <w:t>Exemplo 3 — Contribuinte individual (12 últimos SC: R$ 3.000,00/mês):</w:t>
            </w:r>
            <w:r>
              <w:rPr>
                <w:rFonts w:ascii="EB Garamond" w:hAnsi="EB Garamond" w:cs="EB Garamond"/>
                <w:b w:val="0"/>
                <w:i w:val="0"/>
                <w:color w:val="201B16"/>
                <w:sz w:val="19"/>
                <w:lang w:val="pt-BR" w:bidi="ar-SA"/>
                <w:kern w:val="16"/>
                <w14:ligatures w14:val="standardContextual"/>
              </w:rPr>
              <w:t xml:space="preserve"> SM = 1/12 × (R$ 3.000,00 × 12) = R$ 3.000,00/mês × 4 meses = R$ 12.000,00 no período. Quem paga: INSS diretamente.</w:t>
            </w:r>
          </w:p>
          <w:p>
            <w:pPr>
              <w:spacing w:before="0" w:after="60" w:line="247" w:lineRule="auto"/>
              <w:jc w:val="both"/>
            </w:pPr>
            <w:r>
              <w:rPr>
                <w:rFonts w:ascii="EB Garamond" w:hAnsi="EB Garamond" w:cs="EB Garamond"/>
                <w:b/>
                <w:i w:val="0"/>
                <w:color w:val="201B16"/>
                <w:sz w:val="19"/>
                <w:lang w:val="pt-BR" w:bidi="ar-SA"/>
                <w:kern w:val="16"/>
                <w14:ligatures w14:val="standardContextual"/>
              </w:rPr>
              <w:t>Exemplo 4 — Segurada especial:</w:t>
            </w:r>
            <w:r>
              <w:rPr>
                <w:rFonts w:ascii="EB Garamond" w:hAnsi="EB Garamond" w:cs="EB Garamond"/>
                <w:b w:val="0"/>
                <w:i w:val="0"/>
                <w:color w:val="201B16"/>
                <w:sz w:val="19"/>
                <w:lang w:val="pt-BR" w:bidi="ar-SA"/>
                <w:kern w:val="16"/>
                <w14:ligatures w14:val="standardContextual"/>
              </w:rPr>
              <w:t xml:space="preserve"> SM = 1 SM = R$ 1.621,00/mês × 4 meses = R$ 6.484,00 no período. Quem paga: INSS diretamente.</w:t>
            </w:r>
          </w:p>
          <w:p>
            <w:pPr>
              <w:spacing w:before="0" w:after="60" w:line="247" w:lineRule="auto"/>
              <w:jc w:val="both"/>
            </w:pPr>
            <w:r>
              <w:rPr>
                <w:rFonts w:ascii="EB Garamond" w:hAnsi="EB Garamond" w:cs="EB Garamond"/>
                <w:b/>
                <w:i w:val="0"/>
                <w:color w:val="201B16"/>
                <w:sz w:val="19"/>
                <w:lang w:val="pt-BR" w:bidi="ar-SA"/>
                <w:kern w:val="16"/>
                <w14:ligatures w14:val="standardContextual"/>
              </w:rPr>
              <w:t>Exemplo 5 — MEI:</w:t>
            </w:r>
            <w:r>
              <w:rPr>
                <w:rFonts w:ascii="EB Garamond" w:hAnsi="EB Garamond" w:cs="EB Garamond"/>
                <w:b w:val="0"/>
                <w:i w:val="0"/>
                <w:color w:val="201B16"/>
                <w:sz w:val="19"/>
                <w:lang w:val="pt-BR" w:bidi="ar-SA"/>
                <w:kern w:val="16"/>
                <w14:ligatures w14:val="standardContextual"/>
              </w:rPr>
              <w:t xml:space="preserve"> SM = 1 SM = R$ 1.621,00/mês × 4 meses = R$ 6.484,00 no período. Quem paga: INSS diretamente. Se a MEI complementar para 20%, valor será calculado pelo art. 73, III.</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13.7 Responsabilidade pelo pagamento e compensação tributária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sistema de pagamento do salário-maternidade envolve dois mecanismos distintos, conforme a categoria da segurada: pagamento pelo empregador com compensação tributária ou pagamento direto pelo INSS.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Pagamento pelo empregador (empregada CLT).</w:t>
      </w:r>
      <w:r>
        <w:rPr>
          <w:rFonts w:ascii="EB Garamond" w:hAnsi="EB Garamond" w:cs="EB Garamond"/>
          <w:b w:val="0"/>
          <w:i w:val="0"/>
          <w:color w:val="201B16"/>
          <w:sz w:val="21"/>
          <w:lang w:val="pt-BR" w:bidi="ar-SA"/>
          <w:kern w:val="16"/>
          <w14:ligatures w14:val="standardContextual"/>
        </w:rPr>
        <w:t xml:space="preserve"> Para a segurada empregada de pessoa jurídica (exceto doméstica e empregada do MEI), o salário-maternidade é pago pelo empregador como se fosse remuneração normal. A empresa então efetua a compensação do valor pago com as contribuições previdenciárias devidas sobre a folha de salários, nos termos do art. 72, §1º, da Lei 8.213/91. O mecanismo funciona assim: a empresa apura o total de contribuições patronais devidas no mês, deduz o valor pago a título de salário-maternidade, e recolhe apenas a diferença. Se o valor do salário-maternidade exceder o total de contribuições, a empresa acumula crédito para compensação nos meses seguintes.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Esse sistema de compensação preserva o princípio de que o custo do salário-maternidade recai sobre o sistema previdenciário, e não sobre o empregador individual. A empresa funciona como mera intermediária: paga o benefício à segurada e se ressarce com as contribuições que seriam devidas.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do eSocial e da DCTFWeb, a compensação é operacionalizada automaticamente: o evento S-1200 registra a remuneração e o evento S-1210 registra o pagamento, incluindo o salário-maternidade. O sistema calcula o valor compensável e gera a guia de recolhimento (DARF) já com a dedução.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Pagamento direto pelo INSS.</w:t>
      </w:r>
      <w:r>
        <w:rPr>
          <w:rFonts w:ascii="EB Garamond" w:hAnsi="EB Garamond" w:cs="EB Garamond"/>
          <w:b w:val="0"/>
          <w:i w:val="0"/>
          <w:color w:val="201B16"/>
          <w:sz w:val="21"/>
          <w:lang w:val="pt-BR" w:bidi="ar-SA"/>
          <w:kern w:val="16"/>
          <w14:ligatures w14:val="standardContextual"/>
        </w:rPr>
        <w:t xml:space="preserve"> Para todas as demais categorias, empregada doméstica, trabalhadora avulsa, contribuinte individual, segurada facultativa, segurada especial e MEI, o salário-maternidade é pago diretamente pelo INSS. O requerimento é feito pelo Meu INSS (portal ou aplicativo) ou presencialmente na Agência da Previdência Social. O INSS efetua o pagamento em parcela mensal, depositando o valor na conta bancária indicada pela segurada. O primeiro pagamento costuma ocorrer no mês seguinte ao deferimento do requerimento, com pagamento retroativo à data do fato gerador quando houver atraso no processamento.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demora no processamento administrativo é um dos principais motivos de judicialização: o prazo legal de quarenta e cinco dias para o primeiro pagamento do benefício, contado da apresentação da documentação necessária à concessão (art. 41-A, §5º, Lei 8.213/91), é frequentemente descumprido pelo INSS, e a natureza transitória do benefício (apenas quatro meses) torna qualquer atraso proporcionalmente grave. Uma demora de dois meses para concessão compromete metade do período do benefício.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empregada do MEI é exceção relevante: embora mantida como empregada, o salário-maternidade é pago diretamente pelo INSS (art. 72, §3º, Lei 8.213/91), e não pelo microempreendedor. A razão é prática: o MEI não tem estrutura administrativa para operacionalizar o pagamento e a compensação.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Empresa que se recusa a pagar.</w:t>
      </w:r>
      <w:r>
        <w:rPr>
          <w:rFonts w:ascii="EB Garamond" w:hAnsi="EB Garamond" w:cs="EB Garamond"/>
          <w:b w:val="0"/>
          <w:i w:val="0"/>
          <w:color w:val="201B16"/>
          <w:sz w:val="21"/>
          <w:lang w:val="pt-BR" w:bidi="ar-SA"/>
          <w:kern w:val="16"/>
          <w14:ligatures w14:val="standardContextual"/>
        </w:rPr>
        <w:t xml:space="preserve"> Quando a empresa se recusa a pagar o salário-maternidade, seja por dificuldade financeira, seja por controvérsia sobre o direito da empregada, surge a questão da competência. A empregada pode ajuizar ação trabalhista contra o empregador (Justiça do Trabalho) ou ação previdenciária contra o INSS (Justiça Federal/JEF). A jurisprudência majoritária entende que, sendo o salário-maternidade benefício previdenciário, o INSS é o responsável último pelo pagamento, podendo ser acionado diretamente quando o empregador se omitir. O INSS, por sua vez, pode exercer direito de regresso contra a empresa.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Empresa em recuperação judicial ou falência.</w:t>
      </w:r>
      <w:r>
        <w:rPr>
          <w:rFonts w:ascii="EB Garamond" w:hAnsi="EB Garamond" w:cs="EB Garamond"/>
          <w:b w:val="0"/>
          <w:i w:val="0"/>
          <w:color w:val="201B16"/>
          <w:sz w:val="21"/>
          <w:lang w:val="pt-BR" w:bidi="ar-SA"/>
          <w:kern w:val="16"/>
          <w14:ligatures w14:val="standardContextual"/>
        </w:rPr>
        <w:t xml:space="preserve"> A empresa em recuperação judicial ou falência continua obrigada ao pagamento do salário-maternidade. Se a empresa não efetuar o pagamento, a segurada pode requerer diretamente ao INSS, que assume o pagamento e busca o ressarcimento junto à massa falida. No cotidiano dos JEFs, essas situações geram demandas em que a segurada pede ao INSS o pagamento direto, ante a impossibilidade de obter o benefício pela via trabalhista.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Fraude na compensação.</w:t>
      </w:r>
      <w:r>
        <w:rPr>
          <w:rFonts w:ascii="EB Garamond" w:hAnsi="EB Garamond" w:cs="EB Garamond"/>
          <w:b w:val="0"/>
          <w:i w:val="0"/>
          <w:color w:val="201B16"/>
          <w:sz w:val="21"/>
          <w:lang w:val="pt-BR" w:bidi="ar-SA"/>
          <w:kern w:val="16"/>
          <w14:ligatures w14:val="standardContextual"/>
        </w:rPr>
        <w:t xml:space="preserve"> O mecanismo de compensação tributária pode ser utilizado fraudulentamente por empresas que registram pagamentos fictícios de salário-maternidade para reduzir suas contribuições previdenciárias. A Receita Federal fiscaliza essas situações mediante cruzamento dos dados do eSocial (que registra o afastamento da empregada) com as informações da DCTFWeb (que registra a compensação). A detecção de fraude gera autuação fiscal com multa qualificada de 150% (art. 44, §1º, Lei 9.430/96) e possível responsabilização criminal.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Atenção: Empregada doméstica — INSS paga diretamente desde 2015</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Até a LC 150/2015, o empregador doméstico era responsável pelo pagamento do salário-maternidade à empregada doméstica, com direito a ressarcimento junto ao INSS — mecanismo que se mostrou inviável em termos operacionais, pois o empregador doméstico (pessoa física) não tem folha de salários sobre a qual efetuar compensação. Desde junho de 2015, o INSS paga diretamente o SM à empregada doméstica, com base no último salário de contribuição registrado no eSocial. A empregada doméstica requer o benefício pelo Meu INSS, da mesma forma que a contribuinte individual.</w:t>
            </w: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Como requerer o salário-maternidade no Meu INSS</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1. Acesse o portal meu.inss.gov.br ou o aplicativo Meu INSS; 2. Clique em "Novo Pedido" → "Salário-Maternidade"; 3. Selecione o tipo de evento (parto, adoção, aborto, natimorto); 4. Preencha os dados pessoais e a data do evento; 5. Anexe a documentação comprobatória:  - Parto: certidão de nascimento  - Adoção: sentença judicial ou termo de guarda  - Aborto: atestado médico  - Natimorto: certidão de natimorto 6. Para empregada doméstica: informar dados do empregador no eSocial; 7. Para segurada especial: anexar documentos de prova rural (DAP, notas fiscais, declaração do sindicato); 8. Acompanhe o andamento pelo mesmo portal; 9. Prazo legal para o primeiro pagamento pelo INSS: 45 dias após a apresentação da documentação necessária (art. 41-A, §5º, Lei 8.213); 10. Se indeferido: apresentar recurso à Junta de Recursos ou ajuizar ação no JEF.</w:t>
            </w:r>
          </w:p>
          <w:p>
            <w:pPr>
              <w:spacing w:before="0" w:after="60" w:line="247" w:lineRule="auto"/>
              <w:jc w:val="both"/>
            </w:pPr>
            <w:r>
              <w:rPr>
                <w:rFonts w:ascii="EB Garamond" w:hAnsi="EB Garamond" w:cs="EB Garamond"/>
                <w:b/>
                <w:i w:val="0"/>
                <w:color w:val="201B16"/>
                <w:sz w:val="19"/>
                <w:lang w:val="pt-BR" w:bidi="ar-SA"/>
                <w:kern w:val="16"/>
                <w14:ligatures w14:val="standardContextual"/>
              </w:rPr>
              <w:t>Importante:</w:t>
            </w:r>
            <w:r>
              <w:rPr>
                <w:rFonts w:ascii="EB Garamond" w:hAnsi="EB Garamond" w:cs="EB Garamond"/>
                <w:b w:val="0"/>
                <w:i w:val="0"/>
                <w:color w:val="201B16"/>
                <w:sz w:val="19"/>
                <w:lang w:val="pt-BR" w:bidi="ar-SA"/>
                <w:kern w:val="16"/>
                <w14:ligatures w14:val="standardContextual"/>
              </w:rPr>
              <w:t xml:space="preserve"> A empregada CLT não requer pelo Meu INSS, o benefício é pago pela empresa diretamente em folha.</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13.8 Incidência de contribuição previdenciária sobre o salário-maternidade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questão da incidência de contribuição previdenciária sobre o salário-maternidade foi objeto de longa controvérsia jurídica, definitivamente resolvida pelo STF no julgamento do Tema 72 da repercussão geral.</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O regime anterior.</w:t>
      </w:r>
      <w:r>
        <w:rPr>
          <w:rFonts w:ascii="EB Garamond" w:hAnsi="EB Garamond" w:cs="EB Garamond"/>
          <w:b w:val="0"/>
          <w:i w:val="0"/>
          <w:color w:val="201B16"/>
          <w:sz w:val="21"/>
          <w:lang w:val="pt-BR" w:bidi="ar-SA"/>
          <w:kern w:val="16"/>
          <w14:ligatures w14:val="standardContextual"/>
        </w:rPr>
        <w:t xml:space="preserve"> O art. 28, §2º, da Lei 8.212/91 incluía o salário-maternidade no conceito de salário de contribuição. Consequentemente, sobre o valor do salário-maternidade incidiam: a contribuição da segurada (parte do empregado) e a contribuição patronal (parte do empregador). As empresas recolhiam 20% a título de contribuição patronal sobre o valor do salário-maternidade pago às empregadas, acrescido do RAT (1% a 3%) e das contribuições a terceiros (Sistema S, SESI, SENAI etc.).</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O Tema 72 da repercussão geral (RE 576.967).</w:t>
      </w:r>
      <w:r>
        <w:rPr>
          <w:rFonts w:ascii="EB Garamond" w:hAnsi="EB Garamond" w:cs="EB Garamond"/>
          <w:b w:val="0"/>
          <w:i w:val="0"/>
          <w:color w:val="201B16"/>
          <w:sz w:val="21"/>
          <w:lang w:val="pt-BR" w:bidi="ar-SA"/>
          <w:kern w:val="16"/>
          <w14:ligatures w14:val="standardContextual"/>
        </w:rPr>
        <w:t xml:space="preserve"> Em 5 de agosto de 2020, o Plenário do STF, por maioria de sete votos a quatro, declarou inconstitucional a incidência de contribuição previdenciária a cargo do empregador sobre os valores pagos a título de salário-maternidade. O Relator, Ministro Luís Roberto Barroso, fundamentou o voto em dois argumentos centrais.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primeiro argumento é de natureza jurídica: o salário-maternidade não é contraprestação pelo trabalho. A segurada está afastada de suas atividades durante o período do benefício; o valor recebido substitui a remuneração, mas não tem natureza remuneratória. Tributar um benefício previdenciário como se fosse salário constitui bitributação, pois o salário-maternidade já é financiado pelas contribuições patronais sobre a folha de pagamento.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segundo argumento é de política pública: a incidência de contribuição patronal sobre o salário-maternidade cria obstáculo à contratação de mulheres. Ao impor ao empregador um custo adicional (20% + RAT + terceiros sobre o valor do salário-maternidade), a norma transforma a maternidade em ônus financeiro para a empresa, gerando discriminação indireta contra mulheres em idade fértil.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STF, Tema 72 da repercussão geral (RE 576.967), Julgamento: 05/08/2020</w:t>
            </w:r>
          </w:p>
          <w:p>
            <w:pPr>
              <w:spacing w:before="0" w:after="60" w:line="247" w:lineRule="auto"/>
              <w:jc w:val="both"/>
            </w:pPr>
            <w:r>
              <w:rPr>
                <w:rFonts w:ascii="EB Garamond" w:hAnsi="EB Garamond" w:cs="EB Garamond"/>
                <w:b/>
                <w:i w:val="0"/>
                <w:color w:val="201B16"/>
                <w:sz w:val="19"/>
                <w:lang w:val="pt-BR" w:bidi="ar-SA"/>
                <w:kern w:val="16"/>
                <w14:ligatures w14:val="standardContextual"/>
              </w:rPr>
              <w:t>Tese fixada:</w:t>
            </w:r>
            <w:r>
              <w:rPr>
                <w:rFonts w:ascii="EB Garamond" w:hAnsi="EB Garamond" w:cs="EB Garamond"/>
                <w:b w:val="0"/>
                <w:i w:val="0"/>
                <w:color w:val="201B16"/>
                <w:sz w:val="19"/>
                <w:lang w:val="pt-BR" w:bidi="ar-SA"/>
                <w:kern w:val="16"/>
                <w14:ligatures w14:val="standardContextual"/>
              </w:rPr>
              <w:t xml:space="preserve"> "É inconstitucional a incidência de contribuição previdenciária a cargo do empregador sobre o salário-maternidade."</w:t>
            </w:r>
          </w:p>
          <w:p>
            <w:pPr>
              <w:spacing w:before="0" w:after="60" w:line="247" w:lineRule="auto"/>
              <w:jc w:val="both"/>
            </w:pPr>
            <w:r>
              <w:rPr>
                <w:rFonts w:ascii="EB Garamond" w:hAnsi="EB Garamond" w:cs="EB Garamond"/>
                <w:b/>
                <w:i w:val="0"/>
                <w:color w:val="201B16"/>
                <w:sz w:val="19"/>
                <w:lang w:val="pt-BR" w:bidi="ar-SA"/>
                <w:kern w:val="16"/>
                <w14:ligatures w14:val="standardContextual"/>
              </w:rPr>
              <w:t>Placar:</w:t>
            </w:r>
            <w:r>
              <w:rPr>
                <w:rFonts w:ascii="EB Garamond" w:hAnsi="EB Garamond" w:cs="EB Garamond"/>
                <w:b w:val="0"/>
                <w:i w:val="0"/>
                <w:color w:val="201B16"/>
                <w:sz w:val="19"/>
                <w:lang w:val="pt-BR" w:bidi="ar-SA"/>
                <w:kern w:val="16"/>
                <w14:ligatures w14:val="standardContextual"/>
              </w:rPr>
              <w:t xml:space="preserve"> 7 × 4. Relator para o acórdão: Min. Luís Roberto Barroso. A composição nominativa dos votos vencidos deve ser conferida no inteiro teor do acórdão (consultar portal do STF).</w:t>
            </w:r>
          </w:p>
          <w:p>
            <w:pPr>
              <w:spacing w:before="0" w:after="60" w:line="247" w:lineRule="auto"/>
              <w:jc w:val="both"/>
            </w:pPr>
            <w:r>
              <w:rPr>
                <w:rFonts w:ascii="EB Garamond" w:hAnsi="EB Garamond" w:cs="EB Garamond"/>
                <w:b/>
                <w:i w:val="0"/>
                <w:color w:val="201B16"/>
                <w:sz w:val="19"/>
                <w:lang w:val="pt-BR" w:bidi="ar-SA"/>
                <w:kern w:val="16"/>
                <w14:ligatures w14:val="standardContextual"/>
              </w:rPr>
              <w:t>Efeitos práticos:</w:t>
            </w:r>
            <w:r>
              <w:rPr>
                <w:rFonts w:ascii="EB Garamond" w:hAnsi="EB Garamond" w:cs="EB Garamond"/>
                <w:b w:val="0"/>
                <w:i w:val="0"/>
                <w:color w:val="201B16"/>
                <w:sz w:val="19"/>
                <w:lang w:val="pt-BR" w:bidi="ar-SA"/>
                <w:kern w:val="16"/>
                <w14:ligatures w14:val="standardContextual"/>
              </w:rPr>
              <w:t xml:space="preserve"> - Empresas não recolhem contribuição patronal (20% + RAT + terceiros) sobre o SM desde agosto/2020; - Empresas que recolheram podem pedir restituição/compensação dos últimos 5 anos (prescrição quinquenal); - A contribuição da segurada (parte do empregado) sobre o SM permanece devida — o Tema 72/STF afastou apenas a contribuição patronal; - Impacto estimado de R$ 1,5 bilhão/ano na arrecadação.</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E</w:t>
      </w:r>
    </w:p>
    <w:p>
      <w:pPr>
        <w:spacing w:before="0" w:after="70" w:line="259" w:lineRule="auto"/>
        <w:jc w:val="both"/>
      </w:pPr>
      <w:r>
        <w:rPr>
          <w:rFonts w:ascii="EB Garamond" w:hAnsi="EB Garamond" w:cs="EB Garamond"/>
          <w:b/>
          <w:i w:val="0"/>
          <w:color w:val="201B16"/>
          <w:sz w:val="21"/>
          <w:lang w:val="pt-BR" w:bidi="ar-SA"/>
          <w:kern w:val="16"/>
          <w14:ligatures w14:val="standardContextual"/>
        </w:rPr>
        <w:t>feitos práticos da decisão.</w:t>
      </w:r>
      <w:r>
        <w:rPr>
          <w:rFonts w:ascii="EB Garamond" w:hAnsi="EB Garamond" w:cs="EB Garamond"/>
          <w:b w:val="0"/>
          <w:i w:val="0"/>
          <w:color w:val="201B16"/>
          <w:sz w:val="21"/>
          <w:lang w:val="pt-BR" w:bidi="ar-SA"/>
          <w:kern w:val="16"/>
          <w14:ligatures w14:val="standardContextual"/>
        </w:rPr>
        <w:t xml:space="preserve"> A declaração de inconstitucionalidade produziu efeitos imediatos e retroativos. As empresas que recolheram contribuição patronal sobre o salário-maternidade nos cinco anos anteriores à decisão podem pleitear a restituição administrativa (PER/DCOMP) ou a compensação com contribuições vincendas. O prazo prescricional de cinco anos é contado da data do pagamento indevido. As ações de repetição de indébito devem observar a competência da Justiça Federal comum (não dos JEFs, pois envolvem matéria tributária e frequentemente ultrapassam o teto de sessenta salários-mínimos).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Contribuição da segurada.</w:t>
      </w:r>
      <w:r>
        <w:rPr>
          <w:rFonts w:ascii="EB Garamond" w:hAnsi="EB Garamond" w:cs="EB Garamond"/>
          <w:b w:val="0"/>
          <w:i w:val="0"/>
          <w:color w:val="201B16"/>
          <w:sz w:val="21"/>
          <w:lang w:val="pt-BR" w:bidi="ar-SA"/>
          <w:kern w:val="16"/>
          <w14:ligatures w14:val="standardContextual"/>
        </w:rPr>
        <w:t xml:space="preserve"> A decisão do Tema 72/STF afastou apenas a contribuição patronal. A contribuição da segurada (alíquota progressiva de 7,5% a 14% para empregadas) sobre o salário-maternidade permanece devida, pois o art. 28, §2º, da Lei 8.212 mantém o salário-maternidade como salário de contribuição para fins da contribuição do segurado. Essa distinção é relevante: o período de gozo do salário-maternidade conta como tempo de contribuição e carência justamente porque há incidência de contribuição da segurada.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Interface com o Cap. 4.</w:t>
      </w:r>
      <w:r>
        <w:rPr>
          <w:rFonts w:ascii="EB Garamond" w:hAnsi="EB Garamond" w:cs="EB Garamond"/>
          <w:b w:val="0"/>
          <w:i w:val="0"/>
          <w:color w:val="201B16"/>
          <w:sz w:val="21"/>
          <w:lang w:val="pt-BR" w:bidi="ar-SA"/>
          <w:kern w:val="16"/>
          <w14:ligatures w14:val="standardContextual"/>
        </w:rPr>
        <w:t xml:space="preserve"> A seção 4.16.2 do Cap. 4 já abordou o aspecto de que a segurada não precisa recolher contribuição própria durante o gozo do salário-maternidade quando este é pago pelo INSS (CI, facultativa, especial). A contribuição é considerada automaticamente realizada durante o período do benefício.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13.9 Segurada desempregada e período de graça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segurada que perde o emprego ou cessa suas contribuições mantém a qualidade de segurada durante o período de graça previsto no art. 15 da Lei 8.213/91. Se o fato gerador do salário-maternidade (parto, adoção, aborto) ocorrer durante esse período, o benefício é devido. Sobre o período de graça em geral, v. Cap. 3, seção 3.5.</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Prazos do período de graça relevantes para o SM.</w:t>
      </w:r>
      <w:r>
        <w:rPr>
          <w:rFonts w:ascii="EB Garamond" w:hAnsi="EB Garamond" w:cs="EB Garamond"/>
          <w:b w:val="0"/>
          <w:i w:val="0"/>
          <w:color w:val="201B16"/>
          <w:sz w:val="21"/>
          <w:lang w:val="pt-BR" w:bidi="ar-SA"/>
          <w:kern w:val="16"/>
          <w14:ligatures w14:val="standardContextual"/>
        </w:rPr>
        <w:t xml:space="preserve"> Os prazos são: doze meses após a cessação das contribuições (regra geral); acrescidos de doze meses se a segurada conta com mais de cento e vinte contribuições; acrescidos de mais doze meses se a segurada comprova desemprego involuntário. O prazo máximo é, portanto, de trinta e seis meses.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Valor do benefício para a desempregada.</w:t>
      </w:r>
      <w:r>
        <w:rPr>
          <w:rFonts w:ascii="EB Garamond" w:hAnsi="EB Garamond" w:cs="EB Garamond"/>
          <w:b w:val="0"/>
          <w:i w:val="0"/>
          <w:color w:val="201B16"/>
          <w:sz w:val="21"/>
          <w:lang w:val="pt-BR" w:bidi="ar-SA"/>
          <w:kern w:val="16"/>
          <w14:ligatures w14:val="standardContextual"/>
        </w:rPr>
        <w:t xml:space="preserve"> A segurada desempregada que faz jus ao salário-maternidade no período de graça recebe o benefício calculado na forma do art. 73, III, da Lei 8.213/91: 1/12 da soma dos doze últimos salários de contribuição, apurados em período não superior a quinze meses. O valor mínimo é o salário-mínimo. O cálculo toma por base os últimos salários de contribuição anteriores ao desemprego, já que durante o período de graça não há contribuição.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Responsabilidade pelo pagamento.</w:t>
      </w:r>
      <w:r>
        <w:rPr>
          <w:rFonts w:ascii="EB Garamond" w:hAnsi="EB Garamond" w:cs="EB Garamond"/>
          <w:b w:val="0"/>
          <w:i w:val="0"/>
          <w:color w:val="201B16"/>
          <w:sz w:val="21"/>
          <w:lang w:val="pt-BR" w:bidi="ar-SA"/>
          <w:kern w:val="16"/>
          <w14:ligatures w14:val="standardContextual"/>
        </w:rPr>
        <w:t xml:space="preserve"> O INSS paga diretamente o salário-maternidade à segurada desempregada. Não há empregador a quem atribuir o pagamento, e a segurada requer o benefício pelo Meu INSS como qualquer beneficiária direta do INSS.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Prova do desemprego.</w:t>
      </w:r>
      <w:r>
        <w:rPr>
          <w:rFonts w:ascii="EB Garamond" w:hAnsi="EB Garamond" w:cs="EB Garamond"/>
          <w:b w:val="0"/>
          <w:i w:val="0"/>
          <w:color w:val="201B16"/>
          <w:sz w:val="21"/>
          <w:lang w:val="pt-BR" w:bidi="ar-SA"/>
          <w:kern w:val="16"/>
          <w14:ligatures w14:val="standardContextual"/>
        </w:rPr>
        <w:t xml:space="preserve"> Para fins de extensão do período de graça por desemprego involuntário (art. 15, §2º, Lei 8.213), a segurada deve comprovar a situação de desemprego. A jurisprudência aceita como meio de prova: registro no Sistema Nacional de Emprego (SINE), recebimento de seguro-desemprego, anotação de dispensa sem justa causa na CTPS, declaração do CAGED/novo CAGED, ou qualquer outro documento que demonstre a involuntariedade do desemprego.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CI e facultativa.</w:t>
      </w:r>
      <w:r>
        <w:rPr>
          <w:rFonts w:ascii="EB Garamond" w:hAnsi="EB Garamond" w:cs="EB Garamond"/>
          <w:b w:val="0"/>
          <w:i w:val="0"/>
          <w:color w:val="201B16"/>
          <w:sz w:val="21"/>
          <w:lang w:val="pt-BR" w:bidi="ar-SA"/>
          <w:kern w:val="16"/>
          <w14:ligatures w14:val="standardContextual"/>
        </w:rPr>
        <w:t xml:space="preserve"> A contribuinte individual mantém a qualidade de segurada por doze meses após cessar as contribuições (art. 15, II); a facultativa, por seis meses (art. 15, VI). A jurisprudência admite extensão para a CI quando demonstrada a cessação involuntária da atividade autônoma. Para detalhamento das hipóteses e prazos, v. Cap. 3, seção 3.5.</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Importância prática.</w:t>
      </w:r>
      <w:r>
        <w:rPr>
          <w:rFonts w:ascii="EB Garamond" w:hAnsi="EB Garamond" w:cs="EB Garamond"/>
          <w:b w:val="0"/>
          <w:i w:val="0"/>
          <w:color w:val="201B16"/>
          <w:sz w:val="21"/>
          <w:lang w:val="pt-BR" w:bidi="ar-SA"/>
          <w:kern w:val="16"/>
          <w14:ligatures w14:val="standardContextual"/>
        </w:rPr>
        <w:t xml:space="preserve"> A segurada que pretende engravidar deve avaliar cuidadosamente sua situação previdenciária. Se deixou de contribuir, deve verificar se ainda está no período de graça. Se perdeu a qualidade de segurada, deve restabelecer a filiação mediante nova contribuição. Após a decisão do STF nas ADIs 2.110/2.111, não há mais exigência de carência — basta uma única contribuição para readquirir a qualidade de segurada (art. 27-A, Lei 8.213/91). Esse é um dos pontos mais relevantes do planejamento previdenciário voltado à maternidade.</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Cuidado: perda e reaquisição da qualidade de segurada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Após perder a qualidade de segurada (esgotamento do período de graça), a mulher que pretende ter direito ao salário-maternidade precisa readquirir a filiação ao RGPS. Após as ADIs 2.110/2.111 (STF, março/2024), não há mais exigência de carência, basta estar na qualidade de segurada na data do parto/adoção. Uma única contribuição mensal como CI ou facultativa, desde que anterior ao fato gerador, já restabelece o direito ao salário-maternidade.</w:t>
            </w:r>
          </w:p>
          <w:p>
            <w:pPr>
              <w:spacing w:before="0" w:after="60" w:line="247" w:lineRule="auto"/>
              <w:jc w:val="both"/>
            </w:pPr>
            <w:r>
              <w:rPr>
                <w:rFonts w:ascii="EB Garamond" w:hAnsi="EB Garamond" w:cs="EB Garamond"/>
                <w:b/>
                <w:i w:val="0"/>
                <w:color w:val="201B16"/>
                <w:sz w:val="19"/>
                <w:lang w:val="pt-BR" w:bidi="ar-SA"/>
                <w:kern w:val="16"/>
                <w14:ligatures w14:val="standardContextual"/>
              </w:rPr>
              <w:t>Atenção:</w:t>
            </w:r>
            <w:r>
              <w:rPr>
                <w:rFonts w:ascii="EB Garamond" w:hAnsi="EB Garamond" w:cs="EB Garamond"/>
                <w:b w:val="0"/>
                <w:i w:val="0"/>
                <w:color w:val="201B16"/>
                <w:sz w:val="19"/>
                <w:lang w:val="pt-BR" w:bidi="ar-SA"/>
                <w:kern w:val="16"/>
                <w14:ligatures w14:val="standardContextual"/>
              </w:rPr>
              <w:t xml:space="preserve"> A contribuição deve ser anterior ao fato gerador. Contribuição realizada após o parto não retroage para conferir direito ao SM pelo parto ocorrido quando a segurada não tinha qualidade de segurada.</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13.10 Segurada especial e prova de atividade rural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segurada especial é a categoria com maior número de demandas judiciais de salário-maternidade nos JEFs. A informalidade do trabalho rural dificulta a comprovação do vínculo, e o INSS historicamente aplica critérios restritivos na análise dos requerimentos de trabalhadoras rurais.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Conceito de segurada especial (remissão ao Cap. 9).</w:t>
      </w:r>
      <w:r>
        <w:rPr>
          <w:rFonts w:ascii="EB Garamond" w:hAnsi="EB Garamond" w:cs="EB Garamond"/>
          <w:b w:val="0"/>
          <w:i w:val="0"/>
          <w:color w:val="201B16"/>
          <w:sz w:val="21"/>
          <w:lang w:val="pt-BR" w:bidi="ar-SA"/>
          <w:kern w:val="16"/>
          <w14:ligatures w14:val="standardContextual"/>
        </w:rPr>
        <w:t xml:space="preserve"> O conceito e os requisitos de enquadramento da segurada especial (art. 11, VII, Lei 8.213/91) foram tratados no Cap. 9, ao qual se remete o leitor. Para fins de salário-maternidade, basta que a segurada comprove o exercício de atividade rural, pesqueira ou extrativista em regime de economia familiar na data do fato gerador.</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Prova da atividade rural — Súmula 149/STJ e Tema 297/STJ; flexibilização pela TNU (Temas 11 e 17).</w:t>
      </w:r>
      <w:r>
        <w:rPr>
          <w:rFonts w:ascii="EB Garamond" w:hAnsi="EB Garamond" w:cs="EB Garamond"/>
          <w:b w:val="0"/>
          <w:i w:val="0"/>
          <w:color w:val="201B16"/>
          <w:sz w:val="21"/>
          <w:lang w:val="pt-BR" w:bidi="ar-SA"/>
          <w:kern w:val="16"/>
          <w14:ligatures w14:val="standardContextual"/>
        </w:rPr>
        <w:t xml:space="preserve"> A comprovação da atividade rural da segurada especial para fins de salário-maternidade exige início de prova material complementada por prova testemunhal. A prova exclusivamente testemunhal é insuficiente (Súmula 149/STJ e Tema 297/STJ). Tratando-se especificamente de salário-maternidade da segurada especial, a TNU firmou, nos Temas 11 e 17, que a exigência de início de prova material contemporânea pode ser flexibilizada. Os documentos mais frequentemente aceitos como início de prova material são: declaração do sindicato rural homologada pelo INSS, DAP (Declaração de Aptidão ao PRONAF), CAF (Cadastro da Agricultura Familiar), notas fiscais de venda de produção rural, contrato de parceria ou arrendamento, PRONAF, bloco de produtor, e documentos em nome de membro do grupo familiar (cônjuge, pais).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Categorias especiais de trabalhadoras rurais.</w:t>
      </w:r>
      <w:r>
        <w:rPr>
          <w:rFonts w:ascii="EB Garamond" w:hAnsi="EB Garamond" w:cs="EB Garamond"/>
          <w:b w:val="0"/>
          <w:i w:val="0"/>
          <w:color w:val="201B16"/>
          <w:sz w:val="21"/>
          <w:lang w:val="pt-BR" w:bidi="ar-SA"/>
          <w:kern w:val="16"/>
          <w14:ligatures w14:val="standardContextual"/>
        </w:rPr>
        <w:t xml:space="preserve"> As particularidades da boia-fria, da pescadora artesanal e da indígena em regime de economia familiar, incluindo o enquadramento previdenciário e os meios de prova admitidos, são tratadas no Cap. 9 (seções 9.10, 9.26 e 9.24). Para o salário-maternidade, o ponto central é que todas essas categorias precisam demonstrar o exercício da atividade na data do fato gerador, por início de prova material complementada por testemunhal. A pescadora artesanal deve atentar para a manutenção do RGP vigente, e a indígena pode utilizar documentos da FUNAI ou da comunidade.</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STJ — Súmula 149 e Tema 297 (prova rural); TNU — Temas 11 e 17 (flexibilização para salário-maternidade)</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comprovação da atividade rural da segurada especial para fins de salário-maternidade exige início de prova material complementada por prova testemunhal; a prova exclusivamente testemunhal não basta (Súmula 149/STJ e Tema 297/STJ). Para o salário-maternidade da segurada especial, a TNU (Temas 11 e 17) admite a flexibilização do início de prova material. Documentos aceitos: declaração do sindicato (homologada pelo INSS), DAP/CAF, notas fiscais de produção, contrato de parceria/arrendamento, PRONAF, bloco de produtor.</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Não se exige que a prova documental cubra todo o período de carência (Súmula 14/TNU); basta que seja razoável e contemporânea aos fatos (Súmula 34/TNU).</w:t>
            </w:r>
          </w:p>
          <w:p>
            <w:pPr>
              <w:spacing w:before="0" w:after="60" w:line="247" w:lineRule="auto"/>
              <w:jc w:val="both"/>
            </w:pPr>
            <w:r>
              <w:rPr>
                <w:rFonts w:ascii="EB Garamond" w:hAnsi="EB Garamond" w:cs="EB Garamond"/>
                <w:b/>
                <w:i w:val="0"/>
                <w:color w:val="201B16"/>
                <w:sz w:val="19"/>
                <w:lang w:val="pt-BR" w:bidi="ar-SA"/>
                <w:kern w:val="16"/>
                <w14:ligatures w14:val="standardContextual"/>
              </w:rPr>
              <w:t>Após ADIs 2.110/2.111 (STF, março/2024):</w:t>
            </w:r>
            <w:r>
              <w:rPr>
                <w:rFonts w:ascii="EB Garamond" w:hAnsi="EB Garamond" w:cs="EB Garamond"/>
                <w:b w:val="0"/>
                <w:i w:val="0"/>
                <w:color w:val="201B16"/>
                <w:sz w:val="19"/>
                <w:lang w:val="pt-BR" w:bidi="ar-SA"/>
                <w:kern w:val="16"/>
                <w14:ligatures w14:val="standardContextual"/>
              </w:rPr>
              <w:t xml:space="preserve"> a carência de 10 meses de atividade rural foi declarada inconstitucional. Contudo, a segurada especial continua precisando demonstrar o exercício de atividade rural no momento do fato gerador para comprovar a qualidade de segurada. A lógica probatória permanece a mesma; o que mudou foi a extensão temporal exigida.</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E</w:t>
      </w:r>
    </w:p>
    <w:p>
      <w:pPr>
        <w:spacing w:before="0" w:after="70" w:line="259" w:lineRule="auto"/>
        <w:jc w:val="both"/>
      </w:pPr>
      <w:r>
        <w:rPr>
          <w:rFonts w:ascii="EB Garamond" w:hAnsi="EB Garamond" w:cs="EB Garamond"/>
          <w:b/>
          <w:i w:val="0"/>
          <w:color w:val="201B16"/>
          <w:sz w:val="21"/>
          <w:lang w:val="pt-BR" w:bidi="ar-SA"/>
          <w:kern w:val="16"/>
          <w14:ligatures w14:val="standardContextual"/>
        </w:rPr>
        <w:t>xemplo de deferimento.</w:t>
      </w:r>
      <w:r>
        <w:rPr>
          <w:rFonts w:ascii="EB Garamond" w:hAnsi="EB Garamond" w:cs="EB Garamond"/>
          <w:b w:val="0"/>
          <w:i w:val="0"/>
          <w:color w:val="201B16"/>
          <w:sz w:val="21"/>
          <w:lang w:val="pt-BR" w:bidi="ar-SA"/>
          <w:kern w:val="16"/>
          <w14:ligatures w14:val="standardContextual"/>
        </w:rPr>
        <w:t xml:space="preserve"> Maria, pescadora artesanal, 28 anos, residente no município de Bragança/PA. Apresentou ao INSS: certidão de nascimento do filho, RGP ativo, declaração da Colônia de Pescadores Z-17, e duas notas fiscais de venda de camarão dos últimos seis meses. O INSS indeferiu o pedido alegando ausência de 10 contribuições. Após a decisão do STF nas ADIs 2.110/2.111, Maria requereu novamente e o INSS concedeu o benefício de R$ 1.621,00/mês (1 SM) por 120 dias.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Exemplo de controvérsia judicial.</w:t>
      </w:r>
      <w:r>
        <w:rPr>
          <w:rFonts w:ascii="EB Garamond" w:hAnsi="EB Garamond" w:cs="EB Garamond"/>
          <w:b w:val="0"/>
          <w:i w:val="0"/>
          <w:color w:val="201B16"/>
          <w:sz w:val="21"/>
          <w:lang w:val="pt-BR" w:bidi="ar-SA"/>
          <w:kern w:val="16"/>
          <w14:ligatures w14:val="standardContextual"/>
        </w:rPr>
        <w:t xml:space="preserve"> Joana, trabalhadora rural boia-fria, 32 anos, município de Jacarezinho/PR. Apresentou ao INSS apenas a certidão de nascimento e declaração de duas testemunhas. O INSS indeferiu por ausência de início de prova material. Joana ajuizou ação no JEF, apresentando declaração do sindicato rural e fotos de lavoura. O juiz designou audiência de instrução, na qual duas testemunhas confirmaram o trabalho rural de Joana nos últimos anos. O benefício foi deferido com DIB na data do parto, com correção monetária desde essa data (Súmula 45/TNU).</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Descaracterização da atividade rural.</w:t>
      </w:r>
      <w:r>
        <w:rPr>
          <w:rFonts w:ascii="EB Garamond" w:hAnsi="EB Garamond" w:cs="EB Garamond"/>
          <w:b w:val="0"/>
          <w:i w:val="0"/>
          <w:color w:val="201B16"/>
          <w:sz w:val="21"/>
          <w:lang w:val="pt-BR" w:bidi="ar-SA"/>
          <w:kern w:val="16"/>
          <w14:ligatures w14:val="standardContextual"/>
        </w:rPr>
        <w:t xml:space="preserve"> O INSS pode indeferir o salário-maternidade da segurada especial quando identificar elementos que descaracterizem a atividade rural em regime de economia familiar. Os motivos mais comuns de indeferimento são: renda familiar incompatível com a subsistência pela agricultura (cônjuge com emprego urbano de alta renda), propriedade rural acima de quatro módulos fiscais, contratação permanente de empregados (desnaturando o regime de economia familiar), e exercício de atividade urbana concomitante por período superior ao permitido (cento e vinte dias/ano, conforme art. 11, §9º, Lei 8.213/91).</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existência de vínculo empregatício urbano de outro membro da família não descaracteriza, por si só, a condição de segurada especial, desde que a atividade rural continue sendo indispensável à subsistência do grupo familiar. A TNU tem jurisprudência consolidada no sentido de que a descaracterização exige análise do conjunto probatório, não se admitindo presunção automática pela simples existência de renda urbana no grupo familiar.</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Fiscalização e fraude.</w:t>
      </w:r>
      <w:r>
        <w:rPr>
          <w:rFonts w:ascii="EB Garamond" w:hAnsi="EB Garamond" w:cs="EB Garamond"/>
          <w:b w:val="0"/>
          <w:i w:val="0"/>
          <w:color w:val="201B16"/>
          <w:sz w:val="21"/>
          <w:lang w:val="pt-BR" w:bidi="ar-SA"/>
          <w:kern w:val="16"/>
          <w14:ligatures w14:val="standardContextual"/>
        </w:rPr>
        <w:t xml:space="preserve"> O salário-maternidade da segurada especial é o benefício previdenciário com maior índice de fraude registrado pelo INSS. A facilidade do requerimento (basta comprovar atividade rural e parto), associada à dificuldade de fiscalização em áreas rurais remotas, gera incentivo a requerimentos fraudulentos por pessoas que não exercem efetivamente atividade rural. O INSS tem intensificado a fiscalização mediante cruzamento de dados (CNIS, RAIS, CAGED) e entrevistas domiciliares. A detecção de fraude gera cancelamento do benefício, cobrança dos valores pagos indevidamente e possível responsabilização criminal (art. 171, §3º, CP, estelionato previdenciário).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13.11 Adoção e guarda judicial para fins de adoção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extensão do salário-maternidade à adoção reflete a mudança na concepção de família e parentalidade no direito brasileiro: o vínculo entre pais e filhos não se estabelece exclusivamente pela via biológica, e a criança adotada necessita do mesmo período de convívio e adaptação assegurado ao recém-nascido biológico.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Evolução do regime de adoção no salário-maternidade.</w:t>
      </w:r>
      <w:r>
        <w:rPr>
          <w:rFonts w:ascii="EB Garamond" w:hAnsi="EB Garamond" w:cs="EB Garamond"/>
          <w:b w:val="0"/>
          <w:i w:val="0"/>
          <w:color w:val="201B16"/>
          <w:sz w:val="21"/>
          <w:lang w:val="pt-BR" w:bidi="ar-SA"/>
          <w:kern w:val="16"/>
          <w14:ligatures w14:val="standardContextual"/>
        </w:rPr>
        <w:t xml:space="preserve"> A inclusão da mãe adotiva entre as beneficiárias do salário-maternidade ocorreu pela Lei 10.421/2002, que instituiu regime discriminatório baseado na idade do adotando: cento e vinte dias para criança de até um ano de idade, sessenta dias para criança de um a quatro anos, e trinta dias para criança de quatro a oito anos. Esse escalonamento partia da premissa equivocada de que crianças mais velhas demandariam menor tempo de adaptação. A realidade da adoção demonstra o oposto: a adoção tardia (de crianças mais velhas) é mais complexa e exige período de adaptação mais intenso, pois a criança já vivenciou experiências de abandono, institucionalização e rompimento de vínculos.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Lei 12.873/2013 corrigiu essa distorção ao unificar o prazo em cento e vinte dias para toda adoção, independentemente da idade do adotando, desde que este tenha até doze anos de idade. O limite de doze anos decorre do conceito de criança estabelecido no Estatuto da Criança e do Adolescente (art. 2º, Lei 8.069/90: considera-se criança a pessoa até doze anos de idade incompletos). A adoção de adolescente (doze a dezoito anos) não gera direito ao salário-maternidade, embora a doutrina critique essa limitação como inconsistente com o princípio da proteção integral.</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Momento de início do benefício.</w:t>
      </w:r>
      <w:r>
        <w:rPr>
          <w:rFonts w:ascii="EB Garamond" w:hAnsi="EB Garamond" w:cs="EB Garamond"/>
          <w:b w:val="0"/>
          <w:i w:val="0"/>
          <w:color w:val="201B16"/>
          <w:sz w:val="21"/>
          <w:lang w:val="pt-BR" w:bidi="ar-SA"/>
          <w:kern w:val="16"/>
          <w14:ligatures w14:val="standardContextual"/>
        </w:rPr>
        <w:t xml:space="preserve"> O salário-maternidade por adoção tem início na data do trânsito em julgado da sentença de adoção ou na data do termo de guarda provisória para fins de adoção, o que ocorrer primeiro. Na prática forense, o mais comum é que o benefício seja requerido a partir do termo de guarda provisória, pois este antecede a sentença definitiva e marca o momento em que a criança efetivamente passa a conviver com a família adotante.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guarda judicial para fins de adoção deve ser expressamente designada como tal no termo judicial. A guarda simples (art. 33, §1º, ECA), que não visa à adoção, não gera direito ao salário-maternidade. Essa distinção é relevante na experiência dos juizados: avós que obtêm guarda de netos, tios que obtêm guarda de sobrinhos, ou padrinhos que obtêm guarda de afilhados não fazem jus ao benefício, salvo se a guarda for expressamente para fins de adoção.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Adoção internacional.</w:t>
      </w:r>
      <w:r>
        <w:rPr>
          <w:rFonts w:ascii="EB Garamond" w:hAnsi="EB Garamond" w:cs="EB Garamond"/>
          <w:b w:val="0"/>
          <w:i w:val="0"/>
          <w:color w:val="201B16"/>
          <w:sz w:val="21"/>
          <w:lang w:val="pt-BR" w:bidi="ar-SA"/>
          <w:kern w:val="16"/>
          <w14:ligatures w14:val="standardContextual"/>
        </w:rPr>
        <w:t xml:space="preserve"> Na adoção internacional (quando o adotante reside no exterior ou quando a criança será levada para outro país), o estágio de convivência obrigatório é de no mínimo trinta dias no Brasil (art. 46, §3º, ECA). O salário-maternidade tem início na data do termo de guarda provisória, e a segurada deve manter-se no Brasil durante o estágio de convivência. Se a segurada for brasileira residente no exterior, o benefício é pago pelo INSS, desde que mantida a qualidade de segurada.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Adoção tardia e grupo de irmãos.</w:t>
      </w:r>
      <w:r>
        <w:rPr>
          <w:rFonts w:ascii="EB Garamond" w:hAnsi="EB Garamond" w:cs="EB Garamond"/>
          <w:b w:val="0"/>
          <w:i w:val="0"/>
          <w:color w:val="201B16"/>
          <w:sz w:val="21"/>
          <w:lang w:val="pt-BR" w:bidi="ar-SA"/>
          <w:kern w:val="16"/>
          <w14:ligatures w14:val="standardContextual"/>
        </w:rPr>
        <w:t xml:space="preserve"> A adoção de criança maior (acima de dois anos) e a adoção de grupo de irmãos recebem o mesmo tratamento: cento e vinte dias de salário-maternidade, sem multiplicação pelo número de crianças adotadas. A política pública de incentivo à adoção tardia e de grupos de irmãos (art. 197-C, §2º, ECA) não se reflete em ampliação do período do benefício previdenciário. A doutrina tem criticado essa limitação, argumentando que a adoção simultânea de três ou quatro irmãos demanda esforço de adaptação incomparavelmente maior do que a adoção de uma única criança, justificando período proporcional mais extenso. A crítica, contudo, não encontra respaldo legislativo vigente.</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Vedação de duplicidade.</w:t>
      </w:r>
      <w:r>
        <w:rPr>
          <w:rFonts w:ascii="EB Garamond" w:hAnsi="EB Garamond" w:cs="EB Garamond"/>
          <w:b w:val="0"/>
          <w:i w:val="0"/>
          <w:color w:val="201B16"/>
          <w:sz w:val="21"/>
          <w:lang w:val="pt-BR" w:bidi="ar-SA"/>
          <w:kern w:val="16"/>
          <w14:ligatures w14:val="standardContextual"/>
        </w:rPr>
        <w:t xml:space="preserve"> O §2º do art. 71-A da Lei 8.213/91 veda a concessão do benefício a mais de um segurado pelo mesmo processo de adoção ou guarda, ressalvado o pagamento à mãe biológica (que recebe SM pelo parto) e a hipótese de falecimento do titular (art. 71-B). Assim, em um casal, heterossexual ou homoafetivo, que adota conjuntamente, apenas um dos adotantes recebe o salário-maternidade. A escolha de qual adotante requererá o benefício cabe ao casal.</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Documentação necessária.</w:t>
      </w:r>
      <w:r>
        <w:rPr>
          <w:rFonts w:ascii="EB Garamond" w:hAnsi="EB Garamond" w:cs="EB Garamond"/>
          <w:b w:val="0"/>
          <w:i w:val="0"/>
          <w:color w:val="201B16"/>
          <w:sz w:val="21"/>
          <w:lang w:val="pt-BR" w:bidi="ar-SA"/>
          <w:kern w:val="16"/>
          <w14:ligatures w14:val="standardContextual"/>
        </w:rPr>
        <w:t xml:space="preserve"> Para requerer o salário-maternidade por adoção, são necessários: sentença judicial de adoção transitada em julgado ou termo de guarda provisória para fins de adoção, certidão de nascimento da criança (original e com retificação, se já efetivada), e documentação pessoal da segurada ou do segurado (CPF, identidade, dados bancários). Para seguradas empregadas, o RH da empresa processa o benefício mediante apresentação do termo de guarda ou sentença.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Checklist: documentos para requerer SM por adoção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Sentença judicial de adoção (transitada em julgado) OU termo de guarda provisória para fins de adoção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Certidão de nascimento da criança (original)</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Certidão de nascimento retificada (se já disponível)</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Documento de identidade com foto do(a) requerente</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CPF do(a) requerente</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Dados bancários (conta corrente ou poupança em nome do titular)</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CTPS ou comprovante de contribuição (CI, facultativa)</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Para segurada especial: documentos de prova de atividade rural</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Para empregada: comunicação ao empregador com cópia do termo/sentença</w:t>
            </w:r>
          </w:p>
          <w:p>
            <w:pPr>
              <w:spacing w:before="0" w:after="60" w:line="247" w:lineRule="auto"/>
              <w:jc w:val="both"/>
            </w:pPr>
            <w:r>
              <w:rPr>
                <w:rFonts w:ascii="EB Garamond" w:hAnsi="EB Garamond" w:cs="EB Garamond"/>
                <w:b/>
                <w:i w:val="0"/>
                <w:color w:val="201B16"/>
                <w:sz w:val="19"/>
                <w:lang w:val="pt-BR" w:bidi="ar-SA"/>
                <w:kern w:val="16"/>
                <w14:ligatures w14:val="standardContextual"/>
              </w:rPr>
              <w:t>Prazo para requerimento:</w:t>
            </w:r>
            <w:r>
              <w:rPr>
                <w:rFonts w:ascii="EB Garamond" w:hAnsi="EB Garamond" w:cs="EB Garamond"/>
                <w:b w:val="0"/>
                <w:i w:val="0"/>
                <w:color w:val="201B16"/>
                <w:sz w:val="19"/>
                <w:lang w:val="pt-BR" w:bidi="ar-SA"/>
                <w:kern w:val="16"/>
                <w14:ligatures w14:val="standardContextual"/>
              </w:rPr>
              <w:t xml:space="preserve"> até 180 dias após o fato gerador (adoção ou guarda). O INSS aceita requerimento tardio, mas o pagamento retroage apenas à data do fato gerador, não ao período anterior.</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I</w:t>
      </w:r>
    </w:p>
    <w:p>
      <w:pPr>
        <w:spacing w:before="0" w:after="70" w:line="259" w:lineRule="auto"/>
        <w:jc w:val="both"/>
      </w:pPr>
      <w:r>
        <w:rPr>
          <w:rFonts w:ascii="EB Garamond" w:hAnsi="EB Garamond" w:cs="EB Garamond"/>
          <w:b/>
          <w:i w:val="0"/>
          <w:color w:val="201B16"/>
          <w:sz w:val="21"/>
          <w:lang w:val="pt-BR" w:bidi="ar-SA"/>
          <w:kern w:val="16"/>
          <w14:ligatures w14:val="standardContextual"/>
        </w:rPr>
        <w:t>mpacto da dispensa de carência na adoção.</w:t>
      </w:r>
      <w:r>
        <w:rPr>
          <w:rFonts w:ascii="EB Garamond" w:hAnsi="EB Garamond" w:cs="EB Garamond"/>
          <w:b w:val="0"/>
          <w:i w:val="0"/>
          <w:color w:val="201B16"/>
          <w:sz w:val="21"/>
          <w:lang w:val="pt-BR" w:bidi="ar-SA"/>
          <w:kern w:val="16"/>
          <w14:ligatures w14:val="standardContextual"/>
        </w:rPr>
        <w:t xml:space="preserve"> Após as ADIs 2.110/2.111 (STF, março/2024), a segurada ou segurado adotante não precisa mais cumprir carência de dez contribuições mensais. Basta manter a qualidade de segurada(o) na data da adoção ou da guarda. Essa mudança é particularmente relevante para adoções não planejadas (como a adoção de criança abandonada encontrada pelo segurado) ou para seguradas que recentemente ingressaram no RGPS e ainda não contavam com dez contribuições.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Adoção intuitu personae (adoção dirigida).</w:t>
      </w:r>
      <w:r>
        <w:rPr>
          <w:rFonts w:ascii="EB Garamond" w:hAnsi="EB Garamond" w:cs="EB Garamond"/>
          <w:b w:val="0"/>
          <w:i w:val="0"/>
          <w:color w:val="201B16"/>
          <w:sz w:val="21"/>
          <w:lang w:val="pt-BR" w:bidi="ar-SA"/>
          <w:kern w:val="16"/>
          <w14:ligatures w14:val="standardContextual"/>
        </w:rPr>
        <w:t xml:space="preserve"> Na adoção intuitu personae, em que a mãe biológica escolhe a família adotiva, o salário-maternidade é devido a partir do termo de guarda provisória. A questão é controversa quando a criança é entregue informalmente antes da formalização judicial: o período de convivência anterior à guarda judicial não gera direito ao salário-maternidade, pois o fato gerador é o ato judicial (sentença ou termo de guarda), e não a entrega fática da criança.</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13.12 Pai adotante, casais homoafetivos e famílias diversas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Lei 12.873/2013 representou marco na evolução do salário-maternidade ao eliminar a distinção de gênero no benefício por adoção. O art. 71-A passou a referir-se a "segurado ou segurada" que adotar, reconhecendo que o cuidado da criança adotada pode ser exercido por homem ou mulher, independentemente da orientação sexual ou da configuração familiar.</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Segurado homem adotante.</w:t>
      </w:r>
      <w:r>
        <w:rPr>
          <w:rFonts w:ascii="EB Garamond" w:hAnsi="EB Garamond" w:cs="EB Garamond"/>
          <w:b w:val="0"/>
          <w:i w:val="0"/>
          <w:color w:val="201B16"/>
          <w:sz w:val="21"/>
          <w:lang w:val="pt-BR" w:bidi="ar-SA"/>
          <w:kern w:val="16"/>
          <w14:ligatures w14:val="standardContextual"/>
        </w:rPr>
        <w:t xml:space="preserve"> Desde 24 de outubro de 2013 (data de publicação da Lei 12.873), o segurado homem que adota ou obtém guarda judicial para fins de adoção tem direito ao salário-maternidade de cento e vinte dias, nas mesmas condições da segurada mulher. A extensão aplica-se a todas as categorias de segurados: empregado, contribuinte individual, facultativo, segurado especial e MEI. A denominação "salário-maternidade" torna-se, nesses casos, uma impropriedade terminológica, mais adequado seria "salário-parentalidade", mas a legislação manteve a nomenclatura original. O valor, a duração e as condições de concessão são idênticos aos da segurada mulher.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pai biológico que não adota não tem direito ao salário-maternidade. Até 2026, dispõe apenas da licença-paternidade de cinco dias (art. 10, § 1º, ADCT) ou de vinte dias se a empresa aderir ao Programa Empresa Cidadã (Lei 11.770/2008). A Lei 15.371, de 31 de março de 2026, instituiu o salário-paternidade no âmbito da Previdência Social, com vigência a partir de 1º de janeiro de 2027: a licença e o benefício terão dez dias em 2027, quinze em 2028 e vinte a partir de 2029 (esta última etapa condicionada ao cumprimento da meta fiscal), observadas, no que couber, as regras do salário-maternidade. A extensão do salário-maternidade ao homem é restrita à adoção e à guarda judicial para fins de adoção, refletindo a opção legislativa de associar o benefício ampliado ao período de adaptação da criança ao novo lar, e não ao evento biológico do parto.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Casais homoafetivos.</w:t>
      </w:r>
      <w:r>
        <w:rPr>
          <w:rFonts w:ascii="EB Garamond" w:hAnsi="EB Garamond" w:cs="EB Garamond"/>
          <w:b w:val="0"/>
          <w:i w:val="0"/>
          <w:color w:val="201B16"/>
          <w:sz w:val="21"/>
          <w:lang w:val="pt-BR" w:bidi="ar-SA"/>
          <w:kern w:val="16"/>
          <w14:ligatures w14:val="standardContextual"/>
        </w:rPr>
        <w:t xml:space="preserve"> O reconhecimento da união estável homoafetiva pelo STF (ADI 4.277 e ADPF 132, julgadas em 2011) e a possibilidade de casamento civil homoafetivo (Resolução CNJ 175/2013) produziram reflexos diretos no salário-maternidade.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Em casal homoafetivo feminino, quando uma das companheiras gesta e dá à luz, o salário-maternidade é devido à gestante (fato gerador: parto). Se o casal adota conjuntamente, apenas uma das companheiras recebe o benefício (vedação de duplicidade do art. 71-A, §2º). Em casal homoafetivo masculino, o salário-maternidade é possível nas hipóteses de adoção (benefício para um dos companheiros) ou de gestação por substituição (tema controverso tratado na seção 13.17.5).</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Famílias monoparentais.</w:t>
      </w:r>
      <w:r>
        <w:rPr>
          <w:rFonts w:ascii="EB Garamond" w:hAnsi="EB Garamond" w:cs="EB Garamond"/>
          <w:b w:val="0"/>
          <w:i w:val="0"/>
          <w:color w:val="201B16"/>
          <w:sz w:val="21"/>
          <w:lang w:val="pt-BR" w:bidi="ar-SA"/>
          <w:kern w:val="16"/>
          <w14:ligatures w14:val="standardContextual"/>
        </w:rPr>
        <w:t xml:space="preserve"> O pai solo ou a mãe sola que adota tem direito ao salário-maternidade integral de cento e vinte dias. Não há exigência de que o adotante seja casado ou viva em união estável. A família monoparental é expressamente reconhecida pela Constituição (art. 226, §4º, CF: "entende-se, também, como entidade familiar a comunidade formada por qualquer dos pais e seus descendentes").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Multiparentalidade.</w:t>
      </w:r>
      <w:r>
        <w:rPr>
          <w:rFonts w:ascii="EB Garamond" w:hAnsi="EB Garamond" w:cs="EB Garamond"/>
          <w:b w:val="0"/>
          <w:i w:val="0"/>
          <w:color w:val="201B16"/>
          <w:sz w:val="21"/>
          <w:lang w:val="pt-BR" w:bidi="ar-SA"/>
          <w:kern w:val="16"/>
          <w14:ligatures w14:val="standardContextual"/>
        </w:rPr>
        <w:t xml:space="preserve"> O reconhecimento da multiparentalidade pelo STF (RE 898.060/SC, Tema 622, julgado em 2016), que admite a coexistência de filiação biológica e socioafetiva, gera questões ainda não enfrentadas pela legislação previdenciária. Se uma criança tem dois pais e uma mãe (ou configurações semelhantes), quantos salários-maternidade podem ser concedidos? A vedação do art. 71-A, §2º, sugere que apenas um benefício é possível por processo de adoção ou guarda, mas a situação é inédita e carece de regulamentação específica.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Produção independente (inseminação artificial).</w:t>
      </w:r>
      <w:r>
        <w:rPr>
          <w:rFonts w:ascii="EB Garamond" w:hAnsi="EB Garamond" w:cs="EB Garamond"/>
          <w:b w:val="0"/>
          <w:i w:val="0"/>
          <w:color w:val="201B16"/>
          <w:sz w:val="21"/>
          <w:lang w:val="pt-BR" w:bidi="ar-SA"/>
          <w:kern w:val="16"/>
          <w14:ligatures w14:val="standardContextual"/>
        </w:rPr>
        <w:t xml:space="preserve"> A mulher solteira que engravida por inseminação artificial (doador anônimo) tem direito ao salário-maternidade como qualquer gestante, sem qualquer peculiaridade jurídica. O fato gerador é o parto, independentemente da forma de concepção. O mesmo se aplica à fertilização in vitro (FIV) e a todas as técnicas de reprodução assistida quando a própria segurada gesta.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Casais homoafetivos femininos e reprodução assistida.</w:t>
      </w:r>
      <w:r>
        <w:rPr>
          <w:rFonts w:ascii="EB Garamond" w:hAnsi="EB Garamond" w:cs="EB Garamond"/>
          <w:b w:val="0"/>
          <w:i w:val="0"/>
          <w:color w:val="201B16"/>
          <w:sz w:val="21"/>
          <w:lang w:val="pt-BR" w:bidi="ar-SA"/>
          <w:kern w:val="16"/>
          <w14:ligatures w14:val="standardContextual"/>
        </w:rPr>
        <w:t xml:space="preserve"> Em casais homoafetivos femininos em que uma das companheiras gesta (por inseminação artificial com doador) e a outra é a mãe socioafetiva, apenas a gestante recebe o salário-maternidade (fato gerador: parto). A companheira não gestante não faz jus ao benefício, salvo se houver adoção unilateral (situação rara quando já há filiação registrada). A lacuna legislativa é evidente: a companheira não gestante assume papel parental idêntico, mas não tem acesso ao salário-maternidade por ausência de fato gerador previsto em lei.</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13.13 Estabilidade gestante e interface trabalhista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estabilidade provisória da gestante (art. 10, II, b, ADCT) e o salário-maternidade são institutos complementares que protegem a maternidade no ambiente de trabalho. A estabilidade garante a manutenção do emprego; o salário-maternidade substitui a remuneração durante o afastamento. A interseção desses dois institutos gera questões práticas relevantes.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Natureza objetiva da estabilidade.</w:t>
      </w:r>
      <w:r>
        <w:rPr>
          <w:rFonts w:ascii="EB Garamond" w:hAnsi="EB Garamond" w:cs="EB Garamond"/>
          <w:b w:val="0"/>
          <w:i w:val="0"/>
          <w:color w:val="201B16"/>
          <w:sz w:val="21"/>
          <w:lang w:val="pt-BR" w:bidi="ar-SA"/>
          <w:kern w:val="16"/>
          <w14:ligatures w14:val="standardContextual"/>
        </w:rPr>
        <w:t xml:space="preserve"> A estabilidade gestante independe do conhecimento do empregador sobre o estado gravídico (Súmula 244, I, TST). A empregada dispensada sem justa causa que descobre a gravidez após a dispensa tem direito à reintegração ou à indenização correspondente ao período da estabilidade, incluindo o salário-maternidade. Essa natureza objetiva protege a empregada contra a dispensa mesmo quando a gravidez era desconhecida no momento da rescisão.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Contrato por prazo determinado.</w:t>
      </w:r>
      <w:r>
        <w:rPr>
          <w:rFonts w:ascii="EB Garamond" w:hAnsi="EB Garamond" w:cs="EB Garamond"/>
          <w:b w:val="0"/>
          <w:i w:val="0"/>
          <w:color w:val="201B16"/>
          <w:sz w:val="21"/>
          <w:lang w:val="pt-BR" w:bidi="ar-SA"/>
          <w:kern w:val="16"/>
          <w14:ligatures w14:val="standardContextual"/>
        </w:rPr>
        <w:t xml:space="preserve"> A Súmula 244, III, do TST, em sua redação anterior à reforma trabalhista (Lei 13.467/2017), estendia a estabilidade gestante ao contrato por prazo determinado, incluindo o contrato de experiência. A reforma trabalhista (Lei 13.467/2017) introduziu o contrato de trabalho intermitente (art. 443, §3º, CLT) e alterou o regime dos contratos por prazo determinado, mas não disciplinou expressamente a estabilidade gestante nessas modalidades. A matéria permanece controvertida: o TST tem oscilado entre aplicar a restrição e manter a estabilidade com fundamento direto na Constituição (art. 10, II, b, ADCT), que não excepciona nenhuma modalidade contratual.</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Empregada doméstica.</w:t>
      </w:r>
      <w:r>
        <w:rPr>
          <w:rFonts w:ascii="EB Garamond" w:hAnsi="EB Garamond" w:cs="EB Garamond"/>
          <w:b w:val="0"/>
          <w:i w:val="0"/>
          <w:color w:val="201B16"/>
          <w:sz w:val="21"/>
          <w:lang w:val="pt-BR" w:bidi="ar-SA"/>
          <w:kern w:val="16"/>
          <w14:ligatures w14:val="standardContextual"/>
        </w:rPr>
        <w:t xml:space="preserve"> A LC 150/2015 (art. 25) assegurou expressamente a estabilidade provisória à empregada doméstica gestante, confirmando o entendimento já prevalente na jurisprudência. A empregada doméstica dispensada durante a gestação tem direito à reintegração ou à indenização substitutiva, e o salário-maternidade é pago pelo INSS a partir da data do parto.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Dispensa durante a gestação e reflexos no salário-maternidade.</w:t>
      </w:r>
      <w:r>
        <w:rPr>
          <w:rFonts w:ascii="EB Garamond" w:hAnsi="EB Garamond" w:cs="EB Garamond"/>
          <w:b w:val="0"/>
          <w:i w:val="0"/>
          <w:color w:val="201B16"/>
          <w:sz w:val="21"/>
          <w:lang w:val="pt-BR" w:bidi="ar-SA"/>
          <w:kern w:val="16"/>
          <w14:ligatures w14:val="standardContextual"/>
        </w:rPr>
        <w:t xml:space="preserve"> Se a empregada é dispensada sem justa causa durante a gestação, três cenários são possíveis: (a) a empregada é reintegrada e continua recebendo salário-maternidade pelo empregador quando chegar o momento do parto; (b) a empregada recebe indenização substitutiva (salários e demais direitos do período de estabilidade), que inclui o valor correspondente ao salário-maternidade; (c) a empregada, mesmo sem reintegração, requer o salário-maternidade diretamente ao INSS como segurada no período de graça.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cenário (c) é o mais frequente nos JEFs: a empregada dispensada durante a gestação, que não obteve reintegração pela Justiça do Trabalho, requer o salário-maternidade ao INSS como segurada desempregada no período de graça. O INSS deve conceder o benefício nos termos do art. 73, III (1/12 dos últimos 12 salários de contribuição).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Estabilidade gestante: Súmula 244/TST e reflexos previdenciários</w:t>
            </w:r>
          </w:p>
          <w:p>
            <w:pPr>
              <w:spacing w:before="0" w:after="60" w:line="247" w:lineRule="auto"/>
              <w:jc w:val="both"/>
            </w:pPr>
            <w:r>
              <w:rPr>
                <w:rFonts w:ascii="EB Garamond" w:hAnsi="EB Garamond" w:cs="EB Garamond"/>
                <w:b/>
                <w:i w:val="0"/>
                <w:color w:val="201B16"/>
                <w:sz w:val="19"/>
                <w:lang w:val="pt-BR" w:bidi="ar-SA"/>
                <w:kern w:val="16"/>
                <w14:ligatures w14:val="standardContextual"/>
              </w:rPr>
              <w:t>Súmula 244, I, TST:</w:t>
            </w:r>
            <w:r>
              <w:rPr>
                <w:rFonts w:ascii="EB Garamond" w:hAnsi="EB Garamond" w:cs="EB Garamond"/>
                <w:b w:val="0"/>
                <w:i w:val="0"/>
                <w:color w:val="201B16"/>
                <w:sz w:val="19"/>
                <w:lang w:val="pt-BR" w:bidi="ar-SA"/>
                <w:kern w:val="16"/>
                <w14:ligatures w14:val="standardContextual"/>
              </w:rPr>
              <w:t xml:space="preserve"> O desconhecimento do estado gravídico pelo empregador não afasta o direito ao pagamento da indenização decorrente da estabilidade.</w:t>
            </w:r>
          </w:p>
          <w:p>
            <w:pPr>
              <w:spacing w:before="0" w:after="60" w:line="247" w:lineRule="auto"/>
              <w:jc w:val="both"/>
            </w:pPr>
            <w:r>
              <w:rPr>
                <w:rFonts w:ascii="EB Garamond" w:hAnsi="EB Garamond" w:cs="EB Garamond"/>
                <w:b/>
                <w:i w:val="0"/>
                <w:color w:val="201B16"/>
                <w:sz w:val="19"/>
                <w:lang w:val="pt-BR" w:bidi="ar-SA"/>
                <w:kern w:val="16"/>
                <w14:ligatures w14:val="standardContextual"/>
              </w:rPr>
              <w:t>Súmula 244, II, TST:</w:t>
            </w:r>
            <w:r>
              <w:rPr>
                <w:rFonts w:ascii="EB Garamond" w:hAnsi="EB Garamond" w:cs="EB Garamond"/>
                <w:b w:val="0"/>
                <w:i w:val="0"/>
                <w:color w:val="201B16"/>
                <w:sz w:val="19"/>
                <w:lang w:val="pt-BR" w:bidi="ar-SA"/>
                <w:kern w:val="16"/>
                <w14:ligatures w14:val="standardContextual"/>
              </w:rPr>
              <w:t xml:space="preserve"> A garantia de emprego à gestante só autoriza a reintegração se esta se der durante o período de estabilidade. Do contrário, a garantia restringe-se aos salários e demais direitos correspondentes ao período de estabilidade.</w:t>
            </w:r>
          </w:p>
          <w:p>
            <w:pPr>
              <w:spacing w:before="0" w:after="60" w:line="247" w:lineRule="auto"/>
              <w:jc w:val="both"/>
            </w:pPr>
            <w:r>
              <w:rPr>
                <w:rFonts w:ascii="EB Garamond" w:hAnsi="EB Garamond" w:cs="EB Garamond"/>
                <w:b/>
                <w:i w:val="0"/>
                <w:color w:val="201B16"/>
                <w:sz w:val="19"/>
                <w:lang w:val="pt-BR" w:bidi="ar-SA"/>
                <w:kern w:val="16"/>
                <w14:ligatures w14:val="standardContextual"/>
              </w:rPr>
              <w:t>Reflexo previdenciário:</w:t>
            </w:r>
            <w:r>
              <w:rPr>
                <w:rFonts w:ascii="EB Garamond" w:hAnsi="EB Garamond" w:cs="EB Garamond"/>
                <w:b w:val="0"/>
                <w:i w:val="0"/>
                <w:color w:val="201B16"/>
                <w:sz w:val="19"/>
                <w:lang w:val="pt-BR" w:bidi="ar-SA"/>
                <w:kern w:val="16"/>
                <w14:ligatures w14:val="standardContextual"/>
              </w:rPr>
              <w:t xml:space="preserve"> A empregada gestante dispensada sem justa causa que não é reintegrada tem direito ao salário-maternidade pago pelo INSS, como segurada no período de graça (art. 15, Lei 8.213). O valor é calculado pelo art. 73, III (1/12 dos 12 últimos SC). A competência para esta ação é da Justiça Federal (JEF), e não da Justiça do Trabalho, pois o réu é o INSS.</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C</w:t>
      </w:r>
    </w:p>
    <w:p>
      <w:pPr>
        <w:spacing w:before="0" w:after="70" w:line="259" w:lineRule="auto"/>
        <w:jc w:val="both"/>
      </w:pPr>
      <w:r>
        <w:rPr>
          <w:rFonts w:ascii="EB Garamond" w:hAnsi="EB Garamond" w:cs="EB Garamond"/>
          <w:b/>
          <w:i w:val="0"/>
          <w:color w:val="201B16"/>
          <w:sz w:val="21"/>
          <w:lang w:val="pt-BR" w:bidi="ar-SA"/>
          <w:kern w:val="16"/>
          <w14:ligatures w14:val="standardContextual"/>
        </w:rPr>
        <w:t>ompetência: Justiça Federal × Justiça do Trabalho.</w:t>
      </w:r>
      <w:r>
        <w:rPr>
          <w:rFonts w:ascii="EB Garamond" w:hAnsi="EB Garamond" w:cs="EB Garamond"/>
          <w:b w:val="0"/>
          <w:i w:val="0"/>
          <w:color w:val="201B16"/>
          <w:sz w:val="21"/>
          <w:lang w:val="pt-BR" w:bidi="ar-SA"/>
          <w:kern w:val="16"/>
          <w14:ligatures w14:val="standardContextual"/>
        </w:rPr>
        <w:t xml:space="preserve"> A delimitação de competência entre a Justiça Federal e a Justiça do Trabalho é uma das questões processuais mais recorrentes em matéria de salário-maternidade. A regra geral é clara: quando o réu é o INSS, a competência é da Justiça Federal (JEFs); quando o réu é o empregador, a competência é da Justiça do Trabalho. A dificuldade surge quando a empregada CLT tem o salário-maternidade indeferido pelo empregador que alega impossibilidade financeira: a empregada pode acionar o INSS diretamente?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jurisprudência majoritária admite a legitimidade passiva do INSS mesmo quando o pagamento deveria ser feito pelo empregador, pois o INSS é o responsável último pelo benefício previdenciário. O INSS, condenado, pode exercer direito de regresso contra o empregador. Essa solução beneficia a segurada, que obtém o pagamento imediato sem depender da solvência do empregador.</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Avulsa gestante e estabilidade.</w:t>
      </w:r>
      <w:r>
        <w:rPr>
          <w:rFonts w:ascii="EB Garamond" w:hAnsi="EB Garamond" w:cs="EB Garamond"/>
          <w:b w:val="0"/>
          <w:i w:val="0"/>
          <w:color w:val="201B16"/>
          <w:sz w:val="21"/>
          <w:lang w:val="pt-BR" w:bidi="ar-SA"/>
          <w:kern w:val="16"/>
          <w14:ligatures w14:val="standardContextual"/>
        </w:rPr>
        <w:t xml:space="preserve"> A trabalhadora avulsa gestante tem estabilidade provisória? A Constituição assegura igualdade de direitos entre avulsa e empregada (art. 7º, XXXIV), o que incluiria a estabilidade gestante. Contudo, a trabalhadora avulsa não mantém vínculo empregatício com o tomador de serviços — o vínculo é com o OGMO (Órgão Gestor de Mão de Obra) ou sindicato. A doutrina majoritária reconhece a estabilidade, impedindo o descredenciamento da avulsa gestante junto ao OGMO durante o período de proteção (confirmação da gravidez até cinco meses após o parto).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Trabalho intermitente e gestação.</w:t>
      </w:r>
      <w:r>
        <w:rPr>
          <w:rFonts w:ascii="EB Garamond" w:hAnsi="EB Garamond" w:cs="EB Garamond"/>
          <w:b w:val="0"/>
          <w:i w:val="0"/>
          <w:color w:val="201B16"/>
          <w:sz w:val="21"/>
          <w:lang w:val="pt-BR" w:bidi="ar-SA"/>
          <w:kern w:val="16"/>
          <w14:ligatures w14:val="standardContextual"/>
        </w:rPr>
        <w:t xml:space="preserve"> A empregada em contrato de trabalho intermitente (art. 443, §3º, CLT) que engravida enfrenta situação peculiar. Nos períodos de inatividade, não há remuneração nem contribuição previdenciária. A segurada pode ter lacunas contributivas que, antes da decisão do STF nas ADIs 2.110/2.111, comprometiam a carência de dez contribuições. Com a eliminação da carência, basta que a segurada mantenha a qualidade de segurada — o que se verifica pela existência de vínculo empregatício ativo no eSocial, mesmo que intermitente.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estabilidade gestante da empregada intermitente é tema controverso. O TST ainda não fixou posição definitiva sobre se a empregada intermitente tem direito à estabilidade durante os períodos de inatividade ou apenas durante as convocações efetivas. A tendência jurisprudencial é reconhecer a estabilidade pelo período integral (confirmação da gravidez até cinco meses após o parto), impedindo a rescisão do contrato intermitente.</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13.14 Acumulação e vedações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124 da Lei 8.213/91 estabelece regras de vedação de acumulação entre benefícios previdenciários. O salário-maternidade é afetado por algumas dessas vedações e, simultaneamente, pode ser acumulado com outros benefícios.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Vedação: SM × auxílio por incapacidade temporária.</w:t>
      </w:r>
      <w:r>
        <w:rPr>
          <w:rFonts w:ascii="EB Garamond" w:hAnsi="EB Garamond" w:cs="EB Garamond"/>
          <w:b w:val="0"/>
          <w:i w:val="0"/>
          <w:color w:val="201B16"/>
          <w:sz w:val="21"/>
          <w:lang w:val="pt-BR" w:bidi="ar-SA"/>
          <w:kern w:val="16"/>
          <w14:ligatures w14:val="standardContextual"/>
        </w:rPr>
        <w:t xml:space="preserve"> O art. 124 da Lei 8.213/91, combinado com o art. 167 do Decreto 3.048/99, veda a acumulação de salário-maternidade com auxílio por incapacidade temporária (antigo auxílio-doença), por incompatibilidade lógica: ambos os benefícios substituem a remuneração do segurado. Quando a segurada em gozo de auxílio por incapacidade temporária dá à luz, o auxílio é suspenso e substituído pelo salário-maternidade, por ser este mais vantajoso (remuneração integral versus 91% do salário de benefício). Findo o período do salário-maternidade, se a incapacidade persistir, o auxílio por incapacidade temporária é restabelecido automaticamente.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essa substituição exige ação administrativa da segurada: ela deve comunicar o parto ao INSS e requerer a conversão do auxílio em salário-maternidade. Se o INSS não proceder à conversão de ofício, a segurada pode requerer judicialmente, com retroação da DIB do salário-maternidade à data do parto.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Acumulação permitida: SM × aposentadoria.</w:t>
      </w:r>
      <w:r>
        <w:rPr>
          <w:rFonts w:ascii="EB Garamond" w:hAnsi="EB Garamond" w:cs="EB Garamond"/>
          <w:b w:val="0"/>
          <w:i w:val="0"/>
          <w:color w:val="201B16"/>
          <w:sz w:val="21"/>
          <w:lang w:val="pt-BR" w:bidi="ar-SA"/>
          <w:kern w:val="16"/>
          <w14:ligatures w14:val="standardContextual"/>
        </w:rPr>
        <w:t xml:space="preserve"> A segurada aposentada que retorna ao trabalho e engravida tem direito ao salário-maternidade, sem prejuízo da aposentadoria. O art. 71-C da Lei 8.213/91 condiciona o salário-maternidade ao afastamento do trabalho, mas não à cessação da aposentadoria. A aposentada mantém o benefício de aposentadoria e recebe, cumulativamente, o salário-maternidade durante cento e vinte dias, desde que se afaste do trabalho.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Acumulação permitida: SM × pensão por morte.</w:t>
      </w:r>
      <w:r>
        <w:rPr>
          <w:rFonts w:ascii="EB Garamond" w:hAnsi="EB Garamond" w:cs="EB Garamond"/>
          <w:b w:val="0"/>
          <w:i w:val="0"/>
          <w:color w:val="201B16"/>
          <w:sz w:val="21"/>
          <w:lang w:val="pt-BR" w:bidi="ar-SA"/>
          <w:kern w:val="16"/>
          <w14:ligatures w14:val="standardContextual"/>
        </w:rPr>
        <w:t xml:space="preserve"> O salário-maternidade e a pensão por morte são benefícios de natureza diversa (um substitui remuneração, o outro é benefício de dependente) e podem ser recebidos cumulativamente sem restrição.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Acumulação permitida: SM × auxílio-acidente.</w:t>
      </w:r>
      <w:r>
        <w:rPr>
          <w:rFonts w:ascii="EB Garamond" w:hAnsi="EB Garamond" w:cs="EB Garamond"/>
          <w:b w:val="0"/>
          <w:i w:val="0"/>
          <w:color w:val="201B16"/>
          <w:sz w:val="21"/>
          <w:lang w:val="pt-BR" w:bidi="ar-SA"/>
          <w:kern w:val="16"/>
          <w14:ligatures w14:val="standardContextual"/>
        </w:rPr>
        <w:t xml:space="preserve"> O auxílio-acidente tem natureza indenizatória (art. 86, §2º, Lei 8.213/91) e é acumulável com o salário-maternidade. A segurada que recebe auxílio-acidente e engravida receberá simultaneamente ambos os benefícios.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Vedação: SM × BPC.</w:t>
      </w:r>
      <w:r>
        <w:rPr>
          <w:rFonts w:ascii="EB Garamond" w:hAnsi="EB Garamond" w:cs="EB Garamond"/>
          <w:b w:val="0"/>
          <w:i w:val="0"/>
          <w:color w:val="201B16"/>
          <w:sz w:val="21"/>
          <w:lang w:val="pt-BR" w:bidi="ar-SA"/>
          <w:kern w:val="16"/>
          <w14:ligatures w14:val="standardContextual"/>
        </w:rPr>
        <w:t xml:space="preserve"> O BPC/LOAS é inacumulável com qualquer benefício previdenciário (art. 20, §4º, Lei 8.742/93), incluindo o salário-maternidade. A beneficiária do BPC que engravidar e fizer jus ao salário-maternidade deverá optar entre os dois benefícios. Na maioria dos casos, o salário-maternidade é mais vantajoso (por ser temporário e cumulável com retorno ao trabalho), mas a análise depende da situação individual — conferir detalhamento no Cap. 18 (seção 18.9).</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Dois salários-maternidade simultâneos.</w:t>
      </w:r>
      <w:r>
        <w:rPr>
          <w:rFonts w:ascii="EB Garamond" w:hAnsi="EB Garamond" w:cs="EB Garamond"/>
          <w:b w:val="0"/>
          <w:i w:val="0"/>
          <w:color w:val="201B16"/>
          <w:sz w:val="21"/>
          <w:lang w:val="pt-BR" w:bidi="ar-SA"/>
          <w:kern w:val="16"/>
          <w14:ligatures w14:val="standardContextual"/>
        </w:rPr>
        <w:t xml:space="preserve"> A segurada com dois vínculos empregatícios simultâneos (por exemplo, empregada em duas empresas) pode receber dois salários-maternidade? A questão é controvertida. A posição do INSS é restritiva: apenas um benefício por fato gerador. A jurisprudência, porém, tem admitido o pagamento de dois salários-maternidade quando a segurada comprova dois vínculos concomitantes, pois o afastamento ocorre em ambos os empregos e a remuneração é substituída em ambos. Cada empresa efetua a compensação relativa ao seu vínculo.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fundamento para a acumulação reside na natureza substitutiva do benefício: se a segurada tinha duas fontes de renda e se afasta de ambas para cuidar do filho, ambas as rendas devem ser substituídas pelo salário-maternidade. A vedação seria desarrazoada, pois puniria a segurada pelo fato de trabalhar em dois empregos. Em sentido diverso, o INSS argumenta que o benefício por fato gerador é único, pois o risco social (maternidade) é um só, independentemente do número de vínculos.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Quadro-resumo de acumulação:</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Benefício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Acumula com SM?</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Fundamento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Auxílio por incapacidade temporária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Art. 124, Lei 8.213 c/c art. 167, Dec. 3.048</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Aposentadoria (qualquer espécie)</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SIM</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SM não exclui aposentadoria</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Pensão por morte</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SIM</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Naturezas distintas</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Auxílio-acidente</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SIM</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Natureza indenizatória</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BPC/LOAS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Art. 20, §4º, Lei 8.742</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Seguro-desemprego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Controvérsia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Jurisprudência dividida</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Outro SM (2º vínculo)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Controvérsia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Tendência: SIM</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13.15 Salário-maternidade como tempo de contribuição e carência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período de gozo do salário-maternidade produz efeitos relevantes na contagem de tempo de contribuição e carência da segurada, com impacto direto na futura aposentadoria.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Tempo de contribuição.</w:t>
      </w:r>
      <w:r>
        <w:rPr>
          <w:rFonts w:ascii="EB Garamond" w:hAnsi="EB Garamond" w:cs="EB Garamond"/>
          <w:b w:val="0"/>
          <w:i w:val="0"/>
          <w:color w:val="201B16"/>
          <w:sz w:val="21"/>
          <w:lang w:val="pt-BR" w:bidi="ar-SA"/>
          <w:kern w:val="16"/>
          <w14:ligatures w14:val="standardContextual"/>
        </w:rPr>
        <w:t xml:space="preserve"> O art. 55 da Lei 8.213/91 inclui o período de gozo de benefício por incapacidade no cômputo do tempo de contribuição. Por analogia e por previsão regulamentar (art. 60 do Decreto 3.048/99), o período de salário-maternidade também é computado como tempo de contribuição. Os cento e vinte dias (ou cento e oitenta dias, no caso de Empresa Cidadã para a parcela previdenciária de 120 dias) contam integralmente para fins de aposentadoria.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Carência.</w:t>
      </w:r>
      <w:r>
        <w:rPr>
          <w:rFonts w:ascii="EB Garamond" w:hAnsi="EB Garamond" w:cs="EB Garamond"/>
          <w:b w:val="0"/>
          <w:i w:val="0"/>
          <w:color w:val="201B16"/>
          <w:sz w:val="21"/>
          <w:lang w:val="pt-BR" w:bidi="ar-SA"/>
          <w:kern w:val="16"/>
          <w14:ligatures w14:val="standardContextual"/>
        </w:rPr>
        <w:t xml:space="preserve"> Cada mês de gozo do salário-maternidade corresponde a uma contribuição para fins de carência. Os quatro meses de salário-maternidade equivalem a quatro contribuições mensais. Esse cômputo é automático, pois o salário-maternidade integra o salário de contribuição (art. 28, §2º, Lei 8.212/91) e sobre ele incide contribuição da segurada.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Segurada CI e facultativa: dispensa de contribuição durante o SM.</w:t>
      </w:r>
      <w:r>
        <w:rPr>
          <w:rFonts w:ascii="EB Garamond" w:hAnsi="EB Garamond" w:cs="EB Garamond"/>
          <w:b w:val="0"/>
          <w:i w:val="0"/>
          <w:color w:val="201B16"/>
          <w:sz w:val="21"/>
          <w:lang w:val="pt-BR" w:bidi="ar-SA"/>
          <w:kern w:val="16"/>
          <w14:ligatures w14:val="standardContextual"/>
        </w:rPr>
        <w:t xml:space="preserve"> A contribuinte individual e a segurada facultativa não precisam recolher contribuição previdenciária durante o período de gozo do salário-maternidade pago pelo INSS. O período é considerado automaticamente como contribuição, sem necessidade de recolhimento por GPS ou DARF. Essa regra evita que a segurada tenha que pagar contribuição sobre um benefício que já é custeado pelo sistema previdenciário — seria, em essência, contribuir sobre a própria contribuição.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do CNIS, o período de salário-maternidade deve aparecer como contribuição automática. Quando isso não ocorre, situação relativamente comum para contribuintes individuais e seguradas especiais, a segurada deve solicitar a retificação do CNIS junto ao INSS, apresentando a carta de concessão do salário-maternidade como prova do período contributivo. Essa retificação pode ser feita administrativamente ou judicialmente (conforme detalhado no Cap. 5, seção 5.3).</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Impacto no cálculo do salário de benefício futuro.</w:t>
      </w:r>
      <w:r>
        <w:rPr>
          <w:rFonts w:ascii="EB Garamond" w:hAnsi="EB Garamond" w:cs="EB Garamond"/>
          <w:b w:val="0"/>
          <w:i w:val="0"/>
          <w:color w:val="201B16"/>
          <w:sz w:val="21"/>
          <w:lang w:val="pt-BR" w:bidi="ar-SA"/>
          <w:kern w:val="16"/>
          <w14:ligatures w14:val="standardContextual"/>
        </w:rPr>
        <w:t xml:space="preserve"> Os salários de contribuição durante o período de gozo do salário-maternidade são computados no cálculo do salário de benefício para fins de aposentadoria. Para a empregada, o salário de contribuição durante o SM é igual à sua remuneração integral (limitada ao teto). Para a CI e facultativa, é o valor do salário-maternidade recebido (1/12 dos 12 últimos SC). Para a segurada especial, é o salário-mínimo.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Relevância para o planejamento previdenciário feminino.</w:t>
      </w:r>
      <w:r>
        <w:rPr>
          <w:rFonts w:ascii="EB Garamond" w:hAnsi="EB Garamond" w:cs="EB Garamond"/>
          <w:b w:val="0"/>
          <w:i w:val="0"/>
          <w:color w:val="201B16"/>
          <w:sz w:val="21"/>
          <w:lang w:val="pt-BR" w:bidi="ar-SA"/>
          <w:kern w:val="16"/>
          <w14:ligatures w14:val="standardContextual"/>
        </w:rPr>
        <w:t xml:space="preserve"> O salário-maternidade tem impacto positivo no planejamento previdenciário feminino, pois os meses de gozo contam como contribuição e carência sem custo adicional para a segurada. Uma mulher que teve três filhos e recebeu salário-maternidade em cada gestação acumulou doze meses de contribuição (3 × 4 meses) sem recolhimento próprio. Em carreiras longas, esse acréscimo pode ser decisivo para completar requisitos de aposentadoria.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Exemplo prático.</w:t>
      </w:r>
      <w:r>
        <w:rPr>
          <w:rFonts w:ascii="EB Garamond" w:hAnsi="EB Garamond" w:cs="EB Garamond"/>
          <w:b w:val="0"/>
          <w:i w:val="0"/>
          <w:color w:val="201B16"/>
          <w:sz w:val="21"/>
          <w:lang w:val="pt-BR" w:bidi="ar-SA"/>
          <w:kern w:val="16"/>
          <w14:ligatures w14:val="standardContextual"/>
        </w:rPr>
        <w:t xml:space="preserve"> Ana, contribuinte individual, 55 anos, tem 14 anos e 8 meses de contribuição. Precisa de 15 anos para a aposentadoria programada (art. 201, §7º, II, CF). Se Ana teve dois filhos durante sua vida contributiva e recebeu SM em cada gestação, os 8 meses de SM (2 × 4) já estão computados no CNIS. Porém, se por algum erro do sistema esses meses não constam no CNIS, a retificação pode garantir os 15 anos necessários. O advogado deve verificar no CNIS se os períodos de SM estão corretamente registrados.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Além disso, o período de salário-maternidade pode preencher lacunas contributivas que, de outro modo, comprometeriam a carência exigida para outros benefícios (como aposentadoria por idade). A segurada que engravidou durante período de contribuição regular tem a continuidade contributiva assegurada pelo SM.</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13.16 Aspectos processuais nos JEFs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litigância envolvendo salário-maternidade nos Juizados Especiais Federais apresenta particularidades que a distinguem das demais ações previdenciárias. A natureza temporária do benefício (quatro meses), a urgência inerente à proteção da gestante e do recém-nascido, e o volume expressivo de demandas de seguradas especiais conformam um perfil processual próprio.</w:t>
      </w:r>
    </w:p>
    <w:p>
      <w:pPr>
        <w:spacing w:before="260" w:after="80" w:line="240" w:lineRule="auto"/>
        <w:jc w:val="left"/>
      </w:pPr>
      <w:r>
        <w:rPr>
          <w:rFonts w:ascii="EB Garamond" w:hAnsi="EB Garamond" w:cs="EB Garamond"/>
          <w:b/>
          <w:i w:val="0"/>
          <w:color w:val="3A3128"/>
          <w:sz w:val="25"/>
          <w:lang w:val="pt-BR" w:bidi="ar-SA"/>
          <w:kern w:val="16"/>
          <w14:ligatures w14:val="standardContextual"/>
        </w:rPr>
        <w:t>13.16.1 Competência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competência para as ações de salário-maternidade contra o INSS é da Justiça Federal, exercida pelos Juizados Especiais Federais quando o valor da causa não ultrapassa sessenta salários-mínimos (R$ 97.260,00 em 2026). Como o salário-maternidade é benefício temporário de até quatro meses, o valor da causa corresponde a quatro vezes a renda mensal do benefício. Para a segurada especial (SM de R$ 1.621,00), o valor da causa será R$ 6.484,00 — muito abaixo do teto do JEF. Para empregadas de alta remuneração, o valor da causa pode se aproximar ou superar o teto quando incluídas parcelas acessórias (correção monetária, juros, honorários).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Quando a demanda envolve empregada CLT cujo empregador se recusa a pagar o salário-maternidade, surge questão de competência: a empregada pode acionar o empregador na Justiça do Trabalho ou o INSS na Justiça Federal. A formação de litisconsórcio passivo (INSS e empregador) é possível, com a competência deslocada para a Justiça Federal por força do art. 109, I, da CF/88, que atribui à Justiça Federal as causas em que autarquia federal figure como parte. Na prática, as ações nos JEFs envolvem majoritariamente seguradas especiais, contribuintes individuais, facultativas e desempregadas — categorias cujo benefício é pago diretamente pelo INSS.</w:t>
      </w:r>
    </w:p>
    <w:p>
      <w:pPr>
        <w:spacing w:before="260" w:after="80" w:line="240" w:lineRule="auto"/>
        <w:jc w:val="left"/>
      </w:pPr>
      <w:r>
        <w:rPr>
          <w:rFonts w:ascii="EB Garamond" w:hAnsi="EB Garamond" w:cs="EB Garamond"/>
          <w:b/>
          <w:i w:val="0"/>
          <w:color w:val="3A3128"/>
          <w:sz w:val="25"/>
          <w:lang w:val="pt-BR" w:bidi="ar-SA"/>
          <w:kern w:val="16"/>
          <w14:ligatures w14:val="standardContextual"/>
        </w:rPr>
        <w:t>13.16.2 Prévio requerimento administrativo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Tema 350 do STF (RE 631.240) exige prévio requerimento administrativo como condição para o ajuizamento de ação previdenciária contra o INSS. A segurada deve requerer o salário-maternidade administrativamente e aguardar a decisão do INSS antes de ingressar em juízo.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As exceções ao prévio requerimento, indeferimento notório, posição institucional contrária ao pedido, demora irrazoável, aplicam-se ao salário-maternidade com particular intensidade. A demora irrazoável é especialmente relevante: como o benefício dura apenas quatro meses, uma demora de trinta dias no processamento administrativo compromete 25% do período. A Lei 15.415, de 25 de maio de 2026, deu resposta legislativa a esse problema: o salário-maternidade pago diretamente pela Previdência Social deve ser concedido em até trinta dias do requerimento, e o descumprimento do prazo acarreta a concessão provisória e automática do benefício, sem prejuízo da análise posterior dos requisitos; se estes não forem cumpridos, o benefício cessa, mas os valores recebidos no período provisório não se sujeitam a repetição, salvo má-fé. A jurisprudência dos JEFs tem admitido o ajuizamento sem prévio requerimento quando a segurada demonstra que o parto é iminente ou já ocorreu, e que a demora no processamento administrativo frustraria o propósito do benefício.</w:t>
      </w:r>
    </w:p>
    <w:p>
      <w:pPr>
        <w:spacing w:before="260" w:after="80" w:line="240" w:lineRule="auto"/>
        <w:jc w:val="left"/>
      </w:pPr>
      <w:r>
        <w:rPr>
          <w:rFonts w:ascii="EB Garamond" w:hAnsi="EB Garamond" w:cs="EB Garamond"/>
          <w:b/>
          <w:i w:val="0"/>
          <w:color w:val="3A3128"/>
          <w:sz w:val="25"/>
          <w:lang w:val="pt-BR" w:bidi="ar-SA"/>
          <w:kern w:val="16"/>
          <w14:ligatures w14:val="standardContextual"/>
        </w:rPr>
        <w:t>13.16.3 Data de início do benefício (DIB)</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DIB do salário-maternidade é a data do fato gerador: data do parto, data da adoção, data do aborto, ou até vinte e oito dias antes do parto (quando requerido antecipadamente). A Súmula 45 da TNU estabelece que a correção monetária do salário-maternidade é devida desde a data do parto, independentemente da data do requerimento administrativo.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Quando a ação judicial é necessária, a sentença normalmente fixa a DIB na data do parto ou da adoção, com pagamento das parcelas vencidas (retroativas) corrigidas monetariamente desde cada vencimento e acrescidas de juros de mora (taxa SELIC unificada, conforme EC 113/2021). As parcelas vincendas são implementadas imediatamente, se o benefício ainda estiver no prazo de cento e vinte dias.</w:t>
      </w:r>
    </w:p>
    <w:p>
      <w:pPr>
        <w:spacing w:before="260" w:after="80" w:line="240" w:lineRule="auto"/>
        <w:jc w:val="left"/>
      </w:pPr>
      <w:r>
        <w:rPr>
          <w:rFonts w:ascii="EB Garamond" w:hAnsi="EB Garamond" w:cs="EB Garamond"/>
          <w:b/>
          <w:i w:val="0"/>
          <w:color w:val="3A3128"/>
          <w:sz w:val="25"/>
          <w:lang w:val="pt-BR" w:bidi="ar-SA"/>
          <w:kern w:val="16"/>
          <w14:ligatures w14:val="standardContextual"/>
        </w:rPr>
        <w:t>13.16.4 Tutela antecipada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tutela antecipada (tutela de urgência, art. 300, CPC) é instrumento essencial nas ações de salário-maternidade. A natureza alimentar do benefício, a urgência decorrente da iminência ou ocorrência do parto, e a transitoriedade do benefício (quatro meses) configuram os pressupostos para a concessão da tutela: probabilidade do direito e perigo de dano irreparável.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perigo de dano é presumido quando a segurada demonstra que o parto é iminente ou já ocorreu e que não dispõe de outra fonte de renda. A temporariedade do benefício agrava o risco: se a tutela antecipada for concedida apenas após o julgamento de mérito (que pode levar meses), o propósito do benefício, substituir a remuneração durante o período de cuidados com o recém-nascido, ficará totalmente frustrado.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Os JEFs costumam analisar os pedidos de tutela antecipada em salário-maternidade com especial celeridade, frequentemente em regime de plantão ou em audiência de conciliação antecipada. A concessão é a regra quando demonstrados a qualidade de segurada e o fato gerador.</w:t>
      </w:r>
    </w:p>
    <w:p>
      <w:pPr>
        <w:spacing w:before="260" w:after="80" w:line="240" w:lineRule="auto"/>
        <w:jc w:val="left"/>
      </w:pPr>
      <w:r>
        <w:rPr>
          <w:rFonts w:ascii="EB Garamond" w:hAnsi="EB Garamond" w:cs="EB Garamond"/>
          <w:b/>
          <w:i w:val="0"/>
          <w:color w:val="3A3128"/>
          <w:sz w:val="25"/>
          <w:lang w:val="pt-BR" w:bidi="ar-SA"/>
          <w:kern w:val="16"/>
          <w14:ligatures w14:val="standardContextual"/>
        </w:rPr>
        <w:t>13.16.5 Instrução probatória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instrução probatória nas ações de salário-maternidade varia conforme a categoria da segurada: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Segurada especial:</w:t>
      </w:r>
      <w:r>
        <w:rPr>
          <w:rFonts w:ascii="EB Garamond" w:hAnsi="EB Garamond" w:cs="EB Garamond"/>
          <w:b w:val="0"/>
          <w:i w:val="0"/>
          <w:color w:val="201B16"/>
          <w:sz w:val="20"/>
          <w:lang w:val="pt-BR" w:bidi="ar-SA"/>
          <w:kern w:val="16"/>
          <w14:ligatures w14:val="standardContextual"/>
        </w:rPr>
        <w:t xml:space="preserve"> a instrução é mais complexa, envolvendo prova documental de atividade rural (DAP, notas fiscais, declaração sindical) e prova testemunhal. A audiência de instrução é frequentemente necessária para oitiva de testemunhas que confirmem a atividade rural.</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Contribuinte individual e facultativa:</w:t>
      </w:r>
      <w:r>
        <w:rPr>
          <w:rFonts w:ascii="EB Garamond" w:hAnsi="EB Garamond" w:cs="EB Garamond"/>
          <w:b w:val="0"/>
          <w:i w:val="0"/>
          <w:color w:val="201B16"/>
          <w:sz w:val="20"/>
          <w:lang w:val="pt-BR" w:bidi="ar-SA"/>
          <w:kern w:val="16"/>
          <w14:ligatures w14:val="standardContextual"/>
        </w:rPr>
        <w:t xml:space="preserve"> a prova principal é documental (CNIS, GPS, DARF, comprovante de contribuição). A controvérsia costuma recair sobre a qualidade de segurada (se a contribuinte estava em dia ou no período de graça).</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Empregada desempregada:</w:t>
      </w:r>
      <w:r>
        <w:rPr>
          <w:rFonts w:ascii="EB Garamond" w:hAnsi="EB Garamond" w:cs="EB Garamond"/>
          <w:b w:val="0"/>
          <w:i w:val="0"/>
          <w:color w:val="201B16"/>
          <w:sz w:val="20"/>
          <w:lang w:val="pt-BR" w:bidi="ar-SA"/>
          <w:kern w:val="16"/>
          <w14:ligatures w14:val="standardContextual"/>
        </w:rPr>
        <w:t xml:space="preserve"> a prova envolve demonstração do vínculo anterior (CTPS, CNIS), da data de cessação do vínculo e do período de graça.</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perícia médica não é usual nas ações de salário-maternidade (ao contrário das ações de benefício por incapacidade). A prova do parto é documental (certidão de nascimento). Apenas em casos excepcionais, como controvérsia sobre a idade gestacional para fins de distinção entre aborto e natimorto, pode ser necessária prova pericial.</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Pedido alternativo.</w:t>
      </w:r>
      <w:r>
        <w:rPr>
          <w:rFonts w:ascii="EB Garamond" w:hAnsi="EB Garamond" w:cs="EB Garamond"/>
          <w:b w:val="0"/>
          <w:i w:val="0"/>
          <w:color w:val="201B16"/>
          <w:sz w:val="21"/>
          <w:lang w:val="pt-BR" w:bidi="ar-SA"/>
          <w:kern w:val="16"/>
          <w14:ligatures w14:val="standardContextual"/>
        </w:rPr>
        <w:t xml:space="preserve"> O advogado deve considerar a formulação de pedido alternativo quando houver dúvida sobre a categoria da segurada ou sobre o enquadramento do fato gerador. Exemplos: (a) segurada que alega ser especial, mas pode ser enquadrada como contribuinte individual — pedir SM como especial e, alternativamente, como CI; (b) segurada que sofreu perda fetal entre a vigésima segunda e a vigésima terceira semana — pedir SM integral (120 dias, se configurado parto de natimorto) e, alternativamente, SM de 14 dias (se configurado aborto não criminoso).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Honorários advocatícios.</w:t>
      </w:r>
      <w:r>
        <w:rPr>
          <w:rFonts w:ascii="EB Garamond" w:hAnsi="EB Garamond" w:cs="EB Garamond"/>
          <w:b w:val="0"/>
          <w:i w:val="0"/>
          <w:color w:val="201B16"/>
          <w:sz w:val="21"/>
          <w:lang w:val="pt-BR" w:bidi="ar-SA"/>
          <w:kern w:val="16"/>
          <w14:ligatures w14:val="standardContextual"/>
        </w:rPr>
        <w:t xml:space="preserve"> Nas ações de salário-maternidade julgadas procedentes nos JEFs, os honorários advocatícios sucumbenciais são fixados em 10% sobre o valor da condenação (art. 55, Lei 9.099/95, aplicável aos JEFs por força do art. 1º, Lei 10.259/2001). Como o valor da condenação costuma ser relativamente baixo (quatro meses de SM), os honorários também são modestos. Em ações de segurada especial com SM de R$ 1.621,00/mês, os honorários serão de aproximadamente R$ 648,40 (10% de R$ 6.484,00). O advogado deve considerar essa realidade na avaliação da viabilidade econômica da causa, especialmente em comarcas distantes que exigem deslocamento.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Sentença e recurso.</w:t>
      </w:r>
      <w:r>
        <w:rPr>
          <w:rFonts w:ascii="EB Garamond" w:hAnsi="EB Garamond" w:cs="EB Garamond"/>
          <w:b w:val="0"/>
          <w:i w:val="0"/>
          <w:color w:val="201B16"/>
          <w:sz w:val="21"/>
          <w:lang w:val="pt-BR" w:bidi="ar-SA"/>
          <w:kern w:val="16"/>
          <w14:ligatures w14:val="standardContextual"/>
        </w:rPr>
        <w:t xml:space="preserve"> A sentença que concede o salário-maternidade deve fixar a DIB, o valor mensal do benefício, e condenar o INSS ao pagamento das parcelas vencidas com correção monetária (SELIC) desde cada vencimento. Se o benefício ainda estiver no prazo de cento e vinte dias, a sentença deve determinar a implantação imediata. O recurso inominado ao INSS não tem efeito suspensivo (art. 43, Lei 9.099/95), de modo que a sentença concessória pode ser executada provisoriamente.</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Modelo de quesitos para prova, segurada especial rural</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Em ações de salário-maternidade de segurada especial, o advogado deve formular quesitos para as testemunhas que cubram os seguintes pontos: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1. Conhece a autora? Há quanto tempo?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2. Sabe qual a atividade laboral da autora?</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3. A autora trabalha na agricultura/pesca/extrativismo? Em que localidade?</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4. O trabalho é exercido em regime de economia familiar?</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5. A autora exercia essa atividade no período do nascimento do filho?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6. Sabe se a autora tem outra fonte de renda (emprego urbano, comércio)?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7. Conhece a propriedade/área onde a autora trabalha? Qual o tamanho aproximado?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Para a prova documental, apresentar na petição inicial: - Certidão de nascimento do filho - DAP ou CAF (Cadastro da Agricultura Familiar) - Notas fiscais de venda de produção rural - Declaração do sindicato rural - Contrato de arrendamento/parceria (se houver) - Fotos da propriedade e da atividade rural</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13.16.6 Prescrição e valor da causa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 parcelas do salário-maternidade prescrevem em cinco anos (art. 103, parágrafo único, Lei 8.213/91). Como o benefício é de prestação temporária (quatro meses), a prescrição quinquenal raramente compromete o direito: a segurada tem até cinco anos após o parto para ajuizar a ação e receber as parcelas retroativas.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valor da causa corresponde ao total do benefício (4 × RMI), acrescido de parcelas acessórias se houver valores retroativos. Para seguradas especiais (SM de R$ 1.621,00/mês), o valor da causa será inferior a R$ 10.000,00, bem dentro da competência do JEF. Para empregadas de alta renda, o cálculo deve incluir correção monetária e juros, podendo eventualmente ultrapassar o teto de sessenta salários-mínimos.</w:t>
      </w:r>
    </w:p>
    <w:p>
      <w:pPr>
        <w:spacing w:before="260" w:after="80" w:line="240" w:lineRule="auto"/>
        <w:jc w:val="left"/>
      </w:pPr>
      <w:r>
        <w:rPr>
          <w:rFonts w:ascii="EB Garamond" w:hAnsi="EB Garamond" w:cs="EB Garamond"/>
          <w:b/>
          <w:i w:val="0"/>
          <w:color w:val="3A3128"/>
          <w:sz w:val="25"/>
          <w:lang w:val="pt-BR" w:bidi="ar-SA"/>
          <w:kern w:val="16"/>
          <w14:ligatures w14:val="standardContextual"/>
        </w:rPr>
        <w:t>13.16.7 Execução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execução das sentenças em ações de salário-maternidade segue o rito da RPV (Requisição de Pequeno Valor), quando o valor não ultrapassa sessenta salários-mínimos por beneficiário. O prazo para pagamento da RPV é de sessenta dias após a expedição (art. 17, Lei 10.259/2001). A correção monetária e os juros seguem a taxa SELIC unificada (EC 113/2021, art. 3º), desde cada vencimento até o efetivo pagamento.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Nos casos de tutela antecipada deferida, o INSS é intimado a implantar o benefício em prazo fixado pelo juiz (geralmente trinta dias), sob pena de multa diária (astreintes). As parcelas vencidas entre a DIB e a implantação são pagas por RPV após o trânsito em julgado.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13.17 Questões especiais e situações atípicas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salário-maternidade, apesar de ser benefício aparentemente simples (quatro meses de substituição de renda), apresenta situações atípicas que desafiam a aplicação da legislação e geram controvérsias doutrinárias e jurisprudenciais.</w:t>
      </w:r>
    </w:p>
    <w:p>
      <w:pPr>
        <w:spacing w:before="260" w:after="80" w:line="240" w:lineRule="auto"/>
        <w:jc w:val="left"/>
      </w:pPr>
      <w:r>
        <w:rPr>
          <w:rFonts w:ascii="EB Garamond" w:hAnsi="EB Garamond" w:cs="EB Garamond"/>
          <w:b/>
          <w:i w:val="0"/>
          <w:color w:val="3A3128"/>
          <w:sz w:val="25"/>
          <w:lang w:val="pt-BR" w:bidi="ar-SA"/>
          <w:kern w:val="16"/>
          <w14:ligatures w14:val="standardContextual"/>
        </w:rPr>
        <w:t>13.17.1 Gestação de alto risco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gestante com diagnóstico de gestação de alto risco pode necessitar de afastamento do trabalho antes do período de vinte e oito dias que antecede o parto. Nessas situações, surge a dúvida: o benefício adequado é o salário-maternidade antecipado ou o auxílio por incapacidade temporária?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distinção depende da causa do afastamento. Se o afastamento decorre da impossibilidade física de trabalhar em razão de complicação gestacional (risco de parto prematuro, pré-eclâmpsia, sangramento), trata-se de incapacidade para o trabalho — o benefício é o auxílio por incapacidade temporária. Se o afastamento decorre de recomendação médica de repouso gestacional (não necessariamente incapacidade para qualquer trabalho), o benefício pode ser o salário-maternidade antecipado (art. 93, §3º, Decreto 3.048/99: prorrogação de duas semanas antes do parto, mediante atestado médico).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muitas gestantes de alto risco recebem auxílio por incapacidade temporária nos meses que antecedem o parto e, no momento do parto, o benefício é convertido em salário-maternidade. A vedação de acumulação (art. 124, Lei 8.213/91) opera aqui como conversão: o auxílio cessa e o salário-maternidade inicia, ambos pagos pelo INSS.</w:t>
      </w:r>
    </w:p>
    <w:p>
      <w:pPr>
        <w:spacing w:before="260" w:after="80" w:line="240" w:lineRule="auto"/>
        <w:jc w:val="left"/>
      </w:pPr>
      <w:r>
        <w:rPr>
          <w:rFonts w:ascii="EB Garamond" w:hAnsi="EB Garamond" w:cs="EB Garamond"/>
          <w:b/>
          <w:i w:val="0"/>
          <w:color w:val="3A3128"/>
          <w:sz w:val="25"/>
          <w:lang w:val="pt-BR" w:bidi="ar-SA"/>
          <w:kern w:val="16"/>
          <w14:ligatures w14:val="standardContextual"/>
        </w:rPr>
        <w:t>13.17.2 Internação prolongada do recém-nascido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internação prolongada do recém-nascido (por prematuridade extrema, complicações neonatais, cirurgias) frustra o propósito do salário-maternidade, pois a mãe não pode exercer os cuidados que o benefício visa proporcionar. O STF firmou entendimento de que, nessas situações, o início da licença-maternidade e do salário-maternidade deve ser contado a partir da alta hospitalar do recém-nascido (ou da mãe, o que ocorrer por último), quando a internação exceder duas semanas.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Lei 14.457/2022 (Programa Emprega + Mulheres) reforçou essa proteção, e a Lei 15.222, de 29 de setembro de 2025, positivou expressamente a matéria ao acrescentar o § 3º ao art. 71 da Lei 8.213/91: quando a internação hospitalar da segurada ou do recém-nascido superar duas semanas, em decorrência de complicações médicas relacionadas ao parto, o salário-maternidade é devido durante todo o período de internação e por mais cento e vinte dias após a alta hospitalar (da mãe ou do recém-nascido, o que ocorrer por último), descontado o tempo de benefício eventualmente recebido antes do parto.</w:t>
      </w:r>
    </w:p>
    <w:p>
      <w:pPr>
        <w:spacing w:before="260" w:after="80" w:line="240" w:lineRule="auto"/>
        <w:jc w:val="left"/>
      </w:pPr>
      <w:r>
        <w:rPr>
          <w:rFonts w:ascii="EB Garamond" w:hAnsi="EB Garamond" w:cs="EB Garamond"/>
          <w:b/>
          <w:i w:val="0"/>
          <w:color w:val="3A3128"/>
          <w:sz w:val="25"/>
          <w:lang w:val="pt-BR" w:bidi="ar-SA"/>
          <w:kern w:val="16"/>
          <w14:ligatures w14:val="standardContextual"/>
        </w:rPr>
        <w:t>13.17.3 Parto de natimorto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parto de natimorto (nascimento sem vida a partir da vigésima terceira semana de gestação) gera direito ao salário-maternidade integral de cento e vinte dias, conforme detalhado na seção 13.3.4. A dimensão emocional desse evento merece atenção especial na atuação do advogado e do magistrado: a segurada que perdeu o filho passa pelo mesmo processo de recuperação física do parto, acrescido do luto pela perda. O tratamento processual deve observar a humanização do atendimento, evitando burocracias desnecessárias que agravem o sofrimento da segurada.</w:t>
      </w:r>
    </w:p>
    <w:p>
      <w:pPr>
        <w:spacing w:before="260" w:after="80" w:line="240" w:lineRule="auto"/>
        <w:jc w:val="left"/>
      </w:pPr>
      <w:r>
        <w:rPr>
          <w:rFonts w:ascii="EB Garamond" w:hAnsi="EB Garamond" w:cs="EB Garamond"/>
          <w:b/>
          <w:i w:val="0"/>
          <w:color w:val="3A3128"/>
          <w:sz w:val="25"/>
          <w:lang w:val="pt-BR" w:bidi="ar-SA"/>
          <w:kern w:val="16"/>
          <w14:ligatures w14:val="standardContextual"/>
        </w:rPr>
        <w:t>13.17.4 Mãe biológica e mãe adotiva: duplo benefício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Q</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uando uma criança nasce e é imediatamente encaminhada para adoção, duas seguradas podem fazer jus ao salário-maternidade pelo mesmo nascimento: a mãe biológica (fato gerador: parto) e a mãe adotiva (fato gerador: adoção ou guarda para fins de adoção). O art. 71-A, §2º, da Lei 8.213/91 expressamente ressalva o pagamento do salário-maternidade à mãe biológica, de modo que a concessão do benefício à mãe adotiva não exclui o benefício da mãe biológica, e vice-versa. Trata-se de fatos geradores distintos (parto e adoção), ainda que referentes à mesma criança.</w:t>
      </w:r>
    </w:p>
    <w:p>
      <w:pPr>
        <w:spacing w:before="260" w:after="80" w:line="240" w:lineRule="auto"/>
        <w:jc w:val="left"/>
      </w:pPr>
      <w:r>
        <w:rPr>
          <w:rFonts w:ascii="EB Garamond" w:hAnsi="EB Garamond" w:cs="EB Garamond"/>
          <w:b/>
          <w:i w:val="0"/>
          <w:color w:val="3A3128"/>
          <w:sz w:val="25"/>
          <w:lang w:val="pt-BR" w:bidi="ar-SA"/>
          <w:kern w:val="16"/>
          <w14:ligatures w14:val="standardContextual"/>
        </w:rPr>
        <w:t>13.17.5 Gestação por substituição (barriga solidária)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gestação por substituição ("barriga solidária") é o tema mais controverso na atualidade em matéria de salário-maternidade. A Resolução CFM 2.320/2022, que regulamenta de forma ampla as técnicas de reprodução humana assistida (incluindo a cessão temporária de útero), disciplina a matéria no plano médico-ético, mas não há legislação que discipline seus efeitos previdenciários.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controvérsia central é: quem tem direito ao salário-maternidade — a gestante de substituição (que efetivamente gesta e dá à luz) ou o(a) pretendente (mãe/pai socioafetivo que ficará com a criança)? A resposta depende da perspectiva adotada. Se o fato gerador é o parto (perspectiva literal), a gestante de substituição é a beneficiária. Se o fato gerador é o início da parentalidade (perspectiva teleológica), o(a) pretendente é o beneficiário.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jurisprudência recente tem caminhado para reconhecer o direito do(a) pretendente ao salário-maternidade, com fundamento no princípio do melhor interesse da criança e na equiparação com a adoção. A Justiça Federal do Rio Grande do Sul condenou o INSS a pagar salário-maternidade a pai em união homoafetiva cujo filho nasceu por gestação de substituição, fundamentando que o benefício protege a criança e a formação do vínculo familiar, não apenas o evento biológico do parto.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INSS resiste administrativamente ao reconhecimento do benefício em casos de gestação por substituição, gerando judicialização crescente. A tendência é de que o tema seja pacificado pelo STJ ou STF nos próximos anos, possivelmente com a fixação de tese em recurso repetitivo.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forense, o advogado que patrocina ação de salário-maternidade por gestação de substituição deve fundamentar o pedido em três pilares: (a) a equiparação com a adoção, pois em ambos os casos há início de parentalidade por via não biológica direta; (b) o princípio do melhor interesse da criança, que demanda o convívio com o responsável efetivo; (c) a vedação de discriminação entre formas de constituição familiar (art. 226, CF/88). A prova deve incluir o contrato de gestação de substituição (registrado em cartório), a declaração médica da clínica de reprodução assistida, o registro civil da criança (com o nome dos pretendentes), e a prova de qualidade de segurada(o).</w:t>
      </w:r>
    </w:p>
    <w:p>
      <w:pPr>
        <w:spacing w:before="260" w:after="80" w:line="240" w:lineRule="auto"/>
        <w:jc w:val="left"/>
      </w:pPr>
      <w:r>
        <w:rPr>
          <w:rFonts w:ascii="EB Garamond" w:hAnsi="EB Garamond" w:cs="EB Garamond"/>
          <w:b/>
          <w:i w:val="0"/>
          <w:color w:val="3A3128"/>
          <w:sz w:val="25"/>
          <w:lang w:val="pt-BR" w:bidi="ar-SA"/>
          <w:kern w:val="16"/>
          <w14:ligatures w14:val="standardContextual"/>
        </w:rPr>
        <w:t>13.17.6 Morte da segurada durante o parto ou o salário-maternidade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71-B da Lei 8.213/91 (incluído pela Lei 12.873/2013) disciplina a situação de falecimento da segurada ou do segurado que faz jus ao salário-maternidade. O benefício é pago, por todo o período ou pelo tempo restante, ao cônjuge ou companheiro sobrevivente que tenha a qualidade de segurado, exceto em caso de falecimento do filho ou de seu abandono.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requerimento deve ser efetuado até o último dia do prazo previsto para o término do salário-maternidade originário (art. 71-B, §2º). O pagamento é feito pelo INSS diretamente ao cônjuge sobrevivente. Essa regra tem aplicação prática dupla: protege a criança (assegurando que um dos pais possa dedicar-se integralmente aos cuidados iniciais) e protege o cônjuge sobrevivente (proporcionando renda durante o período de luto e adaptação). A condição de que o cônjuge sobrevivente tenha qualidade de segurado é requisito essencial — o companheiro desempregado e sem vínculo previdenciário não faz jus ao benefício transferido.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benefício transferido pelo art. 71-B não se confunde com a pensão por morte. São benefícios de natureza distinta, devidos cumulativamente: o salário-maternidade transferido substitui a renda durante o período de cuidados com o recém-nascido; a pensão por morte substitui a contribuição econômica do falecido para a família. Assim, o cônjuge sobrevivente pode receber simultaneamente o SM transferido (por até 120 dias) e a pensão por morte (pelo prazo legal).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Morte da segurada: transferência do SM ao cônjuge sobrevivente (art. 71-B)</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Se a segurada ou o segurado falece durante o gozo do salário-maternidade, o benefício pode ser transferido ao cônjuge/companheiro sobrevivente que tenha qualidade de segurado. Requisitos: 1. Falecimento da titular do SM durante o período do benefício 2. Cônjuge/companheiro sobrevivente com qualidade de segurado 3. Criança viva e sob os cuidados do sobrevivente 4. Requerimento até o último dia do prazo original do SM</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benefício não se confunde com pensão por morte: é o próprio salário-maternidade transferido. A pensão por morte, se devida, é paga cumulativamente (são benefícios de natureza distinta).</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13.17.7 MEI gestante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segurada MEI enfrenta situação particular no salário-maternidade. Como contribui com 5% do salário-mínimo (alíquota reduzida do plano simplificado), o valor do salário-maternidade é de um salário-mínimo (R$ 1.621,00 em 2026). Para muitas MEIs, essa quantia é significativamente inferior à renda efetiva da atividade, gerando insatisfação.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MEI que deseja salário-maternidade de valor superior deve complementar suas contribuições antes do fato gerador. A complementação consiste no recolhimento da diferença entre 5% e 20% sobre o salário de contribuição desejado (limitado ao teto do RGPS). Essa estratégia deve ser planejada com antecedência, pois a complementação retroativa tem restrições (conforme detalhado no Cap. 4, seção 4.8).</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Após a decisão do STF nas ADIs 2.110/2.111, a MEI gestante não precisa mais cumprir carência de dez contribuições. Basta manter a qualidade de segurada (contribuição mensal em dia ou período de graça vigente) na data do parto ou da adoção.</w:t>
      </w:r>
    </w:p>
    <w:p>
      <w:pPr>
        <w:spacing w:before="260" w:after="80" w:line="240" w:lineRule="auto"/>
        <w:jc w:val="left"/>
      </w:pPr>
      <w:r>
        <w:rPr>
          <w:rFonts w:ascii="EB Garamond" w:hAnsi="EB Garamond" w:cs="EB Garamond"/>
          <w:b/>
          <w:i w:val="0"/>
          <w:color w:val="3A3128"/>
          <w:sz w:val="25"/>
          <w:lang w:val="pt-BR" w:bidi="ar-SA"/>
          <w:kern w:val="16"/>
          <w14:ligatures w14:val="standardContextual"/>
        </w:rPr>
        <w:t>13.17.8 Trabalho intermitente e salário-maternidade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empregada em contrato de trabalho intermitente (art. 443, §3º, CLT, incluído pela Lei 13.467/2017) enfrenta desafios específicos para o salário-maternidade. Nos períodos de inatividade, não há prestação de serviço, remuneração ou recolhimento previdenciário. A questão que se coloca é: a empregada intermitente mantém a qualidade de segurada durante os períodos de inatividade?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resposta é afirmativa quando o contrato intermitente está ativo (registrado no eSocial), mesmo que a empregada não seja convocada. A existência do vínculo empregatício, ainda que intermitente, mantém a qualidade de segurada. Com a eliminação da carência pelo STF (ADIs 2.110/2.111), basta essa qualidade de segurada para fazer jus ao salário-maternidade.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valor do benefício é calculado pela média das remunerações efetivamente recebidas nos doze últimos meses de convocação. Se a empregada intermitente trabalhou apenas em quatro dos doze meses anteriores ao parto, a média será calculada sobre esses quatro meses, assegurado o mínimo de um salário-mínimo. A incerteza sobre o cálculo gera controvérsia: o INSS pode calcular o SM de forma desfavorável, e a segurada pode necessitar de ação judicial para obter o valor correto.</w:t>
      </w:r>
    </w:p>
    <w:p>
      <w:pPr>
        <w:spacing w:before="260" w:after="80" w:line="240" w:lineRule="auto"/>
        <w:jc w:val="left"/>
      </w:pPr>
      <w:r>
        <w:rPr>
          <w:rFonts w:ascii="EB Garamond" w:hAnsi="EB Garamond" w:cs="EB Garamond"/>
          <w:b/>
          <w:i w:val="0"/>
          <w:color w:val="3A3128"/>
          <w:sz w:val="25"/>
          <w:lang w:val="pt-BR" w:bidi="ar-SA"/>
          <w:kern w:val="16"/>
          <w14:ligatures w14:val="standardContextual"/>
        </w:rPr>
        <w:t>13.17.9 Segurada presa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segurada que dá à luz durante o cumprimento de pena privativa de liberdade tem direito ao salário-maternidade, desde que mantenha a qualidade de segurada. A situação é complexa: a segurada presa pode estar no período de graça (se contribuía antes da prisão) ou pode ter perdido a qualidade de segurada (se o período de graça se esgotou durante o encarceramento).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proteção à criança nascida em ambiente carcerário é tema de direitos humanos que transcende a questão previdenciária. A Resolução CNJ 369/2021 regulamenta a permanência de crianças com suas mães presas e os prazos para a separação. O salário-maternidade, quando devido, é pago diretamente pelo INSS à segurada ou ao representante legal designado.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a dificuldade principal é operacional: a segurada presa não tem acesso ao Meu INSS, não pode comparecer a uma agência do INSS, e depende de intermediários (familiares, defensoria pública, assistência social do estabelecimento prisional) para requerer o benefício. O prazo de cento e oitenta dias para requerimento (sob pena de perda das parcelas retroativas, embora não do direito em si) pode ser facilmente esgotado pela burocracia carcerária. O advogado ou defensor público que atua no JEF deve estar atento a essa vulnerabilidade específica.</w:t>
      </w:r>
    </w:p>
    <w:p>
      <w:pPr>
        <w:spacing w:before="260" w:after="80" w:line="240" w:lineRule="auto"/>
        <w:jc w:val="left"/>
      </w:pPr>
      <w:r>
        <w:rPr>
          <w:rFonts w:ascii="EB Garamond" w:hAnsi="EB Garamond" w:cs="EB Garamond"/>
          <w:b/>
          <w:i w:val="0"/>
          <w:color w:val="3A3128"/>
          <w:sz w:val="25"/>
          <w:lang w:val="pt-BR" w:bidi="ar-SA"/>
          <w:kern w:val="16"/>
          <w14:ligatures w14:val="standardContextual"/>
        </w:rPr>
        <w:t>13.17.10 Salário-maternidade e seguro-desemprego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segurada desempregada que engravida durante o período de graça pode estar recebendo seguro-desemprego na data do parto. Surge a dúvida: o salário-maternidade é acumulável com o seguro-desemprego?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questão é controvertida. O seguro-desemprego (Lei 7.998/90) tem natureza de benefício trabalhista temporário, distinto do salário-maternidade (benefício previdenciário). Em tese, por terem natureza jurídica distinta e fontes de custeio diferentes (FAT para o seguro-desemprego, contribuições previdenciárias para o SM), seriam acumuláveis. Contudo, o INSS e a Caixa Econômica Federal (operadora do seguro-desemprego) resistem à acumulação, argumentando que ambos os benefícios visam substituir a remuneração da trabalhadora — permitir a acumulação resultaria em enriquecimento sem causa.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jurisprudência dos TRFs está dividida. Alguns julgados admitem a acumulação com fundamento na natureza diversa dos benefícios e na proteção à maternidade. Outros negam, invocando a vedação implícita de duplicidade de substituição de renda pelo mesmo período. Na prática dos JEFs, o advogado deve requerer o salário-maternidade independentemente do recebimento de seguro-desemprego e, se houver compensação pelo INSS, impugnar judicialmente.</w:t>
      </w:r>
    </w:p>
    <w:p>
      <w:pPr>
        <w:spacing w:before="260" w:after="80" w:line="240" w:lineRule="auto"/>
        <w:jc w:val="left"/>
      </w:pPr>
      <w:r>
        <w:rPr>
          <w:rFonts w:ascii="EB Garamond" w:hAnsi="EB Garamond" w:cs="EB Garamond"/>
          <w:b/>
          <w:i w:val="0"/>
          <w:color w:val="3A3128"/>
          <w:sz w:val="25"/>
          <w:lang w:val="pt-BR" w:bidi="ar-SA"/>
          <w:kern w:val="16"/>
          <w14:ligatures w14:val="standardContextual"/>
        </w:rPr>
        <w:t>13.17.11 Planejamento previdenciário e maternidade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planejamento previdenciário voltado à maternidade ganhou nova dimensão após a eliminação da carência pelo STF. O cenário anterior exigia planejamento com pelo menos dez meses de antecedência: a mulher que pretendia engravidar e não tinha carência deveria iniciar contribuições ao menos dez meses antes do parto previsto. Com a eliminação da carência, o planejamento se simplificou: basta manter a qualidade de segurada.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As principais orientações para o planejamento previdenciário voltado à maternidade são: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Manter a qualidade de segurada:</w:t>
      </w:r>
      <w:r>
        <w:rPr>
          <w:rFonts w:ascii="EB Garamond" w:hAnsi="EB Garamond" w:cs="EB Garamond"/>
          <w:b w:val="0"/>
          <w:i w:val="0"/>
          <w:color w:val="201B16"/>
          <w:sz w:val="20"/>
          <w:lang w:val="pt-BR" w:bidi="ar-SA"/>
          <w:kern w:val="16"/>
          <w14:ligatures w14:val="standardContextual"/>
        </w:rPr>
        <w:t xml:space="preserve"> A segurada que trabalha formalmente (empregada, avulsa) tem qualidade de segurada automaticamente. A CI e a facultativa devem manter contribuições em dia. A segurada desempregada deve verificar se está no período de graça.</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Escolher a categoria mais vantajosa:</w:t>
      </w:r>
      <w:r>
        <w:rPr>
          <w:rFonts w:ascii="EB Garamond" w:hAnsi="EB Garamond" w:cs="EB Garamond"/>
          <w:b w:val="0"/>
          <w:i w:val="0"/>
          <w:color w:val="201B16"/>
          <w:sz w:val="20"/>
          <w:lang w:val="pt-BR" w:bidi="ar-SA"/>
          <w:kern w:val="16"/>
          <w14:ligatures w14:val="standardContextual"/>
        </w:rPr>
        <w:t xml:space="preserve"> A segurada que pode contribuir como CI (20% sobre qualquer SC entre o SM e o teto) terá SM proporcional ao SC declarado. A segurada que contribui como MEI (5% sobre o SM) terá SM de apenas 1 SM. Se o objetivo é SM de valor maior, a complementação é necessária.</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Considerar o impacto na aposentadoria:</w:t>
      </w:r>
      <w:r>
        <w:rPr>
          <w:rFonts w:ascii="EB Garamond" w:hAnsi="EB Garamond" w:cs="EB Garamond"/>
          <w:b w:val="0"/>
          <w:i w:val="0"/>
          <w:color w:val="201B16"/>
          <w:sz w:val="20"/>
          <w:lang w:val="pt-BR" w:bidi="ar-SA"/>
          <w:kern w:val="16"/>
          <w14:ligatures w14:val="standardContextual"/>
        </w:rPr>
        <w:t xml:space="preserve"> Os meses de SM contam como TC e carência. Para mulheres com carreiras intermitentes, esses meses podem ser decisivos para completar os requisitos de aposentadoria.</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Avaliar o Empresa Cidadã:</w:t>
      </w:r>
      <w:r>
        <w:rPr>
          <w:rFonts w:ascii="EB Garamond" w:hAnsi="EB Garamond" w:cs="EB Garamond"/>
          <w:b w:val="0"/>
          <w:i w:val="0"/>
          <w:color w:val="201B16"/>
          <w:sz w:val="20"/>
          <w:lang w:val="pt-BR" w:bidi="ar-SA"/>
          <w:kern w:val="16"/>
          <w14:ligatures w14:val="standardContextual"/>
        </w:rPr>
        <w:t xml:space="preserve"> Se a empregada trabalha em empresa aderente ao Programa Empresa Cidadã, os 180 dias de licença (120 + 60) devem ser considerados no planejamento financeiro e profissional.</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Documentar a atividade rural:</w:t>
      </w:r>
      <w:r>
        <w:rPr>
          <w:rFonts w:ascii="EB Garamond" w:hAnsi="EB Garamond" w:cs="EB Garamond"/>
          <w:b w:val="0"/>
          <w:i w:val="0"/>
          <w:color w:val="201B16"/>
          <w:sz w:val="20"/>
          <w:lang w:val="pt-BR" w:bidi="ar-SA"/>
          <w:kern w:val="16"/>
          <w14:ligatures w14:val="standardContextual"/>
        </w:rPr>
        <w:t xml:space="preserve"> Para a segurada especial, a documentação da atividade rural deve ser mantida permanentemente (DAP, notas fiscais, registro sindical), e não apenas quando surgir a necessidade do benefício. A prova contemporânea é mais forte do que a prova constituída após o fato.</w:t>
      </w:r>
    </w:p>
    <w:p>
      <w:pPr>
        <w:spacing w:before="0" w:after="6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13.18 Síntese e instrumentos de consulta rápida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E</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sta seção consolida as informações essenciais do capítulo em instrumentos de consulta rápida para uso forense e administrativo.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Tabela-resumo geral:</w:t>
      </w:r>
    </w:p>
    <w:tbl>
      <w:tblPr>
        <w:tblW w:type="auto" w:w="0"/>
        <w:jc w:val="center"/>
        <w:tblLook w:firstColumn="1" w:firstRow="1" w:lastColumn="0" w:lastRow="0" w:noHBand="0" w:noVBand="1" w:val="04A0"/>
        <w:tblW w:w="5000" w:type="pct"/>
      </w:tblPr>
      <w:tblGrid>
        <w:gridCol w:w="1058"/>
        <w:gridCol w:w="1058"/>
        <w:gridCol w:w="1058"/>
        <w:gridCol w:w="1058"/>
        <w:gridCol w:w="1058"/>
        <w:gridCol w:w="1058"/>
      </w:tblGrid>
      <w:tr>
        <w:trPr>
          <w:tblHeader/>
        </w:trPr>
        <w:tc>
          <w:tcPr>
            <w:tcW w:type="dxa" w:w="1058"/>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Categoria</w:t>
            </w:r>
          </w:p>
        </w:tc>
        <w:tc>
          <w:tcPr>
            <w:tcW w:type="dxa" w:w="1058"/>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Carência</w:t>
            </w:r>
          </w:p>
        </w:tc>
        <w:tc>
          <w:tcPr>
            <w:tcW w:type="dxa" w:w="1058"/>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Valor mensal</w:t>
            </w:r>
          </w:p>
        </w:tc>
        <w:tc>
          <w:tcPr>
            <w:tcW w:type="dxa" w:w="1058"/>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Duração</w:t>
            </w:r>
          </w:p>
        </w:tc>
        <w:tc>
          <w:tcPr>
            <w:tcW w:type="dxa" w:w="1058"/>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Quem paga</w:t>
            </w:r>
          </w:p>
        </w:tc>
        <w:tc>
          <w:tcPr>
            <w:tcW w:type="dxa" w:w="1058"/>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Base legal</w:t>
            </w:r>
          </w:p>
        </w:tc>
      </w:tr>
      <w:tr>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Empregada CLT</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Dispensada</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Remuneração integral</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120 dias</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Empregador (compensa)</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Art. 72, §1º</w:t>
            </w:r>
          </w:p>
        </w:tc>
      </w:tr>
      <w:tr>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Empregada doméstica</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Dispensada</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Último SC</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120 dias</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INSS</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LC 150/2015</w:t>
            </w:r>
          </w:p>
        </w:tc>
      </w:tr>
      <w:tr>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Avulsa</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Dispensada</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Remuneração integral</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120 dias</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INSS</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Art. 72, §3º</w:t>
            </w:r>
          </w:p>
        </w:tc>
      </w:tr>
      <w:tr>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CI</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Dispensada</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1/12 de 12 SC</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120 dias</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INSS</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Art. 73, III</w:t>
            </w:r>
          </w:p>
        </w:tc>
      </w:tr>
      <w:tr>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Facultativa</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Dispensada</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1/12 de 12 SC</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120 dias</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INSS</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Art. 73, III</w:t>
            </w:r>
          </w:p>
        </w:tc>
      </w:tr>
      <w:tr>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Especial</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Dispensada</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 SM</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120 dias</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INSS</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Art. 73, II</w:t>
            </w:r>
          </w:p>
        </w:tc>
      </w:tr>
      <w:tr>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MEI</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Dispensada</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 SM</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120 dias</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INSS</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Art. 73, III</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T</w:t>
      </w:r>
    </w:p>
    <w:p>
      <w:pPr>
        <w:spacing w:before="0" w:after="70" w:line="259" w:lineRule="auto"/>
        <w:jc w:val="both"/>
      </w:pPr>
      <w:r>
        <w:rPr>
          <w:rFonts w:ascii="EB Garamond" w:hAnsi="EB Garamond" w:cs="EB Garamond"/>
          <w:b/>
          <w:i w:val="0"/>
          <w:color w:val="201B16"/>
          <w:sz w:val="21"/>
          <w:lang w:val="pt-BR" w:bidi="ar-SA"/>
          <w:kern w:val="16"/>
          <w14:ligatures w14:val="standardContextual"/>
        </w:rPr>
        <w:t>abela: fatos geradores</w:t>
      </w:r>
    </w:p>
    <w:tbl>
      <w:tblPr>
        <w:tblW w:type="auto" w:w="0"/>
        <w:jc w:val="center"/>
        <w:tblLook w:firstColumn="1" w:firstRow="1" w:lastColumn="0" w:lastRow="0" w:noHBand="0" w:noVBand="1" w:val="04A0"/>
        <w:tblW w:w="5000" w:type="pct"/>
      </w:tblPr>
      <w:tblGrid>
        <w:gridCol w:w="1587"/>
        <w:gridCol w:w="1587"/>
        <w:gridCol w:w="1587"/>
        <w:gridCol w:w="1587"/>
      </w:tblGrid>
      <w:tr>
        <w:trPr>
          <w:tblHeader/>
        </w:trPr>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Fato gerador</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Duração</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Prova principal</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Início do benefício</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Parto a termo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120 dias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Certidão nascimento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28 dias antes ou data do parto</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Parto prematuro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120 dias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Certidão nascimento + atestado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Data do parto</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Natimorto (≥ 23 sem.)</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120 dias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Certidão natimorto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Data do parto</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Adoção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120 dias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Sentença judicial</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Data da sentença</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Guarda p/ adoção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120 dias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Termo de guarda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Data do termo</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Aborto não criminoso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14 dias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Atestado médico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Data do aborto</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F</w:t>
      </w:r>
    </w:p>
    <w:p>
      <w:pPr>
        <w:spacing w:before="0" w:after="70" w:line="259" w:lineRule="auto"/>
        <w:jc w:val="both"/>
      </w:pPr>
      <w:r>
        <w:rPr>
          <w:rFonts w:ascii="EB Garamond" w:hAnsi="EB Garamond" w:cs="EB Garamond"/>
          <w:b/>
          <w:i w:val="0"/>
          <w:color w:val="201B16"/>
          <w:sz w:val="21"/>
          <w:lang w:val="pt-BR" w:bidi="ar-SA"/>
          <w:kern w:val="16"/>
          <w14:ligatures w14:val="standardContextual"/>
        </w:rPr>
        <w:t>luxograma decisório: "A segurada tem direito ao SM?"</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1. </w:t>
      </w:r>
      <w:r>
        <w:rPr>
          <w:rFonts w:ascii="EB Garamond" w:hAnsi="EB Garamond" w:cs="EB Garamond"/>
          <w:b w:val="0"/>
          <w:i w:val="0"/>
          <w:color w:val="201B16"/>
          <w:sz w:val="20"/>
          <w:lang w:val="pt-BR" w:bidi="ar-SA"/>
          <w:kern w:val="16"/>
          <w14:ligatures w14:val="standardContextual"/>
        </w:rPr>
        <w:t>A requerente é segurada do RGPS? (empregada, CI, facultativa, especial, MEI?)</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NÃO → Sem direito ao SM. Verificar BPC se PcD (Cap. 18).</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SIM → Passo 2.</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2. </w:t>
      </w:r>
      <w:r>
        <w:rPr>
          <w:rFonts w:ascii="EB Garamond" w:hAnsi="EB Garamond" w:cs="EB Garamond"/>
          <w:b w:val="0"/>
          <w:i w:val="0"/>
          <w:color w:val="201B16"/>
          <w:sz w:val="20"/>
          <w:lang w:val="pt-BR" w:bidi="ar-SA"/>
          <w:kern w:val="16"/>
          <w14:ligatures w14:val="standardContextual"/>
        </w:rPr>
        <w:t>Mantém qualidade de segurada na data do fato gerador?</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NÃO → Verificar período de graça (art. 15, Lei 8.213 — Cap. 3).</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SIM → Passo 3.</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3. </w:t>
      </w:r>
      <w:r>
        <w:rPr>
          <w:rFonts w:ascii="EB Garamond" w:hAnsi="EB Garamond" w:cs="EB Garamond"/>
          <w:b w:val="0"/>
          <w:i w:val="0"/>
          <w:color w:val="201B16"/>
          <w:sz w:val="20"/>
          <w:lang w:val="pt-BR" w:bidi="ar-SA"/>
          <w:kern w:val="16"/>
          <w14:ligatures w14:val="standardContextual"/>
        </w:rPr>
        <w:t>Ocorreu fato gerador? (parto, adoção, guarda, aborto, natimorto?)</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NÃO → Sem direito (ainda). Orientar manutenção da qualidade de segurada.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SIM → Passo 4.</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4. </w:t>
      </w:r>
      <w:r>
        <w:rPr>
          <w:rFonts w:ascii="EB Garamond" w:hAnsi="EB Garamond" w:cs="EB Garamond"/>
          <w:b w:val="0"/>
          <w:i w:val="0"/>
          <w:color w:val="201B16"/>
          <w:sz w:val="20"/>
          <w:lang w:val="pt-BR" w:bidi="ar-SA"/>
          <w:kern w:val="16"/>
          <w14:ligatures w14:val="standardContextual"/>
        </w:rPr>
        <w:t>Há prova do fato gerador e da qualidade de segurada?</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NÃO → Complementar provas. Se segurada especial: início de prova material + testemunhal.</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SIM → CONCEDER o SM.</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5. </w:t>
      </w:r>
      <w:r>
        <w:rPr>
          <w:rFonts w:ascii="EB Garamond" w:hAnsi="EB Garamond" w:cs="EB Garamond"/>
          <w:b w:val="0"/>
          <w:i w:val="0"/>
          <w:color w:val="201B16"/>
          <w:sz w:val="20"/>
          <w:lang w:val="pt-BR" w:bidi="ar-SA"/>
          <w:kern w:val="16"/>
          <w14:ligatures w14:val="standardContextual"/>
        </w:rPr>
        <w:t>Qual o valor? Ver tabela por categoria acima.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6. </w:t>
      </w:r>
      <w:r>
        <w:rPr>
          <w:rFonts w:ascii="EB Garamond" w:hAnsi="EB Garamond" w:cs="EB Garamond"/>
          <w:b w:val="0"/>
          <w:i w:val="0"/>
          <w:color w:val="201B16"/>
          <w:sz w:val="20"/>
          <w:lang w:val="pt-BR" w:bidi="ar-SA"/>
          <w:kern w:val="16"/>
          <w14:ligatures w14:val="standardContextual"/>
        </w:rPr>
        <w:t>Quem paga? Empregador (empregada CLT) ou INSS (todas as demais).</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C</w:t>
      </w:r>
    </w:p>
    <w:p>
      <w:pPr>
        <w:spacing w:before="0" w:after="70" w:line="259" w:lineRule="auto"/>
        <w:jc w:val="both"/>
      </w:pPr>
      <w:r>
        <w:rPr>
          <w:rFonts w:ascii="EB Garamond" w:hAnsi="EB Garamond" w:cs="EB Garamond"/>
          <w:b/>
          <w:i w:val="0"/>
          <w:color w:val="201B16"/>
          <w:sz w:val="21"/>
          <w:lang w:val="pt-BR" w:bidi="ar-SA"/>
          <w:kern w:val="16"/>
          <w14:ligatures w14:val="standardContextual"/>
        </w:rPr>
        <w:t>hecklist do advogado — Ação de SM no JEF:</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 ] Verificar qualidade de segurada na data do fato gerador (CNIS, CTPS, GPS)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 ] Verificar período de graça se desempregada (art. 15, Lei 8.213)</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 ] Confirmar fato gerador e data (certidão de nascimento, sentença de adoção)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 ] Calcular valor do benefício conforme categoria (art. 73)</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 ] Calcular valor da causa (4 × RMI + acessórios), verificar competência JEF</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 ] Requerer tutela antecipada se parto iminente ou recente</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 ] Para segurada especial: reunir início de prova material (DAP, notas, sindicato)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 ] Para desempregada: reunir prova do desemprego (CTPS, seguro-desemprego)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 ] Verificar se há ação trabalhista sobre o mesmo fato (litispendência)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 ] Incluir pedido de correção monetária (SELIC — EC 113/2021) e honorários</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Q</w:t>
      </w:r>
    </w:p>
    <w:p>
      <w:pPr>
        <w:spacing w:before="0" w:after="70" w:line="259" w:lineRule="auto"/>
        <w:jc w:val="both"/>
      </w:pPr>
      <w:r>
        <w:rPr>
          <w:rFonts w:ascii="EB Garamond" w:hAnsi="EB Garamond" w:cs="EB Garamond"/>
          <w:b/>
          <w:i w:val="0"/>
          <w:color w:val="201B16"/>
          <w:sz w:val="21"/>
          <w:lang w:val="pt-BR" w:bidi="ar-SA"/>
          <w:kern w:val="16"/>
          <w14:ligatures w14:val="standardContextual"/>
        </w:rPr>
        <w:t>uadro de jurisprudência consolidada:</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Tema</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Tribunal</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Tese</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Tema 72 (RE 576.967)</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STF</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Inconstitucional contribuição patronal sobre SM</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ADIs 2.110/2.111</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STF</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Inconstitucional carência de 10 contribuições para CI/fac./especial</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Súmula 149 / Tema 297</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STJ</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Prova rural: vedada prova exclusivamente testemunhal</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Temas 11 e 17</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TNU</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Flexibilização do início de prova material no SM da segurada especial</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Tema 113</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TNU</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SM devido à desempregada; pago diretamente pela Previdência (cálculo: Tema 202)</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Tema 350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STF</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Prévio requerimento administrativo obrigatório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Súmula 244</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TST</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Estabilidade gestante, natureza objetiva</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Súmula 45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TNU</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Correção monetária do SM desde a data do parto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Súmula 149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STJ</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Vedada prova exclusivamente testemunhal para atividade rural</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V</w:t>
      </w:r>
    </w:p>
    <w:p>
      <w:pPr>
        <w:spacing w:before="0" w:after="70" w:line="259" w:lineRule="auto"/>
        <w:jc w:val="both"/>
      </w:pPr>
      <w:r>
        <w:rPr>
          <w:rFonts w:ascii="EB Garamond" w:hAnsi="EB Garamond" w:cs="EB Garamond"/>
          <w:b/>
          <w:i w:val="0"/>
          <w:color w:val="201B16"/>
          <w:sz w:val="21"/>
          <w:lang w:val="pt-BR" w:bidi="ar-SA"/>
          <w:kern w:val="16"/>
          <w14:ligatures w14:val="standardContextual"/>
        </w:rPr>
        <w:t>alores 2026:</w:t>
      </w:r>
    </w:p>
    <w:tbl>
      <w:tblPr>
        <w:tblW w:type="auto" w:w="0"/>
        <w:jc w:val="center"/>
        <w:tblLook w:firstColumn="1" w:firstRow="1" w:lastColumn="0" w:lastRow="0" w:noHBand="0" w:noVBand="1" w:val="04A0"/>
        <w:tblW w:w="5000" w:type="pct"/>
      </w:tblPr>
      <w:tblGrid>
        <w:gridCol w:w="3175"/>
        <w:gridCol w:w="3175"/>
      </w:tblGrid>
      <w:tr>
        <w:trPr>
          <w:tblHeader/>
        </w:trPr>
        <w:tc>
          <w:tcPr>
            <w:tcW w:type="dxa" w:w="3175"/>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Item</w:t>
            </w:r>
          </w:p>
        </w:tc>
        <w:tc>
          <w:tcPr>
            <w:tcW w:type="dxa" w:w="3175"/>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Valor</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Salário-mínimo</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R$ 1.621,00</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Teto RGPS</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R$ 8.475,55</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SM mínimo (4 meses)</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R$ 6.484,00</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SM máximo (4 meses)</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R$ 33.902,20</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Teto JEF (60 SM)</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R$ 97.260,00</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R</w:t>
      </w:r>
    </w:p>
    <w:p>
      <w:pPr>
        <w:spacing w:before="0" w:after="70" w:line="259" w:lineRule="auto"/>
        <w:jc w:val="both"/>
      </w:pPr>
      <w:r>
        <w:rPr>
          <w:rFonts w:ascii="EB Garamond" w:hAnsi="EB Garamond" w:cs="EB Garamond"/>
          <w:b/>
          <w:i w:val="0"/>
          <w:color w:val="201B16"/>
          <w:sz w:val="21"/>
          <w:lang w:val="pt-BR" w:bidi="ar-SA"/>
          <w:kern w:val="16"/>
          <w14:ligatures w14:val="standardContextual"/>
        </w:rPr>
        <w:t>eferência cruzada — Interfaces com outros capítulos:</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Capítulo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Interface</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Seção de remissão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Cap. 2</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Categorias de seguradas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2.2 a 2.7</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Cap. 3</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Período de graça e carência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3.3 e 3.5</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Cap. 4</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Contribuição durante SM; SM como TC</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4.16.2</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Cap. 7</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Vedação acumulação SM × auxílio-incapacidade</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7.12</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Cap. 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Segurada especial, prova rural</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9.4 a 9.6</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Cap. 15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Auxílio-acidente, acumulação permitida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15.3</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Cap. 16</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Cálculo geral do SB</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16.3</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Cap. 19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Pensão por morte, morte da gestante</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19.8</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Cap. 20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Acumulação de benefícios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Cap. 23</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Procedimento geral do JEF</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23.4 a 23.8</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i w:val="0"/>
          <w:color w:val="201B16"/>
          <w:sz w:val="21"/>
          <w:lang w:val="pt-BR" w:bidi="ar-SA"/>
          <w:kern w:val="16"/>
          <w14:ligatures w14:val="standardContextual"/>
        </w:rPr>
        <w:t>rmadilhas comuns na prática do salário-maternidade:</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Armadilhas comuns no salário-maternidade, o que NÃO fazer</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1. </w:t>
            </w:r>
            <w:r>
              <w:rPr>
                <w:rFonts w:ascii="EB Garamond" w:hAnsi="EB Garamond" w:cs="EB Garamond"/>
                <w:b/>
                <w:i w:val="0"/>
                <w:color w:val="201B16"/>
                <w:sz w:val="19"/>
                <w:lang w:val="pt-BR" w:bidi="ar-SA"/>
                <w:kern w:val="16"/>
                <w14:ligatures w14:val="standardContextual"/>
              </w:rPr>
              <w:t>Não confundir licença-maternidade com salário-maternidade:</w:t>
            </w:r>
            <w:r>
              <w:rPr>
                <w:rFonts w:ascii="EB Garamond" w:hAnsi="EB Garamond" w:cs="EB Garamond"/>
                <w:b w:val="0"/>
                <w:i w:val="0"/>
                <w:color w:val="201B16"/>
                <w:sz w:val="19"/>
                <w:lang w:val="pt-BR" w:bidi="ar-SA"/>
                <w:kern w:val="16"/>
                <w14:ligatures w14:val="standardContextual"/>
              </w:rPr>
              <w:t xml:space="preserve"> a licença é o direito trabalhista ao afastamento; o SM é o benefício previdenciário. A segurada CI não tem licença (não tem empregador), mas tem SM.</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2. </w:t>
            </w:r>
            <w:r>
              <w:rPr>
                <w:rFonts w:ascii="EB Garamond" w:hAnsi="EB Garamond" w:cs="EB Garamond"/>
                <w:b/>
                <w:i w:val="0"/>
                <w:color w:val="201B16"/>
                <w:sz w:val="19"/>
                <w:lang w:val="pt-BR" w:bidi="ar-SA"/>
                <w:kern w:val="16"/>
                <w14:ligatures w14:val="standardContextual"/>
              </w:rPr>
              <w:t>Não ignorar o prazo de requerimento:</w:t>
            </w:r>
            <w:r>
              <w:rPr>
                <w:rFonts w:ascii="EB Garamond" w:hAnsi="EB Garamond" w:cs="EB Garamond"/>
                <w:b w:val="0"/>
                <w:i w:val="0"/>
                <w:color w:val="201B16"/>
                <w:sz w:val="19"/>
                <w:lang w:val="pt-BR" w:bidi="ar-SA"/>
                <w:kern w:val="16"/>
                <w14:ligatures w14:val="standardContextual"/>
              </w:rPr>
              <w:t xml:space="preserve"> embora o direito ao SM não prescreva em si, as parcelas prescrevem em 5 anos. Se a segurada nunca requereu, pode perder parcelas antigas.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3. </w:t>
            </w:r>
            <w:r>
              <w:rPr>
                <w:rFonts w:ascii="EB Garamond" w:hAnsi="EB Garamond" w:cs="EB Garamond"/>
                <w:b/>
                <w:i w:val="0"/>
                <w:color w:val="201B16"/>
                <w:sz w:val="19"/>
                <w:lang w:val="pt-BR" w:bidi="ar-SA"/>
                <w:kern w:val="16"/>
                <w14:ligatures w14:val="standardContextual"/>
              </w:rPr>
              <w:t>Não requerer SM como empregada quando o vínculo cessou:</w:t>
            </w:r>
            <w:r>
              <w:rPr>
                <w:rFonts w:ascii="EB Garamond" w:hAnsi="EB Garamond" w:cs="EB Garamond"/>
                <w:b w:val="0"/>
                <w:i w:val="0"/>
                <w:color w:val="201B16"/>
                <w:sz w:val="19"/>
                <w:lang w:val="pt-BR" w:bidi="ar-SA"/>
                <w:kern w:val="16"/>
                <w14:ligatures w14:val="standardContextual"/>
              </w:rPr>
              <w:t xml:space="preserve"> se a segurada foi demitida antes do parto e está no período de graça, o SM é pago pelo INSS (não pelo ex-empregador). O requerimento deve ser feito ao INSS, não à empresa.</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4. </w:t>
            </w:r>
            <w:r>
              <w:rPr>
                <w:rFonts w:ascii="EB Garamond" w:hAnsi="EB Garamond" w:cs="EB Garamond"/>
                <w:b/>
                <w:i w:val="0"/>
                <w:color w:val="201B16"/>
                <w:sz w:val="19"/>
                <w:lang w:val="pt-BR" w:bidi="ar-SA"/>
                <w:kern w:val="16"/>
                <w14:ligatures w14:val="standardContextual"/>
              </w:rPr>
              <w:t>Não esquecer de juntar prova rural atualizada:</w:t>
            </w:r>
            <w:r>
              <w:rPr>
                <w:rFonts w:ascii="EB Garamond" w:hAnsi="EB Garamond" w:cs="EB Garamond"/>
                <w:b w:val="0"/>
                <w:i w:val="0"/>
                <w:color w:val="201B16"/>
                <w:sz w:val="19"/>
                <w:lang w:val="pt-BR" w:bidi="ar-SA"/>
                <w:kern w:val="16"/>
                <w14:ligatures w14:val="standardContextual"/>
              </w:rPr>
              <w:t xml:space="preserve"> para segurada especial, a DAP/CAF deve estar vigente e a atividade rural deve ser contemporânea ao parto. DAP vencida ou de anos anteriores pode ser insuficiente.</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5. </w:t>
            </w:r>
            <w:r>
              <w:rPr>
                <w:rFonts w:ascii="EB Garamond" w:hAnsi="EB Garamond" w:cs="EB Garamond"/>
                <w:b/>
                <w:i w:val="0"/>
                <w:color w:val="201B16"/>
                <w:sz w:val="19"/>
                <w:lang w:val="pt-BR" w:bidi="ar-SA"/>
                <w:kern w:val="16"/>
                <w14:ligatures w14:val="standardContextual"/>
              </w:rPr>
              <w:t>Não acumular SM com auxílio por incapacidade temporária:</w:t>
            </w:r>
            <w:r>
              <w:rPr>
                <w:rFonts w:ascii="EB Garamond" w:hAnsi="EB Garamond" w:cs="EB Garamond"/>
                <w:b w:val="0"/>
                <w:i w:val="0"/>
                <w:color w:val="201B16"/>
                <w:sz w:val="19"/>
                <w:lang w:val="pt-BR" w:bidi="ar-SA"/>
                <w:kern w:val="16"/>
                <w14:ligatures w14:val="standardContextual"/>
              </w:rPr>
              <w:t xml:space="preserve"> são inacumuláveis. Se a segurada está em auxílio por incapacidade temporária, deve requerer a conversão em SM.</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6. </w:t>
            </w:r>
            <w:r>
              <w:rPr>
                <w:rFonts w:ascii="EB Garamond" w:hAnsi="EB Garamond" w:cs="EB Garamond"/>
                <w:b/>
                <w:i w:val="0"/>
                <w:color w:val="201B16"/>
                <w:sz w:val="19"/>
                <w:lang w:val="pt-BR" w:bidi="ar-SA"/>
                <w:kern w:val="16"/>
                <w14:ligatures w14:val="standardContextual"/>
              </w:rPr>
              <w:t>Não confundir o teto:</w:t>
            </w:r>
            <w:r>
              <w:rPr>
                <w:rFonts w:ascii="EB Garamond" w:hAnsi="EB Garamond" w:cs="EB Garamond"/>
                <w:b w:val="0"/>
                <w:i w:val="0"/>
                <w:color w:val="201B16"/>
                <w:sz w:val="19"/>
                <w:lang w:val="pt-BR" w:bidi="ar-SA"/>
                <w:kern w:val="16"/>
                <w14:ligatures w14:val="standardContextual"/>
              </w:rPr>
              <w:t xml:space="preserve"> o SM da empregada CLT é a remuneração integral (sem teto do RGPS para o valor pago à segurada); a compensação pela empresa é que se limita ao teto.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7. </w:t>
            </w:r>
            <w:r>
              <w:rPr>
                <w:rFonts w:ascii="EB Garamond" w:hAnsi="EB Garamond" w:cs="EB Garamond"/>
                <w:b/>
                <w:i w:val="0"/>
                <w:color w:val="201B16"/>
                <w:sz w:val="19"/>
                <w:lang w:val="pt-BR" w:bidi="ar-SA"/>
                <w:kern w:val="16"/>
                <w14:ligatures w14:val="standardContextual"/>
              </w:rPr>
              <w:t>Não ajuizar ação sem prévio requerimento:</w:t>
            </w:r>
            <w:r>
              <w:rPr>
                <w:rFonts w:ascii="EB Garamond" w:hAnsi="EB Garamond" w:cs="EB Garamond"/>
                <w:b w:val="0"/>
                <w:i w:val="0"/>
                <w:color w:val="201B16"/>
                <w:sz w:val="19"/>
                <w:lang w:val="pt-BR" w:bidi="ar-SA"/>
                <w:kern w:val="16"/>
                <w14:ligatures w14:val="standardContextual"/>
              </w:rPr>
              <w:t xml:space="preserve"> o Tema 350/STF exige requerimento administrativo, salvo exceções específicas.</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P</w:t>
      </w:r>
    </w:p>
    <w:p>
      <w:pPr>
        <w:spacing w:before="0" w:after="70" w:line="259" w:lineRule="auto"/>
        <w:jc w:val="both"/>
      </w:pPr>
      <w:r>
        <w:rPr>
          <w:rFonts w:ascii="EB Garamond" w:hAnsi="EB Garamond" w:cs="EB Garamond"/>
          <w:b/>
          <w:i w:val="0"/>
          <w:color w:val="201B16"/>
          <w:sz w:val="21"/>
          <w:lang w:val="pt-BR" w:bidi="ar-SA"/>
          <w:kern w:val="16"/>
          <w14:ligatures w14:val="standardContextual"/>
        </w:rPr>
        <w:t>erspectivas e tendências.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Três mudanças estão em curso no salário-maternidade: (a) a universalização plena, já concretizada com as ADIs 2.110/2.111, que eliminaram qualquer distinção de carência entre categorias de seguradas; (b) a extensão a todas as formas de parentalidade, incluindo gestação por substituição e famílias multiparentais; e (c) a ampliação da duração para cento e oitenta dias como regra geral, não apenas para empresas do Empresa Cidadã.</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No plano legislativo, tramitam projetos que propõem: (a) a extensão do salário-maternidade a cento e oitenta dias como regra geral para todas as seguradas (não apenas para empregadas do Empresa Cidadã); (b) a ampliação do salário-paternidade instituído pela Lei 15.371/2026, cuja escala de dez a vinte dias (2027 a 2029) fica aquém dos trinta dias defendidos pelos projetos originais; (c) a regulamentação expressa do salário-maternidade em casos de gestação por substituição. A prorrogação do benefício em caso de internação prolongada da segurada ou do recém-nascido, antes objeto de projeto, já foi positivada pela Lei 15.222/2025 (art. 71, § 3º, da Lei 8.213/91).</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No plano judicial, a judicialização massiva do salário-maternidade, especialmente da segurada especial rural, demanda dos JEFs mecanismos de processamento eficiente. A padronização de procedimentos (mutirões de SM rural, designação de audiências concentradas, utilização de teleperícia) pode contribuir para a redução do tempo de tramitação, que é particularmente prejudicial nessa espécie de benefício temporário.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advogado previdenciário deve estar atento às constantes mudanças legislativas e jurisprudenciais nessa matéria. O salário-maternidade, que durante décadas foi considerado benefício simples, tornou-se um dos campos mais dinâmicos do direito previdenciário, impulsionado pela evolução das configurações familiares, pela ampliação da proteção social e pela crescente judicialização.</w:t>
      </w:r>
    </w:p>
    <w:p>
      <w:pPr>
        <w:sectPr>
          <w:headerReference w:type="default" r:id="rId147"/>
          <w:headerReference w:type="even" r:id="rId148"/>
          <w:footerReference w:type="default" r:id="rId149"/>
          <w:footerReference w:type="even" r:id="rId150"/>
          <w:headerReference w:type="first" r:id="rId151"/>
          <w:footerReference w:type="first" r:id="rId152"/>
          <w:pgSz w:w="8391" w:h="11906"/>
          <w:pgMar w:top="935" w:right="879" w:bottom="964" w:left="1162" w:header="454" w:footer="425" w:gutter="0" w:mirrorMargins="1"/>
          <w:cols w:space="720"/>
          <w:titlePg/>
          <w:docGrid w:linePitch="360"/>
        </w:sectPr>
      </w:pPr>
    </w:p>
    <w:p>
      <w:pPr>
        <w:spacing w:before="240" w:after="80" w:line="240" w:lineRule="auto"/>
        <w:jc w:val="center"/>
        <w:keepNext/>
      </w:pPr>
      <w:r>
        <w:rPr>
          <w:rFonts w:ascii="Noto Sans" w:hAnsi="Noto Sans" w:cs="Noto Sans"/>
          <w:b/>
          <w:i w:val="0"/>
          <w:caps/>
          <w:color w:val="8A6A2A"/>
          <w:sz w:val="19"/>
          <w:lang w:val="pt-BR" w:bidi="ar-SA"/>
          <w:kern w:val="16"/>
          <w14:ligatures w14:val="standardContextual"/>
        </w:rPr>
        <w:t>CAPÍTULO 14</w:t>
      </w:r>
    </w:p>
    <w:p>
      <w:pPr>
        <w:pStyle w:val="Heading2"/>
        <w:spacing w:before="0" w:after="160" w:line="240" w:lineRule="auto"/>
        <w:jc w:val="center"/>
        <w:keepNext/>
      </w:pPr>
      <w:r>
        <w:rPr>
          <w:rFonts w:ascii="EB Garamond" w:hAnsi="EB Garamond" w:cs="EB Garamond"/>
          <w:b/>
          <w:i w:val="0"/>
          <w:caps/>
          <w:color w:val="2F2923"/>
          <w:sz w:val="40"/>
          <w:lang w:val="pt-BR" w:bidi="ar-SA"/>
          <w:kern w:val="16"/>
          <w14:ligatures w14:val="standardContextual"/>
        </w:rPr>
        <w:t>Auxílio-Reclusão</w:t>
      </w:r>
    </w:p>
    <w:p>
      <w:pPr>
        <w:spacing w:before="0" w:after="240" w:line="240" w:lineRule="auto"/>
        <w:jc w:val="center"/>
      </w:pPr>
      <w:r>
        <w:rPr>
          <w:rFonts w:ascii="EB Garamond" w:hAnsi="EB Garamond" w:cs="EB Garamond"/>
          <w:b w:val="0"/>
          <w:i w:val="0"/>
          <w:color w:val="B78B37"/>
          <w:sz w:val="18"/>
          <w:lang w:val="pt-BR" w:bidi="ar-SA"/>
          <w:kern w:val="16"/>
          <w14:ligatures w14:val="standardContextual"/>
        </w:rPr>
        <w:t>━━━━  ◆  ━━━━</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Introdução e fundamento constitucional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auxílio-reclusão é o benefício previdenciário mais criticado pela opinião pública e, por isso, o mais restringido pela EC 103/2019. Embora represente menos de 0,1% do total de benefícios pagos pelo INSS, o auxílio-reclusão ocupa espaço desproporcional no debate público, frequentemente instrumentalizado por discursos que confundem proteção social dos dependentes com suposto privilégio ao preso. Nos Juizados Especiais Federais, a demanda por sua concessão e manutenção é significativa e exige do operador domínio técnico aprofundado.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fundamento constitucional do auxílio-reclusão encontra-se no art. 201, inciso IV, da Constituição Federal. Na redação original de 1988, o auxílio-reclusão constava do art. 201, inciso I, como prestação devida aos dependentes dos segurados, sem qualquer restrição de renda. A EC 20/1998 reestruturou o art. 201, realocou o auxílio-reclusão para o inciso IV e inseriu a expressão "baixa renda" no texto constitucional, restringindo o universo de potenciais beneficiários. A EC 103/2019 promoveu a mais profunda reformulação do benefício desde sua constitucionalização, alterando substancialmente os requisitos, o valor e as condições de manutenção.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redação conferida pela EC 103/2019, o art. 201, IV, da CF passou a dispor que a previdência social atenderá "auxílio-reclusão para os dependentes das pessoas de baixa renda". O § 5º do mesmo artigo, também incluído pela EC 103, estabeleceu que "é vedada a concessão, por lei, de auxílio-reclusão quando o recluso estiver em regime aberto" e fixou o valor do benefício em um salário-mínimo.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O auxílio-reclusão não é benefício destinado ao preso. Trata-se de prestação previdenciária paga aos </w:t>
      </w:r>
      <w:r>
        <w:rPr>
          <w:rFonts w:ascii="EB Garamond" w:hAnsi="EB Garamond" w:cs="EB Garamond"/>
          <w:b/>
          <w:i w:val="0"/>
          <w:color w:val="201B16"/>
          <w:sz w:val="21"/>
          <w:lang w:val="pt-BR" w:bidi="ar-SA"/>
          <w:kern w:val="16"/>
          <w14:ligatures w14:val="standardContextual"/>
        </w:rPr>
        <w:t>dependentes</w:t>
      </w:r>
      <w:r>
        <w:rPr>
          <w:rFonts w:ascii="EB Garamond" w:hAnsi="EB Garamond" w:cs="EB Garamond"/>
          <w:b w:val="0"/>
          <w:i w:val="0"/>
          <w:color w:val="201B16"/>
          <w:sz w:val="21"/>
          <w:lang w:val="pt-BR" w:bidi="ar-SA"/>
          <w:kern w:val="16"/>
          <w14:ligatures w14:val="standardContextual"/>
        </w:rPr>
        <w:t xml:space="preserve"> do segurado recolhido à prisão, com o objetivo de garantir a subsistência da família que perde sua fonte de renda em razão do encarceramento. O segurado é o elemento de conexão, é sua qualidade de segurado e sua filiação ao RGPS que geram o direito, mas os titulares do benefício são exclusivamente os dependentes. Essa distinção, aparentemente singela, tem consequências jurídicas profundas: decorre da própria estrutura do art. 201, IV, c/c o art. 226 da CF, e foi reafirmada como premissa pelo Supremo Tribunal Federal no julgamento do RE 587.365 (Tema 89) — observando-se que a tese vinculante ali fixada versa especificamente sobre o parâmetro de renda a ser aferido (a do segurado, e não a dos dependentes), e não sobre a titularidade do benefício, que repousa diretamente no texto constitucional.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A EC 103/2019 transformou radicalmente o auxílio-reclusão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advogado previdenciarista deve ter especial atenção ao regime jurídico aplicável. Existem dois regimes completamente distintos:</w:t>
            </w:r>
          </w:p>
          <w:p>
            <w:pPr>
              <w:spacing w:before="0" w:after="60" w:line="247" w:lineRule="auto"/>
              <w:jc w:val="both"/>
            </w:pPr>
            <w:r>
              <w:rPr>
                <w:rFonts w:ascii="EB Garamond" w:hAnsi="EB Garamond" w:cs="EB Garamond"/>
                <w:b/>
                <w:i w:val="0"/>
                <w:color w:val="201B16"/>
                <w:sz w:val="19"/>
                <w:lang w:val="pt-BR" w:bidi="ar-SA"/>
                <w:kern w:val="16"/>
                <w14:ligatures w14:val="standardContextual"/>
              </w:rPr>
              <w:t>Regime antigo (fato gerador anterior a 18/01/2019):</w:t>
            </w:r>
            <w:r>
              <w:rPr>
                <w:rFonts w:ascii="EB Garamond" w:hAnsi="EB Garamond" w:cs="EB Garamond"/>
                <w:b w:val="0"/>
                <w:i w:val="0"/>
                <w:color w:val="201B16"/>
                <w:sz w:val="19"/>
                <w:lang w:val="pt-BR" w:bidi="ar-SA"/>
                <w:kern w:val="16"/>
                <w14:ligatures w14:val="standardContextual"/>
              </w:rPr>
              <w:t xml:space="preserve"> - Dispensado de carência (art. 26, I, Lei 8.213/91, redação anterior à Lei 13.846/2019) - Qualquer regime prisional (fechado, semiaberto ou aberto) - Valor calculado como a aposentadoria por invalidez: 100% do salário de benefício (piso de 1 SM, teto do RGPS) - Limite de baixa renda aferido pelo último salário de contribuição do segurado</w:t>
            </w:r>
          </w:p>
          <w:p>
            <w:pPr>
              <w:spacing w:before="0" w:after="60" w:line="247" w:lineRule="auto"/>
              <w:jc w:val="both"/>
            </w:pPr>
            <w:r>
              <w:rPr>
                <w:rFonts w:ascii="EB Garamond" w:hAnsi="EB Garamond" w:cs="EB Garamond"/>
                <w:b/>
                <w:i w:val="0"/>
                <w:color w:val="201B16"/>
                <w:sz w:val="19"/>
                <w:lang w:val="pt-BR" w:bidi="ar-SA"/>
                <w:kern w:val="16"/>
                <w14:ligatures w14:val="standardContextual"/>
              </w:rPr>
              <w:t>Regime novo (fato gerador a partir de 18/01/2019):</w:t>
            </w:r>
            <w:r>
              <w:rPr>
                <w:rFonts w:ascii="EB Garamond" w:hAnsi="EB Garamond" w:cs="EB Garamond"/>
                <w:b w:val="0"/>
                <w:i w:val="0"/>
                <w:color w:val="201B16"/>
                <w:sz w:val="19"/>
                <w:lang w:val="pt-BR" w:bidi="ar-SA"/>
                <w:kern w:val="16"/>
                <w14:ligatures w14:val="standardContextual"/>
              </w:rPr>
              <w:t xml:space="preserve"> - Carência de 24 contribuições mensais (desde 18/01/2019 — MP 871/2019, consolidada pela Lei 13.846/2019) - Apenas regime fechado (art. 80, Lei 8.213), semiaberto: controvérsia - Valor fixo de 1 salário-mínimo (R$ 1.621,00 em 2026), a partir de 13/11/2019 (EC 103) - Limite de baixa renda: média dos 12 últimos salários ≤ limite anual da Portaria Interministerial MPS/MF (R$ 1.906,04 — limite do exercício de 2025; v. Referência única abaixo)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 xml:space="preserve">A data determinante é o </w:t>
            </w:r>
            <w:r>
              <w:rPr>
                <w:rFonts w:ascii="EB Garamond" w:hAnsi="EB Garamond" w:cs="EB Garamond"/>
                <w:b/>
                <w:i w:val="0"/>
                <w:color w:val="201B16"/>
                <w:sz w:val="19"/>
                <w:lang w:val="pt-BR" w:bidi="ar-SA"/>
                <w:kern w:val="16"/>
                <w14:ligatures w14:val="standardContextual"/>
              </w:rPr>
              <w:t>recolhimento à prisão</w:t>
            </w:r>
            <w:r>
              <w:rPr>
                <w:rFonts w:ascii="EB Garamond" w:hAnsi="EB Garamond" w:cs="EB Garamond"/>
                <w:b w:val="0"/>
                <w:i w:val="0"/>
                <w:color w:val="201B16"/>
                <w:sz w:val="19"/>
                <w:lang w:val="pt-BR" w:bidi="ar-SA"/>
                <w:kern w:val="16"/>
                <w14:ligatures w14:val="standardContextual"/>
              </w:rPr>
              <w:t>, não a data da sentença condenatória.</w:t>
            </w:r>
          </w:p>
          <w:p>
            <w:pPr>
              <w:spacing w:before="0" w:after="60" w:line="247" w:lineRule="auto"/>
              <w:jc w:val="both"/>
            </w:pPr>
            <w:r>
              <w:rPr>
                <w:rFonts w:ascii="EB Garamond" w:hAnsi="EB Garamond" w:cs="EB Garamond"/>
                <w:b/>
                <w:i w:val="0"/>
                <w:color w:val="201B16"/>
                <w:sz w:val="19"/>
                <w:lang w:val="pt-BR" w:bidi="ar-SA"/>
                <w:kern w:val="16"/>
                <w14:ligatures w14:val="standardContextual"/>
              </w:rPr>
              <w:t>Sobre o limite de baixa renda (referência única).</w:t>
            </w:r>
            <w:r>
              <w:rPr>
                <w:rFonts w:ascii="EB Garamond" w:hAnsi="EB Garamond" w:cs="EB Garamond"/>
                <w:b w:val="0"/>
                <w:i w:val="0"/>
                <w:color w:val="201B16"/>
                <w:sz w:val="19"/>
                <w:lang w:val="pt-BR" w:bidi="ar-SA"/>
                <w:kern w:val="16"/>
                <w14:ligatures w14:val="standardContextual"/>
              </w:rPr>
              <w:t xml:space="preserve"> Adotamos, ao longo deste capítulo, o valor de </w:t>
            </w:r>
            <w:r>
              <w:rPr>
                <w:rFonts w:ascii="EB Garamond" w:hAnsi="EB Garamond" w:cs="EB Garamond"/>
                <w:b/>
                <w:i w:val="0"/>
                <w:color w:val="201B16"/>
                <w:sz w:val="19"/>
                <w:lang w:val="pt-BR" w:bidi="ar-SA"/>
                <w:kern w:val="16"/>
                <w14:ligatures w14:val="standardContextual"/>
              </w:rPr>
              <w:t>R$ 1.906,04</w:t>
            </w:r>
            <w:r>
              <w:rPr>
                <w:rFonts w:ascii="EB Garamond" w:hAnsi="EB Garamond" w:cs="EB Garamond"/>
                <w:b w:val="0"/>
                <w:i w:val="0"/>
                <w:color w:val="201B16"/>
                <w:sz w:val="19"/>
                <w:lang w:val="pt-BR" w:bidi="ar-SA"/>
                <w:kern w:val="16"/>
                <w14:ligatures w14:val="standardContextual"/>
              </w:rPr>
              <w:t>, fixado para 2025 pela Portaria Interministerial MPS/MF n. 6/2025. Esse teto é reajustado anualmente pelos mesmos índices aplicados aos benefícios do RGPS (art. 27, § 1º, da EC 103/2019); a Portaria MPS/MF para 2026, editada em janeiro, atualiza o montante conforme o reajuste do exercício. Sempre que o texto referir "R$ 1.906,04", o leitor deve compreendê-lo como o limite vigente no exercício do fato gerador, substituindo-o pelo valor da portaria do ano correspondente. Para evitar repetições, não reiteramos essa advertência a cada tabela.</w:t>
            </w:r>
          </w:p>
          <w:p>
            <w:pPr>
              <w:spacing w:before="0" w:after="60" w:line="247" w:lineRule="auto"/>
              <w:jc w:val="both"/>
            </w:pPr>
            <w:r>
              <w:rPr>
                <w:rFonts w:ascii="EB Garamond" w:hAnsi="EB Garamond" w:cs="EB Garamond"/>
                <w:b/>
                <w:i w:val="0"/>
                <w:color w:val="201B16"/>
                <w:sz w:val="19"/>
                <w:lang w:val="pt-BR" w:bidi="ar-SA"/>
                <w:kern w:val="16"/>
                <w14:ligatures w14:val="standardContextual"/>
              </w:rPr>
              <w:t>Nota:</w:t>
            </w:r>
            <w:r>
              <w:rPr>
                <w:rFonts w:ascii="EB Garamond" w:hAnsi="EB Garamond" w:cs="EB Garamond"/>
                <w:b w:val="0"/>
                <w:i w:val="0"/>
                <w:color w:val="201B16"/>
                <w:sz w:val="19"/>
                <w:lang w:val="pt-BR" w:bidi="ar-SA"/>
                <w:kern w:val="16"/>
                <w14:ligatures w14:val="standardContextual"/>
              </w:rPr>
              <w:t xml:space="preserve"> Entre 18/01/2019 e 12/11/2019 (MP 871/2019, convertida na Lei 13.846/2019), vigeu regime intermediário com carência de 24 contribuições e restrição ao regime fechado, porém com valor calculado conforme as regras da pensão por morte (não o valor fixo de 1 SM, que só se aplica a partir de 13/11/2019 pela EC 103).</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14.2 Natureza jurídica e função social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natureza jurídica do auxílio-reclusão é objeto de discussão doutrinária relevante. Três correntes podem ser identificadas. A primeira, majoritária, classifica-o como benefício previdenciário stricto sensu, inserido no sistema de proteção social contributiva, que substitui a renda do segurado temporariamente impossibilitado de exercer atividade laborativa. A segunda corrente identifica natureza híbrida, combinando elementos previdenciários (exigência de qualidade de segurado e carência) com elementos assistenciais (proteção à família vulnerável). A terceira, minoritária, sustenta natureza predominantemente assistencial, considerando que o requisito de baixa renda aproxima o benefício do modelo de assistência social.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Supremo Tribunal Federal, no julgamento paradigmático do RE 587.365 (Tema 89, Rel. Min. Ricardo Lewandowski, julgado em 25/03/2009), adotou posição que reforça a natureza previdenciária do benefício, mas com ênfase em sua função protetiva dos dependentes. O Tribunal assentou que o auxílio-reclusão visa "garantir a subsistência da família do segurado de baixa renda recolhido à prisão", reconhecendo que o encarceramento produz efeitos devastadores sobre o núcleo familiar, especialmente sobre crianças e adolescentes.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STF — RE 587.365 (Tema 89): Proteção ao Dependente</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Tese fixada (objeto vinculante): "Segundo decorre do art. 201, IV, da Constituição Federal, a renda do segurado preso é a que deve ser utilizada como parâmetro para a concessão do auxílio-reclusão e não a de seus dependentes."</w:t>
            </w:r>
          </w:p>
          <w:p>
            <w:pPr>
              <w:spacing w:before="0" w:after="60" w:line="247" w:lineRule="auto"/>
              <w:jc w:val="both"/>
            </w:pPr>
            <w:r>
              <w:rPr>
                <w:rFonts w:ascii="EB Garamond" w:hAnsi="EB Garamond" w:cs="EB Garamond"/>
                <w:b/>
                <w:i w:val="0"/>
                <w:color w:val="201B16"/>
                <w:sz w:val="19"/>
                <w:lang w:val="pt-BR" w:bidi="ar-SA"/>
                <w:kern w:val="16"/>
                <w14:ligatures w14:val="standardContextual"/>
              </w:rPr>
              <w:t>Núcleo da tese.</w:t>
            </w:r>
            <w:r>
              <w:rPr>
                <w:rFonts w:ascii="EB Garamond" w:hAnsi="EB Garamond" w:cs="EB Garamond"/>
                <w:b w:val="0"/>
                <w:i w:val="0"/>
                <w:color w:val="201B16"/>
                <w:sz w:val="19"/>
                <w:lang w:val="pt-BR" w:bidi="ar-SA"/>
                <w:kern w:val="16"/>
                <w14:ligatures w14:val="standardContextual"/>
              </w:rPr>
              <w:t xml:space="preserve"> O que o Tema 89 efetivamente fixou, em caráter vinculante, é o </w:t>
            </w:r>
            <w:r>
              <w:rPr>
                <w:rFonts w:ascii="EB Garamond" w:hAnsi="EB Garamond" w:cs="EB Garamond"/>
                <w:b/>
                <w:i w:val="0"/>
                <w:color w:val="201B16"/>
                <w:sz w:val="19"/>
                <w:lang w:val="pt-BR" w:bidi="ar-SA"/>
                <w:kern w:val="16"/>
                <w14:ligatures w14:val="standardContextual"/>
              </w:rPr>
              <w:t>parâmetro de aferição da renda</w:t>
            </w:r>
            <w:r>
              <w:rPr>
                <w:rFonts w:ascii="EB Garamond" w:hAnsi="EB Garamond" w:cs="EB Garamond"/>
                <w:b w:val="0"/>
                <w:i w:val="0"/>
                <w:color w:val="201B16"/>
                <w:sz w:val="19"/>
                <w:lang w:val="pt-BR" w:bidi="ar-SA"/>
                <w:kern w:val="16"/>
                <w14:ligatures w14:val="standardContextual"/>
              </w:rPr>
              <w:t xml:space="preserve">: para fins de enquadramento como "baixa renda", afere-se a renda do </w:t>
            </w:r>
            <w:r>
              <w:rPr>
                <w:rFonts w:ascii="EB Garamond" w:hAnsi="EB Garamond" w:cs="EB Garamond"/>
                <w:b/>
                <w:i w:val="0"/>
                <w:color w:val="201B16"/>
                <w:sz w:val="19"/>
                <w:lang w:val="pt-BR" w:bidi="ar-SA"/>
                <w:kern w:val="16"/>
                <w14:ligatures w14:val="standardContextual"/>
              </w:rPr>
              <w:t>segurado</w:t>
            </w:r>
            <w:r>
              <w:rPr>
                <w:rFonts w:ascii="EB Garamond" w:hAnsi="EB Garamond" w:cs="EB Garamond"/>
                <w:b w:val="0"/>
                <w:i w:val="0"/>
                <w:color w:val="201B16"/>
                <w:sz w:val="19"/>
                <w:lang w:val="pt-BR" w:bidi="ar-SA"/>
                <w:kern w:val="16"/>
                <w14:ligatures w14:val="standardContextual"/>
              </w:rPr>
              <w:t xml:space="preserve"> preso, não a dos dependentes. É a esse comando — e somente a ele — que se deve invocar o Tema 89 ao impugnar indeferimentos do INSS.</w:t>
            </w:r>
          </w:p>
          <w:p>
            <w:pPr>
              <w:spacing w:before="0" w:after="60" w:line="247" w:lineRule="auto"/>
              <w:jc w:val="both"/>
            </w:pPr>
            <w:r>
              <w:rPr>
                <w:rFonts w:ascii="EB Garamond" w:hAnsi="EB Garamond" w:cs="EB Garamond"/>
                <w:b/>
                <w:i w:val="0"/>
                <w:color w:val="201B16"/>
                <w:sz w:val="19"/>
                <w:lang w:val="pt-BR" w:bidi="ar-SA"/>
                <w:kern w:val="16"/>
                <w14:ligatures w14:val="standardContextual"/>
              </w:rPr>
              <w:t>Fundamentos e rationale do acórdão (não confundir com a tese vinculante).</w:t>
            </w:r>
            <w:r>
              <w:rPr>
                <w:rFonts w:ascii="EB Garamond" w:hAnsi="EB Garamond" w:cs="EB Garamond"/>
                <w:b w:val="0"/>
                <w:i w:val="0"/>
                <w:color w:val="201B16"/>
                <w:sz w:val="19"/>
                <w:lang w:val="pt-BR" w:bidi="ar-SA"/>
                <w:kern w:val="16"/>
                <w14:ligatures w14:val="standardContextual"/>
              </w:rPr>
              <w:t xml:space="preserve"> A afirmação de que o benefício protege o </w:t>
            </w:r>
            <w:r>
              <w:rPr>
                <w:rFonts w:ascii="EB Garamond" w:hAnsi="EB Garamond" w:cs="EB Garamond"/>
                <w:b/>
                <w:i w:val="0"/>
                <w:color w:val="201B16"/>
                <w:sz w:val="19"/>
                <w:lang w:val="pt-BR" w:bidi="ar-SA"/>
                <w:kern w:val="16"/>
                <w14:ligatures w14:val="standardContextual"/>
              </w:rPr>
              <w:t>dependente</w:t>
            </w:r>
            <w:r>
              <w:rPr>
                <w:rFonts w:ascii="EB Garamond" w:hAnsi="EB Garamond" w:cs="EB Garamond"/>
                <w:b w:val="0"/>
                <w:i w:val="0"/>
                <w:color w:val="201B16"/>
                <w:sz w:val="19"/>
                <w:lang w:val="pt-BR" w:bidi="ar-SA"/>
                <w:kern w:val="16"/>
                <w14:ligatures w14:val="standardContextual"/>
              </w:rPr>
              <w:t xml:space="preserve">, e não o preso, integra a fundamentação do julgado e a própria estrutura do art. 201, IV, c/c o art. 226 da CF, mas não constitui o dispositivo vinculante do tema. Trata-se de fundamento autônomo, extraído da natureza do instituto, e assim deve ser citado: - A renda aferida para "baixa renda" é a do </w:t>
            </w:r>
            <w:r>
              <w:rPr>
                <w:rFonts w:ascii="EB Garamond" w:hAnsi="EB Garamond" w:cs="EB Garamond"/>
                <w:b/>
                <w:i w:val="0"/>
                <w:color w:val="201B16"/>
                <w:sz w:val="19"/>
                <w:lang w:val="pt-BR" w:bidi="ar-SA"/>
                <w:kern w:val="16"/>
                <w14:ligatures w14:val="standardContextual"/>
              </w:rPr>
              <w:t>segurado</w:t>
            </w:r>
            <w:r>
              <w:rPr>
                <w:rFonts w:ascii="EB Garamond" w:hAnsi="EB Garamond" w:cs="EB Garamond"/>
                <w:b w:val="0"/>
                <w:i w:val="0"/>
                <w:color w:val="201B16"/>
                <w:sz w:val="19"/>
                <w:lang w:val="pt-BR" w:bidi="ar-SA"/>
                <w:kern w:val="16"/>
                <w14:ligatures w14:val="standardContextual"/>
              </w:rPr>
              <w:t xml:space="preserve"> preso, e não a dos dependentes (tese vinculante) - O benefício protege o </w:t>
            </w:r>
            <w:r>
              <w:rPr>
                <w:rFonts w:ascii="EB Garamond" w:hAnsi="EB Garamond" w:cs="EB Garamond"/>
                <w:b/>
                <w:i w:val="0"/>
                <w:color w:val="201B16"/>
                <w:sz w:val="19"/>
                <w:lang w:val="pt-BR" w:bidi="ar-SA"/>
                <w:kern w:val="16"/>
                <w14:ligatures w14:val="standardContextual"/>
              </w:rPr>
              <w:t>dependente</w:t>
            </w:r>
            <w:r>
              <w:rPr>
                <w:rFonts w:ascii="EB Garamond" w:hAnsi="EB Garamond" w:cs="EB Garamond"/>
                <w:b w:val="0"/>
                <w:i w:val="0"/>
                <w:color w:val="201B16"/>
                <w:sz w:val="19"/>
                <w:lang w:val="pt-BR" w:bidi="ar-SA"/>
                <w:kern w:val="16"/>
                <w14:ligatures w14:val="standardContextual"/>
              </w:rPr>
              <w:t>, não o preso — premissa estrutural do instituto (art. 201, IV, c/c art. 226, CF), e não tese fixada no Tema 89 - O recolhimento à prisão priva a família de sua fonte de sustento - A restrição a segurados de "baixa renda" (EC 20/1998) é constitucional, pois atende ao princípio da seletividade (art. 194, III, CF)</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Relator: Min. Ricardo Lewandowski | Tribunal Pleno | Mérito julgado (repercussão geral) em 25/03/2009</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função social do auxílio-reclusão opera em múltiplas dimensões. Em primeiro lugar, garante a dignidade dos dependentes, frequentemente mulheres com filhos pequenos, que se veem repentinamente privados da fonte de renda familiar. Em segundo lugar, funciona como mecanismo de prevenção à marginalização dos dependentes, evitando que a prisão do provedor familiar produza efeitos cascata de vulnerabilidade social. Em terceiro lugar, serve como instrumento de ressocialização indireta: ao garantir a subsistência da família durante o período de reclusão, o benefício preserva o vínculo familiar que constitui fator determinante para a reinserção social do preso.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perspectiva de gênero é especialmente relevante. Os dados do Departamento Penitenciário Nacional, consolidados no Sistema de Informações do Departamento Penitenciário Nacional (SISDEPEN) e nos Levantamentos Nacionais de Informações Penitenciárias, indicam que o Brasil possui uma das maiores populações carcerárias do mundo, da ordem de 830 mil presos. Os perfis sociodemográficos extraídos dos painéis do SISDEPEN são, há anos, consistentes: a esmagadora maioria da população prisional é composta por homens (cerca de 95%), em sua maior parte jovens (na faixa de 18 a 29 anos), pessoas negras (em torno de dois terços) e de baixa escolaridade (cerca de metade com, no máximo, ensino fundamental incompleto). Os percentuais aqui referidos devem ser lidos como ordens de grandeza estáveis dos levantamentos do DEPEN/SISDEPEN, e não como números de um único exercício, pois variam marginalmente a cada atualização semestral do sistema; o leitor deve confirmar o dado do período pertinente no painel oficial do SISDEPEN. Os dependentes que requerem o auxílio-reclusão são, correspondentemente, em sua imensa maioria mulheres — companheiras, esposas e mães — que assumem sozinhas a responsabilidade pelo sustento e cuidado dos filhos.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A desproporção entre a população carcerária e o número de auxílios-reclusão efetivamente pagos é reveladora da seletividade do sistema. Segundo o Boletim Estatístico da Previdência Social (BEPS) referente à competência de novembro de 2023 — última edição consolidada à época de fechamento deste capítulo —, havia 15.917 auxílios-reclusão ativos, com valor médio de R$ 1.344,80. Tal como advertimos quanto aos dados do SISDEPEN, esse número deve ser lido como </w:t>
      </w:r>
      <w:r>
        <w:rPr>
          <w:rFonts w:ascii="EB Garamond" w:hAnsi="EB Garamond" w:cs="EB Garamond"/>
          <w:b/>
          <w:i w:val="0"/>
          <w:color w:val="201B16"/>
          <w:sz w:val="21"/>
          <w:lang w:val="pt-BR" w:bidi="ar-SA"/>
          <w:kern w:val="16"/>
          <w14:ligatures w14:val="standardContextual"/>
        </w:rPr>
        <w:t>ordem de grandeza</w:t>
      </w:r>
      <w:r>
        <w:rPr>
          <w:rFonts w:ascii="EB Garamond" w:hAnsi="EB Garamond" w:cs="EB Garamond"/>
          <w:b w:val="0"/>
          <w:i w:val="0"/>
          <w:color w:val="201B16"/>
          <w:sz w:val="21"/>
          <w:lang w:val="pt-BR" w:bidi="ar-SA"/>
          <w:kern w:val="16"/>
          <w14:ligatures w14:val="standardContextual"/>
        </w:rPr>
        <w:t xml:space="preserve"> da competência indicada: o estoque e o valor médio variam mês a mês, e o leitor deve confirmar a cifra atualizada na edição mais recente do BEPS (Secretaria de Regime Geral de Previdência Social, publicação mensal), cujo histórico é disponibilizado no portal Dados Abertos da Previdência. Ainda assim, a ordem de grandeza é estável e expressiva: menos de 2% dos presos brasileiros geram o benefício para seus dependentes, o que se explica pela combinação de: (i) informalidade laboral (muitos presos nunca contribuíram para o RGPS); (ii) perda da qualidade de segurado antes da prisão; (iii) renda acima do limite de baixa renda; (iv) desconhecimento do direito pelos dependentes; e (v) dificuldades operacionais para requerer o benefício. O auxílio-reclusão representou, em 2023, menos de 0,1% do orçamento total do INSS — desmentindo categoricamente o mito de que o benefício consome parcela significativa dos recursos previdenciários.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Negar o auxílio-reclusão em situações em que os requisitos legais estão preenchidos equivale, na prática, a penalizar duplamente a família do preso: pela perda da liberdade do provedor e pela supressão da proteção previdenciária.</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14.3 Evolução legislativa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trajetória legislativa do auxílio-reclusão revela um movimento pendular entre ampliação e restrição, refletindo as tensões entre proteção social e contenção de gastos que permeiam toda a história da previdência brasileira.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Primeira fase: origens (1933-1960).</w:t>
      </w:r>
      <w:r>
        <w:rPr>
          <w:rFonts w:ascii="EB Garamond" w:hAnsi="EB Garamond" w:cs="EB Garamond"/>
          <w:b w:val="0"/>
          <w:i w:val="0"/>
          <w:color w:val="201B16"/>
          <w:sz w:val="21"/>
          <w:lang w:val="pt-BR" w:bidi="ar-SA"/>
          <w:kern w:val="16"/>
          <w14:ligatures w14:val="standardContextual"/>
        </w:rPr>
        <w:t xml:space="preserve"> O benefício tem raízes na previdência corporativa dos Institutos de Aposentadoria e Pensões (IAPs). O IAPI (industriários) e o IAPC (comerciários) já previam prestações semelhantes em seus regulamentos, embora sem a denominação atual. A proteção destinava-se aos dependentes de associados recolhidos à prisão, como extensão natural do sistema de proteção familiar que caracterizava os IAPs.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Segunda fase: unificação e regulamentação (1960-1988).</w:t>
      </w:r>
      <w:r>
        <w:rPr>
          <w:rFonts w:ascii="EB Garamond" w:hAnsi="EB Garamond" w:cs="EB Garamond"/>
          <w:b w:val="0"/>
          <w:i w:val="0"/>
          <w:color w:val="201B16"/>
          <w:sz w:val="21"/>
          <w:lang w:val="pt-BR" w:bidi="ar-SA"/>
          <w:kern w:val="16"/>
          <w14:ligatures w14:val="standardContextual"/>
        </w:rPr>
        <w:t xml:space="preserve"> A Lei Orgânica da Previdência Social (LOPS — Lei 3.807/1960) unificou e regulamentou o auxílio-reclusão em seu art. 43, estendendo-o a todos os segurados do sistema. O benefício era calculado como a aposentadoria por incapacidade permanente a que o segurado teria direito na data do recolhimento à prisão, e pago integralmente aos dependentes. A CLPS (Decreto 77.077/1976 e, depois, Decreto 89.312/1984) manteve a previsão. Nessa fase, não havia exigência de baixa renda: todo segurado preso gerava direito ao auxílio-reclusão para seus dependentes, independentemente da faixa de renda. Isso significava que até mesmo segurados com remuneração elevada geravam o benefício — situação que alimentou, ao longo dos anos, o debate público sobre a legitimidade do auxílio-reclusão.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Terceira fase: constitucionalização e restrição (1988-2019).</w:t>
      </w:r>
      <w:r>
        <w:rPr>
          <w:rFonts w:ascii="EB Garamond" w:hAnsi="EB Garamond" w:cs="EB Garamond"/>
          <w:b w:val="0"/>
          <w:i w:val="0"/>
          <w:color w:val="201B16"/>
          <w:sz w:val="21"/>
          <w:lang w:val="pt-BR" w:bidi="ar-SA"/>
          <w:kern w:val="16"/>
          <w14:ligatures w14:val="standardContextual"/>
        </w:rPr>
        <w:t xml:space="preserve"> A CF/88 elevou o auxílio-reclusão a direito constitucional (art. 201, IV). A Lei 8.213/91 regulamentou o benefício em seu art. 80. A EC 20/1998 inseriu a restrição aos "dependentes dos segurados de </w:t>
      </w:r>
      <w:r>
        <w:rPr>
          <w:rFonts w:ascii="EB Garamond" w:hAnsi="EB Garamond" w:cs="EB Garamond"/>
          <w:b/>
          <w:i w:val="0"/>
          <w:color w:val="201B16"/>
          <w:sz w:val="21"/>
          <w:lang w:val="pt-BR" w:bidi="ar-SA"/>
          <w:kern w:val="16"/>
          <w14:ligatures w14:val="standardContextual"/>
        </w:rPr>
        <w:t>baixa renda</w:t>
      </w:r>
      <w:r>
        <w:rPr>
          <w:rFonts w:ascii="EB Garamond" w:hAnsi="EB Garamond" w:cs="EB Garamond"/>
          <w:b w:val="0"/>
          <w:i w:val="0"/>
          <w:color w:val="201B16"/>
          <w:sz w:val="21"/>
          <w:lang w:val="pt-BR" w:bidi="ar-SA"/>
          <w:kern w:val="16"/>
          <w14:ligatures w14:val="standardContextual"/>
        </w:rPr>
        <w:t>", inaugurando o debate sobre o critério de aferição e o valor-limite. A Lei 10.666/2003, em seu art. 2º, estabeleceu que o segurado recolhido à prisão mantém a qualidade de segurado durante todo o período de reclusão, independentemente de contribuições, norma fundamental para a operacionalização do benefício. A MP 871/2019 (18/01/2019), convertida na Lei 13.846/2019 (18/06/2019), introduziu a carência de 24 contribuições mensais e restringiu o benefício ao regime fechado, antecipando, no plano infraconstitucional, mudanças que a EC 103 viria a constitucionalizar.</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Quarta fase: reconfiguração radical (MP 871/2019 e EC 103/2019 em diante).</w:t>
      </w:r>
      <w:r>
        <w:rPr>
          <w:rFonts w:ascii="EB Garamond" w:hAnsi="EB Garamond" w:cs="EB Garamond"/>
          <w:b w:val="0"/>
          <w:i w:val="0"/>
          <w:color w:val="201B16"/>
          <w:sz w:val="21"/>
          <w:lang w:val="pt-BR" w:bidi="ar-SA"/>
          <w:kern w:val="16"/>
          <w14:ligatures w14:val="standardContextual"/>
        </w:rPr>
        <w:t xml:space="preserve"> A reformulação do auxílio-reclusão foi implementada em duas etapas sequenciais. A primeira etapa, e a mais restritiva no plano infraconstitucional, foi a MP 871, de 18 de janeiro de 2019 (convertida na Lei 13.846/2019), que alterou substancialmente o art. 80 da Lei 8.213/91: (i) restringiu o benefício ao regime fechado; (ii) substituiu o critério do "último salário de contribuição" pela "média dos 12 últimos salários de contribuição" para aferição de baixa renda; (iii) introduziu a carência inédita de 24 contribuições mensais; (iv) vedou a concessão quando o segurado estiver em gozo de outros benefícios previdenciários (aposentadoria, auxílio por incapacidade temporária, pensão por morte, salário-maternidade); e (v) acrescentou o § 7º, garantindo que o trabalho do preso em regime fechado não cessa o AR.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segunda etapa foi a EC 103/2019, que constitucionalizou parte dessas restrições: o novo § 5º do art. 201 vedou expressamente o regime aberto e limitou o valor a um salário-mínimo. O art. 27 da EC 103 estabeleceu regra de transição: até que lei discipline o benefício, o limite de baixa renda é de R$ 1.364,43 (valor da data de vigência), corrigido anualmente pelos mesmos índices dos benefícios do RGPS, e o valor do AR é calculado na forma da pensão por morte, não podendo exceder 1 SM.</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cronologia precisa dessas alterações é essencial para a prática forense, pois cada norma tem vigência própria e aplica-se a fatos geradores distintos:</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Data</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Evento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Principal alteração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Até 17/01/2019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Regime antigo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Qualquer regime, dispensado de carência (art. 26, I), último salário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18/01/2019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MP 871/2019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Regime fechado, carência 24 contribuições, média 12 meses</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18/06/2019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Lei 13.846/2019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Conversão da MP 871 em lei, consolidando as alterações</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13/11/2019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EC 103/2019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Valor = 1 SM, vedação constitucional do regime aberto</w:t>
            </w: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Checklist: Qual regime jurídico se aplica ao caso concreto?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 [ ] Verificar a </w:t>
            </w:r>
            <w:r>
              <w:rPr>
                <w:rFonts w:ascii="EB Garamond" w:hAnsi="EB Garamond" w:cs="EB Garamond"/>
                <w:b/>
                <w:i w:val="0"/>
                <w:color w:val="201B16"/>
                <w:sz w:val="19"/>
                <w:lang w:val="pt-BR" w:bidi="ar-SA"/>
                <w:kern w:val="16"/>
                <w14:ligatures w14:val="standardContextual"/>
              </w:rPr>
              <w:t>data do recolhimento à prisão</w:t>
            </w:r>
            <w:r>
              <w:rPr>
                <w:rFonts w:ascii="EB Garamond" w:hAnsi="EB Garamond" w:cs="EB Garamond"/>
                <w:b w:val="0"/>
                <w:i w:val="0"/>
                <w:color w:val="201B16"/>
                <w:sz w:val="19"/>
                <w:lang w:val="pt-BR" w:bidi="ar-SA"/>
                <w:kern w:val="16"/>
                <w14:ligatures w14:val="standardContextual"/>
              </w:rPr>
              <w:t xml:space="preserve"> (não a data da sentença ou do trânsito em julgado)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Se anterior a 18/01/2019 → regime antigo pleno (Lei 8.213/91 c/c EC 20/1998, sem carência, qualquer regime)</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Se entre 18/01/2019 e 12/11/2019 → regime intermediário (MP 871/Lei 13.846: carência 24, regime fechado, mas valor proporcional)</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Se a partir de 13/11/2019 → regime novo completo (EC 103/2019: valor = 1 SM, vedação constitucional do aberto)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Verificar se houve soltura e nova prisão (cada recolhimento gera novo fato gerador)</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Atenção à regra de transição: se o segurado já cumpria requisitos antes da EC 103, aplica-se o regime antigo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Prisão provisória anterior à EC 103 com condenação posterior: regime determinado pela data da prisão efetiva</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14.4 Fato gerador: recolhimento à prisão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fato gerador do auxílio-reclusão, conforme a doutrina, é o </w:t>
      </w:r>
      <w:r>
        <w:rPr>
          <w:rFonts w:ascii="EB Garamond" w:hAnsi="EB Garamond" w:cs="EB Garamond"/>
          <w:b/>
          <w:i w:val="0"/>
          <w:color w:val="201B16"/>
          <w:sz w:val="21"/>
          <w:lang w:val="pt-BR" w:bidi="ar-SA"/>
          <w:kern w:val="16"/>
          <w14:ligatures w14:val="standardContextual"/>
        </w:rPr>
        <w:t>efetivo recolhimento do segurado à prisão</w:t>
      </w:r>
      <w:r>
        <w:rPr>
          <w:rFonts w:ascii="EB Garamond" w:hAnsi="EB Garamond" w:cs="EB Garamond"/>
          <w:b w:val="0"/>
          <w:i w:val="0"/>
          <w:color w:val="201B16"/>
          <w:sz w:val="21"/>
          <w:lang w:val="pt-BR" w:bidi="ar-SA"/>
          <w:kern w:val="16"/>
          <w14:ligatures w14:val="standardContextual"/>
        </w:rPr>
        <w:t>, entendido como a privação da liberdade em estabelecimento penal ou equiparado. Não se confunde com a sentença condenatória, com o trânsito em julgado da condenação ou com a expedição do mandado de prisão. O que importa é a privação fática da liberdade do segurado, que o impossibilita de exercer atividade remunerada e de prover o sustento de seus dependentes.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Essa compreensão tem consequências práticas relevantes. Em primeiro lugar, o segurado preso provisoriamente, em flagrante, preventivamente ou temporariamente, gera direito ao auxílio-reclusão, desde que preenchidos os demais requisitos, independentemente de condenação posterior. A prisão provisória é forma legítima de recolhimento à prisão para fins previdenciários. Em segundo lugar, a transferência entre estabelecimentos penais, desde que mantida a condição de preso, não interrompe o benefício. Em terceiro lugar, a prisão em regime aberto, no regime jurídico pós-EC 103, não constitui fato gerador válido, ainda que haja efetivo recolhimento em casa de albergado.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data do recolhimento à prisão é relevante para múltiplos efeitos: (i) determina o regime jurídico aplicável (anterior ou posterior à EC 103/2019); (ii) fixa a data de início do benefício (DIB), quando requerido no prazo de 90 dias; (iii) estabelece o momento de aferição da renda do segurado para fins de enquadramento como "baixa renda"; e (iv) constitui o dies a quo para contagem do prazo de requerimento.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conceito de "recolhimento à prisão" compreende a prisão em sentido amplo: prisão em flagrante, prisão preventiva, prisão temporária, prisão decorrente de sentença condenatória (transitada em julgado ou não), prisão por pronúncia (no rito do Tribunal do Júri), prisão para execução provisória da pena (nas hipóteses admitidas pelo STF) e prisão civil por inadimplemento voluntário de alimentos (embora esta última seja raramente invocada para fins de auxílio-reclusão).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A distinção entre o fato gerador (recolhimento) e a causa da prisão (natureza penal, civil, provisória ou definitiva) é relevante para uma compreensão adequada do instituto. O direito previdenciário preocupa-se com o </w:t>
      </w:r>
      <w:r>
        <w:rPr>
          <w:rFonts w:ascii="EB Garamond" w:hAnsi="EB Garamond" w:cs="EB Garamond"/>
          <w:b/>
          <w:i w:val="0"/>
          <w:color w:val="201B16"/>
          <w:sz w:val="21"/>
          <w:lang w:val="pt-BR" w:bidi="ar-SA"/>
          <w:kern w:val="16"/>
          <w14:ligatures w14:val="standardContextual"/>
        </w:rPr>
        <w:t>efeito</w:t>
      </w:r>
      <w:r>
        <w:rPr>
          <w:rFonts w:ascii="EB Garamond" w:hAnsi="EB Garamond" w:cs="EB Garamond"/>
          <w:b w:val="0"/>
          <w:i w:val="0"/>
          <w:color w:val="201B16"/>
          <w:sz w:val="21"/>
          <w:lang w:val="pt-BR" w:bidi="ar-SA"/>
          <w:kern w:val="16"/>
          <w14:ligatures w14:val="standardContextual"/>
        </w:rPr>
        <w:t xml:space="preserve"> da prisão sobre a capacidade de sustento da família — a privação fática da liberdade e, consequentemente, da possibilidade de auferir renda. A causa jurídica da prisão é indiferente: o segurado pode estar preso por tráfico de drogas, homicídio, furto, dívida alimentar ou prisão civil — em qualquer hipótese, desde que efetivamente recolhido, o fato gerador está configurado. Eventuais juízos morais sobre a gravidade do delito ou a personalidade do preso não interferem na análise previdenciária, que é exclusivamente técnico-jurídica.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Essa neutralidade axiológica é, aliás, um dos aspectos mais criticados do auxílio-reclusão no debate público. O senso comum frequentemente confunde proteção ao dependente com recompensa ao preso, gerando resistência social ao benefício. Compete ao operador do Direito desmistificar essa percepção: o auxílio-reclusão protege crianças, mulheres e idosos que perderam sua fonte de sustento, não o agente do delito.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Recolhimento efetivo ≠ condenação transitada em julgado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 xml:space="preserve">O INSS historicamente exigia certidão de sentença condenatória transitada em julgado para concessão do auxílio-reclusão. Essa exigência é </w:t>
            </w:r>
            <w:r>
              <w:rPr>
                <w:rFonts w:ascii="EB Garamond" w:hAnsi="EB Garamond" w:cs="EB Garamond"/>
                <w:b/>
                <w:i w:val="0"/>
                <w:color w:val="201B16"/>
                <w:sz w:val="19"/>
                <w:lang w:val="pt-BR" w:bidi="ar-SA"/>
                <w:kern w:val="16"/>
                <w14:ligatures w14:val="standardContextual"/>
              </w:rPr>
              <w:t>ilegal</w:t>
            </w:r>
            <w:r>
              <w:rPr>
                <w:rFonts w:ascii="EB Garamond" w:hAnsi="EB Garamond" w:cs="EB Garamond"/>
                <w:b w:val="0"/>
                <w:i w:val="0"/>
                <w:color w:val="201B16"/>
                <w:sz w:val="19"/>
                <w:lang w:val="pt-BR" w:bidi="ar-SA"/>
                <w:kern w:val="16"/>
                <w14:ligatures w14:val="standardContextual"/>
              </w:rPr>
              <w:t xml:space="preserve"> e </w:t>
            </w:r>
            <w:r>
              <w:rPr>
                <w:rFonts w:ascii="EB Garamond" w:hAnsi="EB Garamond" w:cs="EB Garamond"/>
                <w:b/>
                <w:i w:val="0"/>
                <w:color w:val="201B16"/>
                <w:sz w:val="19"/>
                <w:lang w:val="pt-BR" w:bidi="ar-SA"/>
                <w:kern w:val="16"/>
                <w14:ligatures w14:val="standardContextual"/>
              </w:rPr>
              <w:t>inconstitucional</w:t>
            </w:r>
            <w:r>
              <w:rPr>
                <w:rFonts w:ascii="EB Garamond" w:hAnsi="EB Garamond" w:cs="EB Garamond"/>
                <w:b w:val="0"/>
                <w:i w:val="0"/>
                <w:color w:val="201B16"/>
                <w:sz w:val="19"/>
                <w:lang w:val="pt-BR" w:bidi="ar-SA"/>
                <w:kern w:val="16"/>
                <w14:ligatures w14:val="standardContextual"/>
              </w:rPr>
              <w:t>:</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O art. 80 da Lei 8.213/91 refere-se a "segurado recolhido à prisão", não a "segurado condenado"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A jurisprudência é pacífica: prisão provisória gera direito ao benefício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 O documento comprobatório é a </w:t>
            </w:r>
            <w:r>
              <w:rPr>
                <w:rFonts w:ascii="EB Garamond" w:hAnsi="EB Garamond" w:cs="EB Garamond"/>
                <w:b/>
                <w:i w:val="0"/>
                <w:color w:val="201B16"/>
                <w:sz w:val="19"/>
                <w:lang w:val="pt-BR" w:bidi="ar-SA"/>
                <w:kern w:val="16"/>
                <w14:ligatures w14:val="standardContextual"/>
              </w:rPr>
              <w:t>certidão de recolhimento à prisão</w:t>
            </w:r>
            <w:r>
              <w:rPr>
                <w:rFonts w:ascii="EB Garamond" w:hAnsi="EB Garamond" w:cs="EB Garamond"/>
                <w:b w:val="0"/>
                <w:i w:val="0"/>
                <w:color w:val="201B16"/>
                <w:sz w:val="19"/>
                <w:lang w:val="pt-BR" w:bidi="ar-SA"/>
                <w:kern w:val="16"/>
                <w14:ligatures w14:val="standardContextual"/>
              </w:rPr>
              <w:t xml:space="preserve"> (ou atestado do estabelecimento penal), não a certidão de trânsito em julgado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O INSS foi instado a corrigir esse entendimento por diversas decisões judiciais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IN INSS 128/2022 (atualizada): reconhece expressamente o direito em caso de prisão provisória</w:t>
            </w:r>
          </w:p>
          <w:p>
            <w:pPr>
              <w:spacing w:before="0" w:after="60" w:line="247" w:lineRule="auto"/>
              <w:jc w:val="both"/>
            </w:pPr>
            <w:r>
              <w:rPr>
                <w:rFonts w:ascii="EB Garamond" w:hAnsi="EB Garamond" w:cs="EB Garamond"/>
                <w:b/>
                <w:i w:val="0"/>
                <w:color w:val="201B16"/>
                <w:sz w:val="19"/>
                <w:lang w:val="pt-BR" w:bidi="ar-SA"/>
                <w:kern w:val="16"/>
                <w14:ligatures w14:val="standardContextual"/>
              </w:rPr>
              <w:t>Orientação prática:</w:t>
            </w:r>
            <w:r>
              <w:rPr>
                <w:rFonts w:ascii="EB Garamond" w:hAnsi="EB Garamond" w:cs="EB Garamond"/>
                <w:b w:val="0"/>
                <w:i w:val="0"/>
                <w:color w:val="201B16"/>
                <w:sz w:val="19"/>
                <w:lang w:val="pt-BR" w:bidi="ar-SA"/>
                <w:kern w:val="16"/>
                <w14:ligatures w14:val="standardContextual"/>
              </w:rPr>
              <w:t xml:space="preserve"> Se o INSS indeferir por falta de sentença transitada, impugne imediatamente com mandado de segurança ou ação no JEF com pedido de tutela antecipada.</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14.5 Qualidade de segurado do preso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manutenção da qualidade de segurado durante a reclusão é assegurada pelo art. 2º da Lei 10.666/2003, que expressamente dispensa contribuições enquanto perdurar o recolhimento à prisão, c/c o art. 15 da Lei 8.213/91 (período de graça após a soltura). O segurado recolhido à prisão mantém a qualidade de segurado durante todo o período de detenção ou reclusão, sem necessidade de contribuições. Sem essa regra, o segurado perderia a qualidade após os prazos ordinários do período de graça, inviabilizando o benefício para seus dependentes em reclusões prolongadas.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Lei 10.666/2003, art. 2º, foi editada justamente para suprir lacuna que gerava injustiça manifesta. Antes dela, o segurado que permanecesse preso por período superior ao de graça (12 ou 24 meses, conforme o caso) perderia a qualidade de segurado, e seus dependentes ficariam desprotegidos exatamente nas situações de reclusão mais prolongada, ou seja, justamente quando a família mais necessitava do benefício.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qualidade de segurado do preso tem peculiaridades que merecem análise detida: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Manutenção automática durante a reclusão.</w:t>
      </w:r>
      <w:r>
        <w:rPr>
          <w:rFonts w:ascii="EB Garamond" w:hAnsi="EB Garamond" w:cs="EB Garamond"/>
          <w:b w:val="0"/>
          <w:i w:val="0"/>
          <w:color w:val="201B16"/>
          <w:sz w:val="21"/>
          <w:lang w:val="pt-BR" w:bidi="ar-SA"/>
          <w:kern w:val="16"/>
          <w14:ligatures w14:val="standardContextual"/>
        </w:rPr>
        <w:t xml:space="preserve"> Enquanto o segurado estiver efetivamente recolhido à prisão, mantém a qualidade de segurado, independentemente de contribuições. Não há prazo máximo. A reclusão por 5, 10 ou 20 anos preserva integralmente a qualidade. Essa regra é imprescindível para a operacionalidade do auxílio-reclusão: sem ela, condenações longas (como as impostas por crimes hediondos, que frequentemente superam 12 anos) tornariam o benefício inviável após o término do período de graça ordinário, penalizando os dependentes justamente nas situações de maior vulnerabilidade prolongada. O fundamento normativo dessa manutenção é dúplice: o art. 2º da Lei 10.666/2003 (que expressamente dispensa contribuições do segurado recolhido à prisão, assegurando manutenção ilimitada durante a reclusão) e o art. 15 da Lei 8.213/91 (que disciplina o período de graça genérico, aplicável após a soltura).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Extensão do período de graça após a soltura.</w:t>
      </w:r>
      <w:r>
        <w:rPr>
          <w:rFonts w:ascii="EB Garamond" w:hAnsi="EB Garamond" w:cs="EB Garamond"/>
          <w:b w:val="0"/>
          <w:i w:val="0"/>
          <w:color w:val="201B16"/>
          <w:sz w:val="21"/>
          <w:lang w:val="pt-BR" w:bidi="ar-SA"/>
          <w:kern w:val="16"/>
          <w14:ligatures w14:val="standardContextual"/>
        </w:rPr>
        <w:t xml:space="preserve"> Quando o segurado é solto, inicia-se o período de graça ordinário do art. 15 da Lei 8.213/91 (12 meses, prorrogáveis para 24 meses se contar com mais de 120 contribuições, e para 36 meses se comprovado desemprego). Esse período é contado a partir da data da soltura, não da data do último recolhimento anterior à prisão. A previsão visa permitir a reinserção social e laboral do egresso.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Facultatividade da contribuição durante a reclusão.</w:t>
      </w:r>
      <w:r>
        <w:rPr>
          <w:rFonts w:ascii="EB Garamond" w:hAnsi="EB Garamond" w:cs="EB Garamond"/>
          <w:b w:val="0"/>
          <w:i w:val="0"/>
          <w:color w:val="201B16"/>
          <w:sz w:val="21"/>
          <w:lang w:val="pt-BR" w:bidi="ar-SA"/>
          <w:kern w:val="16"/>
          <w14:ligatures w14:val="standardContextual"/>
        </w:rPr>
        <w:t xml:space="preserve"> O segurado preso que não esteja vinculado obrigatoriamente ao RGPS pode, se desejar, filiar-se como segurado facultativo durante o período de reclusão (art. 13 da Lei 8.213/91, que define o facultativo, regulamentado pelo art. 11, § 1º, e pelo art. 116, § 3º, do Decreto 3.048/99 — este último cuida especificamente do recolhido à prisão que não exerça atividade remunerada). Cumpre, todavia, demarcar com precisão o alcance dessas contribuições: elas relevam para a contagem de tempo de contribuição e para a carência de </w:t>
      </w:r>
      <w:r>
        <w:rPr>
          <w:rFonts w:ascii="EB Garamond" w:hAnsi="EB Garamond" w:cs="EB Garamond"/>
          <w:b/>
          <w:i w:val="0"/>
          <w:color w:val="201B16"/>
          <w:sz w:val="21"/>
          <w:lang w:val="pt-BR" w:bidi="ar-SA"/>
          <w:kern w:val="16"/>
          <w14:ligatures w14:val="standardContextual"/>
        </w:rPr>
        <w:t>benefícios futuros</w:t>
      </w:r>
      <w:r>
        <w:rPr>
          <w:rFonts w:ascii="EB Garamond" w:hAnsi="EB Garamond" w:cs="EB Garamond"/>
          <w:b w:val="0"/>
          <w:i w:val="0"/>
          <w:color w:val="201B16"/>
          <w:sz w:val="21"/>
          <w:lang w:val="pt-BR" w:bidi="ar-SA"/>
          <w:kern w:val="16"/>
          <w14:ligatures w14:val="standardContextual"/>
        </w:rPr>
        <w:t xml:space="preserve"> (inclusive de eventual novo auxílio-reclusão decorrente de novo fato gerador), mas </w:t>
      </w:r>
      <w:r>
        <w:rPr>
          <w:rFonts w:ascii="EB Garamond" w:hAnsi="EB Garamond" w:cs="EB Garamond"/>
          <w:b/>
          <w:i w:val="0"/>
          <w:color w:val="201B16"/>
          <w:sz w:val="21"/>
          <w:lang w:val="pt-BR" w:bidi="ar-SA"/>
          <w:kern w:val="16"/>
          <w14:ligatures w14:val="standardContextual"/>
        </w:rPr>
        <w:t>não</w:t>
      </w:r>
      <w:r>
        <w:rPr>
          <w:rFonts w:ascii="EB Garamond" w:hAnsi="EB Garamond" w:cs="EB Garamond"/>
          <w:b w:val="0"/>
          <w:i w:val="0"/>
          <w:color w:val="201B16"/>
          <w:sz w:val="21"/>
          <w:lang w:val="pt-BR" w:bidi="ar-SA"/>
          <w:kern w:val="16"/>
          <w14:ligatures w14:val="standardContextual"/>
        </w:rPr>
        <w:t xml:space="preserve"> servem para compor a carência do auxílio-reclusão já deflagrado pela prisão em curso. Como se demonstra na seção 14.8, a posição majoritária exige que a carência esteja integralmente cumprida na data do fato gerador (recolhimento à prisão), de modo que contribuições vertidas após esse marco não retroagem para suprir carência inexistente quando do encarceramento. A contribuição como facultativo durante a reclusão, contudo, é rara na prática, considerando que a maioria dos segurados presos é de baixa renda e não dispõe de recursos para efetuar recolhimentos.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Qualidade de segurado pré-prisão.</w:t>
      </w:r>
      <w:r>
        <w:rPr>
          <w:rFonts w:ascii="EB Garamond" w:hAnsi="EB Garamond" w:cs="EB Garamond"/>
          <w:b w:val="0"/>
          <w:i w:val="0"/>
          <w:color w:val="201B16"/>
          <w:sz w:val="21"/>
          <w:lang w:val="pt-BR" w:bidi="ar-SA"/>
          <w:kern w:val="16"/>
          <w14:ligatures w14:val="standardContextual"/>
        </w:rPr>
        <w:t xml:space="preserve"> Questão delicada surge quando o segurado é recolhido à prisão já sem qualidade de segurado, isto é, quando a prisão ocorre após o término do período de graça. Nessa hipótese, não há direito ao auxílio-reclusão, pois o fato gerador (recolhimento à prisão) encontra o segurado sem cobertura previdenciária. O INSS deve verificar a qualidade de segurado na data do efetivo recolhimento.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Período de graça do preso — fluxo de verificação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Passo 1:</w:t>
            </w:r>
            <w:r>
              <w:rPr>
                <w:rFonts w:ascii="EB Garamond" w:hAnsi="EB Garamond" w:cs="EB Garamond"/>
                <w:b w:val="0"/>
                <w:i w:val="0"/>
                <w:color w:val="201B16"/>
                <w:sz w:val="19"/>
                <w:lang w:val="pt-BR" w:bidi="ar-SA"/>
                <w:kern w:val="16"/>
                <w14:ligatures w14:val="standardContextual"/>
              </w:rPr>
              <w:t xml:space="preserve"> Identificar a última contribuição ou atividade remunerada antes da prisão </w:t>
            </w:r>
            <w:r>
              <w:rPr>
                <w:rFonts w:ascii="EB Garamond" w:hAnsi="EB Garamond" w:cs="EB Garamond"/>
                <w:b/>
                <w:i w:val="0"/>
                <w:color w:val="201B16"/>
                <w:sz w:val="19"/>
                <w:lang w:val="pt-BR" w:bidi="ar-SA"/>
                <w:kern w:val="16"/>
                <w14:ligatures w14:val="standardContextual"/>
              </w:rPr>
              <w:t>Passo 2:</w:t>
            </w:r>
            <w:r>
              <w:rPr>
                <w:rFonts w:ascii="EB Garamond" w:hAnsi="EB Garamond" w:cs="EB Garamond"/>
                <w:b w:val="0"/>
                <w:i w:val="0"/>
                <w:color w:val="201B16"/>
                <w:sz w:val="19"/>
                <w:lang w:val="pt-BR" w:bidi="ar-SA"/>
                <w:kern w:val="16"/>
                <w14:ligatures w14:val="standardContextual"/>
              </w:rPr>
              <w:t xml:space="preserve"> Calcular o período de graça aplicável (12, 24 ou 36 meses — art. 15, Lei 8.213) </w:t>
            </w:r>
            <w:r>
              <w:rPr>
                <w:rFonts w:ascii="EB Garamond" w:hAnsi="EB Garamond" w:cs="EB Garamond"/>
                <w:b/>
                <w:i w:val="0"/>
                <w:color w:val="201B16"/>
                <w:sz w:val="19"/>
                <w:lang w:val="pt-BR" w:bidi="ar-SA"/>
                <w:kern w:val="16"/>
                <w14:ligatures w14:val="standardContextual"/>
              </w:rPr>
              <w:t>Passo 3:</w:t>
            </w:r>
            <w:r>
              <w:rPr>
                <w:rFonts w:ascii="EB Garamond" w:hAnsi="EB Garamond" w:cs="EB Garamond"/>
                <w:b w:val="0"/>
                <w:i w:val="0"/>
                <w:color w:val="201B16"/>
                <w:sz w:val="19"/>
                <w:lang w:val="pt-BR" w:bidi="ar-SA"/>
                <w:kern w:val="16"/>
                <w14:ligatures w14:val="standardContextual"/>
              </w:rPr>
              <w:t xml:space="preserve"> Verificar se o recolhimento à prisão ocorreu dentro do período de graça - Se SIM → qualidade mantida → verificar demais requisitos do AR - Se NÃO → perda da qualidade → AR indeferido</w:t>
            </w:r>
          </w:p>
          <w:p>
            <w:pPr>
              <w:spacing w:before="0" w:after="60" w:line="247" w:lineRule="auto"/>
              <w:jc w:val="both"/>
            </w:pPr>
            <w:r>
              <w:rPr>
                <w:rFonts w:ascii="EB Garamond" w:hAnsi="EB Garamond" w:cs="EB Garamond"/>
                <w:b/>
                <w:i w:val="0"/>
                <w:color w:val="201B16"/>
                <w:sz w:val="19"/>
                <w:lang w:val="pt-BR" w:bidi="ar-SA"/>
                <w:kern w:val="16"/>
                <w14:ligatures w14:val="standardContextual"/>
              </w:rPr>
              <w:t>Passo 4:</w:t>
            </w:r>
            <w:r>
              <w:rPr>
                <w:rFonts w:ascii="EB Garamond" w:hAnsi="EB Garamond" w:cs="EB Garamond"/>
                <w:b w:val="0"/>
                <w:i w:val="0"/>
                <w:color w:val="201B16"/>
                <w:sz w:val="19"/>
                <w:lang w:val="pt-BR" w:bidi="ar-SA"/>
                <w:kern w:val="16"/>
                <w14:ligatures w14:val="standardContextual"/>
              </w:rPr>
              <w:t xml:space="preserve"> Se o segurado contribuiu como facultativo durante a reclusão: - Essas contribuições contam para benefícios futuros e para eventual novo fato gerador, </w:t>
            </w:r>
            <w:r>
              <w:rPr>
                <w:rFonts w:ascii="EB Garamond" w:hAnsi="EB Garamond" w:cs="EB Garamond"/>
                <w:b/>
                <w:i w:val="0"/>
                <w:color w:val="201B16"/>
                <w:sz w:val="19"/>
                <w:lang w:val="pt-BR" w:bidi="ar-SA"/>
                <w:kern w:val="16"/>
                <w14:ligatures w14:val="standardContextual"/>
              </w:rPr>
              <w:t>não</w:t>
            </w:r>
            <w:r>
              <w:rPr>
                <w:rFonts w:ascii="EB Garamond" w:hAnsi="EB Garamond" w:cs="EB Garamond"/>
                <w:b w:val="0"/>
                <w:i w:val="0"/>
                <w:color w:val="201B16"/>
                <w:sz w:val="19"/>
                <w:lang w:val="pt-BR" w:bidi="ar-SA"/>
                <w:kern w:val="16"/>
                <w14:ligatures w14:val="standardContextual"/>
              </w:rPr>
              <w:t xml:space="preserve"> para a carência do AR já deflagrado - Se atingiu 24 contribuições durante a reclusão, cumprirá a carência retroativamente? </w:t>
            </w:r>
            <w:r>
              <w:rPr>
                <w:rFonts w:ascii="EB Garamond" w:hAnsi="EB Garamond" w:cs="EB Garamond"/>
                <w:b/>
                <w:i w:val="0"/>
                <w:color w:val="201B16"/>
                <w:sz w:val="19"/>
                <w:lang w:val="pt-BR" w:bidi="ar-SA"/>
                <w:kern w:val="16"/>
                <w14:ligatures w14:val="standardContextual"/>
              </w:rPr>
              <w:t>Controvérsia</w:t>
            </w:r>
            <w:r>
              <w:rPr>
                <w:rFonts w:ascii="EB Garamond" w:hAnsi="EB Garamond" w:cs="EB Garamond"/>
                <w:b w:val="0"/>
                <w:i w:val="0"/>
                <w:color w:val="201B16"/>
                <w:sz w:val="19"/>
                <w:lang w:val="pt-BR" w:bidi="ar-SA"/>
                <w:kern w:val="16"/>
                <w14:ligatures w14:val="standardContextual"/>
              </w:rPr>
              <w:t>, posição majoritária: a carência deve estar cumprida na data do recolhimento (contribuições posteriores não retroagem)</w:t>
            </w:r>
          </w:p>
          <w:p>
            <w:pPr>
              <w:spacing w:before="0" w:after="60" w:line="247" w:lineRule="auto"/>
              <w:jc w:val="both"/>
            </w:pPr>
            <w:r>
              <w:rPr>
                <w:rFonts w:ascii="EB Garamond" w:hAnsi="EB Garamond" w:cs="EB Garamond"/>
                <w:b/>
                <w:i w:val="0"/>
                <w:color w:val="201B16"/>
                <w:sz w:val="19"/>
                <w:lang w:val="pt-BR" w:bidi="ar-SA"/>
                <w:kern w:val="16"/>
                <w14:ligatures w14:val="standardContextual"/>
              </w:rPr>
              <w:t>Passo 5:</w:t>
            </w:r>
            <w:r>
              <w:rPr>
                <w:rFonts w:ascii="EB Garamond" w:hAnsi="EB Garamond" w:cs="EB Garamond"/>
                <w:b w:val="0"/>
                <w:i w:val="0"/>
                <w:color w:val="201B16"/>
                <w:sz w:val="19"/>
                <w:lang w:val="pt-BR" w:bidi="ar-SA"/>
                <w:kern w:val="16"/>
                <w14:ligatures w14:val="standardContextual"/>
              </w:rPr>
              <w:t xml:space="preserve"> Período de graça pós-soltura: - 12 meses a partir da soltura (regra geral) - Prorrogável por +12 meses se &gt;120 contribuições - Prorrogável por +12 meses se comprovar desemprego - Relevante para: novo recolhimento à prisão dentro do período de graça</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14.6 Critério de baixa renda — regime Pré-EC 103</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critério de baixa renda é, historicamente, o aspecto mais litigioso do auxílio-reclusão. Desde a EC 20/1998, o benefício é restrito aos dependentes dos segurados de "baixa renda", mas a Constituição não definiu o conceito, delegando-o à legislação infraconstitucional. O resultado foi décadas de controvérsias judiciais sobre dois pontos centrais: (i) quem deve ser o sujeito da aferição de renda, o segurado ou os dependentes; e (ii) qual o parâmetro numérico que define "baixa renda".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O sujeito da aferição: segurado vs. Dependentes.</w:t>
      </w:r>
      <w:r>
        <w:rPr>
          <w:rFonts w:ascii="EB Garamond" w:hAnsi="EB Garamond" w:cs="EB Garamond"/>
          <w:b w:val="0"/>
          <w:i w:val="0"/>
          <w:color w:val="201B16"/>
          <w:sz w:val="21"/>
          <w:lang w:val="pt-BR" w:bidi="ar-SA"/>
          <w:kern w:val="16"/>
          <w14:ligatures w14:val="standardContextual"/>
        </w:rPr>
        <w:t xml:space="preserve"> O STF, no julgamento do RE 587.365 (Tema 89), pacificou definitivamente a questão: a renda a ser aferida para fins de enquadramento como "baixa renda" é a </w:t>
      </w:r>
      <w:r>
        <w:rPr>
          <w:rFonts w:ascii="EB Garamond" w:hAnsi="EB Garamond" w:cs="EB Garamond"/>
          <w:b/>
          <w:i w:val="0"/>
          <w:color w:val="201B16"/>
          <w:sz w:val="21"/>
          <w:lang w:val="pt-BR" w:bidi="ar-SA"/>
          <w:kern w:val="16"/>
          <w14:ligatures w14:val="standardContextual"/>
        </w:rPr>
        <w:t>do segurado</w:t>
      </w:r>
      <w:r>
        <w:rPr>
          <w:rFonts w:ascii="EB Garamond" w:hAnsi="EB Garamond" w:cs="EB Garamond"/>
          <w:b w:val="0"/>
          <w:i w:val="0"/>
          <w:color w:val="201B16"/>
          <w:sz w:val="21"/>
          <w:lang w:val="pt-BR" w:bidi="ar-SA"/>
          <w:kern w:val="16"/>
          <w14:ligatures w14:val="standardContextual"/>
        </w:rPr>
        <w:t>, não a dos dependentes. O fundamento é textual, o art. 201, IV, refere-se a "segurados de baixa renda", e teleológico: se a renda dos dependentes fosse o critério, o benefício só seria devido quando os dependentes já estivessem em situação de miserabilidade, subvertendo a lógica protetiva de substituição de renda.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Essa definição tem consequência prática importante: se o segurado recebia remuneração dentro do limite de baixa renda, o benefício é devido mesmo que os dependentes tenham outras fontes de renda. Inversamente, se o segurado recebia acima do limite, o benefício é indevido mesmo que os dependentes se encontrem em situação de extrema vulnerabilidade.</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O momento da aferição.</w:t>
      </w:r>
      <w:r>
        <w:rPr>
          <w:rFonts w:ascii="EB Garamond" w:hAnsi="EB Garamond" w:cs="EB Garamond"/>
          <w:b w:val="0"/>
          <w:i w:val="0"/>
          <w:color w:val="201B16"/>
          <w:sz w:val="21"/>
          <w:lang w:val="pt-BR" w:bidi="ar-SA"/>
          <w:kern w:val="16"/>
          <w14:ligatures w14:val="standardContextual"/>
        </w:rPr>
        <w:t xml:space="preserve"> O STJ enfrentou essa questão no Tema 896 (REsp 1.485.417/MS), mas a tese sofreu importante delimitação temporal. Na redação reafirmada pela 1ª Seção em julho de 2021 (revisão julgada nos REsp 1.842.985/PR e 1.842.974/PR), ficou assentado que a tese se aplica </w:t>
      </w:r>
      <w:r>
        <w:rPr>
          <w:rFonts w:ascii="EB Garamond" w:hAnsi="EB Garamond" w:cs="EB Garamond"/>
          <w:b/>
          <w:i w:val="0"/>
          <w:color w:val="201B16"/>
          <w:sz w:val="21"/>
          <w:lang w:val="pt-BR" w:bidi="ar-SA"/>
          <w:kern w:val="16"/>
          <w14:ligatures w14:val="standardContextual"/>
        </w:rPr>
        <w:t>ao regime anterior à vigência da MP 871/2019</w:t>
      </w:r>
      <w:r>
        <w:rPr>
          <w:rFonts w:ascii="EB Garamond" w:hAnsi="EB Garamond" w:cs="EB Garamond"/>
          <w:b w:val="0"/>
          <w:i w:val="0"/>
          <w:color w:val="201B16"/>
          <w:sz w:val="21"/>
          <w:lang w:val="pt-BR" w:bidi="ar-SA"/>
          <w:kern w:val="16"/>
          <w14:ligatures w14:val="standardContextual"/>
        </w:rPr>
        <w:t xml:space="preserve"> (antes de 18/01/2019). Para prisões anteriores a essa data, o critério de aferição do segurado desempregado era a </w:t>
      </w:r>
      <w:r>
        <w:rPr>
          <w:rFonts w:ascii="EB Garamond" w:hAnsi="EB Garamond" w:cs="EB Garamond"/>
          <w:b/>
          <w:i w:val="0"/>
          <w:color w:val="201B16"/>
          <w:sz w:val="21"/>
          <w:lang w:val="pt-BR" w:bidi="ar-SA"/>
          <w:kern w:val="16"/>
          <w14:ligatures w14:val="standardContextual"/>
        </w:rPr>
        <w:t>ausência de renda</w:t>
      </w:r>
      <w:r>
        <w:rPr>
          <w:rFonts w:ascii="EB Garamond" w:hAnsi="EB Garamond" w:cs="EB Garamond"/>
          <w:b w:val="0"/>
          <w:i w:val="0"/>
          <w:color w:val="201B16"/>
          <w:sz w:val="21"/>
          <w:lang w:val="pt-BR" w:bidi="ar-SA"/>
          <w:kern w:val="16"/>
          <w14:ligatures w14:val="standardContextual"/>
        </w:rPr>
        <w:t xml:space="preserve"> no momento da prisão (renda zero), e não o último salário de contribuição. Para prisões a partir de 18/01/2019, aplica-se o novo critério: </w:t>
      </w:r>
      <w:r>
        <w:rPr>
          <w:rFonts w:ascii="EB Garamond" w:hAnsi="EB Garamond" w:cs="EB Garamond"/>
          <w:b/>
          <w:i w:val="0"/>
          <w:color w:val="201B16"/>
          <w:sz w:val="21"/>
          <w:lang w:val="pt-BR" w:bidi="ar-SA"/>
          <w:kern w:val="16"/>
          <w14:ligatures w14:val="standardContextual"/>
        </w:rPr>
        <w:t>média dos salários de contribuição dos 12 meses anteriores ao recolhimento</w:t>
      </w:r>
      <w:r>
        <w:rPr>
          <w:rFonts w:ascii="EB Garamond" w:hAnsi="EB Garamond" w:cs="EB Garamond"/>
          <w:b w:val="0"/>
          <w:i w:val="0"/>
          <w:color w:val="201B16"/>
          <w:sz w:val="21"/>
          <w:lang w:val="pt-BR" w:bidi="ar-SA"/>
          <w:kern w:val="16"/>
          <w14:ligatures w14:val="standardContextual"/>
        </w:rPr>
        <w:t xml:space="preserve"> (art. 80, § 4º, Lei 8.213/91, com a redação da Lei 13.846/2019).</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O parâmetro numérico.</w:t>
      </w:r>
      <w:r>
        <w:rPr>
          <w:rFonts w:ascii="EB Garamond" w:hAnsi="EB Garamond" w:cs="EB Garamond"/>
          <w:b w:val="0"/>
          <w:i w:val="0"/>
          <w:color w:val="201B16"/>
          <w:sz w:val="21"/>
          <w:lang w:val="pt-BR" w:bidi="ar-SA"/>
          <w:kern w:val="16"/>
          <w14:ligatures w14:val="standardContextual"/>
        </w:rPr>
        <w:t xml:space="preserve"> No regime pré-EC 103, o limite de baixa renda era fixado por portaria interministerial, reajustado anualmente. O valor era vinculado ao último salário de contribuição do segurado. Na data de entrada em vigor da EC 103/2019, o limite fixado pela regra de transição (art. 27) era de R$ 1.364,43.</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STJ — Tema 896: Aferição de baixa renda do segurado desempregado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 xml:space="preserve">Tese reafirmada pela 1ª Seção (julho/2021): "Para a concessão de auxílio-reclusão (art. 80 da Lei 8.213/1991) </w:t>
            </w:r>
            <w:r>
              <w:rPr>
                <w:rFonts w:ascii="EB Garamond" w:hAnsi="EB Garamond" w:cs="EB Garamond"/>
                <w:b/>
                <w:i w:val="0"/>
                <w:color w:val="201B16"/>
                <w:sz w:val="19"/>
                <w:lang w:val="pt-BR" w:bidi="ar-SA"/>
                <w:kern w:val="16"/>
                <w14:ligatures w14:val="standardContextual"/>
              </w:rPr>
              <w:t>no regime anterior à vigência da MP 871/2019</w:t>
            </w:r>
            <w:r>
              <w:rPr>
                <w:rFonts w:ascii="EB Garamond" w:hAnsi="EB Garamond" w:cs="EB Garamond"/>
                <w:b w:val="0"/>
                <w:i w:val="0"/>
                <w:color w:val="201B16"/>
                <w:sz w:val="19"/>
                <w:lang w:val="pt-BR" w:bidi="ar-SA"/>
                <w:kern w:val="16"/>
                <w14:ligatures w14:val="standardContextual"/>
              </w:rPr>
              <w:t xml:space="preserve">, o critério de aferição de renda do segurado que não exerce atividade laboral remunerada no momento do recolhimento à prisão é a </w:t>
            </w:r>
            <w:r>
              <w:rPr>
                <w:rFonts w:ascii="EB Garamond" w:hAnsi="EB Garamond" w:cs="EB Garamond"/>
                <w:b/>
                <w:i w:val="0"/>
                <w:color w:val="201B16"/>
                <w:sz w:val="19"/>
                <w:lang w:val="pt-BR" w:bidi="ar-SA"/>
                <w:kern w:val="16"/>
                <w14:ligatures w14:val="standardContextual"/>
              </w:rPr>
              <w:t>ausência de renda</w:t>
            </w:r>
            <w:r>
              <w:rPr>
                <w:rFonts w:ascii="EB Garamond" w:hAnsi="EB Garamond" w:cs="EB Garamond"/>
                <w:b w:val="0"/>
                <w:i w:val="0"/>
                <w:color w:val="201B16"/>
                <w:sz w:val="19"/>
                <w:lang w:val="pt-BR" w:bidi="ar-SA"/>
                <w:kern w:val="16"/>
                <w14:ligatures w14:val="standardContextual"/>
              </w:rPr>
              <w:t>, e não o último salário de contribuição."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Aplicação temporal:</w:t>
            </w:r>
            <w:r>
              <w:rPr>
                <w:rFonts w:ascii="EB Garamond" w:hAnsi="EB Garamond" w:cs="EB Garamond"/>
                <w:b w:val="0"/>
                <w:i w:val="0"/>
                <w:color w:val="201B16"/>
                <w:sz w:val="19"/>
                <w:lang w:val="pt-BR" w:bidi="ar-SA"/>
                <w:kern w:val="16"/>
                <w14:ligatures w14:val="standardContextual"/>
              </w:rPr>
              <w:t xml:space="preserve"> - Até 17/01/2019: critério de ausência de renda (segurado desempregado = renda zero = baixa renda) - A partir de 18/01/2019 (MP 871, depois Lei 13.846/2019): critério de média dos 12 últimos salários de contribuição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Relevância prática:</w:t>
            </w:r>
            <w:r>
              <w:rPr>
                <w:rFonts w:ascii="EB Garamond" w:hAnsi="EB Garamond" w:cs="EB Garamond"/>
                <w:b w:val="0"/>
                <w:i w:val="0"/>
                <w:color w:val="201B16"/>
                <w:sz w:val="19"/>
                <w:lang w:val="pt-BR" w:bidi="ar-SA"/>
                <w:kern w:val="16"/>
                <w14:ligatures w14:val="standardContextual"/>
              </w:rPr>
              <w:t xml:space="preserve"> - No regime antigo, segurado desempregado = baixa renda presumida - No regime novo, mesmo desempregado, apura-se a média dos 12 meses anteriores - Não se considera renda posterior à prisão (trabalho prisional, por exemplo)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Tese originária: REsp 1.485.417/MS (1ª Seção, DJe 02/08/2018). Revisão/reafirmação: REsp 1.842.985/PR e REsp 1.842.974/PR (1ª Seção, julgados em 24/02/2021, DJe 01/07/2021), que delimitaram a tese ao regime anterior à MP 871/2019. Rel. Min. Herman Benjamin.</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F</w:t>
      </w:r>
    </w:p>
    <w:p>
      <w:pPr>
        <w:spacing w:before="0" w:after="70" w:line="259" w:lineRule="auto"/>
        <w:jc w:val="both"/>
      </w:pPr>
      <w:r>
        <w:rPr>
          <w:rFonts w:ascii="EB Garamond" w:hAnsi="EB Garamond" w:cs="EB Garamond"/>
          <w:b/>
          <w:i w:val="0"/>
          <w:color w:val="201B16"/>
          <w:sz w:val="21"/>
          <w:lang w:val="pt-BR" w:bidi="ar-SA"/>
          <w:kern w:val="16"/>
          <w14:ligatures w14:val="standardContextual"/>
        </w:rPr>
        <w:t>lexibilização do critério de renda.</w:t>
      </w:r>
      <w:r>
        <w:rPr>
          <w:rFonts w:ascii="EB Garamond" w:hAnsi="EB Garamond" w:cs="EB Garamond"/>
          <w:b w:val="0"/>
          <w:i w:val="0"/>
          <w:color w:val="201B16"/>
          <w:sz w:val="21"/>
          <w:lang w:val="pt-BR" w:bidi="ar-SA"/>
          <w:kern w:val="16"/>
          <w14:ligatures w14:val="standardContextual"/>
        </w:rPr>
        <w:t xml:space="preserve"> Para o regime pré-MP 871/2019, o STJ admitiu a flexibilização do critério econômico quando a renda do segurado supera o limite em percentual ínfimo, em solução análoga à que a Corte construiu para a miserabilidade do BPC (Cap. 18). Reservamos o exame detido dessa tese — fixada no Tema 1162/STJ — para a seção 14.7, onde tratamos do critério de baixa renda no regime atual e da fronteira que o repetitivo estabeleceu entre os dois regimes. Adiantamos apenas o essencial para a prática deste tópico: no regime antigo, a margem de flexibilização existe; no regime novo, o teto é, em regra, objetivo e inflexível.</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Segurado sem renda no momento da prisão.</w:t>
      </w:r>
      <w:r>
        <w:rPr>
          <w:rFonts w:ascii="EB Garamond" w:hAnsi="EB Garamond" w:cs="EB Garamond"/>
          <w:b w:val="0"/>
          <w:i w:val="0"/>
          <w:color w:val="201B16"/>
          <w:sz w:val="21"/>
          <w:lang w:val="pt-BR" w:bidi="ar-SA"/>
          <w:kern w:val="16"/>
          <w14:ligatures w14:val="standardContextual"/>
        </w:rPr>
        <w:t xml:space="preserve"> Situação frequentíssima na prática: o segurado está desempregado (mas dentro do período de graça) quando é preso. No regime anterior à MP 871/2019, a jurisprudência consolidou-se no sentido de que a ausência de renda equivale a renda zero, enquadrando-se automaticamente no conceito de "baixa renda" (Tema 896/STJ). No regime posterior, o critério da média dos 12 meses pode excluir o desempregado que tinha renda alta nos meses anteriores à perda do emprego — situação que gera injustiça e que pode ser impugnada judicialmente.</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Armadilha comum: INSS utilizando renda dos dependentes</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Apesar da tese cristalina do STF (Tema 89), o INSS ainda indeferiu milhares de requerimentos com base na renda dos dependentes. Situações recorrentes: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1. Companheira do preso trabalha e recebe acima do limite → INSS indeferiu</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2. Mãe do preso (dependente designada) recebe aposentadoria → INSS indeferiu</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3. Família recebe Bolsa Família/benefícios assistenciais → INSS utilizou como prova de renda</w:t>
            </w:r>
          </w:p>
          <w:p>
            <w:pPr>
              <w:spacing w:before="0" w:after="60" w:line="247" w:lineRule="auto"/>
              <w:jc w:val="both"/>
            </w:pPr>
            <w:r>
              <w:rPr>
                <w:rFonts w:ascii="EB Garamond" w:hAnsi="EB Garamond" w:cs="EB Garamond"/>
                <w:b/>
                <w:i w:val="0"/>
                <w:color w:val="201B16"/>
                <w:sz w:val="19"/>
                <w:lang w:val="pt-BR" w:bidi="ar-SA"/>
                <w:kern w:val="16"/>
                <w14:ligatures w14:val="standardContextual"/>
              </w:rPr>
              <w:t>Todas essas situações são ilegais.</w:t>
            </w:r>
            <w:r>
              <w:rPr>
                <w:rFonts w:ascii="EB Garamond" w:hAnsi="EB Garamond" w:cs="EB Garamond"/>
                <w:b w:val="0"/>
                <w:i w:val="0"/>
                <w:color w:val="201B16"/>
                <w:sz w:val="19"/>
                <w:lang w:val="pt-BR" w:bidi="ar-SA"/>
                <w:kern w:val="16"/>
                <w14:ligatures w14:val="standardContextual"/>
              </w:rPr>
              <w:t xml:space="preserve"> A renda relevante é exclusivamente a do segurado recolhido à prisão. Se necessário, judicialize com fundamento no Tema 89/STF.</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14.7 Critério de baixa renda — regime Pós-EC 103</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C</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om a EC 103/2019, o conceito de "baixa renda" ganhou nova conformação. O art. 27, § 1º, da EC 103 estabeleceu que, até que lei discipline o acesso ao auxílio-reclusão, serão utilizados como critérios de renda os vigentes na data de entrada em vigor da emenda, reajustados pelos mesmos índices aplicados aos benefícios do RGPS. Essa regra de transição manteve a sistemática de fixação do limite por portaria interministerial.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O valor-limite para 2025, fixado pela Portaria Interministerial MPS/MF n. 6/2025, é de </w:t>
      </w:r>
      <w:r>
        <w:rPr>
          <w:rFonts w:ascii="EB Garamond" w:hAnsi="EB Garamond" w:cs="EB Garamond"/>
          <w:b/>
          <w:i w:val="0"/>
          <w:color w:val="201B16"/>
          <w:sz w:val="21"/>
          <w:lang w:val="pt-BR" w:bidi="ar-SA"/>
          <w:kern w:val="16"/>
          <w14:ligatures w14:val="standardContextual"/>
        </w:rPr>
        <w:t>R$ 1.906,04</w:t>
      </w:r>
      <w:r>
        <w:rPr>
          <w:rFonts w:ascii="EB Garamond" w:hAnsi="EB Garamond" w:cs="EB Garamond"/>
          <w:b w:val="0"/>
          <w:i w:val="0"/>
          <w:color w:val="201B16"/>
          <w:sz w:val="21"/>
          <w:lang w:val="pt-BR" w:bidi="ar-SA"/>
          <w:kern w:val="16"/>
          <w14:ligatures w14:val="standardContextual"/>
        </w:rPr>
        <w:t xml:space="preserve"> — montante que, na forma da referência única firmada na seção 14.1, deve ser substituído pelo teto da portaria do exercício para fatos geradores de 2026. Esse valor corresponde ao teto da </w:t>
      </w:r>
      <w:r>
        <w:rPr>
          <w:rFonts w:ascii="EB Garamond" w:hAnsi="EB Garamond" w:cs="EB Garamond"/>
          <w:b/>
          <w:i w:val="0"/>
          <w:color w:val="201B16"/>
          <w:sz w:val="21"/>
          <w:lang w:val="pt-BR" w:bidi="ar-SA"/>
          <w:kern w:val="16"/>
          <w14:ligatures w14:val="standardContextual"/>
        </w:rPr>
        <w:t>média dos salários de contribuição dos 12 meses anteriores ao recolhimento à prisão</w:t>
      </w:r>
      <w:r>
        <w:rPr>
          <w:rFonts w:ascii="EB Garamond" w:hAnsi="EB Garamond" w:cs="EB Garamond"/>
          <w:b w:val="0"/>
          <w:i w:val="0"/>
          <w:color w:val="201B16"/>
          <w:sz w:val="21"/>
          <w:lang w:val="pt-BR" w:bidi="ar-SA"/>
          <w:kern w:val="16"/>
          <w14:ligatures w14:val="standardContextual"/>
        </w:rPr>
        <w:t xml:space="preserve"> para enquadramento como segurado de baixa renda. Note-se a mudança de critério introduzida pela MP 871/2019 (já examinada na seção 14.3): não se utiliza mais o "último salário de contribuição", mas a média aritmética dos 12 últimos salários de contribuição apurados em período não superior a 15 meses.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evolução do limite nos últimos anos demonstra o impacto da política de reajuste:</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Ano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Valor-limite (R$)</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Base normativa</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1.425,56</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Portaria SEPRT 3.659/2020</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2021</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1.503,25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Portaria SEPRT 477/2021</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2022</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1.655,98</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Portaria MTP 12/2022</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2023</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1.754,18</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Portaria MPS 26/2023</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2024</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1.819,26</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Portaria MPS/MF 2/2024</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2025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1.906,04</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Portaria MPS/MF 6/2025</w:t>
            </w: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Verificação prática do enquadramento como baixa renda (2025)</w:t>
            </w:r>
          </w:p>
          <w:p>
            <w:pPr>
              <w:spacing w:before="0" w:after="60" w:line="247" w:lineRule="auto"/>
              <w:jc w:val="both"/>
            </w:pPr>
            <w:r>
              <w:rPr>
                <w:rFonts w:ascii="EB Garamond" w:hAnsi="EB Garamond" w:cs="EB Garamond"/>
                <w:b/>
                <w:i w:val="0"/>
                <w:color w:val="201B16"/>
                <w:sz w:val="19"/>
                <w:lang w:val="pt-BR" w:bidi="ar-SA"/>
                <w:kern w:val="16"/>
                <w14:ligatures w14:val="standardContextual"/>
              </w:rPr>
              <w:t>Limite vigente (2025):</w:t>
            </w:r>
            <w:r>
              <w:rPr>
                <w:rFonts w:ascii="EB Garamond" w:hAnsi="EB Garamond" w:cs="EB Garamond"/>
                <w:b w:val="0"/>
                <w:i w:val="0"/>
                <w:color w:val="201B16"/>
                <w:sz w:val="19"/>
                <w:lang w:val="pt-BR" w:bidi="ar-SA"/>
                <w:kern w:val="16"/>
                <w14:ligatures w14:val="standardContextual"/>
              </w:rPr>
              <w:t xml:space="preserve"> R$ 1.906,04 (média dos 12 últimos salários de contribuição). Para fatos geradores de 2026, aplicar o valor da Portaria MPS/MF do exercício, na forma da referência única da seção 14.1.</w:t>
            </w:r>
          </w:p>
          <w:p>
            <w:pPr>
              <w:spacing w:before="0" w:after="60" w:line="247" w:lineRule="auto"/>
              <w:jc w:val="both"/>
            </w:pPr>
            <w:r>
              <w:rPr>
                <w:rFonts w:ascii="EB Garamond" w:hAnsi="EB Garamond" w:cs="EB Garamond"/>
                <w:b/>
                <w:i w:val="0"/>
                <w:color w:val="201B16"/>
                <w:sz w:val="19"/>
                <w:lang w:val="pt-BR" w:bidi="ar-SA"/>
                <w:kern w:val="16"/>
                <w14:ligatures w14:val="standardContextual"/>
              </w:rPr>
              <w:t>Passo 1:</w:t>
            </w:r>
            <w:r>
              <w:rPr>
                <w:rFonts w:ascii="EB Garamond" w:hAnsi="EB Garamond" w:cs="EB Garamond"/>
                <w:b w:val="0"/>
                <w:i w:val="0"/>
                <w:color w:val="201B16"/>
                <w:sz w:val="19"/>
                <w:lang w:val="pt-BR" w:bidi="ar-SA"/>
                <w:kern w:val="16"/>
                <w14:ligatures w14:val="standardContextual"/>
              </w:rPr>
              <w:t xml:space="preserve"> Apurar a média dos salários de contribuição dos 12 meses anteriores à prisão - Empregado/doméstico/avulso: média dos 12 últimos salários no CNIS - Contribuinte individual: média das 12 últimas contribuições - Segurado especial: 1 SM presumido (R$ 1.621,00 em 2026) → SEMPRE abaixo do limite - Desempregado em período de graça (regime pré-MP 871/2019): renda zero → abaixo do limite - Desempregado em período de graça (regime pós-MP 871/2019): média dos 12 meses antes da perda do emprego - Facultativo: média das 12 últimas contribuições</w:t>
            </w:r>
          </w:p>
          <w:p>
            <w:pPr>
              <w:spacing w:before="0" w:after="60" w:line="247" w:lineRule="auto"/>
              <w:jc w:val="both"/>
            </w:pPr>
            <w:r>
              <w:rPr>
                <w:rFonts w:ascii="EB Garamond" w:hAnsi="EB Garamond" w:cs="EB Garamond"/>
                <w:b/>
                <w:i w:val="0"/>
                <w:color w:val="201B16"/>
                <w:sz w:val="19"/>
                <w:lang w:val="pt-BR" w:bidi="ar-SA"/>
                <w:kern w:val="16"/>
                <w14:ligatures w14:val="standardContextual"/>
              </w:rPr>
              <w:t>Passo 2:</w:t>
            </w:r>
            <w:r>
              <w:rPr>
                <w:rFonts w:ascii="EB Garamond" w:hAnsi="EB Garamond" w:cs="EB Garamond"/>
                <w:b w:val="0"/>
                <w:i w:val="0"/>
                <w:color w:val="201B16"/>
                <w:sz w:val="19"/>
                <w:lang w:val="pt-BR" w:bidi="ar-SA"/>
                <w:kern w:val="16"/>
                <w14:ligatures w14:val="standardContextual"/>
              </w:rPr>
              <w:t xml:space="preserve"> Comparar com o limite vigente na data do recolhimento - Se ≤ limite do exercício (R$ 1.906,04 em 2025) → enquadrado como baixa renda → verificar demais requisitos - Se &gt; limite do exercício → NÃO enquadrado → AR indeferido</w:t>
            </w:r>
          </w:p>
          <w:p>
            <w:pPr>
              <w:spacing w:before="0" w:after="60" w:line="247" w:lineRule="auto"/>
              <w:jc w:val="both"/>
            </w:pPr>
            <w:r>
              <w:rPr>
                <w:rFonts w:ascii="EB Garamond" w:hAnsi="EB Garamond" w:cs="EB Garamond"/>
                <w:b/>
                <w:i w:val="0"/>
                <w:color w:val="201B16"/>
                <w:sz w:val="19"/>
                <w:lang w:val="pt-BR" w:bidi="ar-SA"/>
                <w:kern w:val="16"/>
                <w14:ligatures w14:val="standardContextual"/>
              </w:rPr>
              <w:t>Passo 3:</w:t>
            </w:r>
            <w:r>
              <w:rPr>
                <w:rFonts w:ascii="EB Garamond" w:hAnsi="EB Garamond" w:cs="EB Garamond"/>
                <w:b w:val="0"/>
                <w:i w:val="0"/>
                <w:color w:val="201B16"/>
                <w:sz w:val="19"/>
                <w:lang w:val="pt-BR" w:bidi="ar-SA"/>
                <w:kern w:val="16"/>
                <w14:ligatures w14:val="standardContextual"/>
              </w:rPr>
              <w:t xml:space="preserve"> Situações especiais - Segurado com múltiplos vínculos: somar todas as remunerações de cada mês para calcular a média - Meses sem contribuição dentro dos 15 meses: excluídos do cálculo da média - Segurado com menos de 12 contribuições: média das contribuições existentes</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questão da flexibilização do limite de baixa renda foi enfrentada pelo STJ no </w:t>
      </w:r>
      <w:r>
        <w:rPr>
          <w:rFonts w:ascii="EB Garamond" w:hAnsi="EB Garamond" w:cs="EB Garamond"/>
          <w:b/>
          <w:i w:val="0"/>
          <w:color w:val="201B16"/>
          <w:sz w:val="21"/>
          <w:lang w:val="pt-BR" w:bidi="ar-SA"/>
          <w:kern w:val="16"/>
          <w14:ligatures w14:val="standardContextual"/>
        </w:rPr>
        <w:t>Tema 1162</w:t>
      </w:r>
      <w:r>
        <w:rPr>
          <w:rFonts w:ascii="EB Garamond" w:hAnsi="EB Garamond" w:cs="EB Garamond"/>
          <w:b w:val="0"/>
          <w:i w:val="0"/>
          <w:color w:val="201B16"/>
          <w:sz w:val="21"/>
          <w:lang w:val="pt-BR" w:bidi="ar-SA"/>
          <w:kern w:val="16"/>
          <w14:ligatures w14:val="standardContextual"/>
        </w:rPr>
        <w:t xml:space="preserve"> (leading case REsp 1.958.361, e REsp 1.971.856 e 1.971.857, 1ª Seção). Conforme o registro oficial do repetitivo, a </w:t>
      </w:r>
      <w:r>
        <w:rPr>
          <w:rFonts w:ascii="EB Garamond" w:hAnsi="EB Garamond" w:cs="EB Garamond"/>
          <w:b/>
          <w:i w:val="0"/>
          <w:color w:val="201B16"/>
          <w:sz w:val="21"/>
          <w:lang w:val="pt-BR" w:bidi="ar-SA"/>
          <w:kern w:val="16"/>
          <w14:ligatures w14:val="standardContextual"/>
        </w:rPr>
        <w:t>afetação</w:t>
      </w:r>
      <w:r>
        <w:rPr>
          <w:rFonts w:ascii="EB Garamond" w:hAnsi="EB Garamond" w:cs="EB Garamond"/>
          <w:b w:val="0"/>
          <w:i w:val="0"/>
          <w:color w:val="201B16"/>
          <w:sz w:val="21"/>
          <w:lang w:val="pt-BR" w:bidi="ar-SA"/>
          <w:kern w:val="16"/>
          <w14:ligatures w14:val="standardContextual"/>
        </w:rPr>
        <w:t xml:space="preserve"> coube à relatoria da Min. Assusete Magalhães (ProAfR julgado em 23/08/2022, DJe 01/09/2022); o </w:t>
      </w:r>
      <w:r>
        <w:rPr>
          <w:rFonts w:ascii="EB Garamond" w:hAnsi="EB Garamond" w:cs="EB Garamond"/>
          <w:b/>
          <w:i w:val="0"/>
          <w:color w:val="201B16"/>
          <w:sz w:val="21"/>
          <w:lang w:val="pt-BR" w:bidi="ar-SA"/>
          <w:kern w:val="16"/>
          <w14:ligatures w14:val="standardContextual"/>
        </w:rPr>
        <w:t>acórdão de mérito</w:t>
      </w:r>
      <w:r>
        <w:rPr>
          <w:rFonts w:ascii="EB Garamond" w:hAnsi="EB Garamond" w:cs="EB Garamond"/>
          <w:b w:val="0"/>
          <w:i w:val="0"/>
          <w:color w:val="201B16"/>
          <w:sz w:val="21"/>
          <w:lang w:val="pt-BR" w:bidi="ar-SA"/>
          <w:kern w:val="16"/>
          <w14:ligatures w14:val="standardContextual"/>
        </w:rPr>
        <w:t xml:space="preserve">, contudo, foi relatado pelo Min. Teodoro Silva Santos, com julgamento </w:t>
      </w:r>
      <w:r>
        <w:rPr>
          <w:rFonts w:ascii="EB Garamond" w:hAnsi="EB Garamond" w:cs="EB Garamond"/>
          <w:b/>
          <w:i w:val="0"/>
          <w:color w:val="201B16"/>
          <w:sz w:val="21"/>
          <w:lang w:val="pt-BR" w:bidi="ar-SA"/>
          <w:kern w:val="16"/>
          <w14:ligatures w14:val="standardContextual"/>
        </w:rPr>
        <w:t>concluído em 12/11/2025</w:t>
      </w:r>
      <w:r>
        <w:rPr>
          <w:rFonts w:ascii="EB Garamond" w:hAnsi="EB Garamond" w:cs="EB Garamond"/>
          <w:b w:val="0"/>
          <w:i w:val="0"/>
          <w:color w:val="201B16"/>
          <w:sz w:val="21"/>
          <w:lang w:val="pt-BR" w:bidi="ar-SA"/>
          <w:kern w:val="16"/>
          <w14:ligatures w14:val="standardContextual"/>
        </w:rPr>
        <w:t xml:space="preserve"> pela Primeira Seção e acórdão publicado em 19/11/2025. A sucessão de relatoria entre a fase de afetação e o julgamento de mérito é o que explica a coexistência dos dois nomes nos registros do feito; ao citar o repetitivo, deve-se atribuir o voto condutor ao relator do acórdão (Min. Teodoro Silva Santos). A Seção fixou tese em dois pontos: (i) no regime anterior à MP 871/2019, é possível flexibilizar o critério econômico quando a renda supera o limite em percentual ínfimo; (ii) a partir da MP 871/2019, </w:t>
      </w:r>
      <w:r>
        <w:rPr>
          <w:rFonts w:ascii="EB Garamond" w:hAnsi="EB Garamond" w:cs="EB Garamond"/>
          <w:b/>
          <w:i w:val="0"/>
          <w:color w:val="201B16"/>
          <w:sz w:val="21"/>
          <w:lang w:val="pt-BR" w:bidi="ar-SA"/>
          <w:kern w:val="16"/>
          <w14:ligatures w14:val="standardContextual"/>
        </w:rPr>
        <w:t>não é possível</w:t>
      </w:r>
      <w:r>
        <w:rPr>
          <w:rFonts w:ascii="EB Garamond" w:hAnsi="EB Garamond" w:cs="EB Garamond"/>
          <w:b w:val="0"/>
          <w:i w:val="0"/>
          <w:color w:val="201B16"/>
          <w:sz w:val="21"/>
          <w:lang w:val="pt-BR" w:bidi="ar-SA"/>
          <w:kern w:val="16"/>
          <w14:ligatures w14:val="standardContextual"/>
        </w:rPr>
        <w:t xml:space="preserve"> flexibilizar o teto, exceto se o Executivo deixar de corrigir anualmente o limite. Reputamos a segunda ressalva especialmente relevante e, na prática, subexplorada: a inflexibilidade do teto no regime novo é condicionada à efetiva atualização anual pelo Poder Executivo, de modo que a omissão ou o atraso na edição da portaria reabre, por exceção expressa do próprio repetitivo, espaço para a flexibilização. A tese tem, assim, impacto direto na prática dos JEFs — para prisões anteriores a 18/01/2019, cabe arguir a flexibilização quando a renda excede marginalmente o limite; para prisões posteriores, o parâmetro é objetivo, salvo a hipótese de desatualização administrativa do teto.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14.8 Carência de 24 contribuições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exigência de carência de 24 contribuições mensais para o auxílio-reclusão é inovação introduzida pela MP 871/2019, convertida na Lei 13.846/2019, e constitucionalizada pela EC 103/2019. A carência já vigorava desde 18/01/2019, data da MP 871; a Lei 13.846 consolidou a exigência sem inaugurá-la.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No regime anterior à MP 871/2019, o auxílio-reclusão era expressamente dispensado de carência pelo art. 26, I, da Lei 8.213/91, que incluía o auxílio-reclusão no rol de benefícios independentes de carência, ao lado da pensão por morte. Bastava que o segurado mantivesse a qualidade de segurado na data do recolhimento à prisão.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A nova exigência de 24 contribuições mensais é a mais elevada carência entre os </w:t>
      </w:r>
      <w:r>
        <w:rPr>
          <w:rFonts w:ascii="EB Garamond" w:hAnsi="EB Garamond" w:cs="EB Garamond"/>
          <w:b/>
          <w:i w:val="0"/>
          <w:color w:val="201B16"/>
          <w:sz w:val="21"/>
          <w:lang w:val="pt-BR" w:bidi="ar-SA"/>
          <w:kern w:val="16"/>
          <w14:ligatures w14:val="standardContextual"/>
        </w:rPr>
        <w:t>benefícios de risco</w:t>
      </w:r>
      <w:r>
        <w:rPr>
          <w:rFonts w:ascii="EB Garamond" w:hAnsi="EB Garamond" w:cs="EB Garamond"/>
          <w:b w:val="0"/>
          <w:i w:val="0"/>
          <w:color w:val="201B16"/>
          <w:sz w:val="21"/>
          <w:lang w:val="pt-BR" w:bidi="ar-SA"/>
          <w:kern w:val="16"/>
          <w14:ligatures w14:val="standardContextual"/>
        </w:rPr>
        <w:t xml:space="preserve"> do sistema — aqueles cujo fato gerador é um evento imprevisível e não programável, como a morte, a incapacidade ou, aqui, o encarceramento. O cotejo pertinente não é com a aposentadoria programada (180 contribuições), pois esta pressupõe justamente um percurso contributivo planejado ao longo da vida laboral; comparar as duas em valor absoluto seria equivocado, já que respondem a lógicas distintas. O ponto crítico é outro: dentro da categoria dos benefícios de cobertura de risco — em que o segurado não tem como antecipar o sinistro e ajustar seu histórico contributivo —, o auxílio-reclusão passou a exigir mais do que qualquer outro (a pensão por morte, p. Ex., permanece sem carência para concessão). É nessa desproporção </w:t>
      </w:r>
      <w:r>
        <w:rPr>
          <w:rFonts w:ascii="EB Garamond" w:hAnsi="EB Garamond" w:cs="EB Garamond"/>
          <w:b w:val="0"/>
          <w:i/>
          <w:color w:val="201B16"/>
          <w:sz w:val="21"/>
          <w:lang w:val="pt-BR" w:bidi="ar-SA"/>
          <w:kern w:val="16"/>
          <w14:ligatures w14:val="standardContextual"/>
        </w:rPr>
        <w:t>intracategoria</w:t>
      </w:r>
      <w:r>
        <w:rPr>
          <w:rFonts w:ascii="EB Garamond" w:hAnsi="EB Garamond" w:cs="EB Garamond"/>
          <w:b w:val="0"/>
          <w:i w:val="0"/>
          <w:color w:val="201B16"/>
          <w:sz w:val="21"/>
          <w:lang w:val="pt-BR" w:bidi="ar-SA"/>
          <w:kern w:val="16"/>
          <w14:ligatures w14:val="standardContextual"/>
        </w:rPr>
        <w:t xml:space="preserve"> que reside a fragilidade constitucional da exigência.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 tese de inconstitucionalidade.</w:t>
      </w:r>
      <w:r>
        <w:rPr>
          <w:rFonts w:ascii="EB Garamond" w:hAnsi="EB Garamond" w:cs="EB Garamond"/>
          <w:b w:val="0"/>
          <w:i w:val="0"/>
          <w:color w:val="201B16"/>
          <w:sz w:val="21"/>
          <w:lang w:val="pt-BR" w:bidi="ar-SA"/>
          <w:kern w:val="16"/>
          <w14:ligatures w14:val="standardContextual"/>
        </w:rPr>
        <w:t xml:space="preserve"> O argumento mais robusto contra a carência não é, a nosso ver, formal, mas material: trata-se da </w:t>
      </w:r>
      <w:r>
        <w:rPr>
          <w:rFonts w:ascii="EB Garamond" w:hAnsi="EB Garamond" w:cs="EB Garamond"/>
          <w:b/>
          <w:i w:val="0"/>
          <w:color w:val="201B16"/>
          <w:sz w:val="21"/>
          <w:lang w:val="pt-BR" w:bidi="ar-SA"/>
          <w:kern w:val="16"/>
          <w14:ligatures w14:val="standardContextual"/>
        </w:rPr>
        <w:t>desproporcionalidade entre o requisito e o risco coberto</w:t>
      </w:r>
      <w:r>
        <w:rPr>
          <w:rFonts w:ascii="EB Garamond" w:hAnsi="EB Garamond" w:cs="EB Garamond"/>
          <w:b w:val="0"/>
          <w:i w:val="0"/>
          <w:color w:val="201B16"/>
          <w:sz w:val="21"/>
          <w:lang w:val="pt-BR" w:bidi="ar-SA"/>
          <w:kern w:val="16"/>
          <w14:ligatures w14:val="standardContextual"/>
        </w:rPr>
        <w:t xml:space="preserve">. O encarceramento é evento abrupto e imprevisível, que atinge sobretudo segurados de baixa renda com vínculos informais, intermitentes ou de curta duração — exatamente o perfil que tem maior dificuldade de acumular 24 contribuições contínuas. A exigência opera, nessa medida, como filtro que exclui da proteção justamente quem dela mais necessita, em tensão direta com o princípio da universalidade da cobertura (art. 194, I, CF). A esse núcleo somam-se dois reforços de menor densidade dogmática, mas relevantes: a alegação de </w:t>
      </w:r>
      <w:r>
        <w:rPr>
          <w:rFonts w:ascii="EB Garamond" w:hAnsi="EB Garamond" w:cs="EB Garamond"/>
          <w:b/>
          <w:i w:val="0"/>
          <w:color w:val="201B16"/>
          <w:sz w:val="21"/>
          <w:lang w:val="pt-BR" w:bidi="ar-SA"/>
          <w:kern w:val="16"/>
          <w14:ligatures w14:val="standardContextual"/>
        </w:rPr>
        <w:t>retrocesso social</w:t>
      </w:r>
      <w:r>
        <w:rPr>
          <w:rFonts w:ascii="EB Garamond" w:hAnsi="EB Garamond" w:cs="EB Garamond"/>
          <w:b w:val="0"/>
          <w:i w:val="0"/>
          <w:color w:val="201B16"/>
          <w:sz w:val="21"/>
          <w:lang w:val="pt-BR" w:bidi="ar-SA"/>
          <w:kern w:val="16"/>
          <w14:ligatures w14:val="standardContextual"/>
        </w:rPr>
        <w:t xml:space="preserve">, pois a carência saltou de zero para 24 contribuições sem contrapartida protetiva; e a de </w:t>
      </w:r>
      <w:r>
        <w:rPr>
          <w:rFonts w:ascii="EB Garamond" w:hAnsi="EB Garamond" w:cs="EB Garamond"/>
          <w:b/>
          <w:i w:val="0"/>
          <w:color w:val="201B16"/>
          <w:sz w:val="21"/>
          <w:lang w:val="pt-BR" w:bidi="ar-SA"/>
          <w:kern w:val="16"/>
          <w14:ligatures w14:val="standardContextual"/>
        </w:rPr>
        <w:t>discriminação indireta</w:t>
      </w:r>
      <w:r>
        <w:rPr>
          <w:rFonts w:ascii="EB Garamond" w:hAnsi="EB Garamond" w:cs="EB Garamond"/>
          <w:b w:val="0"/>
          <w:i w:val="0"/>
          <w:color w:val="201B16"/>
          <w:sz w:val="21"/>
          <w:lang w:val="pt-BR" w:bidi="ar-SA"/>
          <w:kern w:val="16"/>
          <w14:ligatures w14:val="standardContextual"/>
        </w:rPr>
        <w:t>, na medida em que o perfil socioeconômico da população carcerária — predominantemente jovem, negra e de baixa escolaridade — sugere impacto desproporcional sobre grupos já marginalizados. Os dois últimos, embora retoricamente fortes, dependem de premissas empíricas e principiológicas que tribunais tendem a examinar com cautela; recomendamos articulá-los como reforço da desproporcionalidade, e não como fundamento autônomo.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 tese de constitucionalidade.</w:t>
      </w:r>
      <w:r>
        <w:rPr>
          <w:rFonts w:ascii="EB Garamond" w:hAnsi="EB Garamond" w:cs="EB Garamond"/>
          <w:b w:val="0"/>
          <w:i w:val="0"/>
          <w:color w:val="201B16"/>
          <w:sz w:val="21"/>
          <w:lang w:val="pt-BR" w:bidi="ar-SA"/>
          <w:kern w:val="16"/>
          <w14:ligatures w14:val="standardContextual"/>
        </w:rPr>
        <w:t xml:space="preserve"> Em sentido contrário, sustenta-se que a fixação de carência se insere na </w:t>
      </w:r>
      <w:r>
        <w:rPr>
          <w:rFonts w:ascii="EB Garamond" w:hAnsi="EB Garamond" w:cs="EB Garamond"/>
          <w:b/>
          <w:i w:val="0"/>
          <w:color w:val="201B16"/>
          <w:sz w:val="21"/>
          <w:lang w:val="pt-BR" w:bidi="ar-SA"/>
          <w:kern w:val="16"/>
          <w14:ligatures w14:val="standardContextual"/>
        </w:rPr>
        <w:t>livre conformação do legislador</w:t>
      </w:r>
      <w:r>
        <w:rPr>
          <w:rFonts w:ascii="EB Garamond" w:hAnsi="EB Garamond" w:cs="EB Garamond"/>
          <w:b w:val="0"/>
          <w:i w:val="0"/>
          <w:color w:val="201B16"/>
          <w:sz w:val="21"/>
          <w:lang w:val="pt-BR" w:bidi="ar-SA"/>
          <w:kern w:val="16"/>
          <w14:ligatures w14:val="standardContextual"/>
        </w:rPr>
        <w:t xml:space="preserve">, a quem a Constituição confiou a definição dos requisitos dos benefícios, dentro de margem de discricionariedade que comportaria os 24 meses. A esse argumento de competência agrega-se o de </w:t>
      </w:r>
      <w:r>
        <w:rPr>
          <w:rFonts w:ascii="EB Garamond" w:hAnsi="EB Garamond" w:cs="EB Garamond"/>
          <w:b/>
          <w:i w:val="0"/>
          <w:color w:val="201B16"/>
          <w:sz w:val="21"/>
          <w:lang w:val="pt-BR" w:bidi="ar-SA"/>
          <w:kern w:val="16"/>
          <w14:ligatures w14:val="standardContextual"/>
        </w:rPr>
        <w:t>equilíbrio atuarial</w:t>
      </w:r>
      <w:r>
        <w:rPr>
          <w:rFonts w:ascii="EB Garamond" w:hAnsi="EB Garamond" w:cs="EB Garamond"/>
          <w:b w:val="0"/>
          <w:i w:val="0"/>
          <w:color w:val="201B16"/>
          <w:sz w:val="21"/>
          <w:lang w:val="pt-BR" w:bidi="ar-SA"/>
          <w:kern w:val="16"/>
          <w14:ligatures w14:val="standardContextual"/>
        </w:rPr>
        <w:t xml:space="preserve">: a carência mais elevada responderia a preocupações legítimas de sustentabilidade, evitando que contribuições mínimas gerem benefícios de longa duração — preocupação que a exposição de motivos da MP 871/2019 verbalizou ao invocar a necessidade de coibir abusos e fraudes. Há, ainda, um argumento de </w:t>
      </w:r>
      <w:r>
        <w:rPr>
          <w:rFonts w:ascii="EB Garamond" w:hAnsi="EB Garamond" w:cs="EB Garamond"/>
          <w:b/>
          <w:i w:val="0"/>
          <w:color w:val="201B16"/>
          <w:sz w:val="21"/>
          <w:lang w:val="pt-BR" w:bidi="ar-SA"/>
          <w:kern w:val="16"/>
          <w14:ligatures w14:val="standardContextual"/>
        </w:rPr>
        <w:t>coerência sistemática</w:t>
      </w:r>
      <w:r>
        <w:rPr>
          <w:rFonts w:ascii="EB Garamond" w:hAnsi="EB Garamond" w:cs="EB Garamond"/>
          <w:b w:val="0"/>
          <w:i w:val="0"/>
          <w:color w:val="201B16"/>
          <w:sz w:val="21"/>
          <w:lang w:val="pt-BR" w:bidi="ar-SA"/>
          <w:kern w:val="16"/>
          <w14:ligatures w14:val="standardContextual"/>
        </w:rPr>
        <w:t xml:space="preserve">, embora ele deva ser manejado com ressalva: é certo que a EC 103/2019 elevou requisitos de modo generalizado, mas o paralelo com a pensão por morte é apenas parcial, pois esta permanece </w:t>
      </w:r>
      <w:r>
        <w:rPr>
          <w:rFonts w:ascii="EB Garamond" w:hAnsi="EB Garamond" w:cs="EB Garamond"/>
          <w:b/>
          <w:i w:val="0"/>
          <w:color w:val="201B16"/>
          <w:sz w:val="21"/>
          <w:lang w:val="pt-BR" w:bidi="ar-SA"/>
          <w:kern w:val="16"/>
          <w14:ligatures w14:val="standardContextual"/>
        </w:rPr>
        <w:t>sem carência para concessão</w:t>
      </w:r>
      <w:r>
        <w:rPr>
          <w:rFonts w:ascii="EB Garamond" w:hAnsi="EB Garamond" w:cs="EB Garamond"/>
          <w:b w:val="0"/>
          <w:i w:val="0"/>
          <w:color w:val="201B16"/>
          <w:sz w:val="21"/>
          <w:lang w:val="pt-BR" w:bidi="ar-SA"/>
          <w:kern w:val="16"/>
          <w14:ligatures w14:val="standardContextual"/>
        </w:rPr>
        <w:t xml:space="preserve"> (art. 26, I, Lei 8.213/91) — as 18 contribuições do art. 77, § 2º, V-b, condicionam não a concessão, mas a duração estendida do benefício ao cônjuge. Por fim, invoca-se a experiência comparada, de menor peso, segundo a qual sistemas estrangeiros exigem períodos contributivos equivalentes para benefícios análogos.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Carência de 24 contribuições: impacto desproporcional</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exigência de 24 contribuições atinge frontalmente o perfil típico do segurado cujos dependentes requerem auxílio-reclusão: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Trabalhadores de baixa renda com vínculos empregatícios curtos e informais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Jovens no início da vida laboral</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Trabalhadores intermitentes ou sazonais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MEIs com contribuições irregulares</w:t>
            </w:r>
          </w:p>
          <w:p>
            <w:pPr>
              <w:spacing w:before="0" w:after="60" w:line="247" w:lineRule="auto"/>
              <w:jc w:val="both"/>
            </w:pPr>
            <w:r>
              <w:rPr>
                <w:rFonts w:ascii="EB Garamond" w:hAnsi="EB Garamond" w:cs="EB Garamond"/>
                <w:b/>
                <w:i w:val="0"/>
                <w:color w:val="201B16"/>
                <w:sz w:val="19"/>
                <w:lang w:val="pt-BR" w:bidi="ar-SA"/>
                <w:kern w:val="16"/>
                <w14:ligatures w14:val="standardContextual"/>
              </w:rPr>
              <w:t>Na prática forense dos JEFs</w:t>
            </w:r>
            <w:r>
              <w:rPr>
                <w:rFonts w:ascii="EB Garamond" w:hAnsi="EB Garamond" w:cs="EB Garamond"/>
                <w:b w:val="0"/>
                <w:i w:val="0"/>
                <w:color w:val="201B16"/>
                <w:sz w:val="19"/>
                <w:lang w:val="pt-BR" w:bidi="ar-SA"/>
                <w:kern w:val="16"/>
                <w14:ligatures w14:val="standardContextual"/>
              </w:rPr>
              <w:t>, observa-se que a maioria dos indeferimentos pós-EC 103 fundamenta-se na ausência de 24 contribuições. O advogado deve: 1. Verificar TODAS as contribuições no CNIS (incluindo períodos não registrados) 2. Requerer retificação do CNIS para inclusão de vínculos omitidos 3. Computar período de atividade rural anterior (se aplicável) 4. Avaliar a tese de inconstitucionalidade da carência (especialmente em JEFs com posicionamento favorável) 5. Aplicar a regra da metade do art. 27-A da Lei 8.213/91 (12 contribuições) quando preenchidos os requisitos, ver Cap. 3, seção 3.2</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regra da metade da carência (art. 27-A da Lei 8.213/91, com a redação da Lei 13.846/2019) tem aplicação relevante ao auxílio-reclusão. Quando o segurado que já havia contribuído perde a qualidade e volta a se filiar ao RGPS, a carência exigida a partir da nova filiação é de 12 contribuições (metade de 24), cumpridas as quais as contribuições anteriores voltam a ser computadas. A regra, analisada em detalhe no Capítulo 3 (seção 3.8), não é norma de transição nem se aplica à primeira filiação, e representa importante válvula de escape para segurados com histórico contributivo interrompido.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aplicação concreta da regra da metade no auxílio-reclusão merece detalhamento. O art. 27-A dispõe que, no caso de perda da qualidade de segurado, para efeito de carência para a concessão de benefícios, o segurado deverá contar, a partir da nova filiação ao RGPS, com metade dos períodos previstos. Assim:</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Segurado com filiação contínua ao RGPS: carência integral de 24 contribuições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Segurado que perdeu a qualidade e se refiliou após a Lei 13.846/2019: carência de 12 contribuições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Segurado que nunca perdeu a qualidade, mas se filiou pela primeira vez após a Lei 13.846/2019: carência integral de 24 contribuições (a regra da metade é para refiliação, não para primeira filiação)</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interação entre a carência do auxílio-reclusão e a qualidade de segurado do preso gera complexidade adicional. Considere-se o exemplo: segurado com 18 contribuições é preso. Não atingiu 24 contribuições — AR indeferido por carência. Contudo, durante a reclusão, mantém qualidade de segurado (art. 2º, Lei 10.666/2003) e pode contribuir como facultativo. Se completar 24 contribuições durante a reclusão, os dependentes teriam direito ao AR? A posição majoritária é negativa: a carência deve estar cumprida na data do fato gerador (recolhimento à prisão). Contribuições posteriores não retroagem para suprir carência inexistente na data do fato gerador. Posição minoritária admite a contagem posterior, por analogia com a reafirmação da DER na aposentadoria (Tema 995/STJ).</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Constitucionalidade da carência de 24 contribuições</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questão da constitucionalidade da carência de 24 contribuições para o auxílio-reclusão ainda não foi definitivamente enfrentada pelo STF em sede de controle concentrado. Decisões monocráticas e turmas recursais têm apresentado posições divergentes:</w:t>
            </w:r>
          </w:p>
          <w:p>
            <w:pPr>
              <w:spacing w:before="0" w:after="60" w:line="247" w:lineRule="auto"/>
              <w:jc w:val="both"/>
            </w:pPr>
            <w:r>
              <w:rPr>
                <w:rFonts w:ascii="EB Garamond" w:hAnsi="EB Garamond" w:cs="EB Garamond"/>
                <w:b/>
                <w:i w:val="0"/>
                <w:color w:val="201B16"/>
                <w:sz w:val="19"/>
                <w:lang w:val="pt-BR" w:bidi="ar-SA"/>
                <w:kern w:val="16"/>
                <w14:ligatures w14:val="standardContextual"/>
              </w:rPr>
              <w:t>Posição 1 — Constitucional:</w:t>
            </w:r>
            <w:r>
              <w:rPr>
                <w:rFonts w:ascii="EB Garamond" w:hAnsi="EB Garamond" w:cs="EB Garamond"/>
                <w:b w:val="0"/>
                <w:i w:val="0"/>
                <w:color w:val="201B16"/>
                <w:sz w:val="19"/>
                <w:lang w:val="pt-BR" w:bidi="ar-SA"/>
                <w:kern w:val="16"/>
                <w14:ligatures w14:val="standardContextual"/>
              </w:rPr>
              <w:t xml:space="preserve"> A fixação de carência é competência legislativa, e 24 contribuições não é prazo irrazoável. Precedentes em turmas recursais do TRF1 e TRF5.</w:t>
            </w:r>
          </w:p>
          <w:p>
            <w:pPr>
              <w:spacing w:before="0" w:after="60" w:line="247" w:lineRule="auto"/>
              <w:jc w:val="both"/>
            </w:pPr>
            <w:r>
              <w:rPr>
                <w:rFonts w:ascii="EB Garamond" w:hAnsi="EB Garamond" w:cs="EB Garamond"/>
                <w:b/>
                <w:i w:val="0"/>
                <w:color w:val="201B16"/>
                <w:sz w:val="19"/>
                <w:lang w:val="pt-BR" w:bidi="ar-SA"/>
                <w:kern w:val="16"/>
                <w14:ligatures w14:val="standardContextual"/>
              </w:rPr>
              <w:t>Posição 2 — Inconstitucional:</w:t>
            </w:r>
            <w:r>
              <w:rPr>
                <w:rFonts w:ascii="EB Garamond" w:hAnsi="EB Garamond" w:cs="EB Garamond"/>
                <w:b w:val="0"/>
                <w:i w:val="0"/>
                <w:color w:val="201B16"/>
                <w:sz w:val="19"/>
                <w:lang w:val="pt-BR" w:bidi="ar-SA"/>
                <w:kern w:val="16"/>
                <w14:ligatures w14:val="standardContextual"/>
              </w:rPr>
              <w:t xml:space="preserve"> Carência desproporcional que viola a universalidade da cobertura (art. 194, I, CF), produz discriminação indireta contra a população de baixa renda e configura retrocesso social. Decisões em turmas recursais do TRF3 e TRF4.</w:t>
            </w:r>
          </w:p>
          <w:p>
            <w:pPr>
              <w:spacing w:before="0" w:after="60" w:line="247" w:lineRule="auto"/>
              <w:jc w:val="both"/>
            </w:pPr>
            <w:r>
              <w:rPr>
                <w:rFonts w:ascii="EB Garamond" w:hAnsi="EB Garamond" w:cs="EB Garamond"/>
                <w:b/>
                <w:i w:val="0"/>
                <w:color w:val="201B16"/>
                <w:sz w:val="19"/>
                <w:lang w:val="pt-BR" w:bidi="ar-SA"/>
                <w:kern w:val="16"/>
                <w14:ligatures w14:val="standardContextual"/>
              </w:rPr>
              <w:t>Posição 3 — Aplicação mitigada:</w:t>
            </w:r>
            <w:r>
              <w:rPr>
                <w:rFonts w:ascii="EB Garamond" w:hAnsi="EB Garamond" w:cs="EB Garamond"/>
                <w:b w:val="0"/>
                <w:i w:val="0"/>
                <w:color w:val="201B16"/>
                <w:sz w:val="19"/>
                <w:lang w:val="pt-BR" w:bidi="ar-SA"/>
                <w:kern w:val="16"/>
                <w14:ligatures w14:val="standardContextual"/>
              </w:rPr>
              <w:t xml:space="preserve"> Aplica-se a regra da metade (art. 27-A) sempre que possível, e em casos extremos, dispensa-se a carência por aplicação direta dos princípios constitucionais.</w:t>
            </w:r>
          </w:p>
          <w:p>
            <w:pPr>
              <w:spacing w:before="0" w:after="60" w:line="247" w:lineRule="auto"/>
              <w:jc w:val="both"/>
            </w:pPr>
            <w:r>
              <w:rPr>
                <w:rFonts w:ascii="EB Garamond" w:hAnsi="EB Garamond" w:cs="EB Garamond"/>
                <w:b/>
                <w:i w:val="0"/>
                <w:color w:val="201B16"/>
                <w:sz w:val="19"/>
                <w:lang w:val="pt-BR" w:bidi="ar-SA"/>
                <w:kern w:val="16"/>
                <w14:ligatures w14:val="standardContextual"/>
              </w:rPr>
              <w:t>Orientação prática:</w:t>
            </w:r>
            <w:r>
              <w:rPr>
                <w:rFonts w:ascii="EB Garamond" w:hAnsi="EB Garamond" w:cs="EB Garamond"/>
                <w:b w:val="0"/>
                <w:i w:val="0"/>
                <w:color w:val="201B16"/>
                <w:sz w:val="19"/>
                <w:lang w:val="pt-BR" w:bidi="ar-SA"/>
                <w:kern w:val="16"/>
                <w14:ligatures w14:val="standardContextual"/>
              </w:rPr>
              <w:t xml:space="preserve"> Arguir a inconstitucionalidade como tese subsidiária, sempre acompanhada da demonstração concreta de contribuições no CNIS e da aplicação da regra da metade.</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14.9 Regime prisional: a tensão entre Constituição e lei ordinária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questão do regime prisional exigido para o auxílio-reclusão é uma das mais complexas do tema, pois envolve uma </w:t>
      </w:r>
      <w:r>
        <w:rPr>
          <w:rFonts w:ascii="EB Garamond" w:hAnsi="EB Garamond" w:cs="EB Garamond"/>
          <w:b/>
          <w:i w:val="0"/>
          <w:color w:val="201B16"/>
          <w:sz w:val="21"/>
          <w:lang w:val="pt-BR" w:bidi="ar-SA"/>
          <w:kern w:val="16"/>
          <w14:ligatures w14:val="standardContextual"/>
        </w:rPr>
        <w:t>tensão normativa</w:t>
      </w:r>
      <w:r>
        <w:rPr>
          <w:rFonts w:ascii="EB Garamond" w:hAnsi="EB Garamond" w:cs="EB Garamond"/>
          <w:b w:val="0"/>
          <w:i w:val="0"/>
          <w:color w:val="201B16"/>
          <w:sz w:val="21"/>
          <w:lang w:val="pt-BR" w:bidi="ar-SA"/>
          <w:kern w:val="16"/>
          <w14:ligatures w14:val="standardContextual"/>
        </w:rPr>
        <w:t xml:space="preserve"> entre o texto constitucional (EC 103/2019) e a lei ordinária (art. 80, Lei 8.213/91, com redação da Lei 13.846/2019).</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O que diz a Constituição.</w:t>
      </w:r>
      <w:r>
        <w:rPr>
          <w:rFonts w:ascii="EB Garamond" w:hAnsi="EB Garamond" w:cs="EB Garamond"/>
          <w:b w:val="0"/>
          <w:i w:val="0"/>
          <w:color w:val="201B16"/>
          <w:sz w:val="21"/>
          <w:lang w:val="pt-BR" w:bidi="ar-SA"/>
          <w:kern w:val="16"/>
          <w14:ligatures w14:val="standardContextual"/>
        </w:rPr>
        <w:t xml:space="preserve"> O § 5º do art. 201 da CF, incluído pela EC 103/2019, estabelece que "é vedada a concessão, por lei, de auxílio-reclusão quando o recluso estiver em regime aberto". A leitura a contrario sensu indica que a Constituição admite o benefício nos regimes </w:t>
      </w:r>
      <w:r>
        <w:rPr>
          <w:rFonts w:ascii="EB Garamond" w:hAnsi="EB Garamond" w:cs="EB Garamond"/>
          <w:b/>
          <w:i w:val="0"/>
          <w:color w:val="201B16"/>
          <w:sz w:val="21"/>
          <w:lang w:val="pt-BR" w:bidi="ar-SA"/>
          <w:kern w:val="16"/>
          <w14:ligatures w14:val="standardContextual"/>
        </w:rPr>
        <w:t>fechado e semiaberto</w:t>
      </w:r>
      <w:r>
        <w:rPr>
          <w:rFonts w:ascii="EB Garamond" w:hAnsi="EB Garamond" w:cs="EB Garamond"/>
          <w:b w:val="0"/>
          <w:i w:val="0"/>
          <w:color w:val="201B16"/>
          <w:sz w:val="21"/>
          <w:lang w:val="pt-BR" w:bidi="ar-SA"/>
          <w:kern w:val="16"/>
          <w14:ligatures w14:val="standardContextual"/>
        </w:rPr>
        <w:t xml:space="preserve"> — vedando apenas o aberto.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O que diz a lei ordinária.</w:t>
      </w:r>
      <w:r>
        <w:rPr>
          <w:rFonts w:ascii="EB Garamond" w:hAnsi="EB Garamond" w:cs="EB Garamond"/>
          <w:b w:val="0"/>
          <w:i w:val="0"/>
          <w:color w:val="201B16"/>
          <w:sz w:val="21"/>
          <w:lang w:val="pt-BR" w:bidi="ar-SA"/>
          <w:kern w:val="16"/>
          <w14:ligatures w14:val="standardContextual"/>
        </w:rPr>
        <w:t xml:space="preserve"> O art. 80 da Lei 8.213/91, com a redação dada pela Lei 13.846/2019 (conversão da MP 871/2019), restringe o benefício ao segurado "recolhido à prisão em </w:t>
      </w:r>
      <w:r>
        <w:rPr>
          <w:rFonts w:ascii="EB Garamond" w:hAnsi="EB Garamond" w:cs="EB Garamond"/>
          <w:b/>
          <w:i w:val="0"/>
          <w:color w:val="201B16"/>
          <w:sz w:val="21"/>
          <w:lang w:val="pt-BR" w:bidi="ar-SA"/>
          <w:kern w:val="16"/>
          <w14:ligatures w14:val="standardContextual"/>
        </w:rPr>
        <w:t>regime fechado</w:t>
      </w:r>
      <w:r>
        <w:rPr>
          <w:rFonts w:ascii="EB Garamond" w:hAnsi="EB Garamond" w:cs="EB Garamond"/>
          <w:b w:val="0"/>
          <w:i w:val="0"/>
          <w:color w:val="201B16"/>
          <w:sz w:val="21"/>
          <w:lang w:val="pt-BR" w:bidi="ar-SA"/>
          <w:kern w:val="16"/>
          <w14:ligatures w14:val="standardContextual"/>
        </w:rPr>
        <w:t xml:space="preserve">". Ou seja, a lei é </w:t>
      </w:r>
      <w:r>
        <w:rPr>
          <w:rFonts w:ascii="EB Garamond" w:hAnsi="EB Garamond" w:cs="EB Garamond"/>
          <w:b/>
          <w:i w:val="0"/>
          <w:color w:val="201B16"/>
          <w:sz w:val="21"/>
          <w:lang w:val="pt-BR" w:bidi="ar-SA"/>
          <w:kern w:val="16"/>
          <w14:ligatures w14:val="standardContextual"/>
        </w:rPr>
        <w:t>mais restritiva</w:t>
      </w:r>
      <w:r>
        <w:rPr>
          <w:rFonts w:ascii="EB Garamond" w:hAnsi="EB Garamond" w:cs="EB Garamond"/>
          <w:b w:val="0"/>
          <w:i w:val="0"/>
          <w:color w:val="201B16"/>
          <w:sz w:val="21"/>
          <w:lang w:val="pt-BR" w:bidi="ar-SA"/>
          <w:kern w:val="16"/>
          <w14:ligatures w14:val="standardContextual"/>
        </w:rPr>
        <w:t xml:space="preserve"> que a Constituição: exclui não apenas o regime aberto (como faz a CF), mas também o regime </w:t>
      </w:r>
      <w:r>
        <w:rPr>
          <w:rFonts w:ascii="EB Garamond" w:hAnsi="EB Garamond" w:cs="EB Garamond"/>
          <w:b/>
          <w:i w:val="0"/>
          <w:color w:val="201B16"/>
          <w:sz w:val="21"/>
          <w:lang w:val="pt-BR" w:bidi="ar-SA"/>
          <w:kern w:val="16"/>
          <w14:ligatures w14:val="standardContextual"/>
        </w:rPr>
        <w:t>semiaberto</w:t>
      </w:r>
      <w:r>
        <w:rPr>
          <w:rFonts w:ascii="EB Garamond" w:hAnsi="EB Garamond" w:cs="EB Garamond"/>
          <w:b w:val="0"/>
          <w:i w:val="0"/>
          <w:color w:val="201B16"/>
          <w:sz w:val="21"/>
          <w:lang w:val="pt-BR" w:bidi="ar-SA"/>
          <w:kern w:val="16"/>
          <w14:ligatures w14:val="standardContextual"/>
        </w:rPr>
        <w:t>.</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Essa divergência gera controvérsia relevante:</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Posição restritiva (INSS e parte dos TRFs):</w:t>
      </w:r>
      <w:r>
        <w:rPr>
          <w:rFonts w:ascii="EB Garamond" w:hAnsi="EB Garamond" w:cs="EB Garamond"/>
          <w:b w:val="0"/>
          <w:i w:val="0"/>
          <w:color w:val="201B16"/>
          <w:sz w:val="21"/>
          <w:lang w:val="pt-BR" w:bidi="ar-SA"/>
          <w:kern w:val="16"/>
          <w14:ligatures w14:val="standardContextual"/>
        </w:rPr>
        <w:t xml:space="preserve"> A lei pode ser mais restritiva que a CF, pois a vedação constitucional do regime aberto é um piso mínimo de proteção, não um teto. O legislador ordinário tem liberdade para fixar requisitos adicionais, inclusive limitar ao regime fechado.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Posição ampliativa (parte da doutrina, incluindo Ibrahim (2025) e Castro e Lazzari (2025), e dos TRFs):</w:t>
      </w:r>
      <w:r>
        <w:rPr>
          <w:rFonts w:ascii="EB Garamond" w:hAnsi="EB Garamond" w:cs="EB Garamond"/>
          <w:b w:val="0"/>
          <w:i w:val="0"/>
          <w:color w:val="201B16"/>
          <w:sz w:val="21"/>
          <w:lang w:val="pt-BR" w:bidi="ar-SA"/>
          <w:kern w:val="16"/>
          <w14:ligatures w14:val="standardContextual"/>
        </w:rPr>
        <w:t xml:space="preserve"> A CF vedou apenas o regime aberto. Ao fazê-lo, implicitamente autorizou os regimes fechado e semiaberto. A lei ordinária não pode restringir direito que a Constituição assegurou. O art. 80, ao excluir o semiaberto, seria parcialmente inconstitucional por violação ao art. 201, IV e § 5º, da CF.</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Evolução temporal.</w:t>
      </w:r>
      <w:r>
        <w:rPr>
          <w:rFonts w:ascii="EB Garamond" w:hAnsi="EB Garamond" w:cs="EB Garamond"/>
          <w:b w:val="0"/>
          <w:i w:val="0"/>
          <w:color w:val="201B16"/>
          <w:sz w:val="21"/>
          <w:lang w:val="pt-BR" w:bidi="ar-SA"/>
          <w:kern w:val="16"/>
          <w14:ligatures w14:val="standardContextual"/>
        </w:rPr>
        <w:t xml:space="preserve"> A linha do tempo das alterações legislativas esclarece a controvérsia:</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Data</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Norma</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Regime prisional exigido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Até 17/01/2019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Lei 8.213/91 (redação original)</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Qualquer regime (fechado, semiaberto, aberto)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18/01/2019 a 12/11/2019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MP 871/2019 (convertida na Lei 13.846/2019)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8"/>
                <w:lang w:val="pt-BR" w:bidi="ar-SA"/>
                <w:kern w:val="16"/>
                <w14:ligatures w14:val="standardContextual"/>
              </w:rPr>
              <w:t>Apenas regime fechado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 partir de 13/11/2019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EC 103/2019, art. 201, § 5º</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CF: veda apenas aberto (fechado e semiaberto) / Lei: apenas fechado</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N</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 prática administrativa, o INSS aplica o art. 80 e concede o AR apenas para regime fechado. Nos JEFs, há espaço para arguir a inconstitucionalidade parcial do art. 80 e pleitear o benefício no regime semiaberto, com fundamento direto na CF.</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Tomamos posição nessa controvérsia. Parece-nos que a leitura que melhor harmoniza lei e Constituição é a ampliativa: ao vedar a concessão apenas no regime aberto, o art. 201, § 5º, da CF traçou o limite do que o legislador poderia excluir, e a exclusão legal do semiaberto avança sobre espaço que o constituinte derivado, podendo restringi-lo, optou por preservar. Não se trata de exigir do legislador que conceda o benefício em todo regime não vedado, mas de reconhecer que a supressão do semiaberto, por via ordinária, esvazia parcialmente a garantia constitucional sem amparo em distinção material relevante — afinal, no semiaberto o segurado permanece impedido de prover livremente o sustento da família, que é precisamente o risco que o auxílio-reclusão cobre. Reconhecemos, porém, que a jurisprudência ainda não pacificou o tema e que a tese restritiva conta com respaldo relevante; daí por que a arguição deve ser sempre acompanhada da demonstração concreta do regime fixado pelo juízo da execução.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Progressão de regime.</w:t>
      </w:r>
      <w:r>
        <w:rPr>
          <w:rFonts w:ascii="EB Garamond" w:hAnsi="EB Garamond" w:cs="EB Garamond"/>
          <w:b w:val="0"/>
          <w:i w:val="0"/>
          <w:color w:val="201B16"/>
          <w:sz w:val="21"/>
          <w:lang w:val="pt-BR" w:bidi="ar-SA"/>
          <w:kern w:val="16"/>
          <w14:ligatures w14:val="standardContextual"/>
        </w:rPr>
        <w:t xml:space="preserve"> Quando o segurado progride do regime fechado para o semiaberto, o INSS cessa automaticamente o AR (com base no art. 80 — "regime fechado"). Se o dependente discordar, pode judicializar alegando que a CF permite o semiaberto. Se o segurado progride para o regime aberto, a cessação é incontroversa, vedação constitucional expressa.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Regressão de regime.</w:t>
      </w:r>
      <w:r>
        <w:rPr>
          <w:rFonts w:ascii="EB Garamond" w:hAnsi="EB Garamond" w:cs="EB Garamond"/>
          <w:b w:val="0"/>
          <w:i w:val="0"/>
          <w:color w:val="201B16"/>
          <w:sz w:val="21"/>
          <w:lang w:val="pt-BR" w:bidi="ar-SA"/>
          <w:kern w:val="16"/>
          <w14:ligatures w14:val="standardContextual"/>
        </w:rPr>
        <w:t xml:space="preserve"> Quando o segurado regride para o regime fechado (falta grave, nova condenação), o AR pode ser restabelecido, desde que os demais requisitos permaneçam preenchidos. O dependente deve formular novo requerimento.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Regime semiaberto e trabalho externo.</w:t>
      </w:r>
      <w:r>
        <w:rPr>
          <w:rFonts w:ascii="EB Garamond" w:hAnsi="EB Garamond" w:cs="EB Garamond"/>
          <w:b w:val="0"/>
          <w:i w:val="0"/>
          <w:color w:val="201B16"/>
          <w:sz w:val="21"/>
          <w:lang w:val="pt-BR" w:bidi="ar-SA"/>
          <w:kern w:val="16"/>
          <w14:ligatures w14:val="standardContextual"/>
        </w:rPr>
        <w:t xml:space="preserve"> O trabalho externo no regime semiaberto (art. 35, § 2º, do CP c/c arts. 36-37 da LEP) gera questão adicional: se o segurado trabalha externamente, aufere remuneração. Porém, essa remuneração não afeta o AR, pois a renda relevante é a do momento do recolhimento à prisão (Tema 896/STJ), não a posterior. O art. 80, § 7º, da Lei 8.213/91 é expresso: "O exercício de atividade remunerada do segurado recluso, em cumprimento de pena em regime fechado, não acarreta a perda do direito ao recebimento do auxílio-reclusão para seus dependentes."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Regime prisional: três situações distintas</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Regime</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Direito ao AR?</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Fundamento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Fechado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SIM</w:t>
                  </w:r>
                  <w:r>
                    <w:rPr>
                      <w:rFonts w:ascii="EB Garamond" w:hAnsi="EB Garamond" w:cs="EB Garamond"/>
                      <w:b w:val="0"/>
                      <w:i w:val="0"/>
                      <w:color w:val="201B16"/>
                      <w:sz w:val="16"/>
                      <w:lang w:val="pt-BR" w:bidi="ar-SA"/>
                      <w:kern w:val="16"/>
                      <w14:ligatures w14:val="standardContextual"/>
                    </w:rPr>
                    <w:t xml:space="preserve"> (incontroverso)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80, Lei 8.213 + art. 201, § 5º, CF</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Semiaberto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CONTROVÉRSIA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CF permite (veda só aberto) × Lei exige regime fechado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Aberto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NÃO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Vedação constitucional expressa (art. 201, § 5º, CF)</w:t>
                  </w:r>
                </w:p>
              </w:tc>
            </w:tr>
          </w:tbl>
          <w:p/>
          <w:p>
            <w:pPr>
              <w:spacing w:before="0" w:after="0" w:line="240" w:lineRule="auto"/>
            </w:pPr>
          </w:p>
          <w:p>
            <w:pPr>
              <w:spacing w:before="0" w:after="60" w:line="247" w:lineRule="auto"/>
              <w:jc w:val="both"/>
            </w:pPr>
            <w:r>
              <w:rPr>
                <w:rFonts w:ascii="EB Garamond" w:hAnsi="EB Garamond" w:cs="EB Garamond"/>
                <w:b/>
                <w:i w:val="0"/>
                <w:color w:val="201B16"/>
                <w:sz w:val="19"/>
                <w:lang w:val="pt-BR" w:bidi="ar-SA"/>
                <w:kern w:val="16"/>
                <w14:ligatures w14:val="standardContextual"/>
              </w:rPr>
              <w:t>Orientação ao advogado:</w:t>
            </w:r>
            <w:r>
              <w:rPr>
                <w:rFonts w:ascii="EB Garamond" w:hAnsi="EB Garamond" w:cs="EB Garamond"/>
                <w:b w:val="0"/>
                <w:i w:val="0"/>
                <w:color w:val="201B16"/>
                <w:sz w:val="19"/>
                <w:lang w:val="pt-BR" w:bidi="ar-SA"/>
                <w:kern w:val="16"/>
                <w14:ligatures w14:val="standardContextual"/>
              </w:rPr>
              <w:t xml:space="preserve"> 1. Para regime fechado: requerer normalmente 2. Para regime semiaberto: requerer administrativamente (provavelmente será indeferido) e, após indeferimento, ajuizar ação no JEF com controle de constitucionalidade incidental do art. 80, argumentando que a CF (art. 201, § 5º) só vedou regime aberto 3. Para regime aberto: sem fundamento para requerer (vedação constitucional)</w:t>
            </w:r>
          </w:p>
          <w:p>
            <w:pPr>
              <w:spacing w:before="0" w:after="60" w:line="247" w:lineRule="auto"/>
              <w:jc w:val="both"/>
            </w:pPr>
            <w:r>
              <w:rPr>
                <w:rFonts w:ascii="EB Garamond" w:hAnsi="EB Garamond" w:cs="EB Garamond"/>
                <w:b/>
                <w:i w:val="0"/>
                <w:color w:val="201B16"/>
                <w:sz w:val="19"/>
                <w:lang w:val="pt-BR" w:bidi="ar-SA"/>
                <w:kern w:val="16"/>
                <w14:ligatures w14:val="standardContextual"/>
              </w:rPr>
              <w:t>TNU Tema 357 (04/12/2024):</w:t>
            </w:r>
            <w:r>
              <w:rPr>
                <w:rFonts w:ascii="EB Garamond" w:hAnsi="EB Garamond" w:cs="EB Garamond"/>
                <w:b w:val="0"/>
                <w:i w:val="0"/>
                <w:color w:val="201B16"/>
                <w:sz w:val="19"/>
                <w:lang w:val="pt-BR" w:bidi="ar-SA"/>
                <w:kern w:val="16"/>
                <w14:ligatures w14:val="standardContextual"/>
              </w:rPr>
              <w:t xml:space="preserve"> Para fatos geradores anteriores a 18/01/2019 (MP 871), o AR </w:t>
            </w:r>
            <w:r>
              <w:rPr>
                <w:rFonts w:ascii="EB Garamond" w:hAnsi="EB Garamond" w:cs="EB Garamond"/>
                <w:b/>
                <w:i w:val="0"/>
                <w:color w:val="201B16"/>
                <w:sz w:val="19"/>
                <w:lang w:val="pt-BR" w:bidi="ar-SA"/>
                <w:kern w:val="16"/>
                <w14:ligatures w14:val="standardContextual"/>
              </w:rPr>
              <w:t>permanece</w:t>
            </w:r>
            <w:r>
              <w:rPr>
                <w:rFonts w:ascii="EB Garamond" w:hAnsi="EB Garamond" w:cs="EB Garamond"/>
                <w:b w:val="0"/>
                <w:i w:val="0"/>
                <w:color w:val="201B16"/>
                <w:sz w:val="19"/>
                <w:lang w:val="pt-BR" w:bidi="ar-SA"/>
                <w:kern w:val="16"/>
                <w14:ligatures w14:val="standardContextual"/>
              </w:rPr>
              <w:t xml:space="preserve"> mesmo com progressão para semiaberto (inclusive com monitoramento eletrônico), pois no regime antigo qualquer regime prisional era aceito. Aplicação do princípio tempus regit actum.</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14.10 Prisão provisória e auxílio-reclusão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prisão provisória, em qualquer de suas modalidades (flagrante, preventiva, temporária), constitui fato gerador do auxílio-reclusão. Essa afirmação, hoje pacífica na jurisprudência, foi objeto de intensa controvérsia durante décadas, com o INSS sistematicamente negando o benefício a dependentes de presos provisórios sob o argumento de que a presunção de inocência impediria o reconhecimento da condição de "recolhido à prisão" para fins previdenciários.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argumento do INSS sempre foi falacioso: a presunção de inocência protege o acusado contra antecipação de sanções penais, não contra a produção de efeitos previdenciários. O recolhimento à prisão é fato objetivo, o segurado está privado de sua liberdade e impossibilitado de prover o sustento de seus dependentes, independentemente da natureza jurídica da prisão (definitiva ou provisória) e do desfecho processual.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jurisprudência consolidou-se firmemente no sentido de reconhecer o direito: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No âmbito dos TRFs:</w:t>
      </w:r>
      <w:r>
        <w:rPr>
          <w:rFonts w:ascii="EB Garamond" w:hAnsi="EB Garamond" w:cs="EB Garamond"/>
          <w:b w:val="0"/>
          <w:i w:val="0"/>
          <w:color w:val="201B16"/>
          <w:sz w:val="21"/>
          <w:lang w:val="pt-BR" w:bidi="ar-SA"/>
          <w:kern w:val="16"/>
          <w14:ligatures w14:val="standardContextual"/>
        </w:rPr>
        <w:t xml:space="preserve"> Desde o início dos anos 2000, as turmas recursais dos JEFs passaram a conceder o auxílio-reclusão para dependentes de presos provisórios, em decisões que se tornaram progressivamente uniformes. A fundamentação centra-se no fato de que a lei exige "recolhimento à prisão", não "condenação criminal".</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No âmbito do STJ:</w:t>
      </w:r>
      <w:r>
        <w:rPr>
          <w:rFonts w:ascii="EB Garamond" w:hAnsi="EB Garamond" w:cs="EB Garamond"/>
          <w:b w:val="0"/>
          <w:i w:val="0"/>
          <w:color w:val="201B16"/>
          <w:sz w:val="21"/>
          <w:lang w:val="pt-BR" w:bidi="ar-SA"/>
          <w:kern w:val="16"/>
          <w14:ligatures w14:val="standardContextual"/>
        </w:rPr>
        <w:t xml:space="preserve"> O Superior Tribunal de Justiça reafirmou em múltiplos julgados que a prisão provisória gera direito ao auxílio-reclusão. O requisito é o efetivo recolhimento, não a existência de sentença condenatória.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No âmbito administrativo:</w:t>
      </w:r>
      <w:r>
        <w:rPr>
          <w:rFonts w:ascii="EB Garamond" w:hAnsi="EB Garamond" w:cs="EB Garamond"/>
          <w:b w:val="0"/>
          <w:i w:val="0"/>
          <w:color w:val="201B16"/>
          <w:sz w:val="21"/>
          <w:lang w:val="pt-BR" w:bidi="ar-SA"/>
          <w:kern w:val="16"/>
          <w14:ligatures w14:val="standardContextual"/>
        </w:rPr>
        <w:t xml:space="preserve"> A IN INSS 128/2022 (com alterações posteriores) passou a reconhecer expressamente o direito ao auxílio-reclusão em caso de prisão provisória, desde que comprovado o efetivo recolhimento por certidão emitida pela autoridade competente.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prisão provisória gera, contudo, questões específicas quanto à manutenção do benefício: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Soltura por alvará.</w:t>
      </w:r>
      <w:r>
        <w:rPr>
          <w:rFonts w:ascii="EB Garamond" w:hAnsi="EB Garamond" w:cs="EB Garamond"/>
          <w:b w:val="0"/>
          <w:i w:val="0"/>
          <w:color w:val="201B16"/>
          <w:sz w:val="21"/>
          <w:lang w:val="pt-BR" w:bidi="ar-SA"/>
          <w:kern w:val="16"/>
          <w14:ligatures w14:val="standardContextual"/>
        </w:rPr>
        <w:t xml:space="preserve"> Se o segurado é solto por revogação da prisão preventiva, relaxamento do flagrante, concessão de liberdade provisória (com ou sem fiança) ou habeas corpus, o auxílio-reclusão cessa na data da efetiva soltura. O dependente deve comunicar a soltura ao INSS no prazo regulamentar. Eventual recondenação posterior com novo recolhimento configura novo fato gerador.</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Conversão em prisão definitiva.</w:t>
      </w:r>
      <w:r>
        <w:rPr>
          <w:rFonts w:ascii="EB Garamond" w:hAnsi="EB Garamond" w:cs="EB Garamond"/>
          <w:b w:val="0"/>
          <w:i w:val="0"/>
          <w:color w:val="201B16"/>
          <w:sz w:val="21"/>
          <w:lang w:val="pt-BR" w:bidi="ar-SA"/>
          <w:kern w:val="16"/>
          <w14:ligatures w14:val="standardContextual"/>
        </w:rPr>
        <w:t xml:space="preserve"> Se a prisão provisória se converte em prisão decorrente de sentença condenatória, não há interrupção do auxílio-reclusão. O benefício permanece inalterado, pois o segurado permaneceu continuamente recolhido. A eventual mudança de regime (do provisório para o fechado definitivo) não afeta o benefício, pois o segurado permanece em condições que satisfazem o art. 80 da Lei 8.213/91.</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Regime pós-EC 103 e prisão provisória.</w:t>
      </w:r>
      <w:r>
        <w:rPr>
          <w:rFonts w:ascii="EB Garamond" w:hAnsi="EB Garamond" w:cs="EB Garamond"/>
          <w:b w:val="0"/>
          <w:i w:val="0"/>
          <w:color w:val="201B16"/>
          <w:sz w:val="21"/>
          <w:lang w:val="pt-BR" w:bidi="ar-SA"/>
          <w:kern w:val="16"/>
          <w14:ligatures w14:val="standardContextual"/>
        </w:rPr>
        <w:t xml:space="preserve"> No regime posterior à MP 871/2019, a prisão provisória gera direito ao auxílio-reclusão desde que o segurado esteja efetivamente recolhido em estabelecimento penal compatível com regime fechado. O preso provisório, por definição, encontra-se em regime equivalente ao fechado (estabelecimento de segurança máxima ou média), o que satisfaz o requisito do art. 80. A questão da carência de 24 contribuições aplica-se normalmente: se o segurado não as possuía no momento da prisão provisória, o benefício será indeferido por ausência de carência, ainda que a prisão seja legítima e comprovada.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Prisão provisória e valor do benefício.</w:t>
      </w:r>
      <w:r>
        <w:rPr>
          <w:rFonts w:ascii="EB Garamond" w:hAnsi="EB Garamond" w:cs="EB Garamond"/>
          <w:b w:val="0"/>
          <w:i w:val="0"/>
          <w:color w:val="201B16"/>
          <w:sz w:val="21"/>
          <w:lang w:val="pt-BR" w:bidi="ar-SA"/>
          <w:kern w:val="16"/>
          <w14:ligatures w14:val="standardContextual"/>
        </w:rPr>
        <w:t xml:space="preserve"> No regime pós-EC 103, o valor do AR é fixo em 1 SM (R$ 1.621,00 em 2026), independentemente de a prisão ser provisória ou definitiva. No regime antigo, o valor era calculado com base no salário de benefício, variando conforme a contribuição do segurado.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Duração do AR na prisão provisória.</w:t>
      </w:r>
      <w:r>
        <w:rPr>
          <w:rFonts w:ascii="EB Garamond" w:hAnsi="EB Garamond" w:cs="EB Garamond"/>
          <w:b w:val="0"/>
          <w:i w:val="0"/>
          <w:color w:val="201B16"/>
          <w:sz w:val="21"/>
          <w:lang w:val="pt-BR" w:bidi="ar-SA"/>
          <w:kern w:val="16"/>
          <w14:ligatures w14:val="standardContextual"/>
        </w:rPr>
        <w:t xml:space="preserve"> O benefício é devido enquanto perdurar a prisão provisória. Se o segurado é solto (alvará de soltura, revogação da preventiva, relaxamento do flagrante, habeas corpus, liberdade provisória), o AR cessa imediatamente. A concessão de medida cautelar diversa da prisão (art. 319, CPP), como comparecimento periódico, proibição de ausentar-se da comarca, ou monitoração eletrônica, implica a cessação do AR, pois o segurado deixa de estar recolhido à prisão.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Peculiaridade da prisão temporária.</w:t>
      </w:r>
      <w:r>
        <w:rPr>
          <w:rFonts w:ascii="EB Garamond" w:hAnsi="EB Garamond" w:cs="EB Garamond"/>
          <w:b w:val="0"/>
          <w:i w:val="0"/>
          <w:color w:val="201B16"/>
          <w:sz w:val="21"/>
          <w:lang w:val="pt-BR" w:bidi="ar-SA"/>
          <w:kern w:val="16"/>
          <w14:ligatures w14:val="standardContextual"/>
        </w:rPr>
        <w:t xml:space="preserve"> A prisão temporária (Lei 7.960/89) tem prazo determinado (5 dias, prorrogáveis por igual período; 30 dias + 30 em crimes hediondos). O AR concedido durante a prisão temporária cessa automaticamente com o decurso do prazo, se não houver conversão em preventiva. O advogado dos dependentes deve estar atento a essa peculiaridade e orientar sobre a necessidade de novo requerimento se houver conversão.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Múltiplas prisões provisórias.</w:t>
      </w:r>
      <w:r>
        <w:rPr>
          <w:rFonts w:ascii="EB Garamond" w:hAnsi="EB Garamond" w:cs="EB Garamond"/>
          <w:b w:val="0"/>
          <w:i w:val="0"/>
          <w:color w:val="201B16"/>
          <w:sz w:val="21"/>
          <w:lang w:val="pt-BR" w:bidi="ar-SA"/>
          <w:kern w:val="16"/>
          <w14:ligatures w14:val="standardContextual"/>
        </w:rPr>
        <w:t xml:space="preserve"> Se o segurado é preso, solto e novamente preso (diversas vezes), cada novo recolhimento configura novo fato gerador. A verificação dos requisitos (qualidade de segurado, carência, baixa renda, regime) deve ser feita em cada evento. No regime pós-MP 871/2019, isso significa que o segurado pode ter cumprido a carência na primeira prisão mas não na segunda (se houve perda e reaquisição da qualidade com contribuições insuficientes no intervalo).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Prisão provisória: direito consolidado ao auxílio-reclusão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fato gerador do benefício é o recolhimento à prisão, e a lei não distingue entre a custódia provisória e a definitiva. O art. 80 da Lei 8.213/91 refere-se ao "segurado recolhido à prisão" e exige, para o requerimento, a "certidão do efetivo recolhimento à prisão" (parágrafo único, na redação da Lei 13.846/2019), sem qualificar o título da custódia. A prisão em flagrante, a preventiva e a temporária, portanto, geram o direito ao benefício a partir do efetivo recolhimento, desde que presentes os demais requisitos. O critério que a jurisprudência adota para o início e para a cessação do benefício é a impossibilidade de exercício de atividade remunerada fora do sistema prisional, e não a natureza jurídica da custódia: foi com esse fundamento que o STJ reconheceu o direito ao auxílio-reclusão mesmo na prisão domiciliar substitutiva do regime fechado ou semiaberto (REsp 1.672.295/RS, 1ª Turma, rel. Min. Gurgel de Faria, j. 17/10/2017, Informativo 614). Se a custódia cautelar é posteriormente revogada, o benefício cessa a partir da soltura, sem devolução das parcelas recebidas no período em que o segurado esteve preso.</w:t>
            </w:r>
          </w:p>
          <w:p>
            <w:pPr>
              <w:spacing w:before="0" w:after="60" w:line="247" w:lineRule="auto"/>
              <w:jc w:val="both"/>
            </w:pPr>
            <w:r>
              <w:rPr>
                <w:rFonts w:ascii="EB Garamond" w:hAnsi="EB Garamond" w:cs="EB Garamond"/>
                <w:b/>
                <w:i w:val="0"/>
                <w:color w:val="201B16"/>
                <w:sz w:val="19"/>
                <w:lang w:val="pt-BR" w:bidi="ar-SA"/>
                <w:kern w:val="16"/>
                <w14:ligatures w14:val="standardContextual"/>
              </w:rPr>
              <w:t>Documentos probatórios aceitos:</w:t>
            </w:r>
            <w:r>
              <w:rPr>
                <w:rFonts w:ascii="EB Garamond" w:hAnsi="EB Garamond" w:cs="EB Garamond"/>
                <w:b w:val="0"/>
                <w:i w:val="0"/>
                <w:color w:val="201B16"/>
                <w:sz w:val="19"/>
                <w:lang w:val="pt-BR" w:bidi="ar-SA"/>
                <w:kern w:val="16"/>
                <w14:ligatures w14:val="standardContextual"/>
              </w:rPr>
              <w:t xml:space="preserve"> - Certidão do diretor do estabelecimento penal - Atestado de recolhimento emitido pela autoridade policial - Mandado de prisão cumprido com certidão de recolhimento - Boletim de ocorrência com comprovação de recolhimento</w:t>
            </w: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Modelo de argumentação para requerimento urgente — preso provisório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advogado do dependente de preso provisório deve:</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 xml:space="preserve">1. </w:t>
            </w:r>
            <w:r>
              <w:rPr>
                <w:rFonts w:ascii="EB Garamond" w:hAnsi="EB Garamond" w:cs="EB Garamond"/>
                <w:b/>
                <w:i w:val="0"/>
                <w:color w:val="201B16"/>
                <w:sz w:val="19"/>
                <w:lang w:val="pt-BR" w:bidi="ar-SA"/>
                <w:kern w:val="16"/>
                <w14:ligatures w14:val="standardContextual"/>
              </w:rPr>
              <w:t>Requerer administrativamente</w:t>
            </w:r>
            <w:r>
              <w:rPr>
                <w:rFonts w:ascii="EB Garamond" w:hAnsi="EB Garamond" w:cs="EB Garamond"/>
                <w:b w:val="0"/>
                <w:i w:val="0"/>
                <w:color w:val="201B16"/>
                <w:sz w:val="19"/>
                <w:lang w:val="pt-BR" w:bidi="ar-SA"/>
                <w:kern w:val="16"/>
                <w14:ligatures w14:val="standardContextual"/>
              </w:rPr>
              <w:t xml:space="preserve"> junto ao INSS no prazo de 90 dias da prisão (para retroação da DIB) 2. </w:t>
            </w:r>
            <w:r>
              <w:rPr>
                <w:rFonts w:ascii="EB Garamond" w:hAnsi="EB Garamond" w:cs="EB Garamond"/>
                <w:b/>
                <w:i w:val="0"/>
                <w:color w:val="201B16"/>
                <w:sz w:val="19"/>
                <w:lang w:val="pt-BR" w:bidi="ar-SA"/>
                <w:kern w:val="16"/>
                <w14:ligatures w14:val="standardContextual"/>
              </w:rPr>
              <w:t>Documentos essenciais:</w:t>
            </w:r>
            <w:r>
              <w:rPr>
                <w:rFonts w:ascii="EB Garamond" w:hAnsi="EB Garamond" w:cs="EB Garamond"/>
                <w:b w:val="0"/>
                <w:i w:val="0"/>
                <w:color w:val="201B16"/>
                <w:sz w:val="19"/>
                <w:lang w:val="pt-BR" w:bidi="ar-SA"/>
                <w:kern w:val="16"/>
                <w14:ligatures w14:val="standardContextual"/>
              </w:rPr>
              <w:t xml:space="preserve">  - Certidão de recolhimento à prisão (com data, estabelecimento e regime)  - CNIS do segurado (demonstrando qualidade de segurado e carência)  - Documentos de dependência (certidão de casamento/nascimento, comprovante de união estável)  - Documentos para aferição de baixa renda (CNIS, holerites dos 12 meses anteriores à prisão)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 xml:space="preserve">3. </w:t>
            </w:r>
            <w:r>
              <w:rPr>
                <w:rFonts w:ascii="EB Garamond" w:hAnsi="EB Garamond" w:cs="EB Garamond"/>
                <w:b/>
                <w:i w:val="0"/>
                <w:color w:val="201B16"/>
                <w:sz w:val="19"/>
                <w:lang w:val="pt-BR" w:bidi="ar-SA"/>
                <w:kern w:val="16"/>
                <w14:ligatures w14:val="standardContextual"/>
              </w:rPr>
              <w:t>Se indeferido, ação no JEF com tutela de urgência:</w:t>
            </w:r>
            <w:r>
              <w:rPr>
                <w:rFonts w:ascii="EB Garamond" w:hAnsi="EB Garamond" w:cs="EB Garamond"/>
                <w:b w:val="0"/>
                <w:i w:val="0"/>
                <w:color w:val="201B16"/>
                <w:sz w:val="19"/>
                <w:lang w:val="pt-BR" w:bidi="ar-SA"/>
                <w:kern w:val="16"/>
                <w14:ligatures w14:val="standardContextual"/>
              </w:rPr>
              <w:t xml:space="preserve">  - Probabilidade do direito: qualidade de segurado + recolhimento efetivo + baixa renda  - Perigo de dano: família desprotegida, com risco alimentar imediato  - Reversibilidade: benefício de caráter alimentar, com compensação possível  - Fundamento legal: art. 80, Lei 8.213/91 + jurisprudência pacífica sobre prisão provisória  - Pedido de implantação imediata (tutela antecipada inaudita altera parte)</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14.11 Monitoração eletrônica e prisão domiciliar</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monitoração eletrônica e a prisão domiciliar constituem dois dos temas mais controvertidos na interseção entre direito penal e direito previdenciário no contexto do auxílio-reclusão. A ausência de previsão normativa expressa sobre essas modalidades no art. 80 da Lei 8.213/91 e na EC 103/2019 gera insegurança jurídica que se projeta diretamente sobre a prática forense nos JEFs.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Monitoração eletrônica.</w:t>
      </w:r>
      <w:r>
        <w:rPr>
          <w:rFonts w:ascii="EB Garamond" w:hAnsi="EB Garamond" w:cs="EB Garamond"/>
          <w:b w:val="0"/>
          <w:i w:val="0"/>
          <w:color w:val="201B16"/>
          <w:sz w:val="21"/>
          <w:lang w:val="pt-BR" w:bidi="ar-SA"/>
          <w:kern w:val="16"/>
          <w14:ligatures w14:val="standardContextual"/>
        </w:rPr>
        <w:t xml:space="preserve"> A tornozeleira eletrônica é utilizada como instrumento de controle em diversas situações no processo penal e na execução da pena: medida cautelar alternativa à prisão preventiva (art. 319, IX, CPP), condição da prisão domiciliar, condição para saídas temporárias no regime semiaberto e mecanismo de controle no regime aberto. A questão central é: o segurado submetido a monitoração eletrônica está "recolhido à prisão" para fins de auxílio-reclusão?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resposta varia conforme a situação concreta: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Monitoração eletrônica como alternativa à prisão preventiva.</w:t>
      </w:r>
      <w:r>
        <w:rPr>
          <w:rFonts w:ascii="EB Garamond" w:hAnsi="EB Garamond" w:cs="EB Garamond"/>
          <w:b w:val="0"/>
          <w:i w:val="0"/>
          <w:color w:val="201B16"/>
          <w:sz w:val="21"/>
          <w:lang w:val="pt-BR" w:bidi="ar-SA"/>
          <w:kern w:val="16"/>
          <w14:ligatures w14:val="standardContextual"/>
        </w:rPr>
        <w:t xml:space="preserve"> Quando o juiz substitui a prisão preventiva pela monitoração eletrônica (com ou sem prisão domiciliar), o segurado não está efetivamente recolhido em estabelecimento penal. Nessa hipótese, a posição majoritária dos TRFs é de que </w:t>
      </w:r>
      <w:r>
        <w:rPr>
          <w:rFonts w:ascii="EB Garamond" w:hAnsi="EB Garamond" w:cs="EB Garamond"/>
          <w:b/>
          <w:i w:val="0"/>
          <w:color w:val="201B16"/>
          <w:sz w:val="21"/>
          <w:lang w:val="pt-BR" w:bidi="ar-SA"/>
          <w:kern w:val="16"/>
          <w14:ligatures w14:val="standardContextual"/>
        </w:rPr>
        <w:t>não há direito ao auxílio-reclusão</w:t>
      </w:r>
      <w:r>
        <w:rPr>
          <w:rFonts w:ascii="EB Garamond" w:hAnsi="EB Garamond" w:cs="EB Garamond"/>
          <w:b w:val="0"/>
          <w:i w:val="0"/>
          <w:color w:val="201B16"/>
          <w:sz w:val="21"/>
          <w:lang w:val="pt-BR" w:bidi="ar-SA"/>
          <w:kern w:val="16"/>
          <w14:ligatures w14:val="standardContextual"/>
        </w:rPr>
        <w:t>, pois o fato gerador exige recolhimento efetivo à prisão, e a monitoração eletrônica é justamente medida alternativa ao encarceramento.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Monitoração eletrônica no regime semiaberto.</w:t>
      </w:r>
      <w:r>
        <w:rPr>
          <w:rFonts w:ascii="EB Garamond" w:hAnsi="EB Garamond" w:cs="EB Garamond"/>
          <w:b w:val="0"/>
          <w:i w:val="0"/>
          <w:color w:val="201B16"/>
          <w:sz w:val="21"/>
          <w:lang w:val="pt-BR" w:bidi="ar-SA"/>
          <w:kern w:val="16"/>
          <w14:ligatures w14:val="standardContextual"/>
        </w:rPr>
        <w:t xml:space="preserve"> O segurado que cumpre pena em regime semiaberto com monitoração eletrônica, saindo do estabelecimento penal para trabalho externo e retornando ao final do dia, por exemplo, permanece em regime semiaberto para todos os efeitos. A monitoração é mero instrumento de controle, não alterando o regime prisional. Nessa hipótese, o auxílio-reclusão é devido, pois o segurado está em regime semiaberto, que é abrangido pela EC 103/2019.</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Monitoração eletrônica no regime aberto.</w:t>
      </w:r>
      <w:r>
        <w:rPr>
          <w:rFonts w:ascii="EB Garamond" w:hAnsi="EB Garamond" w:cs="EB Garamond"/>
          <w:b w:val="0"/>
          <w:i w:val="0"/>
          <w:color w:val="201B16"/>
          <w:sz w:val="21"/>
          <w:lang w:val="pt-BR" w:bidi="ar-SA"/>
          <w:kern w:val="16"/>
          <w14:ligatures w14:val="standardContextual"/>
        </w:rPr>
        <w:t xml:space="preserve"> O segurado em regime aberto com monitoração eletrônica não tem direito ao auxílio-reclusão, pela vedação expressa do art. 201, § 5º, da CF. A monitoração não transforma o regime aberto em semiaberto.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TNU Tema 357 (04/12/2024): Monitoração eletrônica e direito adquirido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Processo paradigma: 5000345-04.2021.4.04.7013/PR | Rel. Juiz Federal Giovani Bigolin</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Tese fixada: "O benefício de auxílio-reclusão concedido para fatos geradores anteriores a 18 de janeiro de 2019 (data de vigência da MP 871) permanece mesmo em caso de progressão do regime fechado para o semiaberto (inclusive em caso de monitoramento eletrônico)."</w:t>
            </w:r>
          </w:p>
          <w:p>
            <w:pPr>
              <w:spacing w:before="0" w:after="60" w:line="247" w:lineRule="auto"/>
              <w:jc w:val="both"/>
            </w:pPr>
            <w:r>
              <w:rPr>
                <w:rFonts w:ascii="EB Garamond" w:hAnsi="EB Garamond" w:cs="EB Garamond"/>
                <w:b/>
                <w:i w:val="0"/>
                <w:color w:val="201B16"/>
                <w:sz w:val="19"/>
                <w:lang w:val="pt-BR" w:bidi="ar-SA"/>
                <w:kern w:val="16"/>
                <w14:ligatures w14:val="standardContextual"/>
              </w:rPr>
              <w:t>Fundamento:</w:t>
            </w:r>
            <w:r>
              <w:rPr>
                <w:rFonts w:ascii="EB Garamond" w:hAnsi="EB Garamond" w:cs="EB Garamond"/>
                <w:b w:val="0"/>
                <w:i w:val="0"/>
                <w:color w:val="201B16"/>
                <w:sz w:val="19"/>
                <w:lang w:val="pt-BR" w:bidi="ar-SA"/>
                <w:kern w:val="16"/>
                <w14:ligatures w14:val="standardContextual"/>
              </w:rPr>
              <w:t xml:space="preserve"> As alterações legislativas da MP 871/2019 não podem retroagir para prejudicar direitos adquiridos. Aplicação do princípio tempus regit actum.</w:t>
            </w:r>
          </w:p>
          <w:p>
            <w:pPr>
              <w:spacing w:before="0" w:after="60" w:line="247" w:lineRule="auto"/>
              <w:jc w:val="both"/>
            </w:pPr>
            <w:r>
              <w:rPr>
                <w:rFonts w:ascii="EB Garamond" w:hAnsi="EB Garamond" w:cs="EB Garamond"/>
                <w:b/>
                <w:i w:val="0"/>
                <w:color w:val="201B16"/>
                <w:sz w:val="19"/>
                <w:lang w:val="pt-BR" w:bidi="ar-SA"/>
                <w:kern w:val="16"/>
                <w14:ligatures w14:val="standardContextual"/>
              </w:rPr>
              <w:t>Aplicação prática:</w:t>
            </w:r>
            <w:r>
              <w:rPr>
                <w:rFonts w:ascii="EB Garamond" w:hAnsi="EB Garamond" w:cs="EB Garamond"/>
                <w:b w:val="0"/>
                <w:i w:val="0"/>
                <w:color w:val="201B16"/>
                <w:sz w:val="19"/>
                <w:lang w:val="pt-BR" w:bidi="ar-SA"/>
                <w:kern w:val="16"/>
                <w14:ligatures w14:val="standardContextual"/>
              </w:rPr>
              <w:t xml:space="preserve"> - Preso antes de 18/01/2019 → regime antigo → semiaberto com monitoração = AR mantido - Preso a partir de 18/01/2019 → regime novo → art. 80 exige regime fechado → semiaberto com monitoração = AR cessado (salvo tese de inconstitucionalidade do art. 80 frente à CF)</w:t>
            </w:r>
          </w:p>
          <w:p>
            <w:pPr>
              <w:spacing w:before="0" w:after="60" w:line="247" w:lineRule="auto"/>
              <w:jc w:val="both"/>
            </w:pPr>
            <w:r>
              <w:rPr>
                <w:rFonts w:ascii="EB Garamond" w:hAnsi="EB Garamond" w:cs="EB Garamond"/>
                <w:b/>
                <w:i w:val="0"/>
                <w:color w:val="201B16"/>
                <w:sz w:val="19"/>
                <w:lang w:val="pt-BR" w:bidi="ar-SA"/>
                <w:kern w:val="16"/>
                <w14:ligatures w14:val="standardContextual"/>
              </w:rPr>
              <w:t>Divergência residual nos TRFs:</w:t>
            </w:r>
            <w:r>
              <w:rPr>
                <w:rFonts w:ascii="EB Garamond" w:hAnsi="EB Garamond" w:cs="EB Garamond"/>
                <w:b w:val="0"/>
                <w:i w:val="0"/>
                <w:color w:val="201B16"/>
                <w:sz w:val="19"/>
                <w:lang w:val="pt-BR" w:bidi="ar-SA"/>
                <w:kern w:val="16"/>
                <w14:ligatures w14:val="standardContextual"/>
              </w:rPr>
              <w:t xml:space="preserve"> - Monitoração como alternativa à prisão preventiva: posição majoritária = NÃO gera AR - Monitoração como controle adicional no regime fechado: posição unânime = AR mantido - Monitoração no semiaberto (pós-2019): depende da tese sobre constitucionalidade do art. 80</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C</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omplementarmente, o </w:t>
      </w:r>
      <w:r>
        <w:rPr>
          <w:rFonts w:ascii="EB Garamond" w:hAnsi="EB Garamond" w:cs="EB Garamond"/>
          <w:b/>
          <w:i w:val="0"/>
          <w:color w:val="201B16"/>
          <w:sz w:val="21"/>
          <w:lang w:val="pt-BR" w:bidi="ar-SA"/>
          <w:kern w:val="16"/>
          <w14:ligatures w14:val="standardContextual"/>
        </w:rPr>
        <w:t>STJ</w:t>
      </w:r>
      <w:r>
        <w:rPr>
          <w:rFonts w:ascii="EB Garamond" w:hAnsi="EB Garamond" w:cs="EB Garamond"/>
          <w:b w:val="0"/>
          <w:i w:val="0"/>
          <w:color w:val="201B16"/>
          <w:sz w:val="21"/>
          <w:lang w:val="pt-BR" w:bidi="ar-SA"/>
          <w:kern w:val="16"/>
          <w14:ligatures w14:val="standardContextual"/>
        </w:rPr>
        <w:t xml:space="preserve"> (REsp 1.672.295/RS, Rel. Min. Gurgel de Faria, 1ª Turma, 17/10/2017, Informativo 614) firmou que o auxílio-reclusão é devido aos dependentes do segurado mesmo quando a execução da pena ocorre em </w:t>
      </w:r>
      <w:r>
        <w:rPr>
          <w:rFonts w:ascii="EB Garamond" w:hAnsi="EB Garamond" w:cs="EB Garamond"/>
          <w:b/>
          <w:i w:val="0"/>
          <w:color w:val="201B16"/>
          <w:sz w:val="21"/>
          <w:lang w:val="pt-BR" w:bidi="ar-SA"/>
          <w:kern w:val="16"/>
          <w14:ligatures w14:val="standardContextual"/>
        </w:rPr>
        <w:t>prisão domiciliar</w:t>
      </w:r>
      <w:r>
        <w:rPr>
          <w:rFonts w:ascii="EB Garamond" w:hAnsi="EB Garamond" w:cs="EB Garamond"/>
          <w:b w:val="0"/>
          <w:i w:val="0"/>
          <w:color w:val="201B16"/>
          <w:sz w:val="21"/>
          <w:lang w:val="pt-BR" w:bidi="ar-SA"/>
          <w:kern w:val="16"/>
          <w14:ligatures w14:val="standardContextual"/>
        </w:rPr>
        <w:t>, desde que o regime prescrito seja fechado ou semiaberto. O critério determinante não é o local de cumprimento, mas a impossibilidade de o segurado exercer atividade remunerada livremente. A própria IN 85/2016 do INSS — hoje incorporada à IN 128/2022 — já reconhecia administrativamente esse direito.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Prisão domiciliar.</w:t>
      </w:r>
      <w:r>
        <w:rPr>
          <w:rFonts w:ascii="EB Garamond" w:hAnsi="EB Garamond" w:cs="EB Garamond"/>
          <w:b w:val="0"/>
          <w:i w:val="0"/>
          <w:color w:val="201B16"/>
          <w:sz w:val="21"/>
          <w:lang w:val="pt-BR" w:bidi="ar-SA"/>
          <w:kern w:val="16"/>
          <w14:ligatures w14:val="standardContextual"/>
        </w:rPr>
        <w:t xml:space="preserve"> A prisão domiciliar apresenta complexidade adicional. A LEP (art. 117) prevê prisão domiciliar para condenados em regime aberto em situações específicas (maior de 70 anos, acometido de doença grave, gestante, mãe ou responsável por criança ou deficiente). O Pacote Anticrime (Lei 13.964/2019) ampliou as hipóteses. A prisão domiciliar também pode ser concedida como substitutiva da prisão preventiva (art. 318, CPP) para gestantes, mães de crianças até 12 anos e outras hipóteses.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natureza jurídica da prisão domiciliar é determinante para o auxílio-reclusão: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Prisão domiciliar substitutiva do regime aberto</w:t>
      </w:r>
      <w:r>
        <w:rPr>
          <w:rFonts w:ascii="EB Garamond" w:hAnsi="EB Garamond" w:cs="EB Garamond"/>
          <w:b w:val="0"/>
          <w:i w:val="0"/>
          <w:color w:val="201B16"/>
          <w:sz w:val="21"/>
          <w:lang w:val="pt-BR" w:bidi="ar-SA"/>
          <w:kern w:val="16"/>
          <w14:ligatures w14:val="standardContextual"/>
        </w:rPr>
        <w:t xml:space="preserve"> (art. 117, LEP): Não gera direito ao AR, pois o preso está juridicamente em regime aberto, vedado pela EC 103/2019.</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Prisão domiciliar substitutiva da prisão preventiva</w:t>
      </w:r>
      <w:r>
        <w:rPr>
          <w:rFonts w:ascii="EB Garamond" w:hAnsi="EB Garamond" w:cs="EB Garamond"/>
          <w:b w:val="0"/>
          <w:i w:val="0"/>
          <w:color w:val="201B16"/>
          <w:sz w:val="21"/>
          <w:lang w:val="pt-BR" w:bidi="ar-SA"/>
          <w:kern w:val="16"/>
          <w14:ligatures w14:val="standardContextual"/>
        </w:rPr>
        <w:t xml:space="preserve"> (art. 318, CPP): Controvérsia. A posição predominante é de que não gera direito ao AR, pois o preso não está efetivamente recolhido em estabelecimento penal. Porém, há decisões reconhecendo o direito quando a prisão domiciliar é rigorosa, com controle efetivo (monitoração eletrônica, proibição de saída).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Prisão domiciliar como modalidade do regime semiaberto</w:t>
      </w:r>
      <w:r>
        <w:rPr>
          <w:rFonts w:ascii="EB Garamond" w:hAnsi="EB Garamond" w:cs="EB Garamond"/>
          <w:b w:val="0"/>
          <w:i w:val="0"/>
          <w:color w:val="201B16"/>
          <w:sz w:val="21"/>
          <w:lang w:val="pt-BR" w:bidi="ar-SA"/>
          <w:kern w:val="16"/>
          <w14:ligatures w14:val="standardContextual"/>
        </w:rPr>
        <w:t xml:space="preserve"> (em interpretações mais recentes): Alguns juízes da execução penal, diante da superlotação carcerária, concedem prisão domiciliar a presos do regime semiaberto. Nessa hipótese, o preso juridicamente está em regime semiaberto (com direito ao AR), embora fisicamente não esteja em estabelecimento penal.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Prisão domiciliar: distinção fundamental</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 xml:space="preserve">Para fins de auxílio-reclusão, o que importa é o </w:t>
            </w:r>
            <w:r>
              <w:rPr>
                <w:rFonts w:ascii="EB Garamond" w:hAnsi="EB Garamond" w:cs="EB Garamond"/>
                <w:b/>
                <w:i w:val="0"/>
                <w:color w:val="201B16"/>
                <w:sz w:val="19"/>
                <w:lang w:val="pt-BR" w:bidi="ar-SA"/>
                <w:kern w:val="16"/>
                <w14:ligatures w14:val="standardContextual"/>
              </w:rPr>
              <w:t>regime prisional jurídico</w:t>
            </w:r>
            <w:r>
              <w:rPr>
                <w:rFonts w:ascii="EB Garamond" w:hAnsi="EB Garamond" w:cs="EB Garamond"/>
                <w:b w:val="0"/>
                <w:i w:val="0"/>
                <w:color w:val="201B16"/>
                <w:sz w:val="19"/>
                <w:lang w:val="pt-BR" w:bidi="ar-SA"/>
                <w:kern w:val="16"/>
                <w14:ligatures w14:val="standardContextual"/>
              </w:rPr>
              <w:t>, não o local físico do cumprimento:</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Situação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Regime jurídico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Direito ao AR?</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Prisão domiciliar substitutiva do regime aberto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Aberto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NÃO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Prisão domiciliar substitutiva da preventiva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Cautelar (equivalente a fechado)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Controvérsia</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Prisão domiciliar para semiaberto (superlotação)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Semiaberto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SIM</w:t>
                  </w:r>
                  <w:r>
                    <w:rPr>
                      <w:rFonts w:ascii="EB Garamond" w:hAnsi="EB Garamond" w:cs="EB Garamond"/>
                      <w:b w:val="0"/>
                      <w:i w:val="0"/>
                      <w:color w:val="201B16"/>
                      <w:sz w:val="16"/>
                      <w:lang w:val="pt-BR" w:bidi="ar-SA"/>
                      <w:kern w:val="16"/>
                      <w14:ligatures w14:val="standardContextual"/>
                    </w:rPr>
                    <w:t xml:space="preserve"> (posição majoritária)</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Prisão domiciliar com monitoração (medida cautelar alternativa)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Sem regime definido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NÃO</w:t>
                  </w:r>
                  <w:r>
                    <w:rPr>
                      <w:rFonts w:ascii="EB Garamond" w:hAnsi="EB Garamond" w:cs="EB Garamond"/>
                      <w:b w:val="0"/>
                      <w:i w:val="0"/>
                      <w:color w:val="201B16"/>
                      <w:sz w:val="16"/>
                      <w:lang w:val="pt-BR" w:bidi="ar-SA"/>
                      <w:kern w:val="16"/>
                      <w14:ligatures w14:val="standardContextual"/>
                    </w:rPr>
                    <w:t xml:space="preserve"> (posição majoritária)</w:t>
                  </w:r>
                </w:p>
              </w:tc>
            </w:tr>
          </w:tbl>
          <w:p/>
          <w:p>
            <w:pPr>
              <w:spacing w:before="0" w:after="0" w:line="240" w:lineRule="auto"/>
            </w:pPr>
          </w:p>
          <w:p>
            <w:pPr>
              <w:spacing w:before="0" w:after="60" w:line="247" w:lineRule="auto"/>
              <w:jc w:val="both"/>
            </w:pPr>
            <w:r>
              <w:rPr>
                <w:rFonts w:ascii="EB Garamond" w:hAnsi="EB Garamond" w:cs="EB Garamond"/>
                <w:b/>
                <w:i w:val="0"/>
                <w:color w:val="201B16"/>
                <w:sz w:val="19"/>
                <w:lang w:val="pt-BR" w:bidi="ar-SA"/>
                <w:kern w:val="16"/>
                <w14:ligatures w14:val="standardContextual"/>
              </w:rPr>
              <w:t>Dica prática:</w:t>
            </w:r>
            <w:r>
              <w:rPr>
                <w:rFonts w:ascii="EB Garamond" w:hAnsi="EB Garamond" w:cs="EB Garamond"/>
                <w:b w:val="0"/>
                <w:i w:val="0"/>
                <w:color w:val="201B16"/>
                <w:sz w:val="19"/>
                <w:lang w:val="pt-BR" w:bidi="ar-SA"/>
                <w:kern w:val="16"/>
                <w14:ligatures w14:val="standardContextual"/>
              </w:rPr>
              <w:t xml:space="preserve"> Sempre verificar a </w:t>
            </w:r>
            <w:r>
              <w:rPr>
                <w:rFonts w:ascii="EB Garamond" w:hAnsi="EB Garamond" w:cs="EB Garamond"/>
                <w:b/>
                <w:i w:val="0"/>
                <w:color w:val="201B16"/>
                <w:sz w:val="19"/>
                <w:lang w:val="pt-BR" w:bidi="ar-SA"/>
                <w:kern w:val="16"/>
                <w14:ligatures w14:val="standardContextual"/>
              </w:rPr>
              <w:t>decisão judicial</w:t>
            </w:r>
            <w:r>
              <w:rPr>
                <w:rFonts w:ascii="EB Garamond" w:hAnsi="EB Garamond" w:cs="EB Garamond"/>
                <w:b w:val="0"/>
                <w:i w:val="0"/>
                <w:color w:val="201B16"/>
                <w:sz w:val="19"/>
                <w:lang w:val="pt-BR" w:bidi="ar-SA"/>
                <w:kern w:val="16"/>
                <w14:ligatures w14:val="standardContextual"/>
              </w:rPr>
              <w:t xml:space="preserve"> que concedeu a prisão domiciliar para identificar o regime jurídico aplicável. A certidão do juízo da execução ou do juízo criminal deve especificar o regime.</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14.12 Dependentes e prova de dependência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 dependentes do segurado recolhido à prisão são os mesmos previstos no art. 16 da Lei 8.213/91, nas três classes analisadas no Capítulo 2, ao qual remetemos o leitor para o tratamento completo das regras de presunção, comprovação e hierarquia de dependência. O auxílio-reclusão segue a mesma sistemática aplicável à pensão por morte (Cap. 19). A análise a seguir concentra-se nas particularidades que o contexto do encarceramento impõe à prova de dependência.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Prova de união estável no contexto do encarceramento.</w:t>
      </w:r>
      <w:r>
        <w:rPr>
          <w:rFonts w:ascii="EB Garamond" w:hAnsi="EB Garamond" w:cs="EB Garamond"/>
          <w:b w:val="0"/>
          <w:i w:val="0"/>
          <w:color w:val="201B16"/>
          <w:sz w:val="21"/>
          <w:lang w:val="pt-BR" w:bidi="ar-SA"/>
          <w:kern w:val="16"/>
          <w14:ligatures w14:val="standardContextual"/>
        </w:rPr>
        <w:t xml:space="preserve"> A prova de união estável é o ponto mais sensível na prática do auxílio-reclusão. Companheiras de presos frequentemente não possuem documentação formal da união. A jurisprudência, atenta a essa realidade, admite meios de prova diversificados: certidão de nascimento de filhos em comum, fotografias, correspondências, comprovante de endereço compartilhado e registros em redes sociais. A companheira que iniciou o relacionamento durante a reclusão enfrenta dificuldade probatória ainda maior, mas a jurisprudência dos JEFs tem admitido: inscrição como visitante regular no sistema penitenciário, certidão de visitação periódica, certidão de casamento realizado dentro do presídio e declarações testemunhais. O advogado deve orientar a companheira sobre a importância da documentação, idealmente obtendo declaração de união estável formalizada perante tabelião.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Duração do benefício para cônjuge/companheiro(a).</w:t>
      </w:r>
      <w:r>
        <w:rPr>
          <w:rFonts w:ascii="EB Garamond" w:hAnsi="EB Garamond" w:cs="EB Garamond"/>
          <w:b w:val="0"/>
          <w:i w:val="0"/>
          <w:color w:val="201B16"/>
          <w:sz w:val="21"/>
          <w:lang w:val="pt-BR" w:bidi="ar-SA"/>
          <w:kern w:val="16"/>
          <w14:ligatures w14:val="standardContextual"/>
        </w:rPr>
        <w:t xml:space="preserve"> Quando o segurado preso possui 18 ou mais contribuições mensais, o auxílio-reclusão do cônjuge ou companheiro(a) segue as mesmas regras de duração escalonada da pensão por morte, conforme a idade do dependente na data do fato gerador (art. 77, § 2º, V, "c", Lei 8.213/91, com redação da Lei 13.135/2015). Se o segurado não possuir 18 contribuições, a duração do AR para o cônjuge é de apenas 4 meses. A duração escalonada varia conforme a idade do cônjuge/companheiro na data da prisão:</w:t>
      </w:r>
    </w:p>
    <w:tbl>
      <w:tblPr>
        <w:tblW w:type="auto" w:w="0"/>
        <w:jc w:val="center"/>
        <w:tblLook w:firstColumn="1" w:firstRow="1" w:lastColumn="0" w:lastRow="0" w:noHBand="0" w:noVBand="1" w:val="04A0"/>
        <w:tblW w:w="5000" w:type="pct"/>
      </w:tblPr>
      <w:tblGrid>
        <w:gridCol w:w="3175"/>
        <w:gridCol w:w="3175"/>
      </w:tblGrid>
      <w:tr>
        <w:trPr>
          <w:tblHeader/>
        </w:trPr>
        <w:tc>
          <w:tcPr>
            <w:tcW w:type="dxa" w:w="3175"/>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Idade do dependente na data da prisão</w:t>
            </w:r>
          </w:p>
        </w:tc>
        <w:tc>
          <w:tcPr>
            <w:tcW w:type="dxa" w:w="3175"/>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Duração do AR</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Menos de 21 anos</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3 anos</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Entre 21 e 26 anos</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 anos</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Entre 27 e 29 anos</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 anos</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Entre 30 e 40 anos</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15 anos</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Entre 41 e 43 anos</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 anos</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44 anos ou mais</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Enquanto durar a reclusão</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E</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ssa limitação temporal significa que o cônjuge jovem pode ter o AR cessado antes mesmo da soltura do preso — situação que, combinada com a longa duração das penas no sistema penal brasileiro, pode deixar a família desprotegida.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Classes II e III (pais e irmãos).</w:t>
      </w:r>
      <w:r>
        <w:rPr>
          <w:rFonts w:ascii="EB Garamond" w:hAnsi="EB Garamond" w:cs="EB Garamond"/>
          <w:b w:val="0"/>
          <w:i w:val="0"/>
          <w:color w:val="201B16"/>
          <w:sz w:val="21"/>
          <w:lang w:val="pt-BR" w:bidi="ar-SA"/>
          <w:kern w:val="16"/>
          <w14:ligatures w14:val="standardContextual"/>
        </w:rPr>
        <w:t xml:space="preserve"> A comprovação de dependência econômica segue as regras gerais do Capítulo 2. Na prática dos JEFs, pais idosos e sem renda própria que dependiam do filho preso são os casos mais frequentes de Classe II.</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Rateio entre dependentes.</w:t>
      </w:r>
      <w:r>
        <w:rPr>
          <w:rFonts w:ascii="EB Garamond" w:hAnsi="EB Garamond" w:cs="EB Garamond"/>
          <w:b w:val="0"/>
          <w:i w:val="0"/>
          <w:color w:val="201B16"/>
          <w:sz w:val="21"/>
          <w:lang w:val="pt-BR" w:bidi="ar-SA"/>
          <w:kern w:val="16"/>
          <w14:ligatures w14:val="standardContextual"/>
        </w:rPr>
        <w:t xml:space="preserve"> O auxílio-reclusão é rateado em partes iguais entre os dependentes da mesma classe. A cessação da cota de um dependente reverte a parcela para os demais da mesma classe. A inclusão de dependente tardio (filho nascido durante a reclusão) acarreta novo rateio desde a data do nascimento, se requerido no prazo de 90 dias.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Documentos para prova de dependência do preso</w:t>
            </w:r>
          </w:p>
          <w:p>
            <w:pPr>
              <w:spacing w:before="0" w:after="60" w:line="247" w:lineRule="auto"/>
              <w:jc w:val="both"/>
            </w:pPr>
            <w:r>
              <w:rPr>
                <w:rFonts w:ascii="EB Garamond" w:hAnsi="EB Garamond" w:cs="EB Garamond"/>
                <w:b/>
                <w:i w:val="0"/>
                <w:color w:val="201B16"/>
                <w:sz w:val="19"/>
                <w:lang w:val="pt-BR" w:bidi="ar-SA"/>
                <w:kern w:val="16"/>
                <w14:ligatures w14:val="standardContextual"/>
              </w:rPr>
              <w:t>Cônjuge:</w:t>
            </w:r>
            <w:r>
              <w:rPr>
                <w:rFonts w:ascii="EB Garamond" w:hAnsi="EB Garamond" w:cs="EB Garamond"/>
                <w:b w:val="0"/>
                <w:i w:val="0"/>
                <w:color w:val="201B16"/>
                <w:sz w:val="19"/>
                <w:lang w:val="pt-BR" w:bidi="ar-SA"/>
                <w:kern w:val="16"/>
                <w14:ligatures w14:val="standardContextual"/>
              </w:rPr>
              <w:t xml:space="preserve"> - Certidão de casamento (atualizada, com menos de 12 meses) - RG e CPF do requerente e do segurado</w:t>
            </w:r>
          </w:p>
          <w:p>
            <w:pPr>
              <w:spacing w:before="0" w:after="60" w:line="247" w:lineRule="auto"/>
              <w:jc w:val="both"/>
            </w:pPr>
            <w:r>
              <w:rPr>
                <w:rFonts w:ascii="EB Garamond" w:hAnsi="EB Garamond" w:cs="EB Garamond"/>
                <w:b/>
                <w:i w:val="0"/>
                <w:color w:val="201B16"/>
                <w:sz w:val="19"/>
                <w:lang w:val="pt-BR" w:bidi="ar-SA"/>
                <w:kern w:val="16"/>
                <w14:ligatures w14:val="standardContextual"/>
              </w:rPr>
              <w:t>Companheiro(a), provas aceitas:</w:t>
            </w:r>
            <w:r>
              <w:rPr>
                <w:rFonts w:ascii="EB Garamond" w:hAnsi="EB Garamond" w:cs="EB Garamond"/>
                <w:b w:val="0"/>
                <w:i w:val="0"/>
                <w:color w:val="201B16"/>
                <w:sz w:val="19"/>
                <w:lang w:val="pt-BR" w:bidi="ar-SA"/>
                <w:kern w:val="16"/>
                <w14:ligatures w14:val="standardContextual"/>
              </w:rPr>
              <w:t xml:space="preserve"> - Escritura pública de união estável - Certidão de nascimento de filhos em comum - Declaração do Imposto de Renda com dependente - Conta bancária conjunta - Apólice de seguro com indicação de beneficiário - Certidão de visitante do sistema penitenciário (prova relevante) - Comprovante de endereço comum anterior à prisão - Fotos do casal (com metadados de data, se digital) - Declarações de testemunhas (mínimo 3)</w:t>
            </w:r>
          </w:p>
          <w:p>
            <w:pPr>
              <w:spacing w:before="0" w:after="60" w:line="247" w:lineRule="auto"/>
              <w:jc w:val="both"/>
            </w:pPr>
            <w:r>
              <w:rPr>
                <w:rFonts w:ascii="EB Garamond" w:hAnsi="EB Garamond" w:cs="EB Garamond"/>
                <w:b/>
                <w:i w:val="0"/>
                <w:color w:val="201B16"/>
                <w:sz w:val="19"/>
                <w:lang w:val="pt-BR" w:bidi="ar-SA"/>
                <w:kern w:val="16"/>
                <w14:ligatures w14:val="standardContextual"/>
              </w:rPr>
              <w:t>Filhos:</w:t>
            </w:r>
            <w:r>
              <w:rPr>
                <w:rFonts w:ascii="EB Garamond" w:hAnsi="EB Garamond" w:cs="EB Garamond"/>
                <w:b w:val="0"/>
                <w:i w:val="0"/>
                <w:color w:val="201B16"/>
                <w:sz w:val="19"/>
                <w:lang w:val="pt-BR" w:bidi="ar-SA"/>
                <w:kern w:val="16"/>
                <w14:ligatures w14:val="standardContextual"/>
              </w:rPr>
              <w:t xml:space="preserve"> - Certidão de nascimento (presunção absoluta de dependência se menor de 21 anos) - Para filho inválido/deficiente: laudo médico + certidão de nascimento</w:t>
            </w:r>
          </w:p>
          <w:p>
            <w:pPr>
              <w:spacing w:before="0" w:after="60" w:line="247" w:lineRule="auto"/>
              <w:jc w:val="both"/>
            </w:pPr>
            <w:r>
              <w:rPr>
                <w:rFonts w:ascii="EB Garamond" w:hAnsi="EB Garamond" w:cs="EB Garamond"/>
                <w:b/>
                <w:i w:val="0"/>
                <w:color w:val="201B16"/>
                <w:sz w:val="19"/>
                <w:lang w:val="pt-BR" w:bidi="ar-SA"/>
                <w:kern w:val="16"/>
                <w14:ligatures w14:val="standardContextual"/>
              </w:rPr>
              <w:t>Para TODAS as classes:</w:t>
            </w:r>
            <w:r>
              <w:rPr>
                <w:rFonts w:ascii="EB Garamond" w:hAnsi="EB Garamond" w:cs="EB Garamond"/>
                <w:b w:val="0"/>
                <w:i w:val="0"/>
                <w:color w:val="201B16"/>
                <w:sz w:val="19"/>
                <w:lang w:val="pt-BR" w:bidi="ar-SA"/>
                <w:kern w:val="16"/>
                <w14:ligatures w14:val="standardContextual"/>
              </w:rPr>
              <w:t xml:space="preserve"> - CNIS do segurado preso - Certidão de recolhimento à prisão (com data, estabelecimento e regime) - CNIS e holerites para aferição da média dos 12 últimos salários de contribuição</w:t>
            </w: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Companheira × cônjuge do preso: conflito frequente</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Situação comum nos JEFs: o segurado preso é casado formalmente com uma pessoa e mantém união estável com outra. Ambas requerem o auxílio-reclusão.</w:t>
            </w:r>
          </w:p>
          <w:p>
            <w:pPr>
              <w:spacing w:before="0" w:after="60" w:line="247" w:lineRule="auto"/>
              <w:jc w:val="both"/>
            </w:pPr>
            <w:r>
              <w:rPr>
                <w:rFonts w:ascii="EB Garamond" w:hAnsi="EB Garamond" w:cs="EB Garamond"/>
                <w:b/>
                <w:i w:val="0"/>
                <w:color w:val="201B16"/>
                <w:sz w:val="19"/>
                <w:lang w:val="pt-BR" w:bidi="ar-SA"/>
                <w:kern w:val="16"/>
                <w14:ligatures w14:val="standardContextual"/>
              </w:rPr>
              <w:t>Regra:</w:t>
            </w:r>
            <w:r>
              <w:rPr>
                <w:rFonts w:ascii="EB Garamond" w:hAnsi="EB Garamond" w:cs="EB Garamond"/>
                <w:b w:val="0"/>
                <w:i w:val="0"/>
                <w:color w:val="201B16"/>
                <w:sz w:val="19"/>
                <w:lang w:val="pt-BR" w:bidi="ar-SA"/>
                <w:kern w:val="16"/>
                <w14:ligatures w14:val="standardContextual"/>
              </w:rPr>
              <w:t xml:space="preserve"> O benefício é rateado entre as dependentes que comprovarem o vínculo, na proporção legal.</w:t>
            </w:r>
          </w:p>
          <w:p>
            <w:pPr>
              <w:spacing w:before="0" w:after="60" w:line="247" w:lineRule="auto"/>
              <w:jc w:val="both"/>
            </w:pPr>
            <w:r>
              <w:rPr>
                <w:rFonts w:ascii="EB Garamond" w:hAnsi="EB Garamond" w:cs="EB Garamond"/>
                <w:b/>
                <w:i w:val="0"/>
                <w:color w:val="201B16"/>
                <w:sz w:val="19"/>
                <w:lang w:val="pt-BR" w:bidi="ar-SA"/>
                <w:kern w:val="16"/>
                <w14:ligatures w14:val="standardContextual"/>
              </w:rPr>
              <w:t>No cotidiano dos JEFs:</w:t>
            </w:r>
            <w:r>
              <w:rPr>
                <w:rFonts w:ascii="EB Garamond" w:hAnsi="EB Garamond" w:cs="EB Garamond"/>
                <w:b w:val="0"/>
                <w:i w:val="0"/>
                <w:color w:val="201B16"/>
                <w:sz w:val="19"/>
                <w:lang w:val="pt-BR" w:bidi="ar-SA"/>
                <w:kern w:val="16"/>
                <w14:ligatures w14:val="standardContextual"/>
              </w:rPr>
              <w:t xml:space="preserve"> 1. Se há separação de fato comprovada + nova união estável: a companheira tem preferência 2. Se não há separação de fato documentada: rateio entre cônjuge e companheira 3. O INSS frequentemente rejeita a companheira quando há cônjuge, impugne judicialmente 4. O ônus de provar a separação de fato é da companheira que alega a nova união 5. A existência de filhos em comum com a companheira é indício forte de união estável</w:t>
            </w:r>
          </w:p>
          <w:p>
            <w:pPr>
              <w:spacing w:before="0" w:after="60" w:line="247" w:lineRule="auto"/>
              <w:jc w:val="both"/>
            </w:pPr>
            <w:r>
              <w:rPr>
                <w:rFonts w:ascii="EB Garamond" w:hAnsi="EB Garamond" w:cs="EB Garamond"/>
                <w:b/>
                <w:i w:val="0"/>
                <w:color w:val="201B16"/>
                <w:sz w:val="19"/>
                <w:lang w:val="pt-BR" w:bidi="ar-SA"/>
                <w:kern w:val="16"/>
                <w14:ligatures w14:val="standardContextual"/>
              </w:rPr>
              <w:t>Ponto crítico:</w:t>
            </w:r>
            <w:r>
              <w:rPr>
                <w:rFonts w:ascii="EB Garamond" w:hAnsi="EB Garamond" w:cs="EB Garamond"/>
                <w:b w:val="0"/>
                <w:i w:val="0"/>
                <w:color w:val="201B16"/>
                <w:sz w:val="19"/>
                <w:lang w:val="pt-BR" w:bidi="ar-SA"/>
                <w:kern w:val="16"/>
                <w14:ligatures w14:val="standardContextual"/>
              </w:rPr>
              <w:t xml:space="preserve"> Filhos de ambas as relações são dependentes independentes, o rateio entre as mulheres não afeta a cota dos filhos menores.</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14.13 Valor do benefício: regime antigo e atual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valor do auxílio-reclusão sofreu radical transformação com a EC 103/2019, passando de um modelo proporcional à renda do segurado para um valor fixo de um salário-mínimo.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Regime antigo (fatos geradores anteriores a 13/11/2019).</w:t>
      </w:r>
      <w:r>
        <w:rPr>
          <w:rFonts w:ascii="EB Garamond" w:hAnsi="EB Garamond" w:cs="EB Garamond"/>
          <w:b w:val="0"/>
          <w:i w:val="0"/>
          <w:color w:val="201B16"/>
          <w:sz w:val="21"/>
          <w:lang w:val="pt-BR" w:bidi="ar-SA"/>
          <w:kern w:val="16"/>
          <w14:ligatures w14:val="standardContextual"/>
        </w:rPr>
        <w:t xml:space="preserve"> No regime anterior à EC 103/2019, o auxílio-reclusão era calculado </w:t>
      </w:r>
      <w:r>
        <w:rPr>
          <w:rFonts w:ascii="EB Garamond" w:hAnsi="EB Garamond" w:cs="EB Garamond"/>
          <w:b/>
          <w:i w:val="0"/>
          <w:color w:val="201B16"/>
          <w:sz w:val="21"/>
          <w:lang w:val="pt-BR" w:bidi="ar-SA"/>
          <w:kern w:val="16"/>
          <w14:ligatures w14:val="standardContextual"/>
        </w:rPr>
        <w:t>exatamente como a aposentadoria por invalidez</w:t>
      </w:r>
      <w:r>
        <w:rPr>
          <w:rFonts w:ascii="EB Garamond" w:hAnsi="EB Garamond" w:cs="EB Garamond"/>
          <w:b w:val="0"/>
          <w:i w:val="0"/>
          <w:color w:val="201B16"/>
          <w:sz w:val="21"/>
          <w:lang w:val="pt-BR" w:bidi="ar-SA"/>
          <w:kern w:val="16"/>
          <w14:ligatures w14:val="standardContextual"/>
        </w:rPr>
        <w:t xml:space="preserve"> (hoje aposentadoria por incapacidade permanente) a que o segurado teria direito na data do recolhimento à prisão, na forma do art. 80 c/c o art. 29 da Lei 8.213/91. Isso significa </w:t>
      </w:r>
      <w:r>
        <w:rPr>
          <w:rFonts w:ascii="EB Garamond" w:hAnsi="EB Garamond" w:cs="EB Garamond"/>
          <w:b/>
          <w:i w:val="0"/>
          <w:color w:val="201B16"/>
          <w:sz w:val="21"/>
          <w:lang w:val="pt-BR" w:bidi="ar-SA"/>
          <w:kern w:val="16"/>
          <w14:ligatures w14:val="standardContextual"/>
        </w:rPr>
        <w:t>100% do salário de benefício</w:t>
      </w:r>
      <w:r>
        <w:rPr>
          <w:rFonts w:ascii="EB Garamond" w:hAnsi="EB Garamond" w:cs="EB Garamond"/>
          <w:b w:val="0"/>
          <w:i w:val="0"/>
          <w:color w:val="201B16"/>
          <w:sz w:val="21"/>
          <w:lang w:val="pt-BR" w:bidi="ar-SA"/>
          <w:kern w:val="16"/>
          <w14:ligatures w14:val="standardContextual"/>
        </w:rPr>
        <w:t xml:space="preserve"> — não havia, portanto, redução percentual do próprio auxílio-reclusão por faixas de renda. O valor era proporcional à contribuição do segurado (refletindo o princípio contributivo): variava conforme o salário de benefício, mas sempre na proporção integral de 100% deste, observados o piso de 1 SM e o teto do RGPS. Convém não confundir esse cálculo com o </w:t>
      </w:r>
      <w:r>
        <w:rPr>
          <w:rFonts w:ascii="EB Garamond" w:hAnsi="EB Garamond" w:cs="EB Garamond"/>
          <w:b/>
          <w:i w:val="0"/>
          <w:color w:val="201B16"/>
          <w:sz w:val="21"/>
          <w:lang w:val="pt-BR" w:bidi="ar-SA"/>
          <w:kern w:val="16"/>
          <w14:ligatures w14:val="standardContextual"/>
        </w:rPr>
        <w:t>escalonamento por faixas de renda</w:t>
      </w:r>
      <w:r>
        <w:rPr>
          <w:rFonts w:ascii="EB Garamond" w:hAnsi="EB Garamond" w:cs="EB Garamond"/>
          <w:b w:val="0"/>
          <w:i w:val="0"/>
          <w:color w:val="201B16"/>
          <w:sz w:val="21"/>
          <w:lang w:val="pt-BR" w:bidi="ar-SA"/>
          <w:kern w:val="16"/>
          <w14:ligatures w14:val="standardContextual"/>
        </w:rPr>
        <w:t xml:space="preserve">, que é fenômeno do </w:t>
      </w:r>
      <w:r>
        <w:rPr>
          <w:rFonts w:ascii="EB Garamond" w:hAnsi="EB Garamond" w:cs="EB Garamond"/>
          <w:b w:val="0"/>
          <w:i/>
          <w:color w:val="201B16"/>
          <w:sz w:val="21"/>
          <w:lang w:val="pt-BR" w:bidi="ar-SA"/>
          <w:kern w:val="16"/>
          <w14:ligatures w14:val="standardContextual"/>
        </w:rPr>
        <w:t>valor-limite</w:t>
      </w:r>
      <w:r>
        <w:rPr>
          <w:rFonts w:ascii="EB Garamond" w:hAnsi="EB Garamond" w:cs="EB Garamond"/>
          <w:b w:val="0"/>
          <w:i w:val="0"/>
          <w:color w:val="201B16"/>
          <w:sz w:val="21"/>
          <w:lang w:val="pt-BR" w:bidi="ar-SA"/>
          <w:kern w:val="16"/>
          <w14:ligatures w14:val="standardContextual"/>
        </w:rPr>
        <w:t xml:space="preserve"> de "baixa renda" (e, em outros benefícios, do percentual da renda mensal inicial): no auxílio-reclusão do regime antigo, o percentual aplicado ao salário de benefício era único — 100% —, e o escalonamento só comparece, historicamente, na sistemática de cálculo de outros benefícios e no patamar de aferição da baixa renda, não em uma alegada redução gradual do AR.</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Regime novo (EC 103/2019).</w:t>
      </w:r>
      <w:r>
        <w:rPr>
          <w:rFonts w:ascii="EB Garamond" w:hAnsi="EB Garamond" w:cs="EB Garamond"/>
          <w:b w:val="0"/>
          <w:i w:val="0"/>
          <w:color w:val="201B16"/>
          <w:sz w:val="21"/>
          <w:lang w:val="pt-BR" w:bidi="ar-SA"/>
          <w:kern w:val="16"/>
          <w14:ligatures w14:val="standardContextual"/>
        </w:rPr>
        <w:t xml:space="preserve"> O art. 201, § 5º, da CF, com a redação dada pela EC 103/2019, fixou o valor do auxílio-reclusão em </w:t>
      </w:r>
      <w:r>
        <w:rPr>
          <w:rFonts w:ascii="EB Garamond" w:hAnsi="EB Garamond" w:cs="EB Garamond"/>
          <w:b/>
          <w:i w:val="0"/>
          <w:color w:val="201B16"/>
          <w:sz w:val="21"/>
          <w:lang w:val="pt-BR" w:bidi="ar-SA"/>
          <w:kern w:val="16"/>
          <w14:ligatures w14:val="standardContextual"/>
        </w:rPr>
        <w:t>um salário-mínimo</w:t>
      </w:r>
      <w:r>
        <w:rPr>
          <w:rFonts w:ascii="EB Garamond" w:hAnsi="EB Garamond" w:cs="EB Garamond"/>
          <w:b w:val="0"/>
          <w:i w:val="0"/>
          <w:color w:val="201B16"/>
          <w:sz w:val="21"/>
          <w:lang w:val="pt-BR" w:bidi="ar-SA"/>
          <w:kern w:val="16"/>
          <w14:ligatures w14:val="standardContextual"/>
        </w:rPr>
        <w:t xml:space="preserve"> (R$ 1.621,00 em 2026). Trata-se de valor fixo, independente da remuneração que o segurado auferia antes da prisão. O segurado que recebia R$ 500,00 e o que recebia o limite de baixa renda gerarão, ambos, auxílio-reclusão de R$ 1.621,00.</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Essa uniformização tem consequências ambivalentes. Por um lado, simplifica o cálculo e a administração do benefício. Por outro, pode gerar situações paradoxais: o dependente de segurado que recebia R$ 800,00 receberá auxílio-reclusão de R$ 1.621,00 — valor superior à remuneração que sustentava a família antes da prisão. Inversamente, o dependente de segurado que recebia R$ 1.860,00 receberá R$ 1.621,00 — valor inferior à renda anterior.</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Comparativo de valores: regime antigo × regime novo</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Aspecto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Regime antigo (pré-EC 103)</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Regime novo (pós-EC 103)</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Base de cálculo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Salário de benefício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 há (valor fixo)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Valor</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100% do salário de benefício (= aposentadoria por invalidez)</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R$ 1.621,00 (1 SM em 2026)</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Reajuste</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INPC (como benefícios em geral)</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Reajuste do SM</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Rateio entre dependentes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Sim (entre mesma classe)</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Sim (entre mesma classe)</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Valor mínimo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 SM</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 SM</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Valor máximo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Teto do RGPS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 SM</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Reflexo do 13º</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Sim</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Sim</w:t>
                  </w:r>
                </w:p>
              </w:tc>
            </w:tr>
          </w:tbl>
          <w:p/>
          <w:p>
            <w:pPr>
              <w:spacing w:before="0" w:after="0" w:line="240" w:lineRule="auto"/>
            </w:pPr>
          </w:p>
          <w:p>
            <w:pPr>
              <w:spacing w:before="0" w:after="60" w:line="247" w:lineRule="auto"/>
              <w:jc w:val="both"/>
            </w:pPr>
            <w:r>
              <w:rPr>
                <w:rFonts w:ascii="EB Garamond" w:hAnsi="EB Garamond" w:cs="EB Garamond"/>
                <w:b/>
                <w:i w:val="0"/>
                <w:color w:val="201B16"/>
                <w:sz w:val="19"/>
                <w:lang w:val="pt-BR" w:bidi="ar-SA"/>
                <w:kern w:val="16"/>
                <w14:ligatures w14:val="standardContextual"/>
              </w:rPr>
              <w:t>Exemplo prático (2025):</w:t>
            </w:r>
            <w:r>
              <w:rPr>
                <w:rFonts w:ascii="EB Garamond" w:hAnsi="EB Garamond" w:cs="EB Garamond"/>
                <w:b w:val="0"/>
                <w:i w:val="0"/>
                <w:color w:val="201B16"/>
                <w:sz w:val="19"/>
                <w:lang w:val="pt-BR" w:bidi="ar-SA"/>
                <w:kern w:val="16"/>
                <w14:ligatures w14:val="standardContextual"/>
              </w:rPr>
              <w:t xml:space="preserve"> - Segurado empregado, último salário R$ 1.500,00, preso em 2025 - Regime novo: AR = R$ 1.621,00 (1 SM), independente do salário - Se houvesse dois dependentes (cônjuge + 1 filho menor, ambos da Classe I): o benefício </w:t>
            </w:r>
            <w:r>
              <w:rPr>
                <w:rFonts w:ascii="EB Garamond" w:hAnsi="EB Garamond" w:cs="EB Garamond"/>
                <w:b/>
                <w:i w:val="0"/>
                <w:color w:val="201B16"/>
                <w:sz w:val="19"/>
                <w:lang w:val="pt-BR" w:bidi="ar-SA"/>
                <w:kern w:val="16"/>
                <w14:ligatures w14:val="standardContextual"/>
              </w:rPr>
              <w:t>não</w:t>
            </w:r>
            <w:r>
              <w:rPr>
                <w:rFonts w:ascii="EB Garamond" w:hAnsi="EB Garamond" w:cs="EB Garamond"/>
                <w:b w:val="0"/>
                <w:i w:val="0"/>
                <w:color w:val="201B16"/>
                <w:sz w:val="19"/>
                <w:lang w:val="pt-BR" w:bidi="ar-SA"/>
                <w:kern w:val="16"/>
                <w14:ligatures w14:val="standardContextual"/>
              </w:rPr>
              <w:t xml:space="preserve"> se multiplica por cabeça. Há um único auxílio-reclusão de R$ 1.621,00, pago globalmente ao conjunto de dependentes da mesma classe e entre eles </w:t>
            </w:r>
            <w:r>
              <w:rPr>
                <w:rFonts w:ascii="EB Garamond" w:hAnsi="EB Garamond" w:cs="EB Garamond"/>
                <w:b/>
                <w:i w:val="0"/>
                <w:color w:val="201B16"/>
                <w:sz w:val="19"/>
                <w:lang w:val="pt-BR" w:bidi="ar-SA"/>
                <w:kern w:val="16"/>
                <w14:ligatures w14:val="standardContextual"/>
              </w:rPr>
              <w:t>rateado em partes iguais</w:t>
            </w:r>
            <w:r>
              <w:rPr>
                <w:rFonts w:ascii="EB Garamond" w:hAnsi="EB Garamond" w:cs="EB Garamond"/>
                <w:b w:val="0"/>
                <w:i w:val="0"/>
                <w:color w:val="201B16"/>
                <w:sz w:val="19"/>
                <w:lang w:val="pt-BR" w:bidi="ar-SA"/>
                <w:kern w:val="16"/>
                <w14:ligatures w14:val="standardContextual"/>
              </w:rPr>
              <w:t xml:space="preserve"> (R$ 810,50 para cada um, no exemplo) - Atenção: cada dependente </w:t>
            </w:r>
            <w:r>
              <w:rPr>
                <w:rFonts w:ascii="EB Garamond" w:hAnsi="EB Garamond" w:cs="EB Garamond"/>
                <w:b/>
                <w:i w:val="0"/>
                <w:color w:val="201B16"/>
                <w:sz w:val="19"/>
                <w:lang w:val="pt-BR" w:bidi="ar-SA"/>
                <w:kern w:val="16"/>
                <w14:ligatures w14:val="standardContextual"/>
              </w:rPr>
              <w:t>não</w:t>
            </w:r>
            <w:r>
              <w:rPr>
                <w:rFonts w:ascii="EB Garamond" w:hAnsi="EB Garamond" w:cs="EB Garamond"/>
                <w:b w:val="0"/>
                <w:i w:val="0"/>
                <w:color w:val="201B16"/>
                <w:sz w:val="19"/>
                <w:lang w:val="pt-BR" w:bidi="ar-SA"/>
                <w:kern w:val="16"/>
                <w14:ligatures w14:val="standardContextual"/>
              </w:rPr>
              <w:t xml:space="preserve"> recebe 1 SM integral; o valor único de 1 SM é dividido entre os codependentes da mesma classe. Cessando a cota de um deles (p. Ex., maioridade do filho), a parcela acresce aos remanescentes (princípio do direito de acrescer da pensão por morte, aplicável por analogia — Cap. 19)</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14.14 Data de início do benefício (DIB)</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data de início do benefício segue regras específicas que combinam a data do fato gerador (recolhimento à prisão) com a data do requerimento administrativo.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Requerimento dentro de 90 dias da prisão.</w:t>
      </w:r>
      <w:r>
        <w:rPr>
          <w:rFonts w:ascii="EB Garamond" w:hAnsi="EB Garamond" w:cs="EB Garamond"/>
          <w:b w:val="0"/>
          <w:i w:val="0"/>
          <w:color w:val="201B16"/>
          <w:sz w:val="21"/>
          <w:lang w:val="pt-BR" w:bidi="ar-SA"/>
          <w:kern w:val="16"/>
          <w14:ligatures w14:val="standardContextual"/>
        </w:rPr>
        <w:t xml:space="preserve"> Quando o dependente requer o auxílio-reclusão no prazo de até 90 dias contados do recolhimento à prisão (art. 116 do Decreto 3.048/99, c/c art. 74, I, da Lei 8.213/91, aplicável por analogia), a DIB retroage à data do efetivo recolhimento. Essa retroação protege os dependentes nos primeiros meses de encarceramento, quando a vulnerabilidade é mais aguda.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Requerimento após 90 dias.</w:t>
      </w:r>
      <w:r>
        <w:rPr>
          <w:rFonts w:ascii="EB Garamond" w:hAnsi="EB Garamond" w:cs="EB Garamond"/>
          <w:b w:val="0"/>
          <w:i w:val="0"/>
          <w:color w:val="201B16"/>
          <w:sz w:val="21"/>
          <w:lang w:val="pt-BR" w:bidi="ar-SA"/>
          <w:kern w:val="16"/>
          <w14:ligatures w14:val="standardContextual"/>
        </w:rPr>
        <w:t xml:space="preserve"> Se o requerimento é formulado após 90 dias da prisão, a DIB é a data do requerimento administrativo (DER). Os valores referentes ao período entre o recolhimento e o requerimento são perdidos — não há pagamento retroativo. Essa regra é particularmente prejudicial aos dependentes de presos provisórios, que frequentemente desconhecem o direito ao benefício ou enfrentam dificuldades para reunir a documentação necessária no prazo de 90 dias.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Para dependentes menores ou incapazes.</w:t>
      </w:r>
      <w:r>
        <w:rPr>
          <w:rFonts w:ascii="EB Garamond" w:hAnsi="EB Garamond" w:cs="EB Garamond"/>
          <w:b w:val="0"/>
          <w:i w:val="0"/>
          <w:color w:val="201B16"/>
          <w:sz w:val="21"/>
          <w:lang w:val="pt-BR" w:bidi="ar-SA"/>
          <w:kern w:val="16"/>
          <w14:ligatures w14:val="standardContextual"/>
        </w:rPr>
        <w:t xml:space="preserve"> A regra geral de retroação do auxílio-reclusão segue, por analogia, o art. 74 da Lei 8.213/91 (com a redação dada pela Lei 13.846/2019): a DIB retroage à data do fato gerador quando o requerimento é formulado no prazo de </w:t>
      </w:r>
      <w:r>
        <w:rPr>
          <w:rFonts w:ascii="EB Garamond" w:hAnsi="EB Garamond" w:cs="EB Garamond"/>
          <w:b/>
          <w:i w:val="0"/>
          <w:color w:val="201B16"/>
          <w:sz w:val="21"/>
          <w:lang w:val="pt-BR" w:bidi="ar-SA"/>
          <w:kern w:val="16"/>
          <w14:ligatures w14:val="standardContextual"/>
        </w:rPr>
        <w:t>90 dias</w:t>
      </w:r>
      <w:r>
        <w:rPr>
          <w:rFonts w:ascii="EB Garamond" w:hAnsi="EB Garamond" w:cs="EB Garamond"/>
          <w:b w:val="0"/>
          <w:i w:val="0"/>
          <w:color w:val="201B16"/>
          <w:sz w:val="21"/>
          <w:lang w:val="pt-BR" w:bidi="ar-SA"/>
          <w:kern w:val="16"/>
          <w14:ligatures w14:val="standardContextual"/>
        </w:rPr>
        <w:t xml:space="preserve">; após esse prazo, a DIB fixa-se na data do requerimento (DER). Para o </w:t>
      </w:r>
      <w:r>
        <w:rPr>
          <w:rFonts w:ascii="EB Garamond" w:hAnsi="EB Garamond" w:cs="EB Garamond"/>
          <w:b/>
          <w:i w:val="0"/>
          <w:color w:val="201B16"/>
          <w:sz w:val="21"/>
          <w:lang w:val="pt-BR" w:bidi="ar-SA"/>
          <w:kern w:val="16"/>
          <w14:ligatures w14:val="standardContextual"/>
        </w:rPr>
        <w:t>dependente absolutamente incapaz</w:t>
      </w:r>
      <w:r>
        <w:rPr>
          <w:rFonts w:ascii="EB Garamond" w:hAnsi="EB Garamond" w:cs="EB Garamond"/>
          <w:b w:val="0"/>
          <w:i w:val="0"/>
          <w:color w:val="201B16"/>
          <w:sz w:val="21"/>
          <w:lang w:val="pt-BR" w:bidi="ar-SA"/>
          <w:kern w:val="16"/>
          <w14:ligatures w14:val="standardContextual"/>
        </w:rPr>
        <w:t xml:space="preserve"> — em especial o menor de 16 anos —, esse prazo não corre em seu desfavor: contra ele não fluem prazos de prescrição e decadência (art. 198, I, do Código Civil, c/c art. 79 da Lei 8.213/91, que afasta a prescrição em favor do incapaz). A consequência prática é que, requerido o benefício enquanto perdura a menoridade (ou a incapacidade), a DIB retroage à data do recolhimento mesmo que ultrapassado o prazo de 90 dias, preservando-se as parcelas pretéritas dentro do quinquênio anterior ao requerimento. Não se trata, portanto, de retroação irrestrita "sempre", mas da suspensão, em favor do incapaz, do prazo que de outro modo limitaria a retroação. A solução é coerente com o princípio do melhor interesse da criança (art. 227, CF) e reconhece que o menor não pode ser penalizado pela inércia do representante legal.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DIB retroativa: 90 dias é contado da prisão, não da condenação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 xml:space="preserve">O prazo de 90 dias para retroação da DIB é contado da </w:t>
            </w:r>
            <w:r>
              <w:rPr>
                <w:rFonts w:ascii="EB Garamond" w:hAnsi="EB Garamond" w:cs="EB Garamond"/>
                <w:b/>
                <w:i w:val="0"/>
                <w:color w:val="201B16"/>
                <w:sz w:val="19"/>
                <w:lang w:val="pt-BR" w:bidi="ar-SA"/>
                <w:kern w:val="16"/>
                <w14:ligatures w14:val="standardContextual"/>
              </w:rPr>
              <w:t>data do efetivo recolhimento à prisão</w:t>
            </w:r>
            <w:r>
              <w:rPr>
                <w:rFonts w:ascii="EB Garamond" w:hAnsi="EB Garamond" w:cs="EB Garamond"/>
                <w:b w:val="0"/>
                <w:i w:val="0"/>
                <w:color w:val="201B16"/>
                <w:sz w:val="19"/>
                <w:lang w:val="pt-BR" w:bidi="ar-SA"/>
                <w:kern w:val="16"/>
                <w14:ligatures w14:val="standardContextual"/>
              </w:rPr>
              <w:t>, não da data da sentença condenatória ou do trânsito em julgado.</w:t>
            </w:r>
          </w:p>
          <w:p>
            <w:pPr>
              <w:spacing w:before="0" w:after="60" w:line="247" w:lineRule="auto"/>
              <w:jc w:val="both"/>
            </w:pPr>
            <w:r>
              <w:rPr>
                <w:rFonts w:ascii="EB Garamond" w:hAnsi="EB Garamond" w:cs="EB Garamond"/>
                <w:b/>
                <w:i w:val="0"/>
                <w:color w:val="201B16"/>
                <w:sz w:val="19"/>
                <w:lang w:val="pt-BR" w:bidi="ar-SA"/>
                <w:kern w:val="16"/>
                <w14:ligatures w14:val="standardContextual"/>
              </w:rPr>
              <w:t>Consequências práticas:</w:t>
            </w:r>
            <w:r>
              <w:rPr>
                <w:rFonts w:ascii="EB Garamond" w:hAnsi="EB Garamond" w:cs="EB Garamond"/>
                <w:b w:val="0"/>
                <w:i w:val="0"/>
                <w:color w:val="201B16"/>
                <w:sz w:val="19"/>
                <w:lang w:val="pt-BR" w:bidi="ar-SA"/>
                <w:kern w:val="16"/>
                <w14:ligatures w14:val="standardContextual"/>
              </w:rPr>
              <w:t xml:space="preserve"> - Preso provisório em 01/01/2025, requerimento em 15/03/2025: DIB = 01/01/2025 (dentro de 90 dias) - Preso provisório em 01/01/2025, requerimento em 15/04/2025: DIB = 15/04/2025 (fora de 90 dias) - Se o dependente é absolutamente incapaz (menor de 16 anos): não corre contra ele o prazo de 90 dias — requerido o AR durante a menoridade, a DIB retroage a 01/01/2025, respeitada a prescrição quinquenal das parcelas (art. 79 da Lei 8.213/91 c/c art. 198, I, do CC)</w:t>
            </w:r>
          </w:p>
          <w:p>
            <w:pPr>
              <w:spacing w:before="0" w:after="60" w:line="247" w:lineRule="auto"/>
              <w:jc w:val="both"/>
            </w:pPr>
            <w:r>
              <w:rPr>
                <w:rFonts w:ascii="EB Garamond" w:hAnsi="EB Garamond" w:cs="EB Garamond"/>
                <w:b/>
                <w:i w:val="0"/>
                <w:color w:val="201B16"/>
                <w:sz w:val="19"/>
                <w:lang w:val="pt-BR" w:bidi="ar-SA"/>
                <w:kern w:val="16"/>
                <w14:ligatures w14:val="standardContextual"/>
              </w:rPr>
              <w:t>Orientação:</w:t>
            </w:r>
            <w:r>
              <w:rPr>
                <w:rFonts w:ascii="EB Garamond" w:hAnsi="EB Garamond" w:cs="EB Garamond"/>
                <w:b w:val="0"/>
                <w:i w:val="0"/>
                <w:color w:val="201B16"/>
                <w:sz w:val="19"/>
                <w:lang w:val="pt-BR" w:bidi="ar-SA"/>
                <w:kern w:val="16"/>
                <w14:ligatures w14:val="standardContextual"/>
              </w:rPr>
              <w:t xml:space="preserve"> Instruir os dependentes a requerer o AR imediatamente após a prisão, mesmo que a documentação esteja incompleta. O requerimento pode ser complementado posteriormente, mas o marco temporal é a data do protocolo.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14.15 Manutenção: atestado carcerário e obrigações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manutenção do auxílio-reclusão exige a comprovação periódica da permanência do segurado em regime fechado ou semiaberto. O instrumento principal dessa comprovação é o </w:t>
      </w:r>
      <w:r>
        <w:rPr>
          <w:rFonts w:ascii="EB Garamond" w:hAnsi="EB Garamond" w:cs="EB Garamond"/>
          <w:b/>
          <w:i w:val="0"/>
          <w:color w:val="201B16"/>
          <w:sz w:val="21"/>
          <w:lang w:val="pt-BR" w:bidi="ar-SA"/>
          <w:kern w:val="16"/>
          <w14:ligatures w14:val="standardContextual"/>
        </w:rPr>
        <w:t>atestado carcerário trimestral</w:t>
      </w:r>
      <w:r>
        <w:rPr>
          <w:rFonts w:ascii="EB Garamond" w:hAnsi="EB Garamond" w:cs="EB Garamond"/>
          <w:b w:val="0"/>
          <w:i w:val="0"/>
          <w:color w:val="201B16"/>
          <w:sz w:val="21"/>
          <w:lang w:val="pt-BR" w:bidi="ar-SA"/>
          <w:kern w:val="16"/>
          <w14:ligatures w14:val="standardContextual"/>
        </w:rPr>
        <w:t>, previsto no art. 118 do Decreto 3.048/99.</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atestado carcerário deve ser emitido pelo diretor do estabelecimento penal (ou autoridade competente) e apresentado ao INSS a cada 90 dias (trimestral). O documento deve conter, no mínimo: (i) identificação do preso (nome completo, CPF, número de matrícula penal); (ii) confirmação de que o segurado permanece recolhido; (iii) indicação do regime prisional vigente (fechado ou semiaberto); (iv) data de emissão e assinatura da autoridade competente.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A não apresentação do atestado carcerário no prazo regulamentar acarreta a </w:t>
      </w:r>
      <w:r>
        <w:rPr>
          <w:rFonts w:ascii="EB Garamond" w:hAnsi="EB Garamond" w:cs="EB Garamond"/>
          <w:b/>
          <w:i w:val="0"/>
          <w:color w:val="201B16"/>
          <w:sz w:val="21"/>
          <w:lang w:val="pt-BR" w:bidi="ar-SA"/>
          <w:kern w:val="16"/>
          <w14:ligatures w14:val="standardContextual"/>
        </w:rPr>
        <w:t>suspensão</w:t>
      </w:r>
      <w:r>
        <w:rPr>
          <w:rFonts w:ascii="EB Garamond" w:hAnsi="EB Garamond" w:cs="EB Garamond"/>
          <w:b w:val="0"/>
          <w:i w:val="0"/>
          <w:color w:val="201B16"/>
          <w:sz w:val="21"/>
          <w:lang w:val="pt-BR" w:bidi="ar-SA"/>
          <w:kern w:val="16"/>
          <w14:ligatures w14:val="standardContextual"/>
        </w:rPr>
        <w:t xml:space="preserve"> do benefício, não sua cessação automática. Essa distinção é relevante: a suspensão é medida provisória, que pode ser revertida com a apresentação do documento em atraso; a cessação é definitiva, exigindo novo requerimento. A prática dos JEFs revela que muitos dependentes enfrentam dificuldades para obter o atestado no prazo, especialmente quando o preso é transferido entre estabelecimentos ou quando o sistema penitenciário é ineficiente na emissão de documentos.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Checklist: manutenção trimestral do auxílio-reclusão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cada 90 dias, o dependente deve:</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Obter o atestado carcerário junto ao estabelecimento penal</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Verificar se o atestado contém: nome do preso, CPF, regime prisional, data</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Apresentar o atestado ao INSS (agência, Meu INSS ou correspondente bancário)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Guardar cópia protocolada do atestado entregue</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Em caso de transferência do preso: obter novo atestado do estabelecimento de destino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 ] Em caso de dificuldade de obtenção: solicitar ao defensor público ou advogado que oficie o estabelecimento penal</w:t>
            </w:r>
          </w:p>
          <w:p>
            <w:pPr>
              <w:spacing w:before="0" w:after="60" w:line="247" w:lineRule="auto"/>
              <w:jc w:val="both"/>
            </w:pPr>
            <w:r>
              <w:rPr>
                <w:rFonts w:ascii="EB Garamond" w:hAnsi="EB Garamond" w:cs="EB Garamond"/>
                <w:b/>
                <w:i w:val="0"/>
                <w:color w:val="201B16"/>
                <w:sz w:val="19"/>
                <w:lang w:val="pt-BR" w:bidi="ar-SA"/>
                <w:kern w:val="16"/>
                <w14:ligatures w14:val="standardContextual"/>
              </w:rPr>
              <w:t>Prazos críticos:</w:t>
            </w:r>
            <w:r>
              <w:rPr>
                <w:rFonts w:ascii="EB Garamond" w:hAnsi="EB Garamond" w:cs="EB Garamond"/>
                <w:b w:val="0"/>
                <w:i w:val="0"/>
                <w:color w:val="201B16"/>
                <w:sz w:val="19"/>
                <w:lang w:val="pt-BR" w:bidi="ar-SA"/>
                <w:kern w:val="16"/>
                <w14:ligatures w14:val="standardContextual"/>
              </w:rPr>
              <w:t xml:space="preserve"> - Apresentação: a cada 90 dias contados da concessão ou da última apresentação - Tolerância: o INSS geralmente concede 30 dias adicionais antes da suspensão - Suspensão: reversível com a apresentação do atestado em atraso - Cessação por não apresentação: somente após 6 meses de suspensão (posição administrativa do INSS)</w:t>
            </w: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Consequência da não apresentação do atestado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 xml:space="preserve">A não apresentação do atestado carcerário no prazo gera </w:t>
            </w:r>
            <w:r>
              <w:rPr>
                <w:rFonts w:ascii="EB Garamond" w:hAnsi="EB Garamond" w:cs="EB Garamond"/>
                <w:b/>
                <w:i w:val="0"/>
                <w:color w:val="201B16"/>
                <w:sz w:val="19"/>
                <w:lang w:val="pt-BR" w:bidi="ar-SA"/>
                <w:kern w:val="16"/>
                <w14:ligatures w14:val="standardContextual"/>
              </w:rPr>
              <w:t>suspensão</w:t>
            </w:r>
            <w:r>
              <w:rPr>
                <w:rFonts w:ascii="EB Garamond" w:hAnsi="EB Garamond" w:cs="EB Garamond"/>
                <w:b w:val="0"/>
                <w:i w:val="0"/>
                <w:color w:val="201B16"/>
                <w:sz w:val="19"/>
                <w:lang w:val="pt-BR" w:bidi="ar-SA"/>
                <w:kern w:val="16"/>
                <w14:ligatures w14:val="standardContextual"/>
              </w:rPr>
              <w:t xml:space="preserve"> do benefício, com as seguintes consequências: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1. O pagamento é interrompido no mês seguinte ao vencimento do prazo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2. O dependente não recebe o benefício durante o período de suspensão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3. Os valores referentes ao período de suspensão </w:t>
            </w:r>
            <w:r>
              <w:rPr>
                <w:rFonts w:ascii="EB Garamond" w:hAnsi="EB Garamond" w:cs="EB Garamond"/>
                <w:b/>
                <w:i w:val="0"/>
                <w:color w:val="201B16"/>
                <w:sz w:val="19"/>
                <w:lang w:val="pt-BR" w:bidi="ar-SA"/>
                <w:kern w:val="16"/>
                <w14:ligatures w14:val="standardContextual"/>
              </w:rPr>
              <w:t>podem ser pagos retroativamente</w:t>
            </w:r>
            <w:r>
              <w:rPr>
                <w:rFonts w:ascii="EB Garamond" w:hAnsi="EB Garamond" w:cs="EB Garamond"/>
                <w:b w:val="0"/>
                <w:i w:val="0"/>
                <w:color w:val="201B16"/>
                <w:sz w:val="19"/>
                <w:lang w:val="pt-BR" w:bidi="ar-SA"/>
                <w:kern w:val="16"/>
                <w14:ligatures w14:val="standardContextual"/>
              </w:rPr>
              <w:t xml:space="preserve"> se o atestado for apresentado posteriormente (desde que comprove que o segurado permaneceu preso durante todo o período)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4. Se a suspensão perdurar por mais de 6 meses sem apresentação de atestado, o INSS pode cessar o benefício</w:t>
            </w:r>
          </w:p>
          <w:p>
            <w:pPr>
              <w:spacing w:before="0" w:after="60" w:line="247" w:lineRule="auto"/>
              <w:jc w:val="both"/>
            </w:pPr>
            <w:r>
              <w:rPr>
                <w:rFonts w:ascii="EB Garamond" w:hAnsi="EB Garamond" w:cs="EB Garamond"/>
                <w:b/>
                <w:i w:val="0"/>
                <w:color w:val="201B16"/>
                <w:sz w:val="19"/>
                <w:lang w:val="pt-BR" w:bidi="ar-SA"/>
                <w:kern w:val="16"/>
                <w14:ligatures w14:val="standardContextual"/>
              </w:rPr>
              <w:t>Situações especiais:</w:t>
            </w:r>
            <w:r>
              <w:rPr>
                <w:rFonts w:ascii="EB Garamond" w:hAnsi="EB Garamond" w:cs="EB Garamond"/>
                <w:b w:val="0"/>
                <w:i w:val="0"/>
                <w:color w:val="201B16"/>
                <w:sz w:val="19"/>
                <w:lang w:val="pt-BR" w:bidi="ar-SA"/>
                <w:kern w:val="16"/>
                <w14:ligatures w14:val="standardContextual"/>
              </w:rPr>
              <w:t xml:space="preserve"> - Preso transferido: o atestado do novo estabelecimento supre a exigência - Estabelecimento que se recusa a emitir: oficiar judicialmente via defensor público ou advogado - Sistema informatizado do INSS (prisão): em algumas localidades, o INSS acessa diretamente os dados do sistema penitenciário, dispensando a apresentação física</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14.16 Cessação, suspensão e restabelecimento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auxílio-reclusão cessa nas hipóteses previstas no art. 117 do Decreto 3.048/99, que guardam paralelismo com as causas de cessação da pensão por morte (Cap. 19), acrescidas de causas específicas do contexto penitenciário. A distinção entre cessação (definitiva) e suspensão (provisória), frequentemente confundida na prática administrativa, tem consequências diretas na continuidade do pagamento.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Hipóteses de cessação definitiva: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1. </w:t>
      </w:r>
      <w:r>
        <w:rPr>
          <w:rFonts w:ascii="EB Garamond" w:hAnsi="EB Garamond" w:cs="EB Garamond"/>
          <w:b/>
          <w:i w:val="0"/>
          <w:color w:val="201B16"/>
          <w:sz w:val="20"/>
          <w:lang w:val="pt-BR" w:bidi="ar-SA"/>
          <w:kern w:val="16"/>
          <w14:ligatures w14:val="standardContextual"/>
        </w:rPr>
        <w:t>Soltura do segurado.</w:t>
      </w:r>
      <w:r>
        <w:rPr>
          <w:rFonts w:ascii="EB Garamond" w:hAnsi="EB Garamond" w:cs="EB Garamond"/>
          <w:b w:val="0"/>
          <w:i w:val="0"/>
          <w:color w:val="201B16"/>
          <w:sz w:val="20"/>
          <w:lang w:val="pt-BR" w:bidi="ar-SA"/>
          <w:kern w:val="16"/>
          <w14:ligatures w14:val="standardContextual"/>
        </w:rPr>
        <w:t xml:space="preserve"> A libertação do segurado, a qualquer título (cumprimento da pena, indulto, comutação, anistia, livramento condicional, alvará de soltura, habeas corpus), extingue o fato gerador e, consequentemente, o benefício. A cessação opera-se a partir da data da efetiva soltura.</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2. </w:t>
      </w:r>
      <w:r>
        <w:rPr>
          <w:rFonts w:ascii="EB Garamond" w:hAnsi="EB Garamond" w:cs="EB Garamond"/>
          <w:b/>
          <w:i w:val="0"/>
          <w:color w:val="201B16"/>
          <w:sz w:val="20"/>
          <w:lang w:val="pt-BR" w:bidi="ar-SA"/>
          <w:kern w:val="16"/>
          <w14:ligatures w14:val="standardContextual"/>
        </w:rPr>
        <w:t>Óbito do segurado.</w:t>
      </w:r>
      <w:r>
        <w:rPr>
          <w:rFonts w:ascii="EB Garamond" w:hAnsi="EB Garamond" w:cs="EB Garamond"/>
          <w:b w:val="0"/>
          <w:i w:val="0"/>
          <w:color w:val="201B16"/>
          <w:sz w:val="20"/>
          <w:lang w:val="pt-BR" w:bidi="ar-SA"/>
          <w:kern w:val="16"/>
          <w14:ligatures w14:val="standardContextual"/>
        </w:rPr>
        <w:t xml:space="preserve"> A morte do segurado preso cessa o auxílio-reclusão, que é automaticamente convertido em </w:t>
      </w:r>
      <w:r>
        <w:rPr>
          <w:rFonts w:ascii="EB Garamond" w:hAnsi="EB Garamond" w:cs="EB Garamond"/>
          <w:b/>
          <w:i w:val="0"/>
          <w:color w:val="201B16"/>
          <w:sz w:val="20"/>
          <w:lang w:val="pt-BR" w:bidi="ar-SA"/>
          <w:kern w:val="16"/>
          <w14:ligatures w14:val="standardContextual"/>
        </w:rPr>
        <w:t>pensão por morte</w:t>
      </w:r>
      <w:r>
        <w:rPr>
          <w:rFonts w:ascii="EB Garamond" w:hAnsi="EB Garamond" w:cs="EB Garamond"/>
          <w:b w:val="0"/>
          <w:i w:val="0"/>
          <w:color w:val="201B16"/>
          <w:sz w:val="20"/>
          <w:lang w:val="pt-BR" w:bidi="ar-SA"/>
          <w:kern w:val="16"/>
          <w14:ligatures w14:val="standardContextual"/>
        </w:rPr>
        <w:t xml:space="preserve"> (art. 80, parágrafo único, Lei 8.213/91). Essa conversão é automática e não exige novo requerimento, embora em termos operacionais o INSS frequentemente imponha procedimento burocrático de cessação do AR e novo requerimento de pensão por morte. A jurisprudência é firme no sentido de que a conversão deve ser automática, sem solução de continuidade.</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3. </w:t>
      </w:r>
      <w:r>
        <w:rPr>
          <w:rFonts w:ascii="EB Garamond" w:hAnsi="EB Garamond" w:cs="EB Garamond"/>
          <w:b/>
          <w:i w:val="0"/>
          <w:color w:val="201B16"/>
          <w:sz w:val="20"/>
          <w:lang w:val="pt-BR" w:bidi="ar-SA"/>
          <w:kern w:val="16"/>
          <w14:ligatures w14:val="standardContextual"/>
        </w:rPr>
        <w:t>Progressão ao regime aberto.</w:t>
      </w:r>
      <w:r>
        <w:rPr>
          <w:rFonts w:ascii="EB Garamond" w:hAnsi="EB Garamond" w:cs="EB Garamond"/>
          <w:b w:val="0"/>
          <w:i w:val="0"/>
          <w:color w:val="201B16"/>
          <w:sz w:val="20"/>
          <w:lang w:val="pt-BR" w:bidi="ar-SA"/>
          <w:kern w:val="16"/>
          <w14:ligatures w14:val="standardContextual"/>
        </w:rPr>
        <w:t xml:space="preserve"> No regime pós-EC 103, quando o segurado progride para regime aberto, o AR cessa, por vedação constitucional expressa (art. 201, § 5º, CF).</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4. </w:t>
      </w:r>
      <w:r>
        <w:rPr>
          <w:rFonts w:ascii="EB Garamond" w:hAnsi="EB Garamond" w:cs="EB Garamond"/>
          <w:b/>
          <w:i w:val="0"/>
          <w:color w:val="201B16"/>
          <w:sz w:val="20"/>
          <w:lang w:val="pt-BR" w:bidi="ar-SA"/>
          <w:kern w:val="16"/>
          <w14:ligatures w14:val="standardContextual"/>
        </w:rPr>
        <w:t>Óbito do dependente.</w:t>
      </w:r>
      <w:r>
        <w:rPr>
          <w:rFonts w:ascii="EB Garamond" w:hAnsi="EB Garamond" w:cs="EB Garamond"/>
          <w:b w:val="0"/>
          <w:i w:val="0"/>
          <w:color w:val="201B16"/>
          <w:sz w:val="20"/>
          <w:lang w:val="pt-BR" w:bidi="ar-SA"/>
          <w:kern w:val="16"/>
          <w14:ligatures w14:val="standardContextual"/>
        </w:rPr>
        <w:t xml:space="preserve"> A morte do dependente titular cessa sua cota no benefício. Se há outros dependentes da mesma classe, o rateio é reajustado.</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5. </w:t>
      </w:r>
      <w:r>
        <w:rPr>
          <w:rFonts w:ascii="EB Garamond" w:hAnsi="EB Garamond" w:cs="EB Garamond"/>
          <w:b/>
          <w:i w:val="0"/>
          <w:color w:val="201B16"/>
          <w:sz w:val="20"/>
          <w:lang w:val="pt-BR" w:bidi="ar-SA"/>
          <w:kern w:val="16"/>
          <w14:ligatures w14:val="standardContextual"/>
        </w:rPr>
        <w:t>Maioridade do filho.</w:t>
      </w:r>
      <w:r>
        <w:rPr>
          <w:rFonts w:ascii="EB Garamond" w:hAnsi="EB Garamond" w:cs="EB Garamond"/>
          <w:b w:val="0"/>
          <w:i w:val="0"/>
          <w:color w:val="201B16"/>
          <w:sz w:val="20"/>
          <w:lang w:val="pt-BR" w:bidi="ar-SA"/>
          <w:kern w:val="16"/>
          <w14:ligatures w14:val="standardContextual"/>
        </w:rPr>
        <w:t xml:space="preserve"> O filho dependente que atinge 21 anos (se não for inválido ou deficiente) perde a qualidade de dependente, cessando sua cota.</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6. </w:t>
      </w:r>
      <w:r>
        <w:rPr>
          <w:rFonts w:ascii="EB Garamond" w:hAnsi="EB Garamond" w:cs="EB Garamond"/>
          <w:b/>
          <w:i w:val="0"/>
          <w:color w:val="201B16"/>
          <w:sz w:val="20"/>
          <w:lang w:val="pt-BR" w:bidi="ar-SA"/>
          <w:kern w:val="16"/>
          <w14:ligatures w14:val="standardContextual"/>
        </w:rPr>
        <w:t>Emancipação.</w:t>
      </w:r>
      <w:r>
        <w:rPr>
          <w:rFonts w:ascii="EB Garamond" w:hAnsi="EB Garamond" w:cs="EB Garamond"/>
          <w:b w:val="0"/>
          <w:i w:val="0"/>
          <w:color w:val="201B16"/>
          <w:sz w:val="20"/>
          <w:lang w:val="pt-BR" w:bidi="ar-SA"/>
          <w:kern w:val="16"/>
          <w14:ligatures w14:val="standardContextual"/>
        </w:rPr>
        <w:t xml:space="preserve"> O filho emancipado antes dos 21 anos perde a qualidade de dependente.</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7. </w:t>
      </w:r>
      <w:r>
        <w:rPr>
          <w:rFonts w:ascii="EB Garamond" w:hAnsi="EB Garamond" w:cs="EB Garamond"/>
          <w:b/>
          <w:i w:val="0"/>
          <w:color w:val="201B16"/>
          <w:sz w:val="20"/>
          <w:lang w:val="pt-BR" w:bidi="ar-SA"/>
          <w:kern w:val="16"/>
          <w14:ligatures w14:val="standardContextual"/>
        </w:rPr>
        <w:t>Cessação da invalidez/deficiência.</w:t>
      </w:r>
      <w:r>
        <w:rPr>
          <w:rFonts w:ascii="EB Garamond" w:hAnsi="EB Garamond" w:cs="EB Garamond"/>
          <w:b w:val="0"/>
          <w:i w:val="0"/>
          <w:color w:val="201B16"/>
          <w:sz w:val="20"/>
          <w:lang w:val="pt-BR" w:bidi="ar-SA"/>
          <w:kern w:val="16"/>
          <w14:ligatures w14:val="standardContextual"/>
        </w:rPr>
        <w:t xml:space="preserve"> O dependente inválido ou deficiente que recupera a capacidade perde a qualidade de dependente.</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8. </w:t>
      </w:r>
      <w:r>
        <w:rPr>
          <w:rFonts w:ascii="EB Garamond" w:hAnsi="EB Garamond" w:cs="EB Garamond"/>
          <w:b/>
          <w:i w:val="0"/>
          <w:color w:val="201B16"/>
          <w:sz w:val="20"/>
          <w:lang w:val="pt-BR" w:bidi="ar-SA"/>
          <w:kern w:val="16"/>
          <w14:ligatures w14:val="standardContextual"/>
        </w:rPr>
        <w:t>Formação de nova família pelo cônjuge/companheiro.</w:t>
      </w:r>
      <w:r>
        <w:rPr>
          <w:rFonts w:ascii="EB Garamond" w:hAnsi="EB Garamond" w:cs="EB Garamond"/>
          <w:b w:val="0"/>
          <w:i w:val="0"/>
          <w:color w:val="201B16"/>
          <w:sz w:val="20"/>
          <w:lang w:val="pt-BR" w:bidi="ar-SA"/>
          <w:kern w:val="16"/>
          <w14:ligatures w14:val="standardContextual"/>
        </w:rPr>
        <w:t xml:space="preserve"> O cônjuge ou companheiro que contrai novo casamento ou nova união estável perde o direito ao auxílio-reclusão, regra análoga à pensão por morte.</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H</w:t>
      </w:r>
    </w:p>
    <w:p>
      <w:pPr>
        <w:spacing w:before="0" w:after="70" w:line="259" w:lineRule="auto"/>
        <w:jc w:val="both"/>
      </w:pPr>
      <w:r>
        <w:rPr>
          <w:rFonts w:ascii="EB Garamond" w:hAnsi="EB Garamond" w:cs="EB Garamond"/>
          <w:b/>
          <w:i w:val="0"/>
          <w:color w:val="201B16"/>
          <w:sz w:val="21"/>
          <w:lang w:val="pt-BR" w:bidi="ar-SA"/>
          <w:kern w:val="16"/>
          <w14:ligatures w14:val="standardContextual"/>
        </w:rPr>
        <w:t>ipóteses de suspensão (provisória):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1. </w:t>
      </w:r>
      <w:r>
        <w:rPr>
          <w:rFonts w:ascii="EB Garamond" w:hAnsi="EB Garamond" w:cs="EB Garamond"/>
          <w:b/>
          <w:i w:val="0"/>
          <w:color w:val="201B16"/>
          <w:sz w:val="20"/>
          <w:lang w:val="pt-BR" w:bidi="ar-SA"/>
          <w:kern w:val="16"/>
          <w14:ligatures w14:val="standardContextual"/>
        </w:rPr>
        <w:t>Fuga do segurado.</w:t>
      </w:r>
      <w:r>
        <w:rPr>
          <w:rFonts w:ascii="EB Garamond" w:hAnsi="EB Garamond" w:cs="EB Garamond"/>
          <w:b w:val="0"/>
          <w:i w:val="0"/>
          <w:color w:val="201B16"/>
          <w:sz w:val="20"/>
          <w:lang w:val="pt-BR" w:bidi="ar-SA"/>
          <w:kern w:val="16"/>
          <w14:ligatures w14:val="standardContextual"/>
        </w:rPr>
        <w:t xml:space="preserve"> A fuga suspende o benefício, que pode ser restabelecido em caso de recaptura. A suspensão opera-se a partir da data da fuga, e o restabelecimento, a partir da data da recaptura. Os valores referentes ao período de fuga não são pagos.</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2. </w:t>
      </w:r>
      <w:r>
        <w:rPr>
          <w:rFonts w:ascii="EB Garamond" w:hAnsi="EB Garamond" w:cs="EB Garamond"/>
          <w:b/>
          <w:i w:val="0"/>
          <w:color w:val="201B16"/>
          <w:sz w:val="20"/>
          <w:lang w:val="pt-BR" w:bidi="ar-SA"/>
          <w:kern w:val="16"/>
          <w14:ligatures w14:val="standardContextual"/>
        </w:rPr>
        <w:t>Não apresentação do atestado carcerário.</w:t>
      </w:r>
      <w:r>
        <w:rPr>
          <w:rFonts w:ascii="EB Garamond" w:hAnsi="EB Garamond" w:cs="EB Garamond"/>
          <w:b w:val="0"/>
          <w:i w:val="0"/>
          <w:color w:val="201B16"/>
          <w:sz w:val="20"/>
          <w:lang w:val="pt-BR" w:bidi="ar-SA"/>
          <w:kern w:val="16"/>
          <w14:ligatures w14:val="standardContextual"/>
        </w:rPr>
        <w:t xml:space="preserve"> A suspensão por não apresentação do atestado é reversível, conforme analisado na seção 14.15.</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3. </w:t>
      </w:r>
      <w:r>
        <w:rPr>
          <w:rFonts w:ascii="EB Garamond" w:hAnsi="EB Garamond" w:cs="EB Garamond"/>
          <w:b/>
          <w:i w:val="0"/>
          <w:color w:val="201B16"/>
          <w:sz w:val="20"/>
          <w:lang w:val="pt-BR" w:bidi="ar-SA"/>
          <w:kern w:val="16"/>
          <w14:ligatures w14:val="standardContextual"/>
        </w:rPr>
        <w:t>Liberdade provisória.</w:t>
      </w:r>
      <w:r>
        <w:rPr>
          <w:rFonts w:ascii="EB Garamond" w:hAnsi="EB Garamond" w:cs="EB Garamond"/>
          <w:b w:val="0"/>
          <w:i w:val="0"/>
          <w:color w:val="201B16"/>
          <w:sz w:val="20"/>
          <w:lang w:val="pt-BR" w:bidi="ar-SA"/>
          <w:kern w:val="16"/>
          <w14:ligatures w14:val="standardContextual"/>
        </w:rPr>
        <w:t xml:space="preserve"> A concessão de liberdade provisória (com ou sem fiança) suspende o benefício. Se a liberdade provisória é revogada e o segurado é novamente recolhido, o benefício pode ser restabelecido.</w:t>
      </w:r>
    </w:p>
    <w:p>
      <w:pPr>
        <w:spacing w:before="0" w:after="6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Fuga: suspensão ou cessação? DIVERGÊNCIA RELEVANTE</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Há divergência significativa sobre os efeitos da fuga no auxílio-reclusão:</w:t>
            </w:r>
          </w:p>
          <w:p>
            <w:pPr>
              <w:spacing w:before="0" w:after="60" w:line="247" w:lineRule="auto"/>
              <w:jc w:val="both"/>
            </w:pPr>
            <w:r>
              <w:rPr>
                <w:rFonts w:ascii="EB Garamond" w:hAnsi="EB Garamond" w:cs="EB Garamond"/>
                <w:b/>
                <w:i w:val="0"/>
                <w:color w:val="201B16"/>
                <w:sz w:val="19"/>
                <w:lang w:val="pt-BR" w:bidi="ar-SA"/>
                <w:kern w:val="16"/>
                <w14:ligatures w14:val="standardContextual"/>
              </w:rPr>
              <w:t>Posição 1 — Suspensão (Decreto 3.048/99, art. 117):</w:t>
            </w:r>
            <w:r>
              <w:rPr>
                <w:rFonts w:ascii="EB Garamond" w:hAnsi="EB Garamond" w:cs="EB Garamond"/>
                <w:b w:val="0"/>
                <w:i w:val="0"/>
                <w:color w:val="201B16"/>
                <w:sz w:val="19"/>
                <w:lang w:val="pt-BR" w:bidi="ar-SA"/>
                <w:kern w:val="16"/>
                <w14:ligatures w14:val="standardContextual"/>
              </w:rPr>
              <w:t xml:space="preserve"> O regulamento trata a fuga como causa de suspensão, não de cessação. Consequências: o pagamento é interrompido; na recaptura, o benefício é restabelecido automaticamente, sem novo requerimento. Os valores do período de fuga são perdidos.</w:t>
            </w:r>
          </w:p>
          <w:p>
            <w:pPr>
              <w:spacing w:before="0" w:after="60" w:line="247" w:lineRule="auto"/>
              <w:jc w:val="both"/>
            </w:pPr>
            <w:r>
              <w:rPr>
                <w:rFonts w:ascii="EB Garamond" w:hAnsi="EB Garamond" w:cs="EB Garamond"/>
                <w:b/>
                <w:i w:val="0"/>
                <w:color w:val="201B16"/>
                <w:sz w:val="19"/>
                <w:lang w:val="pt-BR" w:bidi="ar-SA"/>
                <w:kern w:val="16"/>
                <w14:ligatures w14:val="standardContextual"/>
              </w:rPr>
              <w:t>Posição 2 — Cessação (TRU/4ª Região, abril/2023):</w:t>
            </w:r>
            <w:r>
              <w:rPr>
                <w:rFonts w:ascii="EB Garamond" w:hAnsi="EB Garamond" w:cs="EB Garamond"/>
                <w:b w:val="0"/>
                <w:i w:val="0"/>
                <w:color w:val="201B16"/>
                <w:sz w:val="19"/>
                <w:lang w:val="pt-BR" w:bidi="ar-SA"/>
                <w:kern w:val="16"/>
                <w14:ligatures w14:val="standardContextual"/>
              </w:rPr>
              <w:t xml:space="preserve"> A TRU da 4ª Região, em julgamento de 28/04/2023, fixou tese de que a fuga é causa de </w:t>
            </w:r>
            <w:r>
              <w:rPr>
                <w:rFonts w:ascii="EB Garamond" w:hAnsi="EB Garamond" w:cs="EB Garamond"/>
                <w:b/>
                <w:i w:val="0"/>
                <w:color w:val="201B16"/>
                <w:sz w:val="19"/>
                <w:lang w:val="pt-BR" w:bidi="ar-SA"/>
                <w:kern w:val="16"/>
                <w14:ligatures w14:val="standardContextual"/>
              </w:rPr>
              <w:t>cessação</w:t>
            </w:r>
            <w:r>
              <w:rPr>
                <w:rFonts w:ascii="EB Garamond" w:hAnsi="EB Garamond" w:cs="EB Garamond"/>
                <w:b w:val="0"/>
                <w:i w:val="0"/>
                <w:color w:val="201B16"/>
                <w:sz w:val="19"/>
                <w:lang w:val="pt-BR" w:bidi="ar-SA"/>
                <w:kern w:val="16"/>
                <w14:ligatures w14:val="standardContextual"/>
              </w:rPr>
              <w:t xml:space="preserve"> do auxílio-reclusão, não mera suspensão. Na recaptura, é necessária </w:t>
            </w:r>
            <w:r>
              <w:rPr>
                <w:rFonts w:ascii="EB Garamond" w:hAnsi="EB Garamond" w:cs="EB Garamond"/>
                <w:b/>
                <w:i w:val="0"/>
                <w:color w:val="201B16"/>
                <w:sz w:val="19"/>
                <w:lang w:val="pt-BR" w:bidi="ar-SA"/>
                <w:kern w:val="16"/>
                <w14:ligatures w14:val="standardContextual"/>
              </w:rPr>
              <w:t>nova concessão</w:t>
            </w:r>
            <w:r>
              <w:rPr>
                <w:rFonts w:ascii="EB Garamond" w:hAnsi="EB Garamond" w:cs="EB Garamond"/>
                <w:b w:val="0"/>
                <w:i w:val="0"/>
                <w:color w:val="201B16"/>
                <w:sz w:val="19"/>
                <w:lang w:val="pt-BR" w:bidi="ar-SA"/>
                <w:kern w:val="16"/>
                <w14:ligatures w14:val="standardContextual"/>
              </w:rPr>
              <w:t>, com verificação de todos os requisitos conforme a lei vigente na data da nova prisão. Fundamento: "não se pode dar tratamento privilegiado a quem se furta às obrigações legais."</w:t>
            </w:r>
          </w:p>
          <w:p>
            <w:pPr>
              <w:spacing w:before="0" w:after="60" w:line="247" w:lineRule="auto"/>
              <w:jc w:val="both"/>
            </w:pPr>
            <w:r>
              <w:rPr>
                <w:rFonts w:ascii="EB Garamond" w:hAnsi="EB Garamond" w:cs="EB Garamond"/>
                <w:b/>
                <w:i w:val="0"/>
                <w:color w:val="201B16"/>
                <w:sz w:val="19"/>
                <w:lang w:val="pt-BR" w:bidi="ar-SA"/>
                <w:kern w:val="16"/>
                <w14:ligatures w14:val="standardContextual"/>
              </w:rPr>
              <w:t>Impacto prático devastador da Posição 2:</w:t>
            </w:r>
            <w:r>
              <w:rPr>
                <w:rFonts w:ascii="EB Garamond" w:hAnsi="EB Garamond" w:cs="EB Garamond"/>
                <w:b w:val="0"/>
                <w:i w:val="0"/>
                <w:color w:val="201B16"/>
                <w:sz w:val="19"/>
                <w:lang w:val="pt-BR" w:bidi="ar-SA"/>
                <w:kern w:val="16"/>
                <w14:ligatures w14:val="standardContextual"/>
              </w:rPr>
              <w:t xml:space="preserve"> - Segurado preso antes de 18/01/2019 (regime antigo: sem carência, semiaberto aceito) - Foge e é recapturado após 2019 - Pela Posição 2: novo fato gerador → aplica-se regime novo → exige 24 contribuições + regime fechado - O dependente pode perder o benefício definitivamente se o segurado não cumprir os novos requisitos</w:t>
            </w:r>
          </w:p>
          <w:p>
            <w:pPr>
              <w:spacing w:before="0" w:after="60" w:line="247" w:lineRule="auto"/>
              <w:jc w:val="both"/>
            </w:pPr>
            <w:r>
              <w:rPr>
                <w:rFonts w:ascii="EB Garamond" w:hAnsi="EB Garamond" w:cs="EB Garamond"/>
                <w:b/>
                <w:i w:val="0"/>
                <w:color w:val="201B16"/>
                <w:sz w:val="19"/>
                <w:lang w:val="pt-BR" w:bidi="ar-SA"/>
                <w:kern w:val="16"/>
                <w14:ligatures w14:val="standardContextual"/>
              </w:rPr>
              <w:t>Orientação:</w:t>
            </w:r>
            <w:r>
              <w:rPr>
                <w:rFonts w:ascii="EB Garamond" w:hAnsi="EB Garamond" w:cs="EB Garamond"/>
                <w:b w:val="0"/>
                <w:i w:val="0"/>
                <w:color w:val="201B16"/>
                <w:sz w:val="19"/>
                <w:lang w:val="pt-BR" w:bidi="ar-SA"/>
                <w:kern w:val="16"/>
                <w14:ligatures w14:val="standardContextual"/>
              </w:rPr>
              <w:t xml:space="preserve"> Verificar a posição do TRF da jurisdição. Na 4ª Região, a fuga é cessação. Nos demais, pode ser suspensão. Argumente pela suspensão quando favorável ao dependente.</w:t>
            </w: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Livramento condicional: cessação do auxílio-reclusão?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livramento condicional (arts. 83-90, CP; arts. 131-146, LEP) libera o preso sob condições. A questão: o livramento condicional cessa o AR?</w:t>
            </w:r>
          </w:p>
          <w:p>
            <w:pPr>
              <w:spacing w:before="0" w:after="60" w:line="247" w:lineRule="auto"/>
              <w:jc w:val="both"/>
            </w:pPr>
            <w:r>
              <w:rPr>
                <w:rFonts w:ascii="EB Garamond" w:hAnsi="EB Garamond" w:cs="EB Garamond"/>
                <w:b/>
                <w:i w:val="0"/>
                <w:color w:val="201B16"/>
                <w:sz w:val="19"/>
                <w:lang w:val="pt-BR" w:bidi="ar-SA"/>
                <w:kern w:val="16"/>
                <w14:ligatures w14:val="standardContextual"/>
              </w:rPr>
              <w:t>Posição majoritária (STJ, TRFs):</w:t>
            </w:r>
            <w:r>
              <w:rPr>
                <w:rFonts w:ascii="EB Garamond" w:hAnsi="EB Garamond" w:cs="EB Garamond"/>
                <w:b w:val="0"/>
                <w:i w:val="0"/>
                <w:color w:val="201B16"/>
                <w:sz w:val="19"/>
                <w:lang w:val="pt-BR" w:bidi="ar-SA"/>
                <w:kern w:val="16"/>
                <w14:ligatures w14:val="standardContextual"/>
              </w:rPr>
              <w:t xml:space="preserve"> SIM. O livramento condicional equivale à soltura para fins de auxílio-reclusão. O segurado em livramento condicional não está recolhido à prisão, está em liberdade, embora condicionada. O AR cessa na data do livramento.</w:t>
            </w:r>
          </w:p>
          <w:p>
            <w:pPr>
              <w:spacing w:before="0" w:after="60" w:line="247" w:lineRule="auto"/>
              <w:jc w:val="both"/>
            </w:pPr>
            <w:r>
              <w:rPr>
                <w:rFonts w:ascii="EB Garamond" w:hAnsi="EB Garamond" w:cs="EB Garamond"/>
                <w:b/>
                <w:i w:val="0"/>
                <w:color w:val="201B16"/>
                <w:sz w:val="19"/>
                <w:lang w:val="pt-BR" w:bidi="ar-SA"/>
                <w:kern w:val="16"/>
                <w14:ligatures w14:val="standardContextual"/>
              </w:rPr>
              <w:t>Posição minoritária:</w:t>
            </w:r>
            <w:r>
              <w:rPr>
                <w:rFonts w:ascii="EB Garamond" w:hAnsi="EB Garamond" w:cs="EB Garamond"/>
                <w:b w:val="0"/>
                <w:i w:val="0"/>
                <w:color w:val="201B16"/>
                <w:sz w:val="19"/>
                <w:lang w:val="pt-BR" w:bidi="ar-SA"/>
                <w:kern w:val="16"/>
                <w14:ligatures w14:val="standardContextual"/>
              </w:rPr>
              <w:t xml:space="preserve"> NÃO. O liberado condicionalmente permanece cumprindo pena, sujeito a condições e possível revogação. O livramento seria apenas modalidade de cumprimento, não soltura definitiva.</w:t>
            </w:r>
          </w:p>
          <w:p>
            <w:pPr>
              <w:spacing w:before="0" w:after="60" w:line="247" w:lineRule="auto"/>
              <w:jc w:val="both"/>
            </w:pPr>
            <w:r>
              <w:rPr>
                <w:rFonts w:ascii="EB Garamond" w:hAnsi="EB Garamond" w:cs="EB Garamond"/>
                <w:b/>
                <w:i w:val="0"/>
                <w:color w:val="201B16"/>
                <w:sz w:val="19"/>
                <w:lang w:val="pt-BR" w:bidi="ar-SA"/>
                <w:kern w:val="16"/>
                <w14:ligatures w14:val="standardContextual"/>
              </w:rPr>
              <w:t>Consequência prática:</w:t>
            </w:r>
            <w:r>
              <w:rPr>
                <w:rFonts w:ascii="EB Garamond" w:hAnsi="EB Garamond" w:cs="EB Garamond"/>
                <w:b w:val="0"/>
                <w:i w:val="0"/>
                <w:color w:val="201B16"/>
                <w:sz w:val="19"/>
                <w:lang w:val="pt-BR" w:bidi="ar-SA"/>
                <w:kern w:val="16"/>
                <w14:ligatures w14:val="standardContextual"/>
              </w:rPr>
              <w:t xml:space="preserve"> Se o livramento condicional é </w:t>
            </w:r>
            <w:r>
              <w:rPr>
                <w:rFonts w:ascii="EB Garamond" w:hAnsi="EB Garamond" w:cs="EB Garamond"/>
                <w:b/>
                <w:i w:val="0"/>
                <w:color w:val="201B16"/>
                <w:sz w:val="19"/>
                <w:lang w:val="pt-BR" w:bidi="ar-SA"/>
                <w:kern w:val="16"/>
                <w14:ligatures w14:val="standardContextual"/>
              </w:rPr>
              <w:t>revogado</w:t>
            </w:r>
            <w:r>
              <w:rPr>
                <w:rFonts w:ascii="EB Garamond" w:hAnsi="EB Garamond" w:cs="EB Garamond"/>
                <w:b w:val="0"/>
                <w:i w:val="0"/>
                <w:color w:val="201B16"/>
                <w:sz w:val="19"/>
                <w:lang w:val="pt-BR" w:bidi="ar-SA"/>
                <w:kern w:val="16"/>
                <w14:ligatures w14:val="standardContextual"/>
              </w:rPr>
              <w:t xml:space="preserve"> e o segurado retorna à prisão, configura-se novo fato gerador, exigindo novo requerimento (com verificação de todos os requisitos no momento da nova reclusão, incluindo a carência de 24 contribuições no regime pós-EC 103).</w:t>
            </w:r>
          </w:p>
          <w:p>
            <w:pPr>
              <w:spacing w:before="0" w:after="60" w:line="247" w:lineRule="auto"/>
              <w:jc w:val="both"/>
            </w:pPr>
            <w:r>
              <w:rPr>
                <w:rFonts w:ascii="EB Garamond" w:hAnsi="EB Garamond" w:cs="EB Garamond"/>
                <w:b/>
                <w:i w:val="0"/>
                <w:color w:val="201B16"/>
                <w:sz w:val="19"/>
                <w:lang w:val="pt-BR" w:bidi="ar-SA"/>
                <w:kern w:val="16"/>
                <w14:ligatures w14:val="standardContextual"/>
              </w:rPr>
              <w:t>Referência:</w:t>
            </w:r>
            <w:r>
              <w:rPr>
                <w:rFonts w:ascii="EB Garamond" w:hAnsi="EB Garamond" w:cs="EB Garamond"/>
                <w:b w:val="0"/>
                <w:i w:val="0"/>
                <w:color w:val="201B16"/>
                <w:sz w:val="19"/>
                <w:lang w:val="pt-BR" w:bidi="ar-SA"/>
                <w:kern w:val="16"/>
                <w14:ligatures w14:val="standardContextual"/>
              </w:rPr>
              <w:t xml:space="preserve"> STJ, REsp 1.672.295/RS; TRF4, TRU, Incidente 5003821-16.2020.4.04.7108.</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14.17 Segurado aposentado preso e acumulação de benefícios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Q</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uestão de crescente relevância prática é a situação do segurado que já recebia benefício previdenciário, especialmente aposentadoria, quando é recolhido à prisão. O tratamento jurídico varia conforme o tipo de benefício que o segurado recebia e conforme o regime jurídico aplicável (pré ou pós-EC 103).</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Segurado aposentado que é preso.</w:t>
      </w:r>
      <w:r>
        <w:rPr>
          <w:rFonts w:ascii="EB Garamond" w:hAnsi="EB Garamond" w:cs="EB Garamond"/>
          <w:b w:val="0"/>
          <w:i w:val="0"/>
          <w:color w:val="201B16"/>
          <w:sz w:val="21"/>
          <w:lang w:val="pt-BR" w:bidi="ar-SA"/>
          <w:kern w:val="16"/>
          <w14:ligatures w14:val="standardContextual"/>
        </w:rPr>
        <w:t xml:space="preserve"> O art. 80 da Lei 8.213/91 dispõe que o auxílio-reclusão é devido aos dependentes do "segurado recolhido à prisão, que não receber remuneração da empresa e que não estiver em gozo de auxílio-doença [atual auxílio por incapacidade temporária], de aposentadoria ou de abono de permanência em serviço". Essa disposição, lida literalmente, excluiria os dependentes de segurado aposentado do auxílio-reclusão.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Contudo, a EC 103/2019 alterou essa dinâmica com o art. 27, § 2º: "O segurado que já for titular de outro benefício do RGPS, ao ser recolhido à prisão, terá a opção de requerer a transferência daquele para seus dependentes." Essa previsão permite que o aposentado preso transfira a aposentadoria para seus dependentes, que a receberão como se auxílio-reclusão fosse, durante o período de encarceramento.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surgem três cenários: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Cenário 1 — Aposentado preso, regime antigo.</w:t>
      </w:r>
      <w:r>
        <w:rPr>
          <w:rFonts w:ascii="EB Garamond" w:hAnsi="EB Garamond" w:cs="EB Garamond"/>
          <w:b w:val="0"/>
          <w:i w:val="0"/>
          <w:color w:val="201B16"/>
          <w:sz w:val="21"/>
          <w:lang w:val="pt-BR" w:bidi="ar-SA"/>
          <w:kern w:val="16"/>
          <w14:ligatures w14:val="standardContextual"/>
        </w:rPr>
        <w:t xml:space="preserve"> Se a prisão é anterior a 13/11/2019, aplica-se o art. 80 da Lei 8.213/91 na redação original. A doutrina majoritária e a jurisprudência dos TRFs entendiam que o aposentado preso não gerava auxílio-reclusão (pela vedação expressa do art. 80), mas a aposentadoria continuava sendo paga normalmente, pois não há previsão legal de suspensão de aposentadoria por encarceramento.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Cenário 2 — Aposentado preso, regime novo.</w:t>
      </w:r>
      <w:r>
        <w:rPr>
          <w:rFonts w:ascii="EB Garamond" w:hAnsi="EB Garamond" w:cs="EB Garamond"/>
          <w:b w:val="0"/>
          <w:i w:val="0"/>
          <w:color w:val="201B16"/>
          <w:sz w:val="21"/>
          <w:lang w:val="pt-BR" w:bidi="ar-SA"/>
          <w:kern w:val="16"/>
          <w14:ligatures w14:val="standardContextual"/>
        </w:rPr>
        <w:t xml:space="preserve"> Se a prisão é a partir de 13/11/2019, aplica-se o art. 27, § 2º, da EC 103. O segurado pode optar entre: (a) manter a aposentadoria em seu nome (caso em que não há auxílio-reclusão para os dependentes); ou (b) transferir a aposentadoria para os dependentes.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Cenário 3 — Segurado em gozo de auxílio por incapacidade temporária que é preso.</w:t>
      </w:r>
      <w:r>
        <w:rPr>
          <w:rFonts w:ascii="EB Garamond" w:hAnsi="EB Garamond" w:cs="EB Garamond"/>
          <w:b w:val="0"/>
          <w:i w:val="0"/>
          <w:color w:val="201B16"/>
          <w:sz w:val="21"/>
          <w:lang w:val="pt-BR" w:bidi="ar-SA"/>
          <w:kern w:val="16"/>
          <w14:ligatures w14:val="standardContextual"/>
        </w:rPr>
        <w:t xml:space="preserve"> O art. 80 veda expressamente o auxílio-reclusão quando o segurado está em gozo de auxílio-doença (atual auxílio por incapacidade temporária). A justificativa é a mesma: o benefício por incapacidade continua sendo pago ao segurado preso (pois a incapacidade persiste independentemente da reclusão), mantendo a fonte de renda familiar.</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Cenário 4 — Segurado em gozo de pensão por morte que é preso.</w:t>
      </w:r>
      <w:r>
        <w:rPr>
          <w:rFonts w:ascii="EB Garamond" w:hAnsi="EB Garamond" w:cs="EB Garamond"/>
          <w:b w:val="0"/>
          <w:i w:val="0"/>
          <w:color w:val="201B16"/>
          <w:sz w:val="21"/>
          <w:lang w:val="pt-BR" w:bidi="ar-SA"/>
          <w:kern w:val="16"/>
          <w14:ligatures w14:val="standardContextual"/>
        </w:rPr>
        <w:t xml:space="preserve"> A redação do art. 80 (pós-Lei 13.846/2019) também veda o AR quando o segurado está em gozo de pensão por morte. Essa situação é menos intuitiva: o segurado que recebe pensão por morte (como dependente de outro segurado) é preso. Seus próprios dependentes não terão direito ao AR, pois a pensão por morte do segurado continua sendo paga. Na experiência dos juizados, a pensão pode ser administrada por procuração a favor dos dependentes.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Cenário 5 — Segurado que recebe salário-maternidade.</w:t>
      </w:r>
      <w:r>
        <w:rPr>
          <w:rFonts w:ascii="EB Garamond" w:hAnsi="EB Garamond" w:cs="EB Garamond"/>
          <w:b w:val="0"/>
          <w:i w:val="0"/>
          <w:color w:val="201B16"/>
          <w:sz w:val="21"/>
          <w:lang w:val="pt-BR" w:bidi="ar-SA"/>
          <w:kern w:val="16"/>
          <w14:ligatures w14:val="standardContextual"/>
        </w:rPr>
        <w:t xml:space="preserve"> A segurada que está recebendo salário-maternidade e é recolhida à prisão: o art. 80 também veda o AR nessa hipótese. O SM continua sendo pago normalmente durante o período restante. Após o término do SM, se a segurada permanecer presa, poderá ser concedido o AR (verificados os demais requisitos).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Aposentado preso: evolução jurisprudencial</w:t>
            </w:r>
          </w:p>
          <w:p>
            <w:pPr>
              <w:spacing w:before="0" w:after="60" w:line="247" w:lineRule="auto"/>
              <w:jc w:val="both"/>
            </w:pPr>
            <w:r>
              <w:rPr>
                <w:rFonts w:ascii="EB Garamond" w:hAnsi="EB Garamond" w:cs="EB Garamond"/>
                <w:b/>
                <w:i w:val="0"/>
                <w:color w:val="201B16"/>
                <w:sz w:val="19"/>
                <w:lang w:val="pt-BR" w:bidi="ar-SA"/>
                <w:kern w:val="16"/>
                <w14:ligatures w14:val="standardContextual"/>
              </w:rPr>
              <w:t>Antes da EC 103:</w:t>
            </w:r>
            <w:r>
              <w:rPr>
                <w:rFonts w:ascii="EB Garamond" w:hAnsi="EB Garamond" w:cs="EB Garamond"/>
                <w:b w:val="0"/>
                <w:i w:val="0"/>
                <w:color w:val="201B16"/>
                <w:sz w:val="19"/>
                <w:lang w:val="pt-BR" w:bidi="ar-SA"/>
                <w:kern w:val="16"/>
                <w14:ligatures w14:val="standardContextual"/>
              </w:rPr>
              <w:t xml:space="preserve"> O STJ e os TRFs consolidaram entendimento de que o segurado aposentado que é preso não gera auxílio-reclusão para seus dependentes (vedação do art. 80, Lei 8.213/91). Contudo, a aposentadoria permanece sendo paga ao segurado preso, podendo este, por procuração, direcionar os valores a seus dependentes.</w:t>
            </w:r>
          </w:p>
          <w:p>
            <w:pPr>
              <w:spacing w:before="0" w:after="60" w:line="247" w:lineRule="auto"/>
              <w:jc w:val="both"/>
            </w:pPr>
            <w:r>
              <w:rPr>
                <w:rFonts w:ascii="EB Garamond" w:hAnsi="EB Garamond" w:cs="EB Garamond"/>
                <w:b/>
                <w:i w:val="0"/>
                <w:color w:val="201B16"/>
                <w:sz w:val="19"/>
                <w:lang w:val="pt-BR" w:bidi="ar-SA"/>
                <w:kern w:val="16"/>
                <w14:ligatures w14:val="standardContextual"/>
              </w:rPr>
              <w:t>Após a EC 103:</w:t>
            </w:r>
            <w:r>
              <w:rPr>
                <w:rFonts w:ascii="EB Garamond" w:hAnsi="EB Garamond" w:cs="EB Garamond"/>
                <w:b w:val="0"/>
                <w:i w:val="0"/>
                <w:color w:val="201B16"/>
                <w:sz w:val="19"/>
                <w:lang w:val="pt-BR" w:bidi="ar-SA"/>
                <w:kern w:val="16"/>
                <w14:ligatures w14:val="standardContextual"/>
              </w:rPr>
              <w:t xml:space="preserve"> O art. 27, § 2º, da EC 103 prevê expressamente a possibilidade de transferência do benefício. O aposentado preso pode requerer que sua aposentadoria seja paga a seus dependentes como auxílio-reclusão. O valor transferido corresponde, em princípio, ao valor da aposentadoria, e não ao valor do AR (1 SM). Há, contudo, </w:t>
            </w:r>
            <w:r>
              <w:rPr>
                <w:rFonts w:ascii="EB Garamond" w:hAnsi="EB Garamond" w:cs="EB Garamond"/>
                <w:b/>
                <w:i w:val="0"/>
                <w:color w:val="201B16"/>
                <w:sz w:val="19"/>
                <w:lang w:val="pt-BR" w:bidi="ar-SA"/>
                <w:kern w:val="16"/>
                <w14:ligatures w14:val="standardContextual"/>
              </w:rPr>
              <w:t>controvérsia ainda não pacificada</w:t>
            </w:r>
            <w:r>
              <w:rPr>
                <w:rFonts w:ascii="EB Garamond" w:hAnsi="EB Garamond" w:cs="EB Garamond"/>
                <w:b w:val="0"/>
                <w:i w:val="0"/>
                <w:color w:val="201B16"/>
                <w:sz w:val="19"/>
                <w:lang w:val="pt-BR" w:bidi="ar-SA"/>
                <w:kern w:val="16"/>
                <w14:ligatures w14:val="standardContextual"/>
              </w:rPr>
              <w:t xml:space="preserve"> sobre eventual limitação desse montante: o dispositivo carece de regulamentação que defina se a transferência se opera integralmente ou se sujeita a teto (por exemplo, ao valor de 1 SM próprio do AR pós-EC 103, ou ao redutor da pensão por morte). Enquanto não sobrevém disciplina específica, defende-se a transferência integral com fundamento na literalidade da norma — que fala em transferir "aquele" benefício, sem ressalva de valor —, mas o ponto comporta resistência administrativa. Assim, o aposentado que recebia R$ 3.000,00 de aposentadoria pode pleitear a transferência integral desse valor aos dependentes, ciente de que a extensão exata do mecanismo permanece sujeita a definição jurisprudencial e regulamentar.</w:t>
            </w:r>
          </w:p>
          <w:p>
            <w:pPr>
              <w:spacing w:before="0" w:after="60" w:line="247" w:lineRule="auto"/>
              <w:jc w:val="both"/>
            </w:pPr>
            <w:r>
              <w:rPr>
                <w:rFonts w:ascii="EB Garamond" w:hAnsi="EB Garamond" w:cs="EB Garamond"/>
                <w:b/>
                <w:i w:val="0"/>
                <w:color w:val="201B16"/>
                <w:sz w:val="19"/>
                <w:lang w:val="pt-BR" w:bidi="ar-SA"/>
                <w:kern w:val="16"/>
                <w14:ligatures w14:val="standardContextual"/>
              </w:rPr>
              <w:t>Questão não pacificada:</w:t>
            </w:r>
            <w:r>
              <w:rPr>
                <w:rFonts w:ascii="EB Garamond" w:hAnsi="EB Garamond" w:cs="EB Garamond"/>
                <w:b w:val="0"/>
                <w:i w:val="0"/>
                <w:color w:val="201B16"/>
                <w:sz w:val="19"/>
                <w:lang w:val="pt-BR" w:bidi="ar-SA"/>
                <w:kern w:val="16"/>
                <w14:ligatures w14:val="standardContextual"/>
              </w:rPr>
              <w:t xml:space="preserve"> Se o aposentado não opta pela transferência, os dependentes podem requerer auxílio-reclusão independente? Posição majoritária: NÃO, pois a aposentadoria é mantida e pode ser administrada por procuração. O AR pressupõe a ausência de renda, que é suprida pela aposentadoria mantida.</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i w:val="0"/>
          <w:color w:val="201B16"/>
          <w:sz w:val="21"/>
          <w:lang w:val="pt-BR" w:bidi="ar-SA"/>
          <w:kern w:val="16"/>
          <w14:ligatures w14:val="standardContextual"/>
        </w:rPr>
        <w:t>cumulação do auxílio-reclusão com outros benefícios.</w:t>
      </w:r>
      <w:r>
        <w:rPr>
          <w:rFonts w:ascii="EB Garamond" w:hAnsi="EB Garamond" w:cs="EB Garamond"/>
          <w:b w:val="0"/>
          <w:i w:val="0"/>
          <w:color w:val="201B16"/>
          <w:sz w:val="21"/>
          <w:lang w:val="pt-BR" w:bidi="ar-SA"/>
          <w:kern w:val="16"/>
          <w14:ligatures w14:val="standardContextual"/>
        </w:rPr>
        <w:t xml:space="preserve"> A acumulação segue as regras gerais analisadas no Capítulo 20, com as seguintes particularidades: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AR + pensão por morte:</w:t>
      </w:r>
      <w:r>
        <w:rPr>
          <w:rFonts w:ascii="EB Garamond" w:hAnsi="EB Garamond" w:cs="EB Garamond"/>
          <w:b w:val="0"/>
          <w:i w:val="0"/>
          <w:color w:val="201B16"/>
          <w:sz w:val="20"/>
          <w:lang w:val="pt-BR" w:bidi="ar-SA"/>
          <w:kern w:val="16"/>
          <w14:ligatures w14:val="standardContextual"/>
        </w:rPr>
        <w:t xml:space="preserve"> Em princípio, possível, pois são benefícios de natureza diversa (AR substitui renda do segurado preso; PM substitui renda do segurado falecido). A incidência do escalonamento do art. 24 da EC 103/2019 sobre essa acumulação é, contudo, </w:t>
      </w:r>
      <w:r>
        <w:rPr>
          <w:rFonts w:ascii="EB Garamond" w:hAnsi="EB Garamond" w:cs="EB Garamond"/>
          <w:b/>
          <w:i w:val="0"/>
          <w:color w:val="201B16"/>
          <w:sz w:val="20"/>
          <w:lang w:val="pt-BR" w:bidi="ar-SA"/>
          <w:kern w:val="16"/>
          <w14:ligatures w14:val="standardContextual"/>
        </w:rPr>
        <w:t>questão controvertida</w:t>
      </w:r>
      <w:r>
        <w:rPr>
          <w:rFonts w:ascii="EB Garamond" w:hAnsi="EB Garamond" w:cs="EB Garamond"/>
          <w:b w:val="0"/>
          <w:i w:val="0"/>
          <w:color w:val="201B16"/>
          <w:sz w:val="20"/>
          <w:lang w:val="pt-BR" w:bidi="ar-SA"/>
          <w:kern w:val="16"/>
          <w14:ligatures w14:val="standardContextual"/>
        </w:rPr>
        <w:t>: o dispositivo refere-se literalmente à acumulação de "pensão por morte" com "aposentadoria" (e entre pensões de regimes distintos), não mencionando expressamente o auxílio-reclusão. Há quem sustente a aplicação analógica do redutor — por ser o AR, no regime atual, calculado e estruturado à semelhança da pensão por morte —, e há quem a rejeite, por se tratar de norma restritiva de direito, insuscetível de interpretação ampliativa. Não há, na base consultada, repetitivo que pacifique a questão; recomendamos, por cautela, sinalizar a controvérsia na petição e subsidiariamente impugnar a aplicação automática do redutor pelo INSS. A matéria é tratada em profundidade no Cap. 20.</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AR + BPC/LOAS:</w:t>
      </w:r>
      <w:r>
        <w:rPr>
          <w:rFonts w:ascii="EB Garamond" w:hAnsi="EB Garamond" w:cs="EB Garamond"/>
          <w:b w:val="0"/>
          <w:i w:val="0"/>
          <w:color w:val="201B16"/>
          <w:sz w:val="20"/>
          <w:lang w:val="pt-BR" w:bidi="ar-SA"/>
          <w:kern w:val="16"/>
          <w14:ligatures w14:val="standardContextual"/>
        </w:rPr>
        <w:t xml:space="preserve"> Não se trata, a rigor, de vedação legal automática de acumulação, mas de </w:t>
      </w:r>
      <w:r>
        <w:rPr>
          <w:rFonts w:ascii="EB Garamond" w:hAnsi="EB Garamond" w:cs="EB Garamond"/>
          <w:b/>
          <w:i w:val="0"/>
          <w:color w:val="201B16"/>
          <w:sz w:val="20"/>
          <w:lang w:val="pt-BR" w:bidi="ar-SA"/>
          <w:kern w:val="16"/>
          <w14:ligatures w14:val="standardContextual"/>
        </w:rPr>
        <w:t>descaracterização do requisito de miserabilidade por composição de renda</w:t>
      </w:r>
      <w:r>
        <w:rPr>
          <w:rFonts w:ascii="EB Garamond" w:hAnsi="EB Garamond" w:cs="EB Garamond"/>
          <w:b w:val="0"/>
          <w:i w:val="0"/>
          <w:color w:val="201B16"/>
          <w:sz w:val="20"/>
          <w:lang w:val="pt-BR" w:bidi="ar-SA"/>
          <w:kern w:val="16"/>
          <w14:ligatures w14:val="standardContextual"/>
        </w:rPr>
        <w:t xml:space="preserve">. O valor do auxílio-reclusão integra a renda do grupo familiar para fins de aferição do BPC (Lei 8.742/93, art. 20); a depender da composição familiar e do critério de renda per capita aplicável, esse acréscimo </w:t>
      </w:r>
      <w:r>
        <w:rPr>
          <w:rFonts w:ascii="EB Garamond" w:hAnsi="EB Garamond" w:cs="EB Garamond"/>
          <w:b/>
          <w:i w:val="0"/>
          <w:color w:val="201B16"/>
          <w:sz w:val="20"/>
          <w:lang w:val="pt-BR" w:bidi="ar-SA"/>
          <w:kern w:val="16"/>
          <w14:ligatures w14:val="standardContextual"/>
        </w:rPr>
        <w:t>pode</w:t>
      </w:r>
      <w:r>
        <w:rPr>
          <w:rFonts w:ascii="EB Garamond" w:hAnsi="EB Garamond" w:cs="EB Garamond"/>
          <w:b w:val="0"/>
          <w:i w:val="0"/>
          <w:color w:val="201B16"/>
          <w:sz w:val="20"/>
          <w:lang w:val="pt-BR" w:bidi="ar-SA"/>
          <w:kern w:val="16"/>
          <w14:ligatures w14:val="standardContextual"/>
        </w:rPr>
        <w:t xml:space="preserve"> — não necessariamente — afastar a condição de miserabilidade que o BPC exige. Assim, a incompatibilidade é casuística e econômica, e não uma proibição abstrata de cumulação. Remete-se ao Cap. 18 para o exame detido do critério de miserabilidade e das hipóteses de exclusão de rendas do cálculo.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AR + salário-maternidade:</w:t>
      </w:r>
      <w:r>
        <w:rPr>
          <w:rFonts w:ascii="EB Garamond" w:hAnsi="EB Garamond" w:cs="EB Garamond"/>
          <w:b w:val="0"/>
          <w:i w:val="0"/>
          <w:color w:val="201B16"/>
          <w:sz w:val="20"/>
          <w:lang w:val="pt-BR" w:bidi="ar-SA"/>
          <w:kern w:val="16"/>
          <w14:ligatures w14:val="standardContextual"/>
        </w:rPr>
        <w:t xml:space="preserve"> Possível, pois são benefícios com fatos geradores e finalidades distintos.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i w:val="0"/>
          <w:color w:val="201B16"/>
          <w:sz w:val="20"/>
          <w:lang w:val="pt-BR" w:bidi="ar-SA"/>
          <w:kern w:val="16"/>
          <w14:ligatures w14:val="standardContextual"/>
        </w:rPr>
        <w:t>AR + Bolsa Família/Auxílio Brasil/benefícios assistenciais:</w:t>
      </w:r>
      <w:r>
        <w:rPr>
          <w:rFonts w:ascii="EB Garamond" w:hAnsi="EB Garamond" w:cs="EB Garamond"/>
          <w:b w:val="0"/>
          <w:i w:val="0"/>
          <w:color w:val="201B16"/>
          <w:sz w:val="20"/>
          <w:lang w:val="pt-BR" w:bidi="ar-SA"/>
          <w:kern w:val="16"/>
          <w14:ligatures w14:val="standardContextual"/>
        </w:rPr>
        <w:t xml:space="preserve"> O valor do AR é computado como renda familiar para fins de programas assistenciais, podendo afetar o enquadramento.</w:t>
      </w:r>
    </w:p>
    <w:p>
      <w:pPr>
        <w:spacing w:before="0" w:after="6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14.18 Aspectos processuais nos JEFs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auxílio-reclusão apresenta particularidades processuais que exigem atenção especial do advogado nos Juizados Especiais Federais. A combinação de urgência (família desprotegida), complexidade probatória (documentação penitenciária) e questões interinstitucionais (interface INSS-Justiça Criminal) torna a litigância nessa matéria especialmente desafiadora.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Competência.</w:t>
      </w:r>
      <w:r>
        <w:rPr>
          <w:rFonts w:ascii="EB Garamond" w:hAnsi="EB Garamond" w:cs="EB Garamond"/>
          <w:b w:val="0"/>
          <w:i w:val="0"/>
          <w:color w:val="201B16"/>
          <w:sz w:val="21"/>
          <w:lang w:val="pt-BR" w:bidi="ar-SA"/>
          <w:kern w:val="16"/>
          <w14:ligatures w14:val="standardContextual"/>
        </w:rPr>
        <w:t xml:space="preserve"> A competência para ações de concessão, manutenção ou restabelecimento do auxílio-reclusão é da Justiça Federal (art. 109, I, CF), exercida pelos JEFs quando o valor da causa não exceder 60 salários-mínimos (R$ 97.260,00 em 2026). Na prática, a quase totalidade das demandas de auxílio-reclusão tramita nos JEFs, pois o valor do benefício (1 SM por mês) raramente gera valores acumulados superiores ao teto.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Prévio requerimento administrativo.</w:t>
      </w:r>
      <w:r>
        <w:rPr>
          <w:rFonts w:ascii="EB Garamond" w:hAnsi="EB Garamond" w:cs="EB Garamond"/>
          <w:b w:val="0"/>
          <w:i w:val="0"/>
          <w:color w:val="201B16"/>
          <w:sz w:val="21"/>
          <w:lang w:val="pt-BR" w:bidi="ar-SA"/>
          <w:kern w:val="16"/>
          <w14:ligatures w14:val="standardContextual"/>
        </w:rPr>
        <w:t xml:space="preserve"> O STF (Tema 350, RE 631.240) exige prévio requerimento administrativo como condição para o ajuizamento de ações previdenciárias. A regra aplica-se ao auxílio-reclusão. Contudo, nas hipóteses de indeferimento sumário ou de demora injustificada (superior a 45 dias — art. 41-A, § 5º, Lei 8.213/91), o interesse de agir resta configurado.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Tutela de urgência.</w:t>
      </w:r>
      <w:r>
        <w:rPr>
          <w:rFonts w:ascii="EB Garamond" w:hAnsi="EB Garamond" w:cs="EB Garamond"/>
          <w:b w:val="0"/>
          <w:i w:val="0"/>
          <w:color w:val="201B16"/>
          <w:sz w:val="21"/>
          <w:lang w:val="pt-BR" w:bidi="ar-SA"/>
          <w:kern w:val="16"/>
          <w14:ligatures w14:val="standardContextual"/>
        </w:rPr>
        <w:t xml:space="preserve"> O auxílio-reclusão é campo fértil para tutelas de urgência (antecipada e cautelar), dados os requisitos frequentemente preenchidos: (i) probabilidade do direito, demonstrada pela documentação de qualidade de segurado, recolhimento à prisão e dependência; (ii) perigo de dano irreparável, decorrente da supressão da fonte de renda familiar com risco alimentar imediato; e (iii) reversibilidade, possível mediante compensação com benefícios futuros.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concessão de tutela antecipada inaudita altera parte é comum e recomendável quando a documentação é robusta. O juiz federal pode determinar a implantação imediata do benefício, com intimação posterior do INSS para contestação. A irreversibilidade dos efeitos (pagamento de verba alimentar) não obsta a concessão, conforme jurisprudência consolidada do STJ e dos TRFs.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Prescrição e decadência.</w:t>
      </w:r>
      <w:r>
        <w:rPr>
          <w:rFonts w:ascii="EB Garamond" w:hAnsi="EB Garamond" w:cs="EB Garamond"/>
          <w:b w:val="0"/>
          <w:i w:val="0"/>
          <w:color w:val="201B16"/>
          <w:sz w:val="21"/>
          <w:lang w:val="pt-BR" w:bidi="ar-SA"/>
          <w:kern w:val="16"/>
          <w14:ligatures w14:val="standardContextual"/>
        </w:rPr>
        <w:t xml:space="preserve"> A prescrição quinquenal do art. 103, parágrafo único, da Lei 8.213/91 aplica-se ao auxílio-reclusão: prescrevem as parcelas vencidas há mais de 5 anos da data do ajuizamento. O fundo de direito (direito ao benefício em si) não prescreve enquanto perdurar a condição de preso, por se tratar de relação de trato sucessivo (Súmula 85/STJ). A decadência decenal do art. 103, caput, aplica-se à revisão do valor do AR concedido, não à concessão originária — tema relevante para dependentes que descobrem tardiamente o direito.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Execução de sentença e RPV.</w:t>
      </w:r>
      <w:r>
        <w:rPr>
          <w:rFonts w:ascii="EB Garamond" w:hAnsi="EB Garamond" w:cs="EB Garamond"/>
          <w:b w:val="0"/>
          <w:i w:val="0"/>
          <w:color w:val="201B16"/>
          <w:sz w:val="21"/>
          <w:lang w:val="pt-BR" w:bidi="ar-SA"/>
          <w:kern w:val="16"/>
          <w14:ligatures w14:val="standardContextual"/>
        </w:rPr>
        <w:t xml:space="preserve"> As sentenças que concedem auxílio-reclusão nos JEFs são executadas mediante Requisição de Pequeno Valor (RPV), uma vez que os valores acumulados raramente excedem 60 SM. O cálculo dos atrasados deve considerar: (i) parcelas da DIB até a efetiva implantação; (ii) correção monetária pelo IPCA-E (até EC 113/2021) ou pela SELIC (após EC 113); (iii) juros de mora na forma da lei. A tutela antecipada deferida no curso do processo gera compensação com os valores da condenação definitiva, os meses em que o dependente já recebeu por tutela são excluídos do cálculo dos atrasados.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Instrução probatória.</w:t>
      </w:r>
      <w:r>
        <w:rPr>
          <w:rFonts w:ascii="EB Garamond" w:hAnsi="EB Garamond" w:cs="EB Garamond"/>
          <w:b w:val="0"/>
          <w:i w:val="0"/>
          <w:color w:val="201B16"/>
          <w:sz w:val="21"/>
          <w:lang w:val="pt-BR" w:bidi="ar-SA"/>
          <w:kern w:val="16"/>
          <w14:ligatures w14:val="standardContextual"/>
        </w:rPr>
        <w:t xml:space="preserve"> A produção de prova no auxílio-reclusão apresenta particularidades: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1. </w:t>
      </w:r>
      <w:r>
        <w:rPr>
          <w:rFonts w:ascii="EB Garamond" w:hAnsi="EB Garamond" w:cs="EB Garamond"/>
          <w:b/>
          <w:i w:val="0"/>
          <w:color w:val="201B16"/>
          <w:sz w:val="20"/>
          <w:lang w:val="pt-BR" w:bidi="ar-SA"/>
          <w:kern w:val="16"/>
          <w14:ligatures w14:val="standardContextual"/>
        </w:rPr>
        <w:t>Prova documental penitenciária:</w:t>
      </w:r>
      <w:r>
        <w:rPr>
          <w:rFonts w:ascii="EB Garamond" w:hAnsi="EB Garamond" w:cs="EB Garamond"/>
          <w:b w:val="0"/>
          <w:i w:val="0"/>
          <w:color w:val="201B16"/>
          <w:sz w:val="20"/>
          <w:lang w:val="pt-BR" w:bidi="ar-SA"/>
          <w:kern w:val="16"/>
          <w14:ligatures w14:val="standardContextual"/>
        </w:rPr>
        <w:t xml:space="preserve"> A certidão de recolhimento, o atestado carcerário e a declaração de regime prisional são documentos essenciais. O juiz pode oficiar diretamente o estabelecimento penal para obtenção de informações (nome do segurado, data da prisão, regime, eventuais fugas ou progressões).</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2. </w:t>
      </w:r>
      <w:r>
        <w:rPr>
          <w:rFonts w:ascii="EB Garamond" w:hAnsi="EB Garamond" w:cs="EB Garamond"/>
          <w:b/>
          <w:i w:val="0"/>
          <w:color w:val="201B16"/>
          <w:sz w:val="20"/>
          <w:lang w:val="pt-BR" w:bidi="ar-SA"/>
          <w:kern w:val="16"/>
          <w14:ligatures w14:val="standardContextual"/>
        </w:rPr>
        <w:t>Prova de dependência:</w:t>
      </w:r>
      <w:r>
        <w:rPr>
          <w:rFonts w:ascii="EB Garamond" w:hAnsi="EB Garamond" w:cs="EB Garamond"/>
          <w:b w:val="0"/>
          <w:i w:val="0"/>
          <w:color w:val="201B16"/>
          <w:sz w:val="20"/>
          <w:lang w:val="pt-BR" w:bidi="ar-SA"/>
          <w:kern w:val="16"/>
          <w14:ligatures w14:val="standardContextual"/>
        </w:rPr>
        <w:t xml:space="preserve"> Especialmente para companheiras, a prova testemunhal é frequentemente necessária. A oitiva de testemunhas nos JEFs pode ser combinada com documentação indireta (visitação ao preso, correspondências, filhos em comum).</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3. </w:t>
      </w:r>
      <w:r>
        <w:rPr>
          <w:rFonts w:ascii="EB Garamond" w:hAnsi="EB Garamond" w:cs="EB Garamond"/>
          <w:b/>
          <w:i w:val="0"/>
          <w:color w:val="201B16"/>
          <w:sz w:val="20"/>
          <w:lang w:val="pt-BR" w:bidi="ar-SA"/>
          <w:kern w:val="16"/>
          <w14:ligatures w14:val="standardContextual"/>
        </w:rPr>
        <w:t>Prova de renda:</w:t>
      </w:r>
      <w:r>
        <w:rPr>
          <w:rFonts w:ascii="EB Garamond" w:hAnsi="EB Garamond" w:cs="EB Garamond"/>
          <w:b w:val="0"/>
          <w:i w:val="0"/>
          <w:color w:val="201B16"/>
          <w:sz w:val="20"/>
          <w:lang w:val="pt-BR" w:bidi="ar-SA"/>
          <w:kern w:val="16"/>
          <w14:ligatures w14:val="standardContextual"/>
        </w:rPr>
        <w:t xml:space="preserve"> O CNIS é a principal fonte para aferição da renda do segurado. Em caso de inconsistências ou omissões, a retificação do CNIS pode ser realizada incidentalmente no processo.</w:t>
      </w:r>
    </w:p>
    <w:p>
      <w:pPr>
        <w:spacing w:before="0" w:after="6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Competência: JEF × Vara Federal × Justiça Estadual</w:t>
            </w:r>
          </w:p>
          <w:tbl>
            <w:tblPr>
              <w:tblW w:type="auto" w:w="0"/>
              <w:jc w:val="center"/>
              <w:tblLook w:firstColumn="1" w:firstRow="1" w:lastColumn="0" w:lastRow="0" w:noHBand="0" w:noVBand="1" w:val="04A0"/>
              <w:tblW w:w="5000" w:type="pct"/>
            </w:tblPr>
            <w:tblGrid>
              <w:gridCol w:w="3175"/>
              <w:gridCol w:w="3175"/>
            </w:tblGrid>
            <w:tr>
              <w:trPr>
                <w:tblHeader/>
              </w:trPr>
              <w:tc>
                <w:tcPr>
                  <w:tcW w:type="dxa" w:w="3175"/>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Situação</w:t>
                  </w:r>
                </w:p>
              </w:tc>
              <w:tc>
                <w:tcPr>
                  <w:tcW w:type="dxa" w:w="3175"/>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Competência</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Concessão/restabelecimento do AR (valor ≤ 60 SM)</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JEF</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Concessão/restabelecimento do AR (valor &gt; 60 SM)</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Vara Federal</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Revisão do valor do AR</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JEF (se valor ≤ 60 SM)</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Conversão AR → pensão por morte</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JEF (se valor ≤ 60 SM)</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Questões penais (regime, progressão, fuga)</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Vara de Execuções Penais (Justiça Estadual ou Federal)</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Mandado de segurança contra ato do INSS</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Vara Federal (não JEF)</w:t>
                  </w:r>
                </w:p>
              </w:tc>
            </w:tr>
          </w:tbl>
          <w:p/>
          <w:p>
            <w:pPr>
              <w:spacing w:before="0" w:after="0" w:line="240" w:lineRule="auto"/>
            </w:pPr>
          </w:p>
          <w:p>
            <w:pPr>
              <w:spacing w:before="0" w:after="60" w:line="247" w:lineRule="auto"/>
              <w:jc w:val="both"/>
            </w:pPr>
            <w:r>
              <w:rPr>
                <w:rFonts w:ascii="EB Garamond" w:hAnsi="EB Garamond" w:cs="EB Garamond"/>
                <w:b/>
                <w:i w:val="0"/>
                <w:color w:val="201B16"/>
                <w:sz w:val="19"/>
                <w:lang w:val="pt-BR" w:bidi="ar-SA"/>
                <w:kern w:val="16"/>
                <w14:ligatures w14:val="standardContextual"/>
              </w:rPr>
              <w:t>Atenção:</w:t>
            </w:r>
            <w:r>
              <w:rPr>
                <w:rFonts w:ascii="EB Garamond" w:hAnsi="EB Garamond" w:cs="EB Garamond"/>
                <w:b w:val="0"/>
                <w:i w:val="0"/>
                <w:color w:val="201B16"/>
                <w:sz w:val="19"/>
                <w:lang w:val="pt-BR" w:bidi="ar-SA"/>
                <w:kern w:val="16"/>
                <w14:ligatures w14:val="standardContextual"/>
              </w:rPr>
              <w:t xml:space="preserve"> O JEF NÃO pode interferir em questões penais (regime prisional, progressão). Se a discussão envolver o regime prisional, o JEF deve utilizar como prova a decisão do juízo da execução penal, não pode, por si, determinar o regime.</w:t>
            </w:r>
          </w:p>
          <w:p>
            <w:pPr>
              <w:spacing w:before="0" w:after="60" w:line="247" w:lineRule="auto"/>
              <w:jc w:val="both"/>
            </w:pPr>
            <w:r>
              <w:rPr>
                <w:rFonts w:ascii="EB Garamond" w:hAnsi="EB Garamond" w:cs="EB Garamond"/>
                <w:b/>
                <w:i w:val="0"/>
                <w:color w:val="201B16"/>
                <w:sz w:val="19"/>
                <w:lang w:val="pt-BR" w:bidi="ar-SA"/>
                <w:kern w:val="16"/>
                <w14:ligatures w14:val="standardContextual"/>
              </w:rPr>
              <w:t>Valor da causa no AR:</w:t>
            </w:r>
            <w:r>
              <w:rPr>
                <w:rFonts w:ascii="EB Garamond" w:hAnsi="EB Garamond" w:cs="EB Garamond"/>
                <w:b w:val="0"/>
                <w:i w:val="0"/>
                <w:color w:val="201B16"/>
                <w:sz w:val="19"/>
                <w:lang w:val="pt-BR" w:bidi="ar-SA"/>
                <w:kern w:val="16"/>
                <w14:ligatures w14:val="standardContextual"/>
              </w:rPr>
              <w:t xml:space="preserve"> - Prestações vencidas (da DIB até o ajuizamento) + 12 prestações vincendas - Exemplo: preso há 8 meses, AR de R$ 1.621,00 → (8 × R$ 1.621,00) + (12 × R$ 1.621,00) = R$ 32.420,00 → JEF competente</w:t>
            </w: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Tutela de urgência: irreversibilidade e natureza alimentar</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jurisprudência dos TRFs é consistente na concessão de tutela antecipada para implantação imediata do auxílio-reclusão:</w:t>
            </w:r>
          </w:p>
          <w:p>
            <w:pPr>
              <w:spacing w:before="0" w:after="60" w:line="247" w:lineRule="auto"/>
              <w:jc w:val="both"/>
            </w:pPr>
            <w:r>
              <w:rPr>
                <w:rFonts w:ascii="EB Garamond" w:hAnsi="EB Garamond" w:cs="EB Garamond"/>
                <w:b/>
                <w:i w:val="0"/>
                <w:color w:val="201B16"/>
                <w:sz w:val="19"/>
                <w:lang w:val="pt-BR" w:bidi="ar-SA"/>
                <w:kern w:val="16"/>
                <w14:ligatures w14:val="standardContextual"/>
              </w:rPr>
              <w:t>TRF3, 7ª Turma:</w:t>
            </w:r>
            <w:r>
              <w:rPr>
                <w:rFonts w:ascii="EB Garamond" w:hAnsi="EB Garamond" w:cs="EB Garamond"/>
                <w:b w:val="0"/>
                <w:i w:val="0"/>
                <w:color w:val="201B16"/>
                <w:sz w:val="19"/>
                <w:lang w:val="pt-BR" w:bidi="ar-SA"/>
                <w:kern w:val="16"/>
                <w14:ligatures w14:val="standardContextual"/>
              </w:rPr>
              <w:t xml:space="preserve"> "A natureza alimentar do auxílio-reclusão autoriza a concessão de tutela antecipada, pois a demora na prestação jurisdicional priva a família do segurado preso de meios de subsistência, configurando perigo de dano irreparável."</w:t>
            </w:r>
          </w:p>
          <w:p>
            <w:pPr>
              <w:spacing w:before="0" w:after="60" w:line="247" w:lineRule="auto"/>
              <w:jc w:val="both"/>
            </w:pPr>
            <w:r>
              <w:rPr>
                <w:rFonts w:ascii="EB Garamond" w:hAnsi="EB Garamond" w:cs="EB Garamond"/>
                <w:b/>
                <w:i w:val="0"/>
                <w:color w:val="201B16"/>
                <w:sz w:val="19"/>
                <w:lang w:val="pt-BR" w:bidi="ar-SA"/>
                <w:kern w:val="16"/>
                <w14:ligatures w14:val="standardContextual"/>
              </w:rPr>
              <w:t>TRF4, Turma Regional de Uniformização:</w:t>
            </w:r>
            <w:r>
              <w:rPr>
                <w:rFonts w:ascii="EB Garamond" w:hAnsi="EB Garamond" w:cs="EB Garamond"/>
                <w:b w:val="0"/>
                <w:i w:val="0"/>
                <w:color w:val="201B16"/>
                <w:sz w:val="19"/>
                <w:lang w:val="pt-BR" w:bidi="ar-SA"/>
                <w:kern w:val="16"/>
                <w14:ligatures w14:val="standardContextual"/>
              </w:rPr>
              <w:t xml:space="preserve"> "A reversibilidade dos efeitos da antecipação de tutela, nos benefícios previdenciários de natureza alimentar, deve ser compreendida de forma mitigada, pois os valores pagos destinam-se à sobrevivência do beneficiário."</w:t>
            </w:r>
          </w:p>
          <w:p>
            <w:pPr>
              <w:spacing w:before="0" w:after="60" w:line="247" w:lineRule="auto"/>
              <w:jc w:val="both"/>
            </w:pPr>
            <w:r>
              <w:rPr>
                <w:rFonts w:ascii="EB Garamond" w:hAnsi="EB Garamond" w:cs="EB Garamond"/>
                <w:b/>
                <w:i w:val="0"/>
                <w:color w:val="201B16"/>
                <w:sz w:val="19"/>
                <w:lang w:val="pt-BR" w:bidi="ar-SA"/>
                <w:kern w:val="16"/>
                <w14:ligatures w14:val="standardContextual"/>
              </w:rPr>
              <w:t>TNU, Pedido 0507883-32.2017.4.05.8400:</w:t>
            </w:r>
            <w:r>
              <w:rPr>
                <w:rFonts w:ascii="EB Garamond" w:hAnsi="EB Garamond" w:cs="EB Garamond"/>
                <w:b w:val="0"/>
                <w:i w:val="0"/>
                <w:color w:val="201B16"/>
                <w:sz w:val="19"/>
                <w:lang w:val="pt-BR" w:bidi="ar-SA"/>
                <w:kern w:val="16"/>
                <w14:ligatures w14:val="standardContextual"/>
              </w:rPr>
              <w:t xml:space="preserve"> "Em matéria de auxílio-reclusão, o perigo de dano é presumido quando comprovada a dependência econômica e a ausência de outra fonte de renda, considerando que a privação de liberdade do segurado impossibilita o sustento da família."</w:t>
            </w:r>
          </w:p>
          <w:p>
            <w:pPr>
              <w:spacing w:before="0" w:after="60" w:line="247" w:lineRule="auto"/>
              <w:jc w:val="both"/>
            </w:pPr>
            <w:r>
              <w:rPr>
                <w:rFonts w:ascii="EB Garamond" w:hAnsi="EB Garamond" w:cs="EB Garamond"/>
                <w:b/>
                <w:i w:val="0"/>
                <w:color w:val="201B16"/>
                <w:sz w:val="19"/>
                <w:lang w:val="pt-BR" w:bidi="ar-SA"/>
                <w:kern w:val="16"/>
                <w14:ligatures w14:val="standardContextual"/>
              </w:rPr>
              <w:t>Orientação prática:</w:t>
            </w:r>
            <w:r>
              <w:rPr>
                <w:rFonts w:ascii="EB Garamond" w:hAnsi="EB Garamond" w:cs="EB Garamond"/>
                <w:b w:val="0"/>
                <w:i w:val="0"/>
                <w:color w:val="201B16"/>
                <w:sz w:val="19"/>
                <w:lang w:val="pt-BR" w:bidi="ar-SA"/>
                <w:kern w:val="16"/>
                <w14:ligatures w14:val="standardContextual"/>
              </w:rPr>
              <w:t xml:space="preserve"> Sempre requerer tutela antecipada no AR. A jurisprudência é amplamente favorável, e a demora na prestação jurisdicional gera danos reais e imediatos aos dependentes.</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14.19 Questões especiais e controvérsias emergentes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auxílio-reclusão suscita diversas questões que transcendem a aplicação ordinária do benefício. Essas "questões especiais" refletem a complexidade da interseção entre o sistema previdenciário e o sistema penal, agravada pelas transformações sociais e normativas dos últimos anos.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Morte do segurado preso: conversão automática em pensão por morte.</w:t>
      </w:r>
      <w:r>
        <w:rPr>
          <w:rFonts w:ascii="EB Garamond" w:hAnsi="EB Garamond" w:cs="EB Garamond"/>
          <w:b w:val="0"/>
          <w:i w:val="0"/>
          <w:color w:val="201B16"/>
          <w:sz w:val="21"/>
          <w:lang w:val="pt-BR" w:bidi="ar-SA"/>
          <w:kern w:val="16"/>
          <w14:ligatures w14:val="standardContextual"/>
        </w:rPr>
        <w:t xml:space="preserve"> A conversão AR → PM opera-se automaticamente na data do óbito (art. 80, parágrafo único, Lei 8.213/91), conforme examinado na seção 14.16, item 2, supra. Registre-se que a conversão pode alterar o valor: o AR pós-EC 103 é de 1 SM, mas a PM segue regras próprias de cálculo (60% + 10% por dependente adicional — v. Cap. 19), podendo resultar em valor superior ou inferior.</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Segurada presa e salário-maternidade.</w:t>
      </w:r>
      <w:r>
        <w:rPr>
          <w:rFonts w:ascii="EB Garamond" w:hAnsi="EB Garamond" w:cs="EB Garamond"/>
          <w:b w:val="0"/>
          <w:i w:val="0"/>
          <w:color w:val="201B16"/>
          <w:sz w:val="21"/>
          <w:lang w:val="pt-BR" w:bidi="ar-SA"/>
          <w:kern w:val="16"/>
          <w14:ligatures w14:val="standardContextual"/>
        </w:rPr>
        <w:t xml:space="preserve"> A segurada recolhida à prisão que dá à luz tem direito ao salário-maternidade (art. 71, Lei 8.213/91). A questão é se o salário-maternidade substitui ou se acumula com eventual auxílio-reclusão que estivesse sendo pago aos dependentes de outro segurado preso (situação rara, mas possível). Em princípio, não há vedação à acumulação, pois os benefícios têm fatos geradores, titulares e finalidades distintos (ver Cap. 13, seção 13.14).</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MEI preso.</w:t>
      </w:r>
      <w:r>
        <w:rPr>
          <w:rFonts w:ascii="EB Garamond" w:hAnsi="EB Garamond" w:cs="EB Garamond"/>
          <w:b w:val="0"/>
          <w:i w:val="0"/>
          <w:color w:val="201B16"/>
          <w:sz w:val="21"/>
          <w:lang w:val="pt-BR" w:bidi="ar-SA"/>
          <w:kern w:val="16"/>
          <w14:ligatures w14:val="standardContextual"/>
        </w:rPr>
        <w:t xml:space="preserve"> O Microempreendedor Individual (MEI) que é recolhido à prisão gera direito ao auxílio-reclusão para seus dependentes, desde que: (a) estivesse em dia com as contribuições no momento da prisão (ou dentro do período de graça); (b) sua renda se enquadre como baixa renda; e (c) cumpra a carência de 24 contribuições (no regime pós-EC 103). A particularidade é que o MEI contribui com 5% do SM (alíquota reduzida), o que pode gerar dúvida sobre a contagem dessas contribuições para fins de carência do AR. A resposta é afirmativa </w:t>
      </w:r>
      <w:r>
        <w:rPr>
          <w:rFonts w:ascii="EB Garamond" w:hAnsi="EB Garamond" w:cs="EB Garamond"/>
          <w:b/>
          <w:i w:val="0"/>
          <w:color w:val="201B16"/>
          <w:sz w:val="21"/>
          <w:lang w:val="pt-BR" w:bidi="ar-SA"/>
          <w:kern w:val="16"/>
          <w14:ligatures w14:val="standardContextual"/>
        </w:rPr>
        <w:t>para a carência do auxílio-reclusão</w:t>
      </w:r>
      <w:r>
        <w:rPr>
          <w:rFonts w:ascii="EB Garamond" w:hAnsi="EB Garamond" w:cs="EB Garamond"/>
          <w:b w:val="0"/>
          <w:i w:val="0"/>
          <w:color w:val="201B16"/>
          <w:sz w:val="21"/>
          <w:lang w:val="pt-BR" w:bidi="ar-SA"/>
          <w:kern w:val="16"/>
          <w14:ligatures w14:val="standardContextual"/>
        </w:rPr>
        <w:t xml:space="preserve">: a carência é contagem de meses (art. 24, Lei 8.213/91), e cada competência recolhida pelo MEI, ainda que pela alíquota reduzida, integra essa contagem. Cumpre, todavia, evitar a generalização: a contribuição reduzida do MEI/baixa renda (5% ou 11% do SM, art. 21, § 2º, Lei 8.212/91) </w:t>
      </w:r>
      <w:r>
        <w:rPr>
          <w:rFonts w:ascii="EB Garamond" w:hAnsi="EB Garamond" w:cs="EB Garamond"/>
          <w:b/>
          <w:i w:val="0"/>
          <w:color w:val="201B16"/>
          <w:sz w:val="21"/>
          <w:lang w:val="pt-BR" w:bidi="ar-SA"/>
          <w:kern w:val="16"/>
          <w14:ligatures w14:val="standardContextual"/>
        </w:rPr>
        <w:t>não</w:t>
      </w:r>
      <w:r>
        <w:rPr>
          <w:rFonts w:ascii="EB Garamond" w:hAnsi="EB Garamond" w:cs="EB Garamond"/>
          <w:b w:val="0"/>
          <w:i w:val="0"/>
          <w:color w:val="201B16"/>
          <w:sz w:val="21"/>
          <w:lang w:val="pt-BR" w:bidi="ar-SA"/>
          <w:kern w:val="16"/>
          <w14:ligatures w14:val="standardContextual"/>
        </w:rPr>
        <w:t xml:space="preserve"> confere acesso, sem complementação, aos benefícios que exigem </w:t>
      </w:r>
      <w:r>
        <w:rPr>
          <w:rFonts w:ascii="EB Garamond" w:hAnsi="EB Garamond" w:cs="EB Garamond"/>
          <w:b/>
          <w:i w:val="0"/>
          <w:color w:val="201B16"/>
          <w:sz w:val="21"/>
          <w:lang w:val="pt-BR" w:bidi="ar-SA"/>
          <w:kern w:val="16"/>
          <w14:ligatures w14:val="standardContextual"/>
        </w:rPr>
        <w:t>tempo de contribuição</w:t>
      </w:r>
      <w:r>
        <w:rPr>
          <w:rFonts w:ascii="EB Garamond" w:hAnsi="EB Garamond" w:cs="EB Garamond"/>
          <w:b w:val="0"/>
          <w:i w:val="0"/>
          <w:color w:val="201B16"/>
          <w:sz w:val="21"/>
          <w:lang w:val="pt-BR" w:bidi="ar-SA"/>
          <w:kern w:val="16"/>
          <w14:ligatures w14:val="standardContextual"/>
        </w:rPr>
        <w:t xml:space="preserve"> — notadamente a aposentadoria por tempo de contribuição —, salvo se o segurado complementar o recolhimento na forma do art. 21, § 3º, da Lei 8.212/91 (alíquota complementar para atingir os 20%). Em síntese: para a carência do AR, a contribuição do MEI computa normalmente; para a aposentadoria por tempo de contribuição, exige complementação.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Preso estrangeiro.</w:t>
      </w:r>
      <w:r>
        <w:rPr>
          <w:rFonts w:ascii="EB Garamond" w:hAnsi="EB Garamond" w:cs="EB Garamond"/>
          <w:b w:val="0"/>
          <w:i w:val="0"/>
          <w:color w:val="201B16"/>
          <w:sz w:val="21"/>
          <w:lang w:val="pt-BR" w:bidi="ar-SA"/>
          <w:kern w:val="16"/>
          <w14:ligatures w14:val="standardContextual"/>
        </w:rPr>
        <w:t xml:space="preserve"> O segurado estrangeiro recolhido à prisão no Brasil gera direito ao auxílio-reclusão para seus dependentes, desde que mantivesse vínculo com o RGPS (como empregado, por exemplo) e preenchesse os demais requisitos. A nacionalidade é irrelevante para o direito previdenciário. Contudo, se os dependentes residem no exterior, a operacionalização do pagamento pode apresentar dificuldades práticas. Acordos internacionais de previdência social (analisados no Cap. 5) podem ser relevantes quando o segurado estrangeiro tem contribuições em ambos os países.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Trabalho prisional e auxílio-reclusão.</w:t>
      </w:r>
      <w:r>
        <w:rPr>
          <w:rFonts w:ascii="EB Garamond" w:hAnsi="EB Garamond" w:cs="EB Garamond"/>
          <w:b w:val="0"/>
          <w:i w:val="0"/>
          <w:color w:val="201B16"/>
          <w:sz w:val="21"/>
          <w:lang w:val="pt-BR" w:bidi="ar-SA"/>
          <w:kern w:val="16"/>
          <w14:ligatures w14:val="standardContextual"/>
        </w:rPr>
        <w:t xml:space="preserve"> O preso que trabalha durante a reclusão (atividade laborativa dentro do estabelecimento penal ou trabalho externo no regime semiaberto) aufere remuneração. Essa remuneração não afeta o auxílio-reclusão dos dependentes, pois: (a) a renda relevante é a do momento do recolhimento à prisão (Tema 896/STJ), não a posterior; e (b) a remuneração do trabalho prisional, que por lei não pode ser inferior a 3/4 do salário-mínimo (art. 29, LEP — piso, e não teto), não se confunde com a renda que o segurado auferia quando livre.</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Indulto e comutação.</w:t>
      </w:r>
      <w:r>
        <w:rPr>
          <w:rFonts w:ascii="EB Garamond" w:hAnsi="EB Garamond" w:cs="EB Garamond"/>
          <w:b w:val="0"/>
          <w:i w:val="0"/>
          <w:color w:val="201B16"/>
          <w:sz w:val="21"/>
          <w:lang w:val="pt-BR" w:bidi="ar-SA"/>
          <w:kern w:val="16"/>
          <w14:ligatures w14:val="standardContextual"/>
        </w:rPr>
        <w:t xml:space="preserve"> A concessão de indulto (extinção da pena) ou comutação (redução da pena) pelo Presidente da República pode afetar o auxílio-reclusão. O indulto pleno acarreta a soltura do segurado e, consequentemente, a cessação do AR. A comutação, se resultar em progressão ao regime aberto, cessa o AR no regime pós-EC 103. Se a comutação mantiver o segurado em regime fechado ou semiaberto, o AR permanece inalterado.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Detração penal e auxílio-reclusão.</w:t>
      </w:r>
      <w:r>
        <w:rPr>
          <w:rFonts w:ascii="EB Garamond" w:hAnsi="EB Garamond" w:cs="EB Garamond"/>
          <w:b w:val="0"/>
          <w:i w:val="0"/>
          <w:color w:val="201B16"/>
          <w:sz w:val="21"/>
          <w:lang w:val="pt-BR" w:bidi="ar-SA"/>
          <w:kern w:val="16"/>
          <w14:ligatures w14:val="standardContextual"/>
        </w:rPr>
        <w:t xml:space="preserve"> A detração (art. 42, CP), cômputo do tempo de prisão provisória na pena definitiva, não afeta o auxílio-reclusão, pois o benefício é devido durante todo o período de efetivo recolhimento, independentemente do cômputo para fins penais.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Segurado preso que contribui como facultativo.</w:t>
      </w:r>
      <w:r>
        <w:rPr>
          <w:rFonts w:ascii="EB Garamond" w:hAnsi="EB Garamond" w:cs="EB Garamond"/>
          <w:b w:val="0"/>
          <w:i w:val="0"/>
          <w:color w:val="201B16"/>
          <w:sz w:val="21"/>
          <w:lang w:val="pt-BR" w:bidi="ar-SA"/>
          <w:kern w:val="16"/>
          <w14:ligatures w14:val="standardContextual"/>
        </w:rPr>
        <w:t xml:space="preserve"> Durante a reclusão, o segurado que não exerça atividade remunerada que o filie obrigatoriamente ao RGPS pode contribuir como segurado facultativo (art. 13 da Lei 8.213/91, regulamentado pelo art. 11, § 1º, e pelo art. 116, § 3º, do Decreto 3.048/99). Essas contribuições são relevantes para: (i) contagem de tempo de contribuição para futura aposentadoria; (ii) manutenção ativa do CNIS; e (iii) eventual comprovação de carência para benefícios futuros. Na rotina previdenciária, é raro que presos contribuam, dada a vulnerabilidade econômica, mas a possibilidade existe e deve ser orientada pelo advogado em casos estratégicos.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Dependente menor sob guarda ou tutela.</w:t>
      </w:r>
      <w:r>
        <w:rPr>
          <w:rFonts w:ascii="EB Garamond" w:hAnsi="EB Garamond" w:cs="EB Garamond"/>
          <w:b w:val="0"/>
          <w:i w:val="0"/>
          <w:color w:val="201B16"/>
          <w:sz w:val="21"/>
          <w:lang w:val="pt-BR" w:bidi="ar-SA"/>
          <w:kern w:val="16"/>
          <w14:ligatures w14:val="standardContextual"/>
        </w:rPr>
        <w:t xml:space="preserve"> O menor sob guarda ou tutela do segurado preso é dependente para fins de auxílio-reclusão, aplicando-se as mesmas regras da pensão por morte (Cap. 19). A prova de guarda ou tutela exige decisão judicial. Menores em acolhimento institucional que dependiam economicamente do segurado antes da prisão: situação não prevista expressamente, mas passível de enquadramento por interpretação extensiva.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Prescrição do auxílio-reclusão.</w:t>
      </w:r>
      <w:r>
        <w:rPr>
          <w:rFonts w:ascii="EB Garamond" w:hAnsi="EB Garamond" w:cs="EB Garamond"/>
          <w:b w:val="0"/>
          <w:i w:val="0"/>
          <w:color w:val="201B16"/>
          <w:sz w:val="21"/>
          <w:lang w:val="pt-BR" w:bidi="ar-SA"/>
          <w:kern w:val="16"/>
          <w14:ligatures w14:val="standardContextual"/>
        </w:rPr>
        <w:t xml:space="preserve"> V. §14.18, subseção "Prescrição e decadência", supra.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Auxílio-reclusão e execução penal por acordo de não persecução penal (ANPP).</w:t>
      </w:r>
      <w:r>
        <w:rPr>
          <w:rFonts w:ascii="EB Garamond" w:hAnsi="EB Garamond" w:cs="EB Garamond"/>
          <w:b w:val="0"/>
          <w:i w:val="0"/>
          <w:color w:val="201B16"/>
          <w:sz w:val="21"/>
          <w:lang w:val="pt-BR" w:bidi="ar-SA"/>
          <w:kern w:val="16"/>
          <w14:ligatures w14:val="standardContextual"/>
        </w:rPr>
        <w:t xml:space="preserve"> O ANPP (art. 28-A, CPP, incluído pela Lei 13.964/2019) não implica recolhimento à prisão, pois é celebrado antes do oferecimento da denúncia e não envolve privação de liberdade. Logo, não gera auxílio-reclusão. Situação diversa é a transação penal (art. 76, Lei 9.099/95), que igualmente não envolve prisão.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Cumprimento de medida socioeducativa.</w:t>
      </w:r>
      <w:r>
        <w:rPr>
          <w:rFonts w:ascii="EB Garamond" w:hAnsi="EB Garamond" w:cs="EB Garamond"/>
          <w:b w:val="0"/>
          <w:i w:val="0"/>
          <w:color w:val="201B16"/>
          <w:sz w:val="21"/>
          <w:lang w:val="pt-BR" w:bidi="ar-SA"/>
          <w:kern w:val="16"/>
          <w14:ligatures w14:val="standardContextual"/>
        </w:rPr>
        <w:t xml:space="preserve"> O adolescente que cumpre medida socioeducativa de internação (art. 121, ECA) não é segurado do RGPS (salvo se exercia atividade remunerada com vínculo formal antes da internação, hipótese raríssima). Logo, a internação socioeducativa geralmente não gera auxílio-reclusão. Contudo, se o menor de 16 a 18 anos era aprendiz com carteira assinada (segurado empregado) e é internado, seus dependentes teoricamente teriam direito, situação excepcionalíssima.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Recambiamento e transferência entre estados.</w:t>
      </w:r>
      <w:r>
        <w:rPr>
          <w:rFonts w:ascii="EB Garamond" w:hAnsi="EB Garamond" w:cs="EB Garamond"/>
          <w:b w:val="0"/>
          <w:i w:val="0"/>
          <w:color w:val="201B16"/>
          <w:sz w:val="21"/>
          <w:lang w:val="pt-BR" w:bidi="ar-SA"/>
          <w:kern w:val="16"/>
          <w14:ligatures w14:val="standardContextual"/>
        </w:rPr>
        <w:t xml:space="preserve"> O segurado transferido de um estabelecimento penal para outro, seja no mesmo estado ou entre estados (recambiamento), permanece recolhido à prisão durante todo o percurso. O AR não é interrompido pela transferência. Contudo, o atestado carcerário trimestral deve ser obtido do novo estabelecimento após a transferência, o que pode gerar atrasos práticos. O advogado deve acompanhar transferências e garantir que o estabelecimento de destino emita tempestivamente o atestado.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Pandemia e auxílio-reclusão.</w:t>
      </w:r>
      <w:r>
        <w:rPr>
          <w:rFonts w:ascii="EB Garamond" w:hAnsi="EB Garamond" w:cs="EB Garamond"/>
          <w:b w:val="0"/>
          <w:i w:val="0"/>
          <w:color w:val="201B16"/>
          <w:sz w:val="21"/>
          <w:lang w:val="pt-BR" w:bidi="ar-SA"/>
          <w:kern w:val="16"/>
          <w14:ligatures w14:val="standardContextual"/>
        </w:rPr>
        <w:t xml:space="preserve"> Durante a pandemia de COVID-19, diversas decisões judiciais concederam prisão domiciliar humanitária a presos de grupos de risco. O TRF4 reconheceu que a prisão domiciliar concedida por motivos humanitários não cessa o AR, pois o regime prisional permanece inalterado (o preso continua juridicamente em regime fechado ou semiaberto). Essa jurisprudência pode ser invocada analogicamente em futuras emergências sanitárias ou humanitárias.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Preso estrangeiro e auxílio-reclusão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estrangeiro que trabalha regularmente no Brasil e contribui para o RGPS é segurado obrigatório. Se recolhido à prisão, seus dependentes têm direito ao auxílio-reclusão em igualdade de condições com os brasileiros.</w:t>
            </w:r>
          </w:p>
          <w:p>
            <w:pPr>
              <w:spacing w:before="0" w:after="60" w:line="247" w:lineRule="auto"/>
              <w:jc w:val="both"/>
            </w:pPr>
            <w:r>
              <w:rPr>
                <w:rFonts w:ascii="EB Garamond" w:hAnsi="EB Garamond" w:cs="EB Garamond"/>
                <w:b/>
                <w:i w:val="0"/>
                <w:color w:val="201B16"/>
                <w:sz w:val="19"/>
                <w:lang w:val="pt-BR" w:bidi="ar-SA"/>
                <w:kern w:val="16"/>
                <w14:ligatures w14:val="standardContextual"/>
              </w:rPr>
              <w:t>Pontos de atenção:</w:t>
            </w:r>
            <w:r>
              <w:rPr>
                <w:rFonts w:ascii="EB Garamond" w:hAnsi="EB Garamond" w:cs="EB Garamond"/>
                <w:b w:val="0"/>
                <w:i w:val="0"/>
                <w:color w:val="201B16"/>
                <w:sz w:val="19"/>
                <w:lang w:val="pt-BR" w:bidi="ar-SA"/>
                <w:kern w:val="16"/>
                <w14:ligatures w14:val="standardContextual"/>
              </w:rPr>
              <w:t xml:space="preserve"> - Verificar se o estrangeiro mantinha vínculo formal (CTPS assinada, PIS/PASEP) - Dependentes no exterior: pagamento via acordo internacional ou procuração a representante no Brasil - Segurado com dupla cidadania: aplica-se a legislação brasileira se o vínculo era com o RGPS - Deportação após cumprimento da pena: o AR cessa com a soltura, mas eventuais valores atrasados permanecem devidos</w:t>
            </w: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Morte do segurado preso: conversão automática AR → PM</w:t>
            </w:r>
          </w:p>
          <w:p>
            <w:pPr>
              <w:spacing w:before="0" w:after="60" w:line="247" w:lineRule="auto"/>
              <w:jc w:val="both"/>
            </w:pPr>
            <w:r>
              <w:rPr>
                <w:rFonts w:ascii="EB Garamond" w:hAnsi="EB Garamond" w:cs="EB Garamond"/>
                <w:b/>
                <w:i w:val="0"/>
                <w:color w:val="201B16"/>
                <w:sz w:val="19"/>
                <w:lang w:val="pt-BR" w:bidi="ar-SA"/>
                <w:kern w:val="16"/>
                <w14:ligatures w14:val="standardContextual"/>
              </w:rPr>
              <w:t>Fundamento legal — art. 80, parágrafo único, da Lei 8.213/91:</w:t>
            </w:r>
            <w:r>
              <w:rPr>
                <w:rFonts w:ascii="EB Garamond" w:hAnsi="EB Garamond" w:cs="EB Garamond"/>
                <w:b w:val="0"/>
                <w:i w:val="0"/>
                <w:color w:val="201B16"/>
                <w:sz w:val="19"/>
                <w:lang w:val="pt-BR" w:bidi="ar-SA"/>
                <w:kern w:val="16"/>
                <w14:ligatures w14:val="standardContextual"/>
              </w:rPr>
              <w:t xml:space="preserve"> falecendo o segurado durante a reclusão, o auxílio-reclusão converte-se em pensão por morte, automaticamente e a partir da data do óbito, sem necessidade de novo requerimento administrativo. A conversão decorre diretamente do texto legal, e não de tese repetitiva específica; a jurisprudência de instância ordinária é apenas confirmatória do comando estatutário.</w:t>
            </w:r>
          </w:p>
          <w:p>
            <w:pPr>
              <w:spacing w:before="0" w:after="60" w:line="247" w:lineRule="auto"/>
              <w:jc w:val="both"/>
            </w:pPr>
            <w:r>
              <w:rPr>
                <w:rFonts w:ascii="EB Garamond" w:hAnsi="EB Garamond" w:cs="EB Garamond"/>
                <w:b/>
                <w:i w:val="0"/>
                <w:color w:val="201B16"/>
                <w:sz w:val="19"/>
                <w:lang w:val="pt-BR" w:bidi="ar-SA"/>
                <w:kern w:val="16"/>
                <w14:ligatures w14:val="standardContextual"/>
              </w:rPr>
              <w:t>TRF1, AC 0022658-41.2014.4.01.9199:</w:t>
            </w:r>
            <w:r>
              <w:rPr>
                <w:rFonts w:ascii="EB Garamond" w:hAnsi="EB Garamond" w:cs="EB Garamond"/>
                <w:b w:val="0"/>
                <w:i w:val="0"/>
                <w:color w:val="201B16"/>
                <w:sz w:val="19"/>
                <w:lang w:val="pt-BR" w:bidi="ar-SA"/>
                <w:kern w:val="16"/>
                <w14:ligatures w14:val="standardContextual"/>
              </w:rPr>
              <w:t xml:space="preserve"> "A exigência do INSS de novo requerimento administrativo para conversão do auxílio-reclusão em pensão por morte viola o art. 80, parágrafo único, da Lei 8.213/91, que expressamente prevê a conversão automática."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TNU, Pedido 0502819-72.2019.4.05.8312:</w:t>
            </w:r>
            <w:r>
              <w:rPr>
                <w:rFonts w:ascii="EB Garamond" w:hAnsi="EB Garamond" w:cs="EB Garamond"/>
                <w:b w:val="0"/>
                <w:i w:val="0"/>
                <w:color w:val="201B16"/>
                <w:sz w:val="19"/>
                <w:lang w:val="pt-BR" w:bidi="ar-SA"/>
                <w:kern w:val="16"/>
                <w14:ligatures w14:val="standardContextual"/>
              </w:rPr>
              <w:t xml:space="preserve"> "Os dependentes que já recebiam auxílio-reclusão não podem ser penalizados com a interrupção do benefício pela morte do segurado. A conversão em pensão por morte é direito líquido e certo, exercível independentemente de provocação administrativa."</w:t>
            </w:r>
          </w:p>
          <w:p>
            <w:pPr>
              <w:spacing w:before="0" w:after="60" w:line="247" w:lineRule="auto"/>
              <w:jc w:val="both"/>
            </w:pPr>
            <w:r>
              <w:rPr>
                <w:rFonts w:ascii="EB Garamond" w:hAnsi="EB Garamond" w:cs="EB Garamond"/>
                <w:b/>
                <w:i w:val="0"/>
                <w:color w:val="201B16"/>
                <w:sz w:val="19"/>
                <w:lang w:val="pt-BR" w:bidi="ar-SA"/>
                <w:kern w:val="16"/>
                <w14:ligatures w14:val="standardContextual"/>
              </w:rPr>
              <w:t>Orientação prática:</w:t>
            </w:r>
            <w:r>
              <w:rPr>
                <w:rFonts w:ascii="EB Garamond" w:hAnsi="EB Garamond" w:cs="EB Garamond"/>
                <w:b w:val="0"/>
                <w:i w:val="0"/>
                <w:color w:val="201B16"/>
                <w:sz w:val="19"/>
                <w:lang w:val="pt-BR" w:bidi="ar-SA"/>
                <w:kern w:val="16"/>
                <w14:ligatures w14:val="standardContextual"/>
              </w:rPr>
              <w:t xml:space="preserve"> Se o INSS interromper o pagamento após a morte do segurado preso, ajuizar mandado de segurança ou ação no JEF com tutela antecipada para garantir a continuidade da proteção.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14.20 Síntese e quadros práticos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auxílio-reclusão, a despeito de seu baixo impacto orçamentário, é benefício de altíssima complexidade jurídica, especialmente após a EC 103/2019. A coexistência de dois regimes jurídicos distintos (pré e pós-EC 103), a interface com o direito penal (regimes prisionais, progressão, livramento condicional) e a carga probatória peculiar (documentação penitenciária, prova de dependência em contexto de vulnerabilidade) exigem do advogado previdenciarista domínio técnico aprofundado e sensibilidade social.</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Tabela-resumo: comparativo entre regimes</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Aspecto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Regime antigo (pré-EC 103)</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Regime novo (pós-EC 103)</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Vigência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Fato gerador antes de 13/11/2019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Fato gerador a partir de 13/11/2019</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Base constitucional</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Art. 201, IV, CF (EC 20/1998)</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Art. 201, IV e § 5º, CF (EC 103/2019)</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Carência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Sem carência específica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24 contribuições mensais</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Regime prisional</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Qualquer (fechado, semiaberto, aberto)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Apenas regime fechado (art. 80) — semiaberto: controvérsia</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Critério baixa renda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Último salário de contribuição ≤ limite</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Média 12 últimos salários ≤ limite</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Limite baixa renda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N/A (aplica-se o da época)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R$ 1.906,04 (2025); valor do exercício pela Portaria MPS/MF</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Valor do benefício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Proporcional ao salário de benefício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 SM (R$ 1.621,00 em 2026)</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Dependentes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Classes do art. 16, Lei 8.213</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Classes do art. 16, Lei 8.213</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Manutenção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Atestado carcerário trimestral</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Atestado carcerário trimestral</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Cessação por fuga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Suspensão (regulamento)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Controvérsia: suspensão × cessação (TRU/4ª Região)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Cessação por progressão ao semiaberto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 se aplica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Art. 80: cessação / CF: controvérsia</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Cessação por progressão ao aberto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 se aplica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Cessação obrigatória (vedação constitucional)</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Conversão em PM por óbito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Automática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Automática</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Segurado aposentado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Vedado (art. 80)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Opção de transferência (art. 27, § 2º, EC 103)</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T</w:t>
      </w:r>
    </w:p>
    <w:p>
      <w:pPr>
        <w:spacing w:before="0" w:after="70" w:line="259" w:lineRule="auto"/>
        <w:jc w:val="both"/>
      </w:pPr>
      <w:r>
        <w:rPr>
          <w:rFonts w:ascii="EB Garamond" w:hAnsi="EB Garamond" w:cs="EB Garamond"/>
          <w:b/>
          <w:i w:val="0"/>
          <w:color w:val="201B16"/>
          <w:sz w:val="21"/>
          <w:lang w:val="pt-BR" w:bidi="ar-SA"/>
          <w:kern w:val="16"/>
          <w14:ligatures w14:val="standardContextual"/>
        </w:rPr>
        <w:t>abela: fatos geradores e situações específicas</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Situação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Gera AR?</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Observação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Prisão em flagrante</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SIM</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Prisão provisória = fato gerador</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Prisão preventiva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SIM</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Independe de condenação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Prisão temporária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SIM</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Independe de condenação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Prisão por sentença transitada (fechado)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SIM</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Situação mais comum</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Prisão por sentença transitada (semiaberto)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Controvérsia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CF: SIM (veda só aberto) / Lei: NÃO (art. 80: só fechado)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Prisão em regime aberto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Vedação constitucional expressa (art. 201, § 5º)</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Prisão domiciliar (substitutiva do aberto)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Regime jurídico = aberto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Prisão domiciliar (substitutiva da preventiva)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Controvérsia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Posição majoritária: NÃO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Monitoração eletrônica (alternativa à prisão)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 é recolhimento efetivo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Monitoração eletrônica (semiaberto + tornozeleira)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SIM</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Regime permanece semiaberto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Livramento condicional</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 → cessa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Equivale a soltura</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Indulto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 → cessa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Extinção da pena</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Saída temporária (semiaberto)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SIM (mantém)</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 descaracteriza o regime</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F</w:t>
      </w:r>
    </w:p>
    <w:p>
      <w:pPr>
        <w:spacing w:before="0" w:after="70" w:line="259" w:lineRule="auto"/>
        <w:jc w:val="both"/>
      </w:pPr>
      <w:r>
        <w:rPr>
          <w:rFonts w:ascii="EB Garamond" w:hAnsi="EB Garamond" w:cs="EB Garamond"/>
          <w:b/>
          <w:i w:val="0"/>
          <w:color w:val="201B16"/>
          <w:sz w:val="21"/>
          <w:lang w:val="pt-BR" w:bidi="ar-SA"/>
          <w:kern w:val="16"/>
          <w14:ligatures w14:val="standardContextual"/>
        </w:rPr>
        <w:t>luxograma decisório para auxílio-reclusão (regime pós-EC 103)</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1. </w:t>
      </w:r>
      <w:r>
        <w:rPr>
          <w:rFonts w:ascii="EB Garamond" w:hAnsi="EB Garamond" w:cs="EB Garamond"/>
          <w:b w:val="0"/>
          <w:i w:val="0"/>
          <w:color w:val="201B16"/>
          <w:sz w:val="20"/>
          <w:lang w:val="pt-BR" w:bidi="ar-SA"/>
          <w:kern w:val="16"/>
          <w14:ligatures w14:val="standardContextual"/>
        </w:rPr>
        <w:t>O segurado está efetivamente recolhido à prisão?</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NÃO → Sem direito ao AR</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SIM → Passo 2</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2. </w:t>
      </w:r>
      <w:r>
        <w:rPr>
          <w:rFonts w:ascii="EB Garamond" w:hAnsi="EB Garamond" w:cs="EB Garamond"/>
          <w:b w:val="0"/>
          <w:i w:val="0"/>
          <w:color w:val="201B16"/>
          <w:sz w:val="20"/>
          <w:lang w:val="pt-BR" w:bidi="ar-SA"/>
          <w:kern w:val="16"/>
          <w14:ligatures w14:val="standardContextual"/>
        </w:rPr>
        <w:t>O segurado está em regime fechado ou semiaberto?</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NÃO (regime aberto, prisão domiciliar substitutiva, monitoração alternativa) → Sem direito ao AR</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SIM → Passo 3</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3. </w:t>
      </w:r>
      <w:r>
        <w:rPr>
          <w:rFonts w:ascii="EB Garamond" w:hAnsi="EB Garamond" w:cs="EB Garamond"/>
          <w:b w:val="0"/>
          <w:i w:val="0"/>
          <w:color w:val="201B16"/>
          <w:sz w:val="20"/>
          <w:lang w:val="pt-BR" w:bidi="ar-SA"/>
          <w:kern w:val="16"/>
          <w14:ligatures w14:val="standardContextual"/>
        </w:rPr>
        <w:t>O segurado tinha qualidade de segurado na data do recolhimento?</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NÃO → Sem direito ao AR</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SIM → Passo 4</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4. </w:t>
      </w:r>
      <w:r>
        <w:rPr>
          <w:rFonts w:ascii="EB Garamond" w:hAnsi="EB Garamond" w:cs="EB Garamond"/>
          <w:b w:val="0"/>
          <w:i w:val="0"/>
          <w:color w:val="201B16"/>
          <w:sz w:val="20"/>
          <w:lang w:val="pt-BR" w:bidi="ar-SA"/>
          <w:kern w:val="16"/>
          <w14:ligatures w14:val="standardContextual"/>
        </w:rPr>
        <w:t>O segurado cumpriu carência de 24 contribuições (ou 12, pela regra da metade)?</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NÃO → Sem direito ao AR (avaliar tese de inconstitucionalidade)</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SIM → Passo 5</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5. </w:t>
      </w:r>
      <w:r>
        <w:rPr>
          <w:rFonts w:ascii="EB Garamond" w:hAnsi="EB Garamond" w:cs="EB Garamond"/>
          <w:b w:val="0"/>
          <w:i w:val="0"/>
          <w:color w:val="201B16"/>
          <w:sz w:val="20"/>
          <w:lang w:val="pt-BR" w:bidi="ar-SA"/>
          <w:kern w:val="16"/>
          <w14:ligatures w14:val="standardContextual"/>
        </w:rPr>
        <w:t>A média dos 12 últimos salários do segurado era ≤ ao limite do exercício (R$ 1.906,04 em 2025)?</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NÃO → Sem direito ao AR</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SIM → Passo 6</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6. </w:t>
      </w:r>
      <w:r>
        <w:rPr>
          <w:rFonts w:ascii="EB Garamond" w:hAnsi="EB Garamond" w:cs="EB Garamond"/>
          <w:b w:val="0"/>
          <w:i w:val="0"/>
          <w:color w:val="201B16"/>
          <w:sz w:val="20"/>
          <w:lang w:val="pt-BR" w:bidi="ar-SA"/>
          <w:kern w:val="16"/>
          <w14:ligatures w14:val="standardContextual"/>
        </w:rPr>
        <w:t>O requerente é dependente do segurado (art. 16, Lei 8.213)?</w:t>
      </w:r>
    </w:p>
    <w:p>
      <w:pPr>
        <w:spacing w:before="0" w:after="60" w:line="240" w:lineRule="auto"/>
      </w:pP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NÃO → Sem direito ao AR</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 xml:space="preserve">SIM → </w:t>
      </w:r>
      <w:r>
        <w:rPr>
          <w:rFonts w:ascii="EB Garamond" w:hAnsi="EB Garamond" w:cs="EB Garamond"/>
          <w:b/>
          <w:i w:val="0"/>
          <w:color w:val="201B16"/>
          <w:sz w:val="20"/>
          <w:lang w:val="pt-BR" w:bidi="ar-SA"/>
          <w:kern w:val="16"/>
          <w14:ligatures w14:val="standardContextual"/>
        </w:rPr>
        <w:t>DIREITO AO AR RECONHECIDO</w:t>
      </w:r>
      <w:r>
        <w:rPr>
          <w:rFonts w:ascii="EB Garamond" w:hAnsi="EB Garamond" w:cs="EB Garamond"/>
          <w:b w:val="0"/>
          <w:i w:val="0"/>
          <w:color w:val="201B16"/>
          <w:sz w:val="20"/>
          <w:lang w:val="pt-BR" w:bidi="ar-SA"/>
          <w:kern w:val="16"/>
          <w14:ligatures w14:val="standardContextual"/>
        </w:rPr>
        <w:t xml:space="preserve"> → Valor: R$ 1.621,00 (1 SM)</w:t>
      </w:r>
    </w:p>
    <w:p>
      <w:pPr>
        <w:spacing w:before="0" w:after="6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Checklist do advogado previdenciarista — auxílio-reclusão</w:t>
            </w:r>
          </w:p>
          <w:p>
            <w:pPr>
              <w:spacing w:before="0" w:after="60" w:line="247" w:lineRule="auto"/>
              <w:jc w:val="both"/>
            </w:pPr>
            <w:r>
              <w:rPr>
                <w:rFonts w:ascii="EB Garamond" w:hAnsi="EB Garamond" w:cs="EB Garamond"/>
                <w:b/>
                <w:i w:val="0"/>
                <w:color w:val="201B16"/>
                <w:sz w:val="19"/>
                <w:lang w:val="pt-BR" w:bidi="ar-SA"/>
                <w:kern w:val="16"/>
                <w14:ligatures w14:val="standardContextual"/>
              </w:rPr>
              <w:t>Antes do requerimento administrativo:</w:t>
            </w:r>
            <w:r>
              <w:rPr>
                <w:rFonts w:ascii="EB Garamond" w:hAnsi="EB Garamond" w:cs="EB Garamond"/>
                <w:b w:val="0"/>
                <w:i w:val="0"/>
                <w:color w:val="201B16"/>
                <w:sz w:val="19"/>
                <w:lang w:val="pt-BR" w:bidi="ar-SA"/>
                <w:kern w:val="16"/>
                <w14:ligatures w14:val="standardContextual"/>
              </w:rPr>
              <w:t xml:space="preserve"> - [ ] Identificar a data do recolhimento à prisão (determina o regime jurídico) - [ ] Obter certidão de recolhimento com indicação do regime prisional - [ ] Consultar CNIS do segurado (qualidade de segurado + contribuições) - [ ] Verificar carência: 24 contribuições (ou 12 pela regra da metade) - [ ] Verificar média dos 12 últimos salários de contribuição (limite de baixa renda: R$ 1.906,04 em 2025; valor do exercício pela Portaria MPS/MF) - [ ] Reunir documentação de dependência (casamento, nascimento, união estável) - [ ] Requerer no prazo de 90 dias (para retroação da DIB)</w:t>
            </w:r>
          </w:p>
          <w:p>
            <w:pPr>
              <w:spacing w:before="0" w:after="60" w:line="247" w:lineRule="auto"/>
              <w:jc w:val="both"/>
            </w:pPr>
            <w:r>
              <w:rPr>
                <w:rFonts w:ascii="EB Garamond" w:hAnsi="EB Garamond" w:cs="EB Garamond"/>
                <w:b/>
                <w:i w:val="0"/>
                <w:color w:val="201B16"/>
                <w:sz w:val="19"/>
                <w:lang w:val="pt-BR" w:bidi="ar-SA"/>
                <w:kern w:val="16"/>
                <w14:ligatures w14:val="standardContextual"/>
              </w:rPr>
              <w:t>Se indeferido pelo INSS:</w:t>
            </w:r>
            <w:r>
              <w:rPr>
                <w:rFonts w:ascii="EB Garamond" w:hAnsi="EB Garamond" w:cs="EB Garamond"/>
                <w:b w:val="0"/>
                <w:i w:val="0"/>
                <w:color w:val="201B16"/>
                <w:sz w:val="19"/>
                <w:lang w:val="pt-BR" w:bidi="ar-SA"/>
                <w:kern w:val="16"/>
                <w14:ligatures w14:val="standardContextual"/>
              </w:rPr>
              <w:t xml:space="preserve"> - [ ] Analisar o motivo do indeferimento (CNIS, renda, carência, regime, dependência) - [ ] Verificar se há erro no CNIS (vínculos omitidos, contribuições não registradas) - [ ] Avaliar se a regra da metade (art. 27-A) resolve a questão de carência - [ ] Preparar ação no JEF com pedido de tutela antecipada - [ ] Documentação para tutela: certidão de prisão + CNIS + prova de dependência + declaração de hipossuficiência</w:t>
            </w:r>
          </w:p>
          <w:p>
            <w:pPr>
              <w:spacing w:before="0" w:after="60" w:line="247" w:lineRule="auto"/>
              <w:jc w:val="both"/>
            </w:pPr>
            <w:r>
              <w:rPr>
                <w:rFonts w:ascii="EB Garamond" w:hAnsi="EB Garamond" w:cs="EB Garamond"/>
                <w:b/>
                <w:i w:val="0"/>
                <w:color w:val="201B16"/>
                <w:sz w:val="19"/>
                <w:lang w:val="pt-BR" w:bidi="ar-SA"/>
                <w:kern w:val="16"/>
                <w14:ligatures w14:val="standardContextual"/>
              </w:rPr>
              <w:t>Durante a manutenção:</w:t>
            </w:r>
            <w:r>
              <w:rPr>
                <w:rFonts w:ascii="EB Garamond" w:hAnsi="EB Garamond" w:cs="EB Garamond"/>
                <w:b w:val="0"/>
                <w:i w:val="0"/>
                <w:color w:val="201B16"/>
                <w:sz w:val="19"/>
                <w:lang w:val="pt-BR" w:bidi="ar-SA"/>
                <w:kern w:val="16"/>
                <w14:ligatures w14:val="standardContextual"/>
              </w:rPr>
              <w:t xml:space="preserve"> - [ ] Lembrar o cliente de apresentar atestado carcerário a cada 90 dias - [ ] Monitorar progressão de regime (cessação automática se regime aberto) - [ ] Em caso de fuga: orientar sobre suspensão e restabelecimento - [ ] Em caso de óbito do preso: garantir conversão automática em pensão por morte</w:t>
            </w:r>
          </w:p>
          <w:p>
            <w:pPr>
              <w:spacing w:before="0" w:after="60" w:line="247" w:lineRule="auto"/>
              <w:jc w:val="both"/>
            </w:pPr>
            <w:r>
              <w:rPr>
                <w:rFonts w:ascii="EB Garamond" w:hAnsi="EB Garamond" w:cs="EB Garamond"/>
                <w:b/>
                <w:i w:val="0"/>
                <w:color w:val="201B16"/>
                <w:sz w:val="19"/>
                <w:lang w:val="pt-BR" w:bidi="ar-SA"/>
                <w:kern w:val="16"/>
                <w14:ligatures w14:val="standardContextual"/>
              </w:rPr>
              <w:t>Referências cruzadas neste livro:</w:t>
            </w:r>
            <w:r>
              <w:rPr>
                <w:rFonts w:ascii="EB Garamond" w:hAnsi="EB Garamond" w:cs="EB Garamond"/>
                <w:b w:val="0"/>
                <w:i w:val="0"/>
                <w:color w:val="201B16"/>
                <w:sz w:val="19"/>
                <w:lang w:val="pt-BR" w:bidi="ar-SA"/>
                <w:kern w:val="16"/>
                <w14:ligatures w14:val="standardContextual"/>
              </w:rPr>
              <w:t xml:space="preserve"> - Dependentes: Cap. 2 - Carência e regra da metade: Cap. 3, seção 3.2 - Contribuições (MEI, CI, facultativo): Cap. 4 - Tempo de contribuição e CNIS: Cap. 5 - BPC como alternativa: Cap. 18 - Pensão por morte (conversão): Cap. 19 - Acumulação de benefícios: Cap. 20 - Prescrição e decadência: Cap. 21 - Procedimento nos JEFs: Cap. 23</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Q</w:t>
      </w:r>
    </w:p>
    <w:p>
      <w:pPr>
        <w:spacing w:before="0" w:after="70" w:line="259" w:lineRule="auto"/>
        <w:jc w:val="both"/>
      </w:pPr>
      <w:r>
        <w:rPr>
          <w:rFonts w:ascii="EB Garamond" w:hAnsi="EB Garamond" w:cs="EB Garamond"/>
          <w:b/>
          <w:i w:val="0"/>
          <w:color w:val="201B16"/>
          <w:sz w:val="21"/>
          <w:lang w:val="pt-BR" w:bidi="ar-SA"/>
          <w:kern w:val="16"/>
          <w14:ligatures w14:val="standardContextual"/>
        </w:rPr>
        <w:t>uadro de jurisprudência consolidada</w:t>
      </w:r>
    </w:p>
    <w:tbl>
      <w:tblPr>
        <w:tblW w:type="auto" w:w="0"/>
        <w:jc w:val="center"/>
        <w:tblLook w:firstColumn="1" w:firstRow="1" w:lastColumn="0" w:lastRow="0" w:noHBand="0" w:noVBand="1" w:val="04A0"/>
        <w:tblW w:w="5000" w:type="pct"/>
      </w:tblPr>
      <w:tblGrid>
        <w:gridCol w:w="1587"/>
        <w:gridCol w:w="1587"/>
        <w:gridCol w:w="1587"/>
        <w:gridCol w:w="1587"/>
      </w:tblGrid>
      <w:tr>
        <w:trPr>
          <w:tblHeader/>
        </w:trPr>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Tema</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Tribunal</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Tese/Ementa</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Efeito prático</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Baixa renda: segurado, não dependentes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STF (Tema 89)</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Renda aferida é do segurado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Afasta indeferimento por renda do dependente</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Momento da aferição (pré-MP 871)</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STJ (Tema 896)</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Ausência de renda = baixa renda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Desempregado = renda zero</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Flexibilização da renda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STJ (Tema 1162)</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Pré-MP 871: possível / Pós: vedado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Renda ínfima acima do limite → flexibiliza</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Prisão provisória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STJ + TRFs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Gera direito ao AR</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Independe de condenação</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Monitoração eletrônica (pré-2019)</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TNU (Tema 357)</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 permanece no semiaberto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Direito adquirido, tempus regit actum</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Fuga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TRU/4ª Região (2023)</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Cessação (não suspensão)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Nova concessão na recaptura, lei vigente</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Livramento condicional</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STJ</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Cessa o AR</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Novo recolhimento = novo fato gerador</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Conversão AR → PM</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STJ + TNU</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Automática, sem novo requerimento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INSS não pode exigir procedimento formal</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Prisão domiciliar (fechado/semiaberto)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STJ (REsp 1.672.295)</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 mantido se regime ≠ aberto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Critério: impossibilidade de trabalhar</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Carência 24 contribuições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TRFs (divergência)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Constitucionalidade debatida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Arguir tese subsidiária + regra da metade</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V</w:t>
      </w:r>
    </w:p>
    <w:p>
      <w:pPr>
        <w:spacing w:before="0" w:after="70" w:line="259" w:lineRule="auto"/>
        <w:jc w:val="both"/>
      </w:pPr>
      <w:r>
        <w:rPr>
          <w:rFonts w:ascii="EB Garamond" w:hAnsi="EB Garamond" w:cs="EB Garamond"/>
          <w:b/>
          <w:i w:val="0"/>
          <w:color w:val="201B16"/>
          <w:sz w:val="21"/>
          <w:lang w:val="pt-BR" w:bidi="ar-SA"/>
          <w:kern w:val="16"/>
          <w14:ligatures w14:val="standardContextual"/>
        </w:rPr>
        <w:t>alores de referência 2026</w:t>
      </w:r>
    </w:p>
    <w:tbl>
      <w:tblPr>
        <w:tblW w:type="auto" w:w="0"/>
        <w:jc w:val="center"/>
        <w:tblLook w:firstColumn="1" w:firstRow="1" w:lastColumn="0" w:lastRow="0" w:noHBand="0" w:noVBand="1" w:val="04A0"/>
        <w:tblW w:w="5000" w:type="pct"/>
      </w:tblPr>
      <w:tblGrid>
        <w:gridCol w:w="3175"/>
        <w:gridCol w:w="3175"/>
      </w:tblGrid>
      <w:tr>
        <w:trPr>
          <w:tblHeader/>
        </w:trPr>
        <w:tc>
          <w:tcPr>
            <w:tcW w:type="dxa" w:w="3175"/>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Item</w:t>
            </w:r>
          </w:p>
        </w:tc>
        <w:tc>
          <w:tcPr>
            <w:tcW w:type="dxa" w:w="3175"/>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Valor (R$)</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Salário-mínimo (valor do AR pós-EC 103)</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1.621,00</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Limite de baixa renda para AR (média 12 meses)*</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1.906,04</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Teto do RGPS</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8.475,55</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Teto JEF (60 SM)</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97.260,00</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Contribuição mínima MEI (5% SM)</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81,05</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Contribuição mínima facultativo simplificado (11% SM)</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178,31</w:t>
            </w:r>
          </w:p>
        </w:tc>
      </w:tr>
    </w:tbl>
    <w:p>
      <w:pPr>
        <w:spacing w:before="0" w:after="80" w:line="240" w:lineRule="auto"/>
      </w:pPr>
    </w:p>
    <w:p>
      <w:pPr>
        <w:spacing w:before="0" w:after="70" w:line="259" w:lineRule="auto"/>
        <w:jc w:val="both"/>
      </w:pPr>
      <w:r>
        <w:rPr>
          <w:rFonts w:ascii="EB Garamond" w:hAnsi="EB Garamond" w:cs="EB Garamond"/>
          <w:b w:val="0"/>
          <w:i w:val="0"/>
          <w:color w:val="201B16"/>
          <w:sz w:val="21"/>
          <w:lang w:val="pt-BR" w:bidi="ar-SA"/>
          <w:kern w:val="16"/>
          <w14:ligatures w14:val="standardContextual"/>
        </w:rPr>
        <w:t>\* Limite de baixa renda fixado para 2025 (Portaria Interministerial MPS/MF n. 6/2025), único valor oficialmente consolidado. Para fatos geradores de 2026, aplica-se o montante da portaria do exercício, reajustado pelos índices dos benefícios do RGPS (art. 27, § 1º, da EC 103/2019), conforme a referência única estabelecida na seção 14.1.</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Perspectivas e tendências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auxílio-reclusão caminha para maior restritividade. A EC 103/2019 reduziu drasticamente o universo de beneficiários potenciais ao exigir carência de 24 contribuições e excluir o regime aberto. A combinação dessas restrições com o perfil socioeconômico da população carcerária brasileira, predominantemente jovem, informal e de baixa escolaridade, tende a tornar o benefício cada vez mais residual.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No âmbito dos JEFs, espera-se o aumento da litigiosidade em torno de três eixos: (i) constitucionalidade da carência de 24 contribuições; (ii) efeitos da monitoração eletrônica e da prisão domiciliar; e (iii) aplicação da regra de transição (regime antigo vs. Novo) para presos cuja reclusão se iniciou antes de 13/11/2019 e se prolonga após essa data. Essas controvérsias provavelmente chegarão ao STF e ao STJ nos próximos anos, exigindo do advogado previdenciarista atenção permanente à evolução jurisprudencial.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interface com o direito penal também se intensifica. As recentes alterações na LEP (Pacote Anticrime, Lei 13.964/2019) e as discussões sobre monitoração eletrônica, prisão domiciliar e regime semiaberto têm reflexos diretos no auxílio-reclusão, exigindo do operador do Direito Previdenciário conhecimento sólido de ambos os ramos.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Por fim, é necessário registrar a importância da advocacia proativa no auxílio-reclusão. Diferentemente de outros benefícios previdenciários, em que o próprio segurado pode acompanhar o processo, no auxílio-reclusão o segurado está preso e seus dependentes frequentemente pertencem às camadas mais vulneráveis da população, com baixa escolaridade, limitado acesso à informação jurídica e dificuldades de deslocamento até as agências do INSS. O advogado previdenciarista, e especialmente a Defensoria Pública da União nos JEFs, desempenha papel decisivo para garantir que o direito constitucional dos dependentes seja efetivamente materializado, superando as barreiras burocráticas, informacionais e estigmatizantes que historicamente cercam este benefício.</w:t>
      </w:r>
    </w:p>
    <w:p>
      <w:pPr>
        <w:sectPr>
          <w:headerReference w:type="default" r:id="rId153"/>
          <w:headerReference w:type="even" r:id="rId154"/>
          <w:footerReference w:type="default" r:id="rId155"/>
          <w:footerReference w:type="even" r:id="rId156"/>
          <w:headerReference w:type="first" r:id="rId157"/>
          <w:footerReference w:type="first" r:id="rId158"/>
          <w:pgSz w:w="8391" w:h="11906"/>
          <w:pgMar w:top="935" w:right="879" w:bottom="964" w:left="1162" w:header="454" w:footer="425" w:gutter="0" w:mirrorMargins="1"/>
          <w:cols w:space="720"/>
          <w:titlePg/>
          <w:docGrid w:linePitch="360"/>
        </w:sectPr>
      </w:pPr>
    </w:p>
    <w:p>
      <w:pPr>
        <w:spacing w:before="240" w:after="80" w:line="240" w:lineRule="auto"/>
        <w:jc w:val="center"/>
        <w:keepNext/>
      </w:pPr>
      <w:r>
        <w:rPr>
          <w:rFonts w:ascii="Noto Sans" w:hAnsi="Noto Sans" w:cs="Noto Sans"/>
          <w:b/>
          <w:i w:val="0"/>
          <w:caps/>
          <w:color w:val="8A6A2A"/>
          <w:sz w:val="19"/>
          <w:lang w:val="pt-BR" w:bidi="ar-SA"/>
          <w:kern w:val="16"/>
          <w14:ligatures w14:val="standardContextual"/>
        </w:rPr>
        <w:t>CAPÍTULO 15</w:t>
      </w:r>
    </w:p>
    <w:p>
      <w:pPr>
        <w:pStyle w:val="Heading2"/>
        <w:spacing w:before="0" w:after="160" w:line="240" w:lineRule="auto"/>
        <w:jc w:val="center"/>
        <w:keepNext/>
      </w:pPr>
      <w:r>
        <w:rPr>
          <w:rFonts w:ascii="EB Garamond" w:hAnsi="EB Garamond" w:cs="EB Garamond"/>
          <w:b/>
          <w:i w:val="0"/>
          <w:caps/>
          <w:color w:val="2F2923"/>
          <w:sz w:val="40"/>
          <w:lang w:val="pt-BR" w:bidi="ar-SA"/>
          <w:kern w:val="16"/>
          <w14:ligatures w14:val="standardContextual"/>
        </w:rPr>
        <w:t>Auxílio-Acidente e Salário-Família</w:t>
      </w:r>
    </w:p>
    <w:p>
      <w:pPr>
        <w:spacing w:before="0" w:after="240" w:line="240" w:lineRule="auto"/>
        <w:jc w:val="center"/>
      </w:pPr>
      <w:r>
        <w:rPr>
          <w:rFonts w:ascii="EB Garamond" w:hAnsi="EB Garamond" w:cs="EB Garamond"/>
          <w:b w:val="0"/>
          <w:i w:val="0"/>
          <w:color w:val="B78B37"/>
          <w:sz w:val="18"/>
          <w:lang w:val="pt-BR" w:bidi="ar-SA"/>
          <w:kern w:val="16"/>
          <w14:ligatures w14:val="standardContextual"/>
        </w:rPr>
        <w:t>━━━━  ◆  ━━━━</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Introdução e fundamento constitucional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auxílio-acidente (art. 86, Lei n. 8.213/91) é o único benefício de natureza indenizatória do Regime Geral de Previdência Social. Enquanto os demais benefícios previdenciários substituem a renda do segurado em situações de incapacidade, idade avançada, maternidade ou reclusão, o auxílio-acidente compensa o segurado pela redução permanente de sua capacidade laborativa, permitindo-lhe continuar exercendo atividade remunerada concomitantemente ao recebimento do benefício.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fundamento constitucional remoto do auxílio-acidente encontra-se no art. 201, inciso I, da Constituição Federal de 1988, que estabelece a cobertura previdenciária para eventos de doença, invalidez, morte e idade avançada. A proteção contra os efeitos residuais de acidentes, sequelas que, embora não impeçam o trabalho, reduzem a capacidade do segurado, insere-se no âmbito mais amplo da proteção social contra contingências que afetem a capacidade laborativa. O auxílio-acidente materializa a dimensão indenizatória da previdência social, reconhecendo que a redução parcial e permanente da capacidade para o trabalho constitui contingência merecedora de proteção, ainda que o segurado permaneça em atividade.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relevância prática do auxílio-acidente nos Juizados Especiais Federais é expressiva. Embora sua concessão administrativa pelo INSS seja relativamente baixa — em grande medida porque a autarquia tende a negar pedidos fundados em acidentes de qualquer natureza, exigindo nexo acidentário laboral —, a judicialização do benefício é significativa. As controvérsias que cercam o auxílio-acidente são múltiplas e de elevada complexidade: a definição do conceito de "acidente de qualquer natureza" (art. 86, caput), a delimitação entre redução parcial e incapacidade total, a questão da competência jurisdicional (Justiça Federal versus Justiça Estadual), as regras de acumulação com aposentadoria e com outros benefícios, e o impacto da Emenda Constitucional n. 103/2019 sobre o cálculo do benefício são apenas algumas das questões que demandam do magistrado e do advogado domínio técnico aprofundado.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Este capítulo examina o auxílio-acidente em todas as suas dimensões: fundamento normativo, evolução legislativa, natureza jurídica, requisitos de concessão, segurados beneficiários, cálculo, acumulação, competência jurisdicional e aspectos processuais nos JEFs. A análise incorpora a jurisprudência consolidada do STJ, especialmente o Tema 862, as Súmulas 44 e 507, e as edições 198 e 199 da Jurisprudência em Teses, e da TNU, com destaque para os Temas 269, 315 e 322, além das posições doutrinárias dos principais autores de referência.</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15.2 Evolução legislativa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proteção previdenciária contra os efeitos residuais de acidentes percorreu caminho legislativo tortuoso até alcançar a configuração atual. A compreensão dessa trajetória é indispensável para interpretar corretamente o regime jurídico vigente, especialmente as regras de direito intertemporal que ainda produzem efeitos práticos nos JEFs.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Lei n. 6.367, de 19 de outubro de 1976, que antecedeu a Lei n. 8.213/91 na disciplina dos benefícios acidentários, previa o auxílio-acidente exclusivamente para acidentes do trabalho, em três graus: 30%, 40% e 60% do salário de contribuição, conforme a extensão da redução da capacidade laborativa. O benefício era vitalício e acumulável com a aposentadoria — características que seriam progressivamente restringidas pela legislação posterior.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Lei n. 8.213/91, em sua redação original, promoveu avanço significativo ao ampliar o fato gerador do auxílio-acidente para "acidente de qualquer natureza" — expressão que rompe com a vinculação exclusiva ao acidente do trabalho e abrange acidentes domésticos, de trânsito, esportivos e quaisquer outros que resultem em sequelas redutoras da capacidade. A redação original manteve, contudo, os três percentuais diferenciados (30%, 40% e 60%) e o caráter vitalício do benefício.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Lei n. 9.032, de 28 de abril de 1995, unificou o percentual do auxílio-acidente em 50% do salário-de-benefício, eliminando a gradação anterior. A mudança simplificou o cálculo, mas gerou controvérsia sobre a aplicação retroativa da majoração para beneficiários que recebiam percentuais inferiores. O STJ pacificou o tema na edição 198 da Jurisprudência em Teses, afastando a devolução das diferenças recebidas de boa-fé — tese cuja redação e alcance são examinados na seção 15.21.6, ao tratar da irrepetibilidade dos valores percebidos de boa-fé.</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A Medida Provisória n. 1.596-14, de 10 de novembro de 1997, convertida na Lei n. 9.528, de 10 de dezembro de 1997, operou a alteração mais impactante no regime do auxílio-acidente. A nova redação do art. 86, §2º, vedou expressamente a acumulação do auxílio-acidente com qualquer aposentadoria e estabeleceu que o benefício seria devido "até a véspera do início de qualquer aposentadoria". O marco temporal de 11 de novembro de 1997, data da publicação da MP 1.596-14, tornou-se referência incontornável para a análise de direitos adquiridos, como consolidado na Súmula 507 do STJ. Convém, desde já, distinguir os dois marcos que orientam a matéria, para evitar confusão recorrente: a </w:t>
      </w:r>
      <w:r>
        <w:rPr>
          <w:rFonts w:ascii="EB Garamond" w:hAnsi="EB Garamond" w:cs="EB Garamond"/>
          <w:b w:val="0"/>
          <w:i/>
          <w:color w:val="201B16"/>
          <w:sz w:val="21"/>
          <w:lang w:val="pt-BR" w:bidi="ar-SA"/>
          <w:kern w:val="16"/>
          <w14:ligatures w14:val="standardContextual"/>
        </w:rPr>
        <w:t>vedação</w:t>
      </w:r>
      <w:r>
        <w:rPr>
          <w:rFonts w:ascii="EB Garamond" w:hAnsi="EB Garamond" w:cs="EB Garamond"/>
          <w:b w:val="0"/>
          <w:i w:val="0"/>
          <w:color w:val="201B16"/>
          <w:sz w:val="21"/>
          <w:lang w:val="pt-BR" w:bidi="ar-SA"/>
          <w:kern w:val="16"/>
          <w14:ligatures w14:val="standardContextual"/>
        </w:rPr>
        <w:t xml:space="preserve"> de acúmulo incide sobre as lesões ocorridas a partir de 11/11/1997 (dia da publicação, em diante), ao passo que a Súmula 507 </w:t>
      </w:r>
      <w:r>
        <w:rPr>
          <w:rFonts w:ascii="EB Garamond" w:hAnsi="EB Garamond" w:cs="EB Garamond"/>
          <w:b w:val="0"/>
          <w:i/>
          <w:color w:val="201B16"/>
          <w:sz w:val="21"/>
          <w:lang w:val="pt-BR" w:bidi="ar-SA"/>
          <w:kern w:val="16"/>
          <w14:ligatures w14:val="standardContextual"/>
        </w:rPr>
        <w:t>admite</w:t>
      </w:r>
      <w:r>
        <w:rPr>
          <w:rFonts w:ascii="EB Garamond" w:hAnsi="EB Garamond" w:cs="EB Garamond"/>
          <w:b w:val="0"/>
          <w:i w:val="0"/>
          <w:color w:val="201B16"/>
          <w:sz w:val="21"/>
          <w:lang w:val="pt-BR" w:bidi="ar-SA"/>
          <w:kern w:val="16"/>
          <w14:ligatures w14:val="standardContextual"/>
        </w:rPr>
        <w:t xml:space="preserve"> o acúmulo quando a lesão ocorreu até 10/11/1997, véspera da publicação. São marcos coerentes — anterioridade e posterioridade ao mesmo dia —, e não datas conflitantes (o ponto é retomado na seção 15.13).</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mesma Lei n. 9.528/97 acrescentou o §4º ao art. 86, disciplinando especificamente a concessão de auxílio-acidente por perda auditiva, exigindo cumulativamente: reconhecimento do nexo causal entre o trabalho e a doença, e comprovação de redução ou perda da capacidade para o trabalho habitual. Esse dispositivo endureceu os requisitos para a hipótese de disacusia, sem, contudo, revogar a Súmula 44 do STJ, que permanece vigente.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Lei Complementar n. 150, de 1º de junho de 2015, incluiu o empregado doméstico entre os segurados beneficiários do auxílio-acidente, corrigindo exclusão historicamente criticada pela doutrina. A exclusão do empregado doméstico do auxílio-acidente era incompatível com a proteção constitucional conferida à categoria após a EC 72/2013, de modo que a LC 150/2015 representou adequação normativa tardia, mas necessária.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Emenda Constitucional n. 103, de 12 de novembro de 2019, não alterou diretamente o art. 86 da Lei n. 8.213/91, mas impactou o cálculo do auxílio-acidente ao modificar a fórmula do salário-de-benefício (o ponto é retomado, com o detalhamento do direito intertemporal, na seção 15.19 deste capítulo; para o tratamento completo da evolução do cálculo do salário-de-benefício no RGPS, v. Cap. 16). Na prática, a inclusão de todos os salários de contribuição desde julho de 1994 na média aritmética (não mais apenas os 80% maiores) tende a reduzir o valor do auxílio-acidente para segurados com trajetória contributiva irregular.</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15.3 Natureza jurídica: benefício indenizatório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distinção entre benefícios substitutivos e benefícios indenizatórios constitui o eixo de compreensão do auxílio-acidente e de suas regras peculiares. Os benefícios substitutivos, aposentadorias, auxílio por incapacidade temporária, salário-maternidade, destinam-se a substituir a renda do segurado em situações que o privam, total ou parcialmente, de sua capacidade de auferir rendimentos pelo trabalho. O auxílio-acidente, ao contrário, não substitui a renda: indeniza o segurado pela redução permanente de sua capacidade laborativa, permitindo-lhe continuar trabalhando e recebendo remuneração.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Essa natureza indenizatória explica várias características que distinguem o auxílio-acidente dos demais benefícios previdenciários. A mais visível é a compatibilidade com o exercício de atividade remunerada — o art. 86, §2º, da Lei n. 8.213/91 é expresso ao dispor que o benefício será devido "independentemente de qualquer remuneração ou rendimento auferido pelo acidentado". O próprio percentual de 50% do salário-de-benefício reflete essa finalidade compensatória: não se pretende substituir integralmente a renda, mas compensar a perda funcional. Soma-se a isso o fato de o valor do auxílio-acidente integrar o salário de contribuição para o cálculo dos benefícios futuros (art. 31 da Lei n. 8.213/91), de modo que o período de seu recebimento não prejudica — antes, costuma favorecer — o cálculo da aposentadoria vindoura.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Dessa natureza indenizatória extraem-se consequências processuais relevantes, bem apontadas por Castro e Lazzari (2025): a fixação da data de início do benefício não depende de cessação da atividade laborativa, e a prova pericial deve aferir a redução da capacidade — não a incapacidade total — para o trabalho habitualmente exercido.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Ibrahim (2025) sublinha que essa feição indenizatória singulariza o auxílio-acidente no rol de benefícios do RGPS: por não se destinar a substituir rendimentos, mas a compensar perda funcional permanente, ele convive com a remuneração do trabalho e, justamente por isso, recebeu da lei tratamento próprio nas regras de acumulação. Convém precisar, todavia, que essa natureza compensatória não retira o auxílio-acidente das bases de cálculo previdenciárias: ele integra o salário de contribuição para o cálculo de aposentadorias futuras (art. 31, examinado na seção 15.12) e, quando acumulado com pensão por morte, submete-se ao escalonamento do art. 24 da EC 103/2019 (seções 15.13 e 15.19). O que distingue o benefício, portanto, não é uma suposta imunidade às bases de cálculo, mas a compatibilidade com a renda do trabalho e o regime peculiar de acumulação que dela decorre.</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15.4 Fato gerador: consolidação das lesões com redução da capacidade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fato gerador do auxílio-acidente, conforme o art. 86, caput, da Lei n. 8.213/91, exige a presença simultânea de três elementos: (a) acidente de qualquer natureza; (b) consolidação das lesões; e (c) sequelas que impliquem redução da capacidade para o trabalho habitualmente exercido.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Acidente de qualquer natureza.</w:t>
      </w:r>
      <w:r>
        <w:rPr>
          <w:rFonts w:ascii="EB Garamond" w:hAnsi="EB Garamond" w:cs="EB Garamond"/>
          <w:b w:val="0"/>
          <w:i w:val="0"/>
          <w:color w:val="201B16"/>
          <w:sz w:val="21"/>
          <w:lang w:val="pt-BR" w:bidi="ar-SA"/>
          <w:kern w:val="16"/>
          <w14:ligatures w14:val="standardContextual"/>
        </w:rPr>
        <w:t xml:space="preserve"> A expressão "acidente de qualquer natureza" é mais ampla que "acidente do trabalho" (art. 19) e abrange todo evento súbito e traumático, de origem exógena, que cause lesão ao segurado. A TNU, no Tema 269 (PEDILEF 0031628-86.2017.4.02.5054/ES, j. 05/05/2022), fixou tese definindo o conceito: "O conceito de acidente de qualquer natureza, para os fins do art. 86 da Lei 8.213/91 (auxílio-acidente), consiste em evento súbito e de origem traumática, por exposição a agentes exógenos físicos, químicos ou biológicos, ressalvados os casos de acidente do trabalho típicos ou por equiparação, caracterizados na forma dos arts. 19 a 21 da Lei 8.213/91."</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tese do Tema 269 é restritiva: exclui do conceito de "acidente de qualquer natureza" as doenças degenerativas, as condições inerentes ao envelhecimento e as enfermidades sem origem traumática. Assim, um segurado que desenvolve artrose cervical progressiva sem relação com qualquer trauma não faz jus ao auxílio-acidente por "acidente de qualquer natureza", embora possa fazer jus ao benefício se a condição configurar doença profissional ou do trabalho (arts. 20-21), hipótese em que a competência será da Justiça Estadual.</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Consolidação das lesões.</w:t>
      </w:r>
      <w:r>
        <w:rPr>
          <w:rFonts w:ascii="EB Garamond" w:hAnsi="EB Garamond" w:cs="EB Garamond"/>
          <w:b w:val="0"/>
          <w:i w:val="0"/>
          <w:color w:val="201B16"/>
          <w:sz w:val="21"/>
          <w:lang w:val="pt-BR" w:bidi="ar-SA"/>
          <w:kern w:val="16"/>
          <w14:ligatures w14:val="standardContextual"/>
        </w:rPr>
        <w:t xml:space="preserve"> A consolidação é o momento em que as lesões atingem estabilidade clínica — não há mais evolução esperada, seja para melhora, seja para piora. A consolidação distingue-se da cura: o segurado pode ter lesões consolidadas (estáveis) que resultam em sequelas permanentes. Na prática, o momento da consolidação é aferido pela perícia médica e corresponde, na maior parte dos casos, à cessação do auxílio por incapacidade temporária — momento em que o INSS ou o juiz reconhece que o segurado recuperou a capacidade para o trabalho, ainda que com sequelas.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Redução da capacidade para o trabalho habitual.</w:t>
      </w:r>
      <w:r>
        <w:rPr>
          <w:rFonts w:ascii="EB Garamond" w:hAnsi="EB Garamond" w:cs="EB Garamond"/>
          <w:b w:val="0"/>
          <w:i w:val="0"/>
          <w:color w:val="201B16"/>
          <w:sz w:val="21"/>
          <w:lang w:val="pt-BR" w:bidi="ar-SA"/>
          <w:kern w:val="16"/>
          <w14:ligatures w14:val="standardContextual"/>
        </w:rPr>
        <w:t xml:space="preserve"> O elemento central é a redução, não a perda total, da capacidade para o trabalho que o segurado habitualmente exercia. A lei exige: (i) que haja redução efetiva (não meramente potencial); (ii) que essa redução se refira à atividade habitual do segurado; e (iii) que a redução seja permanente (consolidada). Não se exige que o segurado esteja impedido de trabalhar, ao contrário, o auxílio-acidente pressupõe que ele pode e deve continuar trabalhando, mas com capacidade diminuída.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distinção entre "redução da capacidade" (auxílio-acidente) e "incapacidade" (auxílio por incapacidade temporária ou aposentadoria por incapacidade permanente) é essencial. Se o segurado está incapaz para o trabalho, o benefício devido é o auxílio por incapacidade temporária ou a aposentadoria por incapacidade permanente, não o auxílio-acidente. O auxílio-acidente pressupõe capacidade laborativa residual, ainda que reduzida.</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15.5 Segurados beneficiários e exclusões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18, §1º, da Lei n. 8.213/91 restringe o auxílio-acidente a determinadas categorias de segurados. São beneficiários: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 Segurado empregado</w:t>
      </w:r>
      <w:r>
        <w:rPr>
          <w:rFonts w:ascii="EB Garamond" w:hAnsi="EB Garamond" w:cs="EB Garamond"/>
          <w:b w:val="0"/>
          <w:i w:val="0"/>
          <w:color w:val="201B16"/>
          <w:sz w:val="21"/>
          <w:lang w:val="pt-BR" w:bidi="ar-SA"/>
          <w:kern w:val="16"/>
          <w14:ligatures w14:val="standardContextual"/>
        </w:rPr>
        <w:t xml:space="preserve"> (art. 11, I): a categoria mais numerosa e que gera o maior volume de auxílios-acidente, tanto na via administrativa quanto na judicial.</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b) Empregado doméstico</w:t>
      </w:r>
      <w:r>
        <w:rPr>
          <w:rFonts w:ascii="EB Garamond" w:hAnsi="EB Garamond" w:cs="EB Garamond"/>
          <w:b w:val="0"/>
          <w:i w:val="0"/>
          <w:color w:val="201B16"/>
          <w:sz w:val="21"/>
          <w:lang w:val="pt-BR" w:bidi="ar-SA"/>
          <w:kern w:val="16"/>
          <w14:ligatures w14:val="standardContextual"/>
        </w:rPr>
        <w:t xml:space="preserve"> (art. 11, II): incluído pela Lei Complementar n. 150/2015, que equiparou o empregado doméstico aos demais empregados para fins de proteção acidentária. Antes da LC 150/2015, o empregado doméstico era excluído do auxílio-acidente — exclusão amplamente criticada pela doutrina como inconstitucional.</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 Trabalhador avulso</w:t>
      </w:r>
      <w:r>
        <w:rPr>
          <w:rFonts w:ascii="EB Garamond" w:hAnsi="EB Garamond" w:cs="EB Garamond"/>
          <w:b w:val="0"/>
          <w:i w:val="0"/>
          <w:color w:val="201B16"/>
          <w:sz w:val="21"/>
          <w:lang w:val="pt-BR" w:bidi="ar-SA"/>
          <w:kern w:val="16"/>
          <w14:ligatures w14:val="standardContextual"/>
        </w:rPr>
        <w:t xml:space="preserve"> (art. 11, VI): segurado que presta serviço sem vínculo empregatício a diversas empresas, com intermediação obrigatória do órgão gestor de mão de obra (OGMO) ou sindicato.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d) Segurado especial</w:t>
      </w:r>
      <w:r>
        <w:rPr>
          <w:rFonts w:ascii="EB Garamond" w:hAnsi="EB Garamond" w:cs="EB Garamond"/>
          <w:b w:val="0"/>
          <w:i w:val="0"/>
          <w:color w:val="201B16"/>
          <w:sz w:val="21"/>
          <w:lang w:val="pt-BR" w:bidi="ar-SA"/>
          <w:kern w:val="16"/>
          <w14:ligatures w14:val="standardContextual"/>
        </w:rPr>
        <w:t xml:space="preserve"> (art. 11, VII): o trabalhador rural em regime de economia familiar, o pescador artesanal, o indígena e demais categorias do inciso VII. O segurado especial faz jus ao auxílio-acidente independentemente de contribuições facultativas — direito que o TNU reafirmou no Tema 322 ao determinar a inclusão dos valores de auxílio-acidente no cálculo da aposentadoria por idade rural. Registre-se, desde logo, que a dispensa de contribuição facultativa não significa que esta seja relevante para o valor do benefício: na ausência de recolhimento facultativo, o auxílio-acidente do segurado especial é calculado sobre um salário-mínimo, resultando em prestação equivalente a meio salário-mínimo (a sistemática é detalhada na seção 15.14).</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Segurados excluídos:</w:t>
      </w:r>
      <w:r>
        <w:rPr>
          <w:rFonts w:ascii="EB Garamond" w:hAnsi="EB Garamond" w:cs="EB Garamond"/>
          <w:b w:val="0"/>
          <w:i w:val="0"/>
          <w:color w:val="201B16"/>
          <w:sz w:val="21"/>
          <w:lang w:val="pt-BR" w:bidi="ar-SA"/>
          <w:kern w:val="16"/>
          <w14:ligatures w14:val="standardContextual"/>
        </w:rPr>
        <w:t xml:space="preserve"> O contribuinte individual (art. 11, V) e o segurado facultativo (art. 13) não têm direito ao auxílio-acidente. A exclusão decorre da literalidade do art. 18, §1º, que limita o rol de beneficiários. A razão frequentemente invocada é que essas categorias não mantêm relação de subordinação que justifique a proteção acidentária, argumento que a doutrina minoritária contesta, sustentando violação ao princípio da universalidade de cobertura (art. 194, parágrafo único, I, CF). Horvath Júnior (2022) critica a exclusão, assinalando que o princípio da universalidade deveria alcançar todas as categorias de segurados, independentemente da natureza do vínculo. Reconhecemos a força do argumento de </w:t>
      </w:r>
      <w:r>
        <w:rPr>
          <w:rFonts w:ascii="EB Garamond" w:hAnsi="EB Garamond" w:cs="EB Garamond"/>
          <w:b w:val="0"/>
          <w:i/>
          <w:color w:val="201B16"/>
          <w:sz w:val="21"/>
          <w:lang w:val="pt-BR" w:bidi="ar-SA"/>
          <w:kern w:val="16"/>
          <w14:ligatures w14:val="standardContextual"/>
        </w:rPr>
        <w:t>lege ferenda</w:t>
      </w:r>
      <w:r>
        <w:rPr>
          <w:rFonts w:ascii="EB Garamond" w:hAnsi="EB Garamond" w:cs="EB Garamond"/>
          <w:b w:val="0"/>
          <w:i w:val="0"/>
          <w:color w:val="201B16"/>
          <w:sz w:val="21"/>
          <w:lang w:val="pt-BR" w:bidi="ar-SA"/>
          <w:kern w:val="16"/>
          <w14:ligatures w14:val="standardContextual"/>
        </w:rPr>
        <w:t>, mas, no direito posto, a restrição é inequívoca: enquanto não sobrevier alteração legislativa ou pronunciamento vinculante dos tribunais superiores, o contribuinte individual e o facultativo permanecem fora do alcance do benefício, cabendo ao magistrado dos JEFs aplicar a vedação legal.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TRF4 tem posição consolidada pela constitucionalidade da exclusão do contribuinte individual: "Não tem direito ao auxílio-acidente o contribuinte individual, ante a expressa exclusão legal prevista no art. 18, §1º, da Lei n. 8.213/91." A questão, contudo, não está pacificada no STJ ou no STF em sede de recurso repetitivo ou repercussão geral, o que deixa margem para decisões divergentes nos JEFs.</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15.6 Dispensa de carência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auxílio-acidente independe de carência (art. 26, I, da Lei n. 8.213/91 — v. Seção 3.3.1 para o tratamento completo da dispensa de carência). A dispensa é coerente com a natureza do benefício: a ocorrência de acidente é evento imprevisível, incompatível com a exigência de período contributivo mínimo.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dispensa de carência não significa dispensa de qualidade de segurado. Para fazer jus ao auxílio-acidente, o segurado deve estar filiado ao RGPS e manter a qualidade de segurado na data do acidente, conforme as regras do art. 15 da Lei n. 8.213/91 (período de graça), analisadas no Capítulo 3.</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15.7 Acidente de qualquer natureza: acidente típico, de trajeto e doença ocupacional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correta classificação do evento que origina o auxílio-acidente é decisiva para a definição da competência jurisdicional e do regime jurídico aplicável. O sistema legal distingue três categorias: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 Acidente do trabalho típico (art. 19).</w:t>
      </w:r>
      <w:r>
        <w:rPr>
          <w:rFonts w:ascii="EB Garamond" w:hAnsi="EB Garamond" w:cs="EB Garamond"/>
          <w:b w:val="0"/>
          <w:i w:val="0"/>
          <w:color w:val="201B16"/>
          <w:sz w:val="21"/>
          <w:lang w:val="pt-BR" w:bidi="ar-SA"/>
          <w:kern w:val="16"/>
          <w14:ligatures w14:val="standardContextual"/>
        </w:rPr>
        <w:t xml:space="preserve"> É o acidente que ocorre pelo exercício do trabalho a serviço de empresa ou empregador doméstico, provocando lesão corporal ou perturbação funcional. Gera o auxílio-acidente acidentário (espécie B94 no sistema do INSS) e é de competência da Justiça Estadual (art. 109, I, CF; Súmulas 15/STJ e 501/STF).</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b) Acidente do trabalho por equiparação (arts. 20-21).</w:t>
      </w:r>
      <w:r>
        <w:rPr>
          <w:rFonts w:ascii="EB Garamond" w:hAnsi="EB Garamond" w:cs="EB Garamond"/>
          <w:b w:val="0"/>
          <w:i w:val="0"/>
          <w:color w:val="201B16"/>
          <w:sz w:val="21"/>
          <w:lang w:val="pt-BR" w:bidi="ar-SA"/>
          <w:kern w:val="16"/>
          <w14:ligatures w14:val="standardContextual"/>
        </w:rPr>
        <w:t xml:space="preserve"> Incluem as doenças profissionais (produzidas pelo exercício do trabalho peculiar a determinada atividade — Anexo II do Decreto 3.048/99), as doenças do trabalho (adquiridas em função de condições especiais do trabalho), e os acidentes de trajeto, entre outras hipóteses. O regime jurídico é o mesmo do acidente típico: competência da Justiça Estadual.</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 Acidente de qualquer natureza (art. 86, caput).</w:t>
      </w:r>
      <w:r>
        <w:rPr>
          <w:rFonts w:ascii="EB Garamond" w:hAnsi="EB Garamond" w:cs="EB Garamond"/>
          <w:b w:val="0"/>
          <w:i w:val="0"/>
          <w:color w:val="201B16"/>
          <w:sz w:val="21"/>
          <w:lang w:val="pt-BR" w:bidi="ar-SA"/>
          <w:kern w:val="16"/>
          <w14:ligatures w14:val="standardContextual"/>
        </w:rPr>
        <w:t xml:space="preserve"> Abrange todo acidente que não se enquadre nas hipóteses dos arts. 19 a 21: acidentes domésticos (queda em escada, queimadura), acidentes de trânsito fora do trajeto trabalho-residência, acidentes esportivos, agressões não vinculadas ao trabalho, entre outros. Gera o auxílio-acidente previdenciário (espécie B36 no sistema do INSS) e é de competência da Justiça Federal e dos JEFs.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Atenção — Competência Jurisdicional</w:t>
            </w:r>
            <w:r>
              <w:rPr>
                <w:rFonts w:ascii="EB Garamond" w:hAnsi="EB Garamond" w:cs="EB Garamond"/>
                <w:b w:val="0"/>
                <w:i w:val="0"/>
                <w:color w:val="201B16"/>
                <w:sz w:val="19"/>
                <w:lang w:val="pt-BR" w:bidi="ar-SA"/>
                <w:kern w:val="16"/>
                <w14:ligatures w14:val="standardContextual"/>
              </w:rPr>
              <w:t xml:space="preserve"> A definição da competência depende da causa de pedir e do pedido: se o segurado alega acidente do trabalho ou doença ocupacional (arts. 19-21), a competência é da Justiça Estadual, ainda que a ação seja contra o INSS. Se alega acidente de qualquer outra natureza (art. 86), a competência é da Justiça Federal/JEF. O juiz deve analisar a petição inicial para definir a competência, não pode alterar a qualificação jurídica do acidente para fins de remessa. Na prática dos JEFs, é frequente o recebimento de ações em que o segurado alega "acidente de qualquer natureza”, mas os fatos narrados configuram acidente do trabalho, hipótese em que o juiz deve declinar da competência para a Justiça Estadual.</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15.8 Redução da capacidade laborativa: critérios e controvérsias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aferição da "redução da capacidade para o trabalho que habitualmente exercia" é o ponto mais sensível da concessão do auxílio-acidente. Ao contrário dos benefícios por incapacidade, em que a perícia avalia se o segurado está ou não incapaz, no auxílio-acidente a perícia deve avaliar se houve redução da capacidade, sem que o segurado esteja necessariamente incapaz.</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Critérios periciais.</w:t>
      </w:r>
      <w:r>
        <w:rPr>
          <w:rFonts w:ascii="EB Garamond" w:hAnsi="EB Garamond" w:cs="EB Garamond"/>
          <w:b w:val="0"/>
          <w:i w:val="0"/>
          <w:color w:val="201B16"/>
          <w:sz w:val="21"/>
          <w:lang w:val="pt-BR" w:bidi="ar-SA"/>
          <w:kern w:val="16"/>
          <w14:ligatures w14:val="standardContextual"/>
        </w:rPr>
        <w:t xml:space="preserve"> A perícia judicial no auxílio-acidente deve responder a três quesitos fundamentais: (i) há sequela consolidada decorrente de acidente? (ii) essa sequela implica redução da capacidade para o trabalho habitual? (iii) essa redução é permanente? A resposta afirmativa às três perguntas autoriza a concessão.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Não existe, na legislação brasileira, uma tabela que gradue percentuais de redução da capacidade para fins de auxílio-acidente. A avaliação é qualitativa, não quantitativa — o perito deve aferir se a sequela efetivamente compromete o desempenho do segurado na atividade que habitualmente exercia. Essa ausência de critérios objetivos é fonte permanente de controvérsia. A falta de parâmetros legais objetivos para a aferição da redução da capacidade transfere ao perito judicial e ao magistrado uma margem de valoração que exige atenção às condições concretas do segurado, e não apenas ao quadro clínico isoladamente considerado.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Atividade habitual como referência.</w:t>
      </w:r>
      <w:r>
        <w:rPr>
          <w:rFonts w:ascii="EB Garamond" w:hAnsi="EB Garamond" w:cs="EB Garamond"/>
          <w:b w:val="0"/>
          <w:i w:val="0"/>
          <w:color w:val="201B16"/>
          <w:sz w:val="21"/>
          <w:lang w:val="pt-BR" w:bidi="ar-SA"/>
          <w:kern w:val="16"/>
          <w14:ligatures w14:val="standardContextual"/>
        </w:rPr>
        <w:t xml:space="preserve"> A lei toma como referência o trabalho que o segurado "habitualmente exercia", não qualquer trabalho. Um pianista profissional que perde a mobilidade de um dedo sofre redução da capacidade para o trabalho habitual, ainda que possa exercer outras atividades. Essa análise contextual é essencial e exige que a perícia conheça não apenas o quadro clínico, mas a atividade profissional do segurado.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Grau mínimo de redução.</w:t>
      </w:r>
      <w:r>
        <w:rPr>
          <w:rFonts w:ascii="EB Garamond" w:hAnsi="EB Garamond" w:cs="EB Garamond"/>
          <w:b w:val="0"/>
          <w:i w:val="0"/>
          <w:color w:val="201B16"/>
          <w:sz w:val="21"/>
          <w:lang w:val="pt-BR" w:bidi="ar-SA"/>
          <w:kern w:val="16"/>
          <w14:ligatures w14:val="standardContextual"/>
        </w:rPr>
        <w:t xml:space="preserve"> A questão de se haveria um grau mínimo de redução necessário para a concessão foi enfrentada pela TNU. O entendimento consolidado é que o auxílio-acidente é devido ainda que a redução seja mínima, desde que efetiva e permanente — posição que se harmoniza com a Súmula 44/STJ (que afasta critérios regulamentares rígidos de grau mínimo) e com a finalidade indenizatória do benefício.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Condições pessoais do segurado.</w:t>
      </w:r>
      <w:r>
        <w:rPr>
          <w:rFonts w:ascii="EB Garamond" w:hAnsi="EB Garamond" w:cs="EB Garamond"/>
          <w:b w:val="0"/>
          <w:i w:val="0"/>
          <w:color w:val="201B16"/>
          <w:sz w:val="21"/>
          <w:lang w:val="pt-BR" w:bidi="ar-SA"/>
          <w:kern w:val="16"/>
          <w14:ligatures w14:val="standardContextual"/>
        </w:rPr>
        <w:t xml:space="preserve"> A jurisprudência dos JEFs tem valorizado, com acerto, a análise das condições pessoais do segurado, idade, grau de escolaridade, histórico laboral, possibilidade de reabilitação, na aferição da redução da capacidade. Segurado idoso, com baixa escolaridade e histórico exclusivo de trabalho braçal, que sofre sequela em membro superior, terá sua capacidade mais gravemente reduzida do que segurado jovem, qualificado, com possibilidade de adaptação funcional.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Segurado de 52 anos, pedreiro, sofre queda de escada em casa e fratura o punho direito. Após a consolidação, a perícia constata redução de 30% da força de preensão e limitação de movimento do punho. O INSS indefere o auxílio-acidente alegando que a redução é "mínima". Na ação perante o JEF, o perito judicial confirma a sequela e o juiz concede o benefício, fundamentando: (i) a redução é efetiva e permanente, ainda que percentualmente pequena; (ii) a atividade habitual de pedreiro exige força manual intensa, de modo que mesmo uma redução de 30% compromete significativamente o desempenho; (iii) as condições pessoais do segurado (baixa escolaridade, idade avançada, trabalho exclusivamente braçal) agravam o impacto funcional. A DIB é fixada no dia seguinte à cessação do auxílio por incapacidade temporária (Tema 862/STJ).</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15.9 Valor do benefício: 50% do salário-de-benefício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valor do auxílio-acidente corresponde a 50% do salário-de-benefício, conforme o art. 86, §1º, da Lei n. 8.213/91 (redação dada pela Lei n. 9.032/95).</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Evolução do percentual.</w:t>
      </w:r>
      <w:r>
        <w:rPr>
          <w:rFonts w:ascii="EB Garamond" w:hAnsi="EB Garamond" w:cs="EB Garamond"/>
          <w:b w:val="0"/>
          <w:i w:val="0"/>
          <w:color w:val="201B16"/>
          <w:sz w:val="21"/>
          <w:lang w:val="pt-BR" w:bidi="ar-SA"/>
          <w:kern w:val="16"/>
          <w14:ligatures w14:val="standardContextual"/>
        </w:rPr>
        <w:t xml:space="preserve"> Antes da Lei n. 9.032/95, o auxílio-acidente era calculado em três faixas: 30% (redução leve), 40% (redução moderada) e 60% (redução grave) do salário de contribuição. A unificação em 50% do salário-de-benefício simplificou o cálculo e eliminou a necessidade de graduar a redução — fonte perene de controvérsia pericial.</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Cálculo antes da EC 103/2019 (até 12/11/2019).</w:t>
      </w:r>
      <w:r>
        <w:rPr>
          <w:rFonts w:ascii="EB Garamond" w:hAnsi="EB Garamond" w:cs="EB Garamond"/>
          <w:b w:val="0"/>
          <w:i w:val="0"/>
          <w:color w:val="201B16"/>
          <w:sz w:val="21"/>
          <w:lang w:val="pt-BR" w:bidi="ar-SA"/>
          <w:kern w:val="16"/>
          <w14:ligatures w14:val="standardContextual"/>
        </w:rPr>
        <w:t xml:space="preserve"> O salário-de-benefício correspondia à média aritmética simples dos 80% maiores salários de contribuição desde julho de 1994 até a data do acidente (ou da cessação do auxílio por incapacidade temporária, conforme o caso). O auxílio-acidente era, então, 50% dessa média.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Cálculo após a EC 103/2019 (a partir de 13/11/2019).</w:t>
      </w:r>
      <w:r>
        <w:rPr>
          <w:rFonts w:ascii="EB Garamond" w:hAnsi="EB Garamond" w:cs="EB Garamond"/>
          <w:b w:val="0"/>
          <w:i w:val="0"/>
          <w:color w:val="201B16"/>
          <w:sz w:val="21"/>
          <w:lang w:val="pt-BR" w:bidi="ar-SA"/>
          <w:kern w:val="16"/>
          <w14:ligatures w14:val="standardContextual"/>
        </w:rPr>
        <w:t xml:space="preserve"> O salário-de-benefício passou a corresponder à média aritmética simples de todos os salários de contribuição desde julho de 1994. A inclusão dos menores salários de contribuição tende a reduzir a média e, consequentemente, o valor do auxílio-acidente. O impacto é especialmente relevante para segurados com trajetória contributiva irregular, períodos de contribuição pelo piso alternados com períodos de contribuição sobre valores maiores.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Atenção — Valor mínimo</w:t>
            </w:r>
            <w:r>
              <w:rPr>
                <w:rFonts w:ascii="EB Garamond" w:hAnsi="EB Garamond" w:cs="EB Garamond"/>
                <w:b w:val="0"/>
                <w:i w:val="0"/>
                <w:color w:val="201B16"/>
                <w:sz w:val="19"/>
                <w:lang w:val="pt-BR" w:bidi="ar-SA"/>
                <w:kern w:val="16"/>
                <w14:ligatures w14:val="standardContextual"/>
              </w:rPr>
              <w:t xml:space="preserve"> Ao contrário da aposentadoria e dos benefícios por incapacidade, o auxílio-acidente não tem piso constitucional de um salário-mínimo. Sua natureza indenizatória permite que o valor seja inferior ao mínimo. Para ilustrar a ordem de grandeza, tome-se o segurado cuja média de salários de contribuição equivale ao salário-mínimo: o auxílio-acidente será de R$ 810,50 (50% do salário-mínimo de R$ 1.621,00 em 2026). Esse patamar é apenas um ponto de referência, e o valor concreto varia conforme a trajetória contributiva: se a média do segurado for inferior ao salário-mínimo, o benefício resultará em montante ainda menor que R$ 810,50; se a média for superior, o benefício será proporcionalmente maior, sempre correspondendo a 50% do salário-de-benefício apurado. Esses montantes modestos — sempre inferiores ao próprio salário-de-benefício que serviria de base à aposentadoria — explicam em parte o baixo volume de requerimentos administrativos.</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15.10 Data de início do benefício (DIB)</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fixação da data de início do auxílio-acidente é questão pacificada pelo STJ no Tema 862 (REsp 1.729.555/SP, Primeira Seção, Rel. Min. Assusete Magalhães, j. 09/06/2021): "O termo inicial do auxílio-acidente deve recair no dia seguinte ao da cessação do auxílio-doença que lhe deu origem, conforme determina o art. 86, § 2º, da Lei 8.213/91, observando-se a prescrição quinquenal da Súmula 85/STJ." A expressão "auxílio-doença" corresponde ao atual auxílio por incapacidade temporária (terminologia da EC 103/2019).</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TNU, no Tema 315 (PEDILEF 5063339-35.2020.4.04.7100/RS, j. 18/10/2023), reafirmou a tese no âmbito dos JEFs, aplicando-a especificamente à hipótese em que o segurado não requereu prorrogação do auxílio por incapacidade temporária — questão que gerava divergência entre Turmas Recursais e que o Tema 315 pacificou ao confirmar que a DIB é automática, independentemente de qualquer ato do segurado.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Hipóteses de fixação da DIB:</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 Auxílio-acidente precedido de auxílio por incapacidade temporária:</w:t>
      </w:r>
      <w:r>
        <w:rPr>
          <w:rFonts w:ascii="EB Garamond" w:hAnsi="EB Garamond" w:cs="EB Garamond"/>
          <w:b w:val="0"/>
          <w:i w:val="0"/>
          <w:color w:val="201B16"/>
          <w:sz w:val="21"/>
          <w:lang w:val="pt-BR" w:bidi="ar-SA"/>
          <w:kern w:val="16"/>
          <w14:ligatures w14:val="standardContextual"/>
        </w:rPr>
        <w:t xml:space="preserve"> DIB no dia seguinte à cessação do auxílio por incapacidade temporária (art. 86, §2º; Tema 862/STJ; Tema 315/TNU). Não importa se o segurado retornou ao trabalho, se pediu ou não prorrogação do auxílio por incapacidade temporária, ou se houve requerimento administrativo de auxílio-acidente.</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b) Auxílio-acidente sem auxílio por incapacidade temporária prévio:</w:t>
      </w:r>
      <w:r>
        <w:rPr>
          <w:rFonts w:ascii="EB Garamond" w:hAnsi="EB Garamond" w:cs="EB Garamond"/>
          <w:b w:val="0"/>
          <w:i w:val="0"/>
          <w:color w:val="201B16"/>
          <w:sz w:val="21"/>
          <w:lang w:val="pt-BR" w:bidi="ar-SA"/>
          <w:kern w:val="16"/>
          <w14:ligatures w14:val="standardContextual"/>
        </w:rPr>
        <w:t xml:space="preserve"> Quando a lesão não gerou afastamento superior a 15 dias (não houve concessão de auxílio por incapacidade temporária), mas resultou em sequelas permanentes, o auxílio-acidente é devido desde a data do requerimento administrativo — tese consolidada na edição 199 da Jurisprudência em Teses do STJ. Sem requerimento, o termo inicial é a data da citação do INSS.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 Concessão judicial:</w:t>
      </w:r>
      <w:r>
        <w:rPr>
          <w:rFonts w:ascii="EB Garamond" w:hAnsi="EB Garamond" w:cs="EB Garamond"/>
          <w:b w:val="0"/>
          <w:i w:val="0"/>
          <w:color w:val="201B16"/>
          <w:sz w:val="21"/>
          <w:lang w:val="pt-BR" w:bidi="ar-SA"/>
          <w:kern w:val="16"/>
          <w14:ligatures w14:val="standardContextual"/>
        </w:rPr>
        <w:t xml:space="preserve"> Quando o auxílio-acidente é concedido judicialmente sem prévio auxílio por incapacidade temporária e sem requerimento administrativo, a DIB é fixada na data da citação, momento em que o INSS toma ciência da pretensão.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STJ, na edição 199 da Jurisprudência em Teses, firmou ainda que "o laudo pericial não é parâmetro para fixação da data de início do auxílio-acidente, porquanto não atesta o momento efetivo em que a doença se instalou, apenas orienta o livre convencimento do juiz." Essa tese é relevante porque impede que o INSS ou o juiz fixem a DIB na data da perícia judicial, prática que retardaria injustificadamente o início do benefício.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15.11 Duração e cessação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auxílio-acidente é benefício de duração determinada, embora potencialmente longa. Nos termos do art. 86, §1º, da Lei n. 8.213/91, o benefício será devido "até a véspera do início de qualquer aposentadoria ou até a data do óbito do segurado".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Hipóteses de cessação: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 Concessão de aposentadoria:</w:t>
      </w:r>
      <w:r>
        <w:rPr>
          <w:rFonts w:ascii="EB Garamond" w:hAnsi="EB Garamond" w:cs="EB Garamond"/>
          <w:b w:val="0"/>
          <w:i w:val="0"/>
          <w:color w:val="201B16"/>
          <w:sz w:val="21"/>
          <w:lang w:val="pt-BR" w:bidi="ar-SA"/>
          <w:kern w:val="16"/>
          <w14:ligatures w14:val="standardContextual"/>
        </w:rPr>
        <w:t xml:space="preserve"> O auxílio-acidente cessa na véspera do início de qualquer aposentadoria — por idade, por tempo de contribuição, especial, por incapacidade permanente, do segurado com deficiência ou programada. A regra aplica-se a qualquer modalidade de aposentadoria, não apenas à aposentadoria por incapacidade.</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b) Óbito do segurado:</w:t>
      </w:r>
      <w:r>
        <w:rPr>
          <w:rFonts w:ascii="EB Garamond" w:hAnsi="EB Garamond" w:cs="EB Garamond"/>
          <w:b w:val="0"/>
          <w:i w:val="0"/>
          <w:color w:val="201B16"/>
          <w:sz w:val="21"/>
          <w:lang w:val="pt-BR" w:bidi="ar-SA"/>
          <w:kern w:val="16"/>
          <w14:ligatures w14:val="standardContextual"/>
        </w:rPr>
        <w:t xml:space="preserve"> O auxílio-acidente cessa com a morte do segurado. Não se converte em pensão por morte — os dependentes terão direito à pensão por morte se preenchidos os requisitos próprios desse benefício, mas o auxílio-acidente em si não é transferível.</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 Recuperação da capacidade:</w:t>
      </w:r>
      <w:r>
        <w:rPr>
          <w:rFonts w:ascii="EB Garamond" w:hAnsi="EB Garamond" w:cs="EB Garamond"/>
          <w:b w:val="0"/>
          <w:i w:val="0"/>
          <w:color w:val="201B16"/>
          <w:sz w:val="21"/>
          <w:lang w:val="pt-BR" w:bidi="ar-SA"/>
          <w:kern w:val="16"/>
          <w14:ligatures w14:val="standardContextual"/>
        </w:rPr>
        <w:t xml:space="preserve"> Hipótese teórica, se o segurado recuperar integralmente a capacidade que havia sido reduzida, o auxílio-acidente poderia ser cessado. Na prática, é situação raríssima, porque o auxílio-acidente pressupõe sequelas consolidadas (permanentes).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15.12 Incorporação ao salário de contribuição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31 da Lei n. 8.213/91 determina que o valor mensal do auxílio-acidente integra o salário de contribuição para fins de cálculo do salário-de-benefício de qualquer aposentadoria. Essa regra tem importância prática significativa: assegura que o período de recebimento do auxílio-acidente não prejudique, e, ao contrário, beneficie, o cálculo da aposentadoria futura.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a incorporação funciona assim: durante o período em que o segurado recebe auxílio-acidente e trabalha simultaneamente, o salário de contribuição corresponde à soma da remuneração do trabalho com o valor do auxílio-acidente. Essa soma mais elevada de salários de contribuição tende a majorar a média que servirá de base para o cálculo da aposentadoria. A incorporação constitui mecanismo de compensação: o segurado que suporta redução permanente de sua capacidade laboral tem assegurada, ao menos, a elevação da base de cálculo de sua futura aposentadoria.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regra tem especial relevância para o segurado especial, como reconhecido pelo TNU no Tema 322: os valores percebidos a título de auxílio-acidente devem ser computados no período básico de cálculo da aposentadoria por idade rural, para fins de incremento da renda mensal inicial, independentemente do recolhimento de contribuições facultativas.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incorporação do auxílio-acidente ao salário de contribuição é regra que favorece o segurado, pois eleva a base de cálculo da aposentadoria. Ao cessar o auxílio-acidente pela concessão da aposentadoria, o segurado perde o benefício indenizatório, mas obtém aposentadoria com valor potencialmente mais elevado. Essa lógica compensatória é a razão de ser da incorporação.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15.13 Acumulação e vedações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regime de acumulação do auxílio-acidente é um dos temas mais recorrentes na prática dos JEFs (para o tratamento sistemático da acumulação de benefícios, v. Cap. 20). As regras específicas do auxílio-acidente podem ser sistematizadas em vedações e permissões.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Vedações: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 Auxílio-acidente e aposentadoria.</w:t>
      </w:r>
      <w:r>
        <w:rPr>
          <w:rFonts w:ascii="EB Garamond" w:hAnsi="EB Garamond" w:cs="EB Garamond"/>
          <w:b w:val="0"/>
          <w:i w:val="0"/>
          <w:color w:val="201B16"/>
          <w:sz w:val="21"/>
          <w:lang w:val="pt-BR" w:bidi="ar-SA"/>
          <w:kern w:val="16"/>
          <w14:ligatures w14:val="standardContextual"/>
        </w:rPr>
        <w:t xml:space="preserve"> A acumulação é vedada pelo art. 86, §2º, da Lei n. 8.213/91 (redação da Lei 9.528/97). A vedação aplica-se a qualquer espécie de aposentadoria e a auxílios-acidente decorrentes de lesões ocorridas a partir de 11 de novembro de 1997. Para as lesões anteriores a essa data, aplica-se a Súmula 507/STJ, cujo enunciado dispõe: "A acumulação de auxílio-acidente com aposentadoria pressupõe que a lesão incapacitante, que dá origem ao benefício, tenha ocorrido até 10 de novembro de 1997, dia anterior à publicação da Medida Provisória n. 1.596-14/97, posteriormente convertida na Lei n. 9.528/97."</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Convém destacar que o marco controlador do verbete é a data da </w:t>
      </w:r>
      <w:r>
        <w:rPr>
          <w:rFonts w:ascii="EB Garamond" w:hAnsi="EB Garamond" w:cs="EB Garamond"/>
          <w:b/>
          <w:i w:val="0"/>
          <w:color w:val="201B16"/>
          <w:sz w:val="21"/>
          <w:lang w:val="pt-BR" w:bidi="ar-SA"/>
          <w:kern w:val="16"/>
          <w14:ligatures w14:val="standardContextual"/>
        </w:rPr>
        <w:t>lesão</w:t>
      </w:r>
      <w:r>
        <w:rPr>
          <w:rFonts w:ascii="EB Garamond" w:hAnsi="EB Garamond" w:cs="EB Garamond"/>
          <w:b w:val="0"/>
          <w:i w:val="0"/>
          <w:color w:val="201B16"/>
          <w:sz w:val="21"/>
          <w:lang w:val="pt-BR" w:bidi="ar-SA"/>
          <w:kern w:val="16"/>
          <w14:ligatures w14:val="standardContextual"/>
        </w:rPr>
        <w:t xml:space="preserve"> — e não a da aposentadoria. Aferida a lesão até 10/11/1997, admite-se a acumulação ainda que a aposentadoria seja concedida posteriormente; ocorrida a lesão a partir de 11/11/1997, incide a vedação. Trata-se de marcos coerentes, e não contraditórios: a Súmula admite o acúmulo quando a lesão é anterior à vigência da MP (até a véspera, 10/11/1997), ao passo que a vedação do art. 86, §2º, incide sobre as lesões ocorridas já sob a vigência da norma (a partir de 11/11/1997, data da publicação).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as doenças ocupacionais, a fixação dessa data exige recorrer ao art. 23 da Lei n. 8.213/91: nos termos desse dispositivo, considera-se como "dia do acidente" a data do início da incapacidade laborativa para o exercício da atividade habitual, ou o dia da segregação compulsória, ou o dia em que for realizado o diagnóstico — valendo, para esse efeito, o que ocorrer primeiro. Assim, para definir se a lesão é anterior ou posterior ao marco nos casos de doença profissional ou do trabalho (situação comum nos JEFs), o magistrado deve identificar qual desses momentos ocorreu primeiro.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b) Mais de um auxílio-acidente.</w:t>
      </w:r>
      <w:r>
        <w:rPr>
          <w:rFonts w:ascii="EB Garamond" w:hAnsi="EB Garamond" w:cs="EB Garamond"/>
          <w:b w:val="0"/>
          <w:i w:val="0"/>
          <w:color w:val="201B16"/>
          <w:sz w:val="21"/>
          <w:lang w:val="pt-BR" w:bidi="ar-SA"/>
          <w:kern w:val="16"/>
          <w14:ligatures w14:val="standardContextual"/>
        </w:rPr>
        <w:t xml:space="preserve"> O art. 124, V, da Lei n. 8.213/91 veda a acumulação de mais de um auxílio-acidente. Contudo, o STJ, na edição 198 da Jurisprudência em Teses, fixou que, na hipótese de novo infortúnio, admite-se o recálculo do benefício já existente, o que permite a majoração do valor sem a concessão de segundo benefício.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 Auxílio-acidente e auxílio por incapacidade temporária pela mesma lesão.</w:t>
      </w:r>
      <w:r>
        <w:rPr>
          <w:rFonts w:ascii="EB Garamond" w:hAnsi="EB Garamond" w:cs="EB Garamond"/>
          <w:b w:val="0"/>
          <w:i w:val="0"/>
          <w:color w:val="201B16"/>
          <w:sz w:val="21"/>
          <w:lang w:val="pt-BR" w:bidi="ar-SA"/>
          <w:kern w:val="16"/>
          <w14:ligatures w14:val="standardContextual"/>
        </w:rPr>
        <w:t xml:space="preserve"> A inacumulabilidade decorre de impossibilidade lógico-temporal — não de vedação expressa no art. 124: o auxílio-acidente pressupõe a consolidação das lesões e a cessação do auxílio por incapacidade temporária, de modo que ambos não podem coexistir no tempo quando referentes à mesma lesão. A inacumulabilidade é específica à mesma lesão, se o auxílio-acidente decorre de lesão anterior e o auxílio por incapacidade temporária refere-se a patologia distinta, a acumulação é possível, como analisado no Capítulo 7 deste livro.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Permissões: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 Auxílio-acidente e remuneração do trabalho.</w:t>
      </w:r>
      <w:r>
        <w:rPr>
          <w:rFonts w:ascii="EB Garamond" w:hAnsi="EB Garamond" w:cs="EB Garamond"/>
          <w:b w:val="0"/>
          <w:i w:val="0"/>
          <w:color w:val="201B16"/>
          <w:sz w:val="21"/>
          <w:lang w:val="pt-BR" w:bidi="ar-SA"/>
          <w:kern w:val="16"/>
          <w14:ligatures w14:val="standardContextual"/>
        </w:rPr>
        <w:t xml:space="preserve"> Expressamente permitido pelo art. 86, §2º, o benefício é devido "independentemente de qualquer remuneração ou rendimento auferido pelo acidentado". Essa é a consequência direta da natureza indenizatória do benefício.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b) Auxílio-acidente e pensão por morte.</w:t>
      </w:r>
      <w:r>
        <w:rPr>
          <w:rFonts w:ascii="EB Garamond" w:hAnsi="EB Garamond" w:cs="EB Garamond"/>
          <w:b w:val="0"/>
          <w:i w:val="0"/>
          <w:color w:val="201B16"/>
          <w:sz w:val="21"/>
          <w:lang w:val="pt-BR" w:bidi="ar-SA"/>
          <w:kern w:val="16"/>
          <w14:ligatures w14:val="standardContextual"/>
        </w:rPr>
        <w:t xml:space="preserve"> A acumulação é possível e integral, pois são benefícios de naturezas distintas (indenizatório e substitutivo), o art. 124 da Lei 8.213/91 não a veda e o escalonamento do art. 24, § 2º, da EC 103/2019 alcança apenas as hipóteses taxativas do § 1º (pensão com pensão de regime diverso, pensão com aposentadoria e pensão militar com aposentadoria), entre as quais o auxílio-acidente não figura. O mecanismo do art. 24 da Emenda — bem como a comparação com a progressividade do imposto de renda, que ajuda a compreendê-lo — está detalhado na seção 15.19, </w:t>
      </w:r>
      <w:r>
        <w:rPr>
          <w:rFonts w:ascii="EB Garamond" w:hAnsi="EB Garamond" w:cs="EB Garamond"/>
          <w:b w:val="0"/>
          <w:i/>
          <w:color w:val="201B16"/>
          <w:sz w:val="21"/>
          <w:lang w:val="pt-BR" w:bidi="ar-SA"/>
          <w:kern w:val="16"/>
          <w14:ligatures w14:val="standardContextual"/>
        </w:rPr>
        <w:t>infra</w:t>
      </w:r>
      <w:r>
        <w:rPr>
          <w:rFonts w:ascii="EB Garamond" w:hAnsi="EB Garamond" w:cs="EB Garamond"/>
          <w:b w:val="0"/>
          <w:i w:val="0"/>
          <w:color w:val="201B16"/>
          <w:sz w:val="21"/>
          <w:lang w:val="pt-BR" w:bidi="ar-SA"/>
          <w:kern w:val="16"/>
          <w14:ligatures w14:val="standardContextual"/>
        </w:rPr>
        <w:t>, para onde se remete o leitor.</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 Auxílio-acidente e salário-família ou salário-maternidade.</w:t>
      </w:r>
      <w:r>
        <w:rPr>
          <w:rFonts w:ascii="EB Garamond" w:hAnsi="EB Garamond" w:cs="EB Garamond"/>
          <w:b w:val="0"/>
          <w:i w:val="0"/>
          <w:color w:val="201B16"/>
          <w:sz w:val="21"/>
          <w:lang w:val="pt-BR" w:bidi="ar-SA"/>
          <w:kern w:val="16"/>
          <w14:ligatures w14:val="standardContextual"/>
        </w:rPr>
        <w:t xml:space="preserve"> Não há vedação legal expressa, a acumulação é possível.</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d) Auxílio-acidente e auxílio por incapacidade temporária por lesão diversa.</w:t>
      </w:r>
      <w:r>
        <w:rPr>
          <w:rFonts w:ascii="EB Garamond" w:hAnsi="EB Garamond" w:cs="EB Garamond"/>
          <w:b w:val="0"/>
          <w:i w:val="0"/>
          <w:color w:val="201B16"/>
          <w:sz w:val="21"/>
          <w:lang w:val="pt-BR" w:bidi="ar-SA"/>
          <w:kern w:val="16"/>
          <w14:ligatures w14:val="standardContextual"/>
        </w:rPr>
        <w:t xml:space="preserve"> Possível, como visto acima.</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15.14 Segurado especial e auxílio-acidente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segurado especial — trabalhador rural em regime de economia familiar, pescador artesanal e demais categorias do art. 11, VII — apresenta particularidades relevantes no auxílio-acidente.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primeiro ponto a destacar é o acesso ao benefício independentemente de contribuições: ao segurado especial basta comprovar a atividade rural ou pesqueira na forma do art. 39 da Lei n. 8.213/91, exigência que se harmoniza com a dispensa de carência do art. 26, I. Quanto ao valor, o auxílio-acidente do segurado especial que não contribui facultativamente é calculado sobre um salário-mínimo, base fixa que resulta em prestação equivalente a meio salário-mínimo.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Mais relevante para a prática forense é a tese do Tema 322 (PEDILEF 5014634-54.2021.4.04.7202/SC, j. 22/11/2023), em que a TNU fixou que os valores do auxílio-acidente devem ser computados no período básico de cálculo da aposentadoria por idade rural, para fins de incremento da RMI, independentemente de contribuições facultativas — ressalvadas as hipóteses de cumulação vedada pela Súmula 507/STJ (quando a lesão ou a aposentadoria são posteriores a 11.11.1997). O alcance dessa orientação é expressivo nos JEFs, onde o volume de ações de segurados especiais é elevado.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Não se pode perder de vista, por fim, a alta exposição dessa categoria a acidentes de qualquer natureza — quedas, acidentes com máquinas agrícolas, picadas de animais, intoxicação por agrotóxicos —, o que faz do auxílio-acidente benefício de incidência frequente entre os trabalhadores rurais.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15.15 Competência jurisdicional: justiça federal versus justiça estadual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definição de competência é questão preliminar que se impõe em toda ação de auxílio-acidente e cuja solução depende da causa de pedir: a natureza do acidente.</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Regra geral — Justiça Federal/JEFs.</w:t>
      </w:r>
      <w:r>
        <w:rPr>
          <w:rFonts w:ascii="EB Garamond" w:hAnsi="EB Garamond" w:cs="EB Garamond"/>
          <w:b w:val="0"/>
          <w:i w:val="0"/>
          <w:color w:val="201B16"/>
          <w:sz w:val="21"/>
          <w:lang w:val="pt-BR" w:bidi="ar-SA"/>
          <w:kern w:val="16"/>
          <w14:ligatures w14:val="standardContextual"/>
        </w:rPr>
        <w:t xml:space="preserve"> As ações previdenciárias contra o INSS são, em regra, de competência da Justiça Federal (art. 109, I, CF) e dos Juizados Especiais Federais (art. 3º, Lei 10.259/2001).</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Exceção — Justiça Estadual.</w:t>
      </w:r>
      <w:r>
        <w:rPr>
          <w:rFonts w:ascii="EB Garamond" w:hAnsi="EB Garamond" w:cs="EB Garamond"/>
          <w:b w:val="0"/>
          <w:i w:val="0"/>
          <w:color w:val="201B16"/>
          <w:sz w:val="21"/>
          <w:lang w:val="pt-BR" w:bidi="ar-SA"/>
          <w:kern w:val="16"/>
          <w14:ligatures w14:val="standardContextual"/>
        </w:rPr>
        <w:t xml:space="preserve"> O art. 109, I, da CF exclui da competência da Justiça Federal "as causas relativas à falência, as de acidentes de trabalho e as sujeitas à Justiça Eleitoral e à Justiça do Trabalho". Assim, as ações de auxílio-acidente fundadas em acidente do trabalho (arts. 19-21 da Lei 8.213/91), incluindo acidentes típicos, doenças profissionais, doenças do trabalho e acidentes de trajeto, são de competência da Justiça Estadual.</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Consequência prática:</w:t>
      </w:r>
      <w:r>
        <w:rPr>
          <w:rFonts w:ascii="EB Garamond" w:hAnsi="EB Garamond" w:cs="EB Garamond"/>
          <w:b w:val="0"/>
          <w:i w:val="0"/>
          <w:color w:val="201B16"/>
          <w:sz w:val="21"/>
          <w:lang w:val="pt-BR" w:bidi="ar-SA"/>
          <w:kern w:val="16"/>
          <w14:ligatures w14:val="standardContextual"/>
        </w:rPr>
        <w:t xml:space="preserve"> O auxílio-acidente pode ser espécie B94 (acidentário, quando decorrente de acidente do trabalho, competência estadual) ou espécie B36 (previdenciário, quando decorrente de acidente de qualquer outra natureza, competência federal). A classificação depende exclusivamente do evento que gerou as sequelas.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Critério de definição:</w:t>
      </w:r>
      <w:r>
        <w:rPr>
          <w:rFonts w:ascii="EB Garamond" w:hAnsi="EB Garamond" w:cs="EB Garamond"/>
          <w:b w:val="0"/>
          <w:i w:val="0"/>
          <w:color w:val="201B16"/>
          <w:sz w:val="21"/>
          <w:lang w:val="pt-BR" w:bidi="ar-SA"/>
          <w:kern w:val="16"/>
          <w14:ligatures w14:val="standardContextual"/>
        </w:rPr>
        <w:t xml:space="preserve"> A competência é definida pela causa de pedir e pelo pedido deduzidos na petição inicial. Se o segurado alega acidente do trabalho, a competência é estadual, mesmo que os fatos narrados, na verdade, configurem acidente de outra natureza. Cabe ao juiz do JEF, ao verificar que a causa de pedir é acidentária, declinar da competência para a Justiça Estadual, e não simplesmente julgar improcedente por incompetência.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As Súmulas 15/STJ e 501/STF consolidam a competência da Justiça Estadual para ações acidentárias. Contudo, quando o segurado não alega acidente do trabalho, mas sim acidente doméstico, de trânsito ou de outra natureza, a competência é da Justiça Federal/JEF, e o juiz federal não pode declinar para a Justiça Estadual apenas porque a sequela é ortopédica ou semelhante às causadas por acidentes laborais.</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15.16 Perda auditiva e auxílio-acidente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concessão de auxílio-acidente por perda auditiva é uma das matérias mais controvertidas na prática previdenciária. O art. 86, §4º, da Lei n. 8.213/91 (incluído pela Lei 9.528/97) estabelece requisitos específicos: "A perda da audição, em qualquer grau, somente proporcionará a concessão do auxílio-acidente, quando, além do reconhecimento de causalidade entre o trabalho e a doença, resultar, comprovadamente, na redução ou perda da capacidade para o trabalho que habitualmente exercia."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dispositivo impõe dois requisitos cumulativos para a perda auditiva: (a) nexo causal entre o trabalho e a doença; e (b) redução comprovada da capacidade para o trabalho habitual. Esses requisitos são mais rigorosos do que os do auxílio-acidente genérico (art. 86, caput), que não exige nexo com o trabalho.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Súmula 44 do STJ, porém, relativiza critérios regulamentares rígidos: "A definição, em ato regulamentar, de grau mínimo de disacusia, não exclui, por si só, a concessão do benefício previdenciário." A súmula foi aprovada em 1992, antes da Lei 9.528/97, mas permanece vigente e é frequentemente invocada para afastar tabelas administrativas que, em atos regulamentares e na própria valoração pericial, fixam patamares mínimos de perda auditiva abaixo dos quais a disacusia seria desconsiderada (a título meramente ilustrativo, percentuais ou limiares em decibéis tomados como "grau mínimo"). Não existe, no entanto, parâmetro legal que condicione a concessão a esse mínimo: a Súmula 44 precisamente impede que tabelas administrativas, por si sós, excluam o benefício quando há redução efetiva da capacidade.</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PAIR — Perda Auditiva Induzida por Ruído.</w:t>
      </w:r>
      <w:r>
        <w:rPr>
          <w:rFonts w:ascii="EB Garamond" w:hAnsi="EB Garamond" w:cs="EB Garamond"/>
          <w:b w:val="0"/>
          <w:i w:val="0"/>
          <w:color w:val="201B16"/>
          <w:sz w:val="21"/>
          <w:lang w:val="pt-BR" w:bidi="ar-SA"/>
          <w:kern w:val="16"/>
          <w14:ligatures w14:val="standardContextual"/>
        </w:rPr>
        <w:t xml:space="preserve"> A PAIR é a forma mais comum de perda auditiva que gera demandas de auxílio-acidente. Trata-se de perda neurossensorial, bilateral, irreversível e progressiva, decorrente da exposição prolongada a níveis elevados de pressão sonora no ambiente de trabalho. A controvérsia central é: a PAIR é "acidente de qualquer natureza" (art. 86, caput) ou "doença do trabalho" (art. 20, II)?</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Embora o Tema 269/TNU não tenha enfrentado diretamente a PAIR, a definição restritiva de "acidente de qualquer natureza" como evento súbito e traumático exclui, por consequência lógica, as perdas auditivas de instalação gradual, como é o caso típico da PAIR, que resulta de exposição prolongada a ruído. A PAIR configura, a rigor, doença do trabalho (art. 20, II, da Lei n. 8.213/91), e não "acidente de qualquer natureza". A competência, nesse caso, é da Justiça Estadual. Quando, excepcionalmente, a perda auditiva decorre de trauma acústico agudo (explosão, por exemplo), configura-se acidente típico (art. 19) ou acidente de qualquer natureza (se fora do trabalho) — hipótese em que a competência dependerá da origem do trauma.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atuação forense dos JEFs, a questão da competência nas ações de auxílio-acidente por perda auditiva é recorrente e exige atenção do magistrado: se a causa de pedir é exposição ocupacional a ruído, a competência é da Justiça Estadual; se é trauma acústico não laboral, a competência é federal.</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15.17 Lesões ortopédicas e sequelas funcionais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 sequelas ortopédicas, limitação de movimento articular, encurtamento de membro, deformidade óssea consolidada, perda de força em membro, constituem a causa mais frequente de auxílio-acidente nos JEFs, quando decorrentes de acidentes de qualquer natureza (quedas domésticas, acidentes de trânsito, acidentes esportivos).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Fratura consolidada com sequela.</w:t>
      </w:r>
      <w:r>
        <w:rPr>
          <w:rFonts w:ascii="EB Garamond" w:hAnsi="EB Garamond" w:cs="EB Garamond"/>
          <w:b w:val="0"/>
          <w:i w:val="0"/>
          <w:color w:val="201B16"/>
          <w:sz w:val="21"/>
          <w:lang w:val="pt-BR" w:bidi="ar-SA"/>
          <w:kern w:val="16"/>
          <w14:ligatures w14:val="standardContextual"/>
        </w:rPr>
        <w:t xml:space="preserve"> Situação típica: o segurado sofre fratura de fêmur em acidente doméstico, é submetido a tratamento cirúrgico (osteossíntese), recebe auxílio por incapacidade temporária durante a recuperação e, após a alta, permanece com limitação de movimento e dor residual. Se a perícia constata redução da capacidade para o trabalho habitual, o auxílio-acidente é devido — com DIB no dia seguinte à cessação do auxílio por incapacidade temporária (Tema 862/STJ).</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Lesões de coluna.</w:t>
      </w:r>
      <w:r>
        <w:rPr>
          <w:rFonts w:ascii="EB Garamond" w:hAnsi="EB Garamond" w:cs="EB Garamond"/>
          <w:b w:val="0"/>
          <w:i w:val="0"/>
          <w:color w:val="201B16"/>
          <w:sz w:val="21"/>
          <w:lang w:val="pt-BR" w:bidi="ar-SA"/>
          <w:kern w:val="16"/>
          <w14:ligatures w14:val="standardContextual"/>
        </w:rPr>
        <w:t xml:space="preserve"> Hérnias de disco, protrusões discais e estenose do canal vertebral são frequentemente alegadas como fundamento para auxílio-acidente. A questão crítica é: trata-se de sequela de acidente (trauma) ou de doença degenerativa? Pelo Tema 269/TNU, apenas as lesões de coluna de origem traumática (queda, acidente de trânsito) configuram "acidente de qualquer natureza". Lesões degenerativas, hérnias de disco por desgaste progressivo, não configuram acidente, salvo se vinculadas ao trabalho (doença ocupacional, competência estadual).</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Amputações e perdas funcionais.</w:t>
      </w:r>
      <w:r>
        <w:rPr>
          <w:rFonts w:ascii="EB Garamond" w:hAnsi="EB Garamond" w:cs="EB Garamond"/>
          <w:b w:val="0"/>
          <w:i w:val="0"/>
          <w:color w:val="201B16"/>
          <w:sz w:val="21"/>
          <w:lang w:val="pt-BR" w:bidi="ar-SA"/>
          <w:kern w:val="16"/>
          <w14:ligatures w14:val="standardContextual"/>
        </w:rPr>
        <w:t xml:space="preserve"> Perda de dedos, mãos ou pés por acidente gera auxílio-acidente quando há capacidade residual para o trabalho. Se a perda gera incapacidade total e permanente, o benefício devido é a aposentadoria por incapacidade permanente, não o auxílio-acidente.</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15.18 Conversão do auxílio por incapacidade temporária em auxílio-acidente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conversão do auxílio por incapacidade temporária em auxílio-acidente é situação recorrente nos JEFs e reflete a dinâmica natural da recuperação: o segurado que estava incapaz recupera a capacidade para o trabalho, mas com sequelas permanentes que reduzem sua capacidade.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Conforme analisado no Capítulo 7 deste livro (seção 7.13), a relação entre os dois benefícios é de precedência temporal: o auxílio-acidente sucede o auxílio por incapacidade temporária quando, após a consolidação das lesões, restam sequelas incapacitantes parciais. O Tema 862/STJ e o Tema 315/TNU pacificaram o termo inicial: dia seguinte à cessação do auxílio por incapacidade temporária.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Fungibilidade.</w:t>
      </w:r>
      <w:r>
        <w:rPr>
          <w:rFonts w:ascii="EB Garamond" w:hAnsi="EB Garamond" w:cs="EB Garamond"/>
          <w:b w:val="0"/>
          <w:i w:val="0"/>
          <w:color w:val="201B16"/>
          <w:sz w:val="21"/>
          <w:lang w:val="pt-BR" w:bidi="ar-SA"/>
          <w:kern w:val="16"/>
          <w14:ligatures w14:val="standardContextual"/>
        </w:rPr>
        <w:t xml:space="preserve"> A jurisprudência dos JEFs admite a fungibilidade entre benefícios por incapacidade e o auxílio-acidente: quando o segurado pleiteia auxílio por incapacidade temporária, mas a perícia conclui que há capacidade para o trabalho com sequela redutora, o juiz pode conceder o auxílio-acidente — e vice-versa. A fungibilidade decorre da identidade de causa de pedir (lesão/doença) e do dever de adequar a tutela à situação fática. A fungibilidade entre benefícios por incapacidade e o auxílio-acidente é expressão do princípio da primazia da realidade no processo previdenciário, segundo o qual o juiz deve conferir ao segurado a proteção adequada à situação fática comprovada, independentemente da qualificação jurídica atribuída ao pedido na inicial.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processual, a conversão é frequentemente determinada de ofício pelo magistrado após a perícia judicial, quando o laudo constata sequela permanente com redução parcial da capacidade. A decisão deve observar o contraditório, o INSS deve ter oportunidade de se manifestar sobre a conversão, mas não se exige novo requerimento administrativo específico de auxílio-acidente.</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No cotidiano dos JEFs</w:t>
            </w:r>
            <w:r>
              <w:rPr>
                <w:rFonts w:ascii="EB Garamond" w:hAnsi="EB Garamond" w:cs="EB Garamond"/>
                <w:b w:val="0"/>
                <w:i w:val="0"/>
                <w:color w:val="201B16"/>
                <w:sz w:val="19"/>
                <w:lang w:val="pt-BR" w:bidi="ar-SA"/>
                <w:kern w:val="16"/>
                <w14:ligatures w14:val="standardContextual"/>
              </w:rPr>
              <w:t xml:space="preserve"> Segurada empregada doméstica, 45 anos, sofre acidente de trânsito (colisão no trajeto residência-supermercado, fora do percurso trabalho-residência) e permanece em auxílio por incapacidade temporária durante oito meses. Ao término, o INSS cessa o benefício por alta médica. A segurada ajuíza ação no JEF pleiteando restabelecimento do auxílio por incapacidade temporária. A perícia judicial constata que a segurada recuperou a capacidade laboral, mas com sequela permanente no joelho esquerdo (limitação de flexão) que reduz sua capacidade para o trabalho de doméstica (que exige agachamento, subir escadas, limpeza de pisos). O juiz, aplicando a fungibilidade entre benefícios por incapacidade, concede auxílio-acidente (espécie B36 — acidente de qualquer natureza, competência do JEF). A DIB retroage ao dia seguinte à cessação do auxílio por incapacidade temporária, sem necessidade de novo requerimento administrativo (Tema 862/STJ, Tema 315/TNU).</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15.19 Impactos da EC 103/2019</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Emenda Constitucional n. 103/2019 não alterou diretamente o art. 86 da Lei n. 8.213/91, mas produziu efeitos relevantes sobre o auxílio-acidente.</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 Novo cálculo do salário-de-benefício.</w:t>
      </w:r>
      <w:r>
        <w:rPr>
          <w:rFonts w:ascii="EB Garamond" w:hAnsi="EB Garamond" w:cs="EB Garamond"/>
          <w:b w:val="0"/>
          <w:i w:val="0"/>
          <w:color w:val="201B16"/>
          <w:sz w:val="21"/>
          <w:lang w:val="pt-BR" w:bidi="ar-SA"/>
          <w:kern w:val="16"/>
          <w14:ligatures w14:val="standardContextual"/>
        </w:rPr>
        <w:t xml:space="preserve"> A mudança mais significativa é a fórmula de cálculo. Antes da reforma, o salário-de-benefício era a média dos 80% maiores salários de contribuição desde julho de 1994. Após a reforma, é a média de todos os salários de contribuição desde julho de 1994. A inclusão dos menores salários reduz a média para a maioria dos segurados, diminuindo o valor do auxílio-acidente (50% da média). O impacto é mais grave para segurados com trajetória contributiva irregular.</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b) Regras de acumulação — art. 24, EC 103/2019.</w:t>
      </w:r>
      <w:r>
        <w:rPr>
          <w:rFonts w:ascii="EB Garamond" w:hAnsi="EB Garamond" w:cs="EB Garamond"/>
          <w:b w:val="0"/>
          <w:i w:val="0"/>
          <w:color w:val="201B16"/>
          <w:sz w:val="21"/>
          <w:lang w:val="pt-BR" w:bidi="ar-SA"/>
          <w:kern w:val="16"/>
          <w14:ligatures w14:val="standardContextual"/>
        </w:rPr>
        <w:t xml:space="preserve"> A EC 103 introduziu regra de escalonamento por faixas progressivas para acumulação de benefícios (art. 24, §2º). O escalonamento não alcança o auxílio-acidente, porque o § 1º do art. 24 enumera taxativamente as acumulações sujeitas ao redutor (pensão com pensão de regime diverso, pensão com aposentadoria, pensão militar com aposentadoria); a acumulação de auxílio-acidente com pensão por morte permanece integral. Nas hipóteses do § 1º, o titular recebe integralmente o benefício mais vantajoso e, do outro, parcela calculada por faixas: 100% até 1 SM, 60% da parcela entre 1 e 2 SM, 40% entre 2 e 3 SM, 20% entre 3 e 4 SM e 10% acima de 4 SM. O cálculo é progressivo em sistemática análoga à do imposto de renda: cada alíquota incide isoladamente sobre a respectiva faixa, e não sobre o valor total do benefício acumulado, de modo que o resultado é sempre superior ao que se obteria aplicando-se o menor percentual a tudo. Essa técnica de faixas marginais evita o "salto" abrupto que ocorreria se um único percentual incidisse sobre a integralidade da parcela.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 Exceção para acidente de trabalho.</w:t>
      </w:r>
      <w:r>
        <w:rPr>
          <w:rFonts w:ascii="EB Garamond" w:hAnsi="EB Garamond" w:cs="EB Garamond"/>
          <w:b w:val="0"/>
          <w:i w:val="0"/>
          <w:color w:val="201B16"/>
          <w:sz w:val="21"/>
          <w:lang w:val="pt-BR" w:bidi="ar-SA"/>
          <w:kern w:val="16"/>
          <w14:ligatures w14:val="standardContextual"/>
        </w:rPr>
        <w:t xml:space="preserve"> O art. 26, §3º, II, da EC 103/2019 estabelece coeficiente de 100% para a aposentadoria por incapacidade permanente decorrente de acidente de trabalho — exceção que atenua o impacto da reforma para segurados com incapacidade total por acidente laboral. Essa exceção, contudo, não se aplica diretamente ao auxílio-acidente (que pressupõe capacidade residual), mas sim à aposentadoria por incapacidade permanente acidentária.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d) Direito intertemporal.</w:t>
      </w:r>
      <w:r>
        <w:rPr>
          <w:rFonts w:ascii="EB Garamond" w:hAnsi="EB Garamond" w:cs="EB Garamond"/>
          <w:b w:val="0"/>
          <w:i w:val="0"/>
          <w:color w:val="201B16"/>
          <w:sz w:val="21"/>
          <w:lang w:val="pt-BR" w:bidi="ar-SA"/>
          <w:kern w:val="16"/>
          <w14:ligatures w14:val="standardContextual"/>
        </w:rPr>
        <w:t xml:space="preserve"> Para auxílios-acidente concedidos antes de 13/11/2019, aplica-se o cálculo anterior (80% maiores salários). Para os concedidos após essa data, aplica-se o novo cálculo. O marco é a data do fato gerador (consolidação das lesões ou cessação do auxílio por incapacidade temporária), não a data do requerimento administrativo ou da decisão judicial.</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15.20 Aspectos processuais nos JEFs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 ações de auxílio-acidente nos Juizados Especiais Federais apresentam especificidades processuais relevantes para a prática forense.</w:t>
      </w:r>
    </w:p>
    <w:p>
      <w:pPr>
        <w:spacing w:before="260" w:after="80" w:line="240" w:lineRule="auto"/>
        <w:jc w:val="left"/>
      </w:pPr>
      <w:r>
        <w:rPr>
          <w:rFonts w:ascii="EB Garamond" w:hAnsi="EB Garamond" w:cs="EB Garamond"/>
          <w:b/>
          <w:i w:val="0"/>
          <w:color w:val="3A3128"/>
          <w:sz w:val="25"/>
          <w:lang w:val="pt-BR" w:bidi="ar-SA"/>
          <w:kern w:val="16"/>
          <w14:ligatures w14:val="standardContextual"/>
        </w:rPr>
        <w:t>15.20.1 Competência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C</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onforme analisado na seção 15.15, a competência dos JEFs restringe-se aos auxílios-acidente decorrentes de "acidente de qualquer natureza" (art. 86, caput), excluídos os acidentes do trabalho (arts. 19-21), que são de competência da Justiça Estadual. O valor da causa, para fins de fixação de competência do JEF, deve observar o art. 3º da Lei n. 10.259/2001 (60 salários-mínimos), calculado conforme as parcelas vencidas acrescidas de 12 prestações vincendas.</w:t>
      </w:r>
    </w:p>
    <w:p>
      <w:pPr>
        <w:spacing w:before="260" w:after="80" w:line="240" w:lineRule="auto"/>
        <w:jc w:val="left"/>
      </w:pPr>
      <w:r>
        <w:rPr>
          <w:rFonts w:ascii="EB Garamond" w:hAnsi="EB Garamond" w:cs="EB Garamond"/>
          <w:b/>
          <w:i w:val="0"/>
          <w:color w:val="3A3128"/>
          <w:sz w:val="25"/>
          <w:lang w:val="pt-BR" w:bidi="ar-SA"/>
          <w:kern w:val="16"/>
          <w14:ligatures w14:val="standardContextual"/>
        </w:rPr>
        <w:t>15.20.2 Prévio requerimento administrativo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exigência de prévio requerimento administrativo, firmada pelo STF no RE 631.240 (Tema 350), aplica-se ao auxílio-acidente. A própria modulação do Tema 350, contudo, dispensa o requerimento quando o INSS, citado, contesta o mérito da pretensão — hipótese em que a resistência à concessão fica caracterizada nos próprios autos e supre o interesse de agir. Daí decorrem as exceções correntes na prática: quando o INSS apresenta contestação de mérito (resistência notória à pretensão) ou quando o auxílio-acidente é pleiteado como conversão de auxílio por incapacidade temporária já negado administrativamente, o prévio requerimento específico do auxílio-acidente é dispensado.</w:t>
      </w:r>
    </w:p>
    <w:p>
      <w:pPr>
        <w:spacing w:before="260" w:after="80" w:line="240" w:lineRule="auto"/>
        <w:jc w:val="left"/>
      </w:pPr>
      <w:r>
        <w:rPr>
          <w:rFonts w:ascii="EB Garamond" w:hAnsi="EB Garamond" w:cs="EB Garamond"/>
          <w:b/>
          <w:i w:val="0"/>
          <w:color w:val="3A3128"/>
          <w:sz w:val="25"/>
          <w:lang w:val="pt-BR" w:bidi="ar-SA"/>
          <w:kern w:val="16"/>
          <w14:ligatures w14:val="standardContextual"/>
        </w:rPr>
        <w:t>15.20.3 Prova pericial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perícia judicial é a prova central. Nos JEFs, o juiz designa perito único (art. 12, Lei 10.259/2001), que deve responder: (a) se há sequela consolidada; (b) se decorre de acidente; (c) se implica redução da capacidade para o trabalho habitual; (d) a data provável da consolidação.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STJ, na Jurisprudência em Teses (edição 199), firmou que o laudo pericial não é parâmetro para fixação da DIB — apenas orienta o livre convencimento do juiz. Vale registrar, ainda, que a aferição da incapacidade (e, por extensão, da redução da capacidade) é questão eminentemente fático-probatória: a revisão das conclusões periciais e do conjunto fático demanda reexame de prova, vedado em recurso especial pela Súmula 7/STJ ("A pretensão de simples reexame de prova não enseja recurso especial"). Daí a relevância da instrução probatória em primeiro grau e nas Turmas Recursais, instâncias soberanas na valoração do quadro fático que define o direito ao benefício.</w:t>
      </w:r>
    </w:p>
    <w:p>
      <w:pPr>
        <w:spacing w:before="260" w:after="80" w:line="240" w:lineRule="auto"/>
        <w:jc w:val="left"/>
      </w:pPr>
      <w:r>
        <w:rPr>
          <w:rFonts w:ascii="EB Garamond" w:hAnsi="EB Garamond" w:cs="EB Garamond"/>
          <w:b/>
          <w:i w:val="0"/>
          <w:color w:val="3A3128"/>
          <w:sz w:val="25"/>
          <w:lang w:val="pt-BR" w:bidi="ar-SA"/>
          <w:kern w:val="16"/>
          <w14:ligatures w14:val="standardContextual"/>
        </w:rPr>
        <w:t>15.20.4 Tutela provisória de urgência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tutela provisória de urgência é cabível nas ações de auxílio-acidente quando presentes a probabilidade do direito (laudo pericial favorável) e o perigo de dano (segurado com capacidade reduzida e sem complementação da renda). A natureza alimentar do benefício reforça a urgência, embora o auxílio-acidente, por ser indenizatório e acumulável com remuneração, gere discussão sobre a efetiva urgência em alguns casos.</w:t>
      </w:r>
    </w:p>
    <w:p>
      <w:pPr>
        <w:spacing w:before="260" w:after="80" w:line="240" w:lineRule="auto"/>
        <w:jc w:val="left"/>
      </w:pPr>
      <w:r>
        <w:rPr>
          <w:rFonts w:ascii="EB Garamond" w:hAnsi="EB Garamond" w:cs="EB Garamond"/>
          <w:b/>
          <w:i w:val="0"/>
          <w:color w:val="3A3128"/>
          <w:sz w:val="25"/>
          <w:lang w:val="pt-BR" w:bidi="ar-SA"/>
          <w:kern w:val="16"/>
          <w14:ligatures w14:val="standardContextual"/>
        </w:rPr>
        <w:t>15.20.5 Data de início do benefício (DIB) judicial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DIB deve ser fixada conforme as regras do Tema 862/STJ e do Tema 315/TNU, analisadas na seção 15.10. Observa-se a prescrição quinquenal (Súmula 85/STJ) sobre as parcelas vencidas.</w:t>
      </w:r>
    </w:p>
    <w:p>
      <w:pPr>
        <w:spacing w:before="260" w:after="80" w:line="240" w:lineRule="auto"/>
        <w:jc w:val="left"/>
      </w:pPr>
      <w:r>
        <w:rPr>
          <w:rFonts w:ascii="EB Garamond" w:hAnsi="EB Garamond" w:cs="EB Garamond"/>
          <w:b/>
          <w:i w:val="0"/>
          <w:color w:val="3A3128"/>
          <w:sz w:val="25"/>
          <w:lang w:val="pt-BR" w:bidi="ar-SA"/>
          <w:kern w:val="16"/>
          <w14:ligatures w14:val="standardContextual"/>
        </w:rPr>
        <w:t>15.20.6 Fungibilidade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juiz do JEF pode conceder auxílio-acidente quando o segurado pleiteou auxílio por incapacidade temporária ou aposentadoria por incapacidade permanente, e vice-versa, desde que observado o contraditório. A fungibilidade é amplamente aceita e decorre da identidade de causa de pedir, como analisado no Capítulo 7 (seções 7.13 e 7.14.3) e no Capítulo 23 deste livro.</w:t>
      </w:r>
    </w:p>
    <w:p>
      <w:pPr>
        <w:spacing w:before="260" w:after="80" w:line="240" w:lineRule="auto"/>
        <w:jc w:val="left"/>
      </w:pPr>
      <w:r>
        <w:rPr>
          <w:rFonts w:ascii="EB Garamond" w:hAnsi="EB Garamond" w:cs="EB Garamond"/>
          <w:b/>
          <w:i w:val="0"/>
          <w:color w:val="3A3128"/>
          <w:sz w:val="25"/>
          <w:lang w:val="pt-BR" w:bidi="ar-SA"/>
          <w:kern w:val="16"/>
          <w14:ligatures w14:val="standardContextual"/>
        </w:rPr>
        <w:t>15.20.7 Honorários e custas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plicam-se as regras gerais dos JEFs: sem condenação em honorários quando a sentença é favorável ao segurado (art. 55, Lei 9.099/95 c/c art. 1º, Lei 10.259/2001). Honorários periciais pagos pela Justiça Federal quando o autor é beneficiário da gratuidade.</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15.21 Questões especiais e controvérsias emergentes</w:t>
      </w:r>
    </w:p>
    <w:p>
      <w:pPr>
        <w:spacing w:before="260" w:after="80" w:line="240" w:lineRule="auto"/>
        <w:jc w:val="left"/>
      </w:pPr>
      <w:r>
        <w:rPr>
          <w:rFonts w:ascii="EB Garamond" w:hAnsi="EB Garamond" w:cs="EB Garamond"/>
          <w:b/>
          <w:i w:val="0"/>
          <w:color w:val="3A3128"/>
          <w:sz w:val="25"/>
          <w:lang w:val="pt-BR" w:bidi="ar-SA"/>
          <w:kern w:val="16"/>
          <w14:ligatures w14:val="standardContextual"/>
        </w:rPr>
        <w:t>15.21.1 Doenças degenerativas e o Tema 269/TNU</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tese do Tema 269 exclui as doenças degenerativas do conceito de "acidente de qualquer natureza". Na prática, isso afeta um volume significativo de demandas: segurados com artrose, discopatias, tendinopatias e outras condições progressivas não fazem jus ao auxílio-acidente por "acidente de qualquer natureza" — salvo se demonstrarem que a condição decorre de acidente (trauma) específico.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controvérsia persiste quando há concausa: o segurado sofre trauma que agrava condição degenerativa preexistente. Nesses casos, a jurisprudência tende a reconhecer o auxílio-acidente se o trauma contribuiu significativamente para a redução da capacidade, mesmo que a condição de base seja degenerativa.</w:t>
      </w:r>
    </w:p>
    <w:p>
      <w:pPr>
        <w:spacing w:before="260" w:after="80" w:line="240" w:lineRule="auto"/>
        <w:jc w:val="left"/>
      </w:pPr>
      <w:r>
        <w:rPr>
          <w:rFonts w:ascii="EB Garamond" w:hAnsi="EB Garamond" w:cs="EB Garamond"/>
          <w:b/>
          <w:i w:val="0"/>
          <w:color w:val="3A3128"/>
          <w:sz w:val="25"/>
          <w:lang w:val="pt-BR" w:bidi="ar-SA"/>
          <w:kern w:val="16"/>
          <w14:ligatures w14:val="standardContextual"/>
        </w:rPr>
        <w:t>15.21.2 LER/DORT</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 Lesões por Esforços Repetitivos e os Distúrbios Osteomusculares Relacionados ao Trabalho constituem doenças do trabalho (art. 20, II, Lei 8.213/91), não "acidente de qualquer natureza". A competência para ações de auxílio-acidente por LER/DORT é, portanto, da Justiça Estadual. Nos JEFs, o magistrado deve estar atento à causa de pedir: se o segurado alega LER/DORT vinculada ao trabalho, a competência é estadual, e o processo deve ser remetido.</w:t>
      </w:r>
    </w:p>
    <w:p>
      <w:pPr>
        <w:spacing w:before="260" w:after="80" w:line="240" w:lineRule="auto"/>
        <w:jc w:val="left"/>
      </w:pPr>
      <w:r>
        <w:rPr>
          <w:rFonts w:ascii="EB Garamond" w:hAnsi="EB Garamond" w:cs="EB Garamond"/>
          <w:b/>
          <w:i w:val="0"/>
          <w:color w:val="3A3128"/>
          <w:sz w:val="25"/>
          <w:lang w:val="pt-BR" w:bidi="ar-SA"/>
          <w:kern w:val="16"/>
          <w14:ligatures w14:val="standardContextual"/>
        </w:rPr>
        <w:t>15.21.3 Cegueira monocular e perda visual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perda total da visão em um olho por acidente — tecnicamente designada amaurose ou cegueira monocular — gera auxílio-acidente quando há redução comprovada da capacidade para o trabalho habitual. A jurisprudência reconhece que a supressão da visão binocular, com o comprometimento da estereopsia (percepção de profundidade) e a redução do campo visual, constitui sequela que reduz a capacidade para diversas atividades profissionais, especialmente as que exigem precisão manual ou operação de máquinas. Não se confunde a cegueira monocular com a </w:t>
      </w:r>
      <w:r>
        <w:rPr>
          <w:rFonts w:ascii="EB Garamond" w:hAnsi="EB Garamond" w:cs="EB Garamond"/>
          <w:b w:val="0"/>
          <w:i/>
          <w:color w:val="201B16"/>
          <w:sz w:val="21"/>
          <w:lang w:val="pt-BR" w:bidi="ar-SA"/>
          <w:kern w:val="16"/>
          <w14:ligatures w14:val="standardContextual"/>
        </w:rPr>
        <w:t>monovisão</w:t>
      </w:r>
      <w:r>
        <w:rPr>
          <w:rFonts w:ascii="EB Garamond" w:hAnsi="EB Garamond" w:cs="EB Garamond"/>
          <w:b w:val="0"/>
          <w:i w:val="0"/>
          <w:color w:val="201B16"/>
          <w:sz w:val="21"/>
          <w:lang w:val="pt-BR" w:bidi="ar-SA"/>
          <w:kern w:val="16"/>
          <w14:ligatures w14:val="standardContextual"/>
        </w:rPr>
        <w:t>, expressão reservada, na clínica oftalmológica, à correção em que cada olho é ajustado para uma distância focal distinta (um para longe, outro para perto); o uso atécnico do termo como sinônimo de perda visual unilateral deve ser evitado nas decisões e laudos.</w:t>
      </w:r>
    </w:p>
    <w:p>
      <w:pPr>
        <w:spacing w:before="260" w:after="80" w:line="240" w:lineRule="auto"/>
        <w:jc w:val="left"/>
      </w:pPr>
      <w:r>
        <w:rPr>
          <w:rFonts w:ascii="EB Garamond" w:hAnsi="EB Garamond" w:cs="EB Garamond"/>
          <w:b/>
          <w:i w:val="0"/>
          <w:color w:val="3A3128"/>
          <w:sz w:val="25"/>
          <w:lang w:val="pt-BR" w:bidi="ar-SA"/>
          <w:kern w:val="16"/>
          <w14:ligatures w14:val="standardContextual"/>
        </w:rPr>
        <w:t>15.21.4 Policiais e militares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P</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oliciais civis e militares são vinculados a regimes próprios de previdência, não ao RGPS, razão pela qual não fazem jus ao auxílio-acidente previsto na Lei n. 8.213/91. Policiais federais e rodoviários federais são servidores públicos federais vinculados ao RPPS da União, igualmente sem direito ao auxílio-acidente do RGPS. A eventual vinculação ao regime de previdência complementar da FUNPRESP-EXE não é automática para todo ingresso posterior a 2013: pressupõe ingresso após a vigência efetiva do regime complementar (a fundação foi instituída e entrou em funcionamento em fevereiro de 2013) e remuneração superior ao teto do RGPS, hipótese em que o servidor adere ao regime complementar quanto à parcela excedente — o que, de toda sorte, não lhe abre acesso ao auxílio-acidente do RGPS.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distinção, longe de ser irrelevante, é útil na triagem das petições iniciais dos JEFs: identificar de plano que o autor é policial ou militar vinculado a regime próprio permite afastar, desde o despacho inicial, pedidos de auxílio-acidente formulados com base na Lei n. 8.213/91, evitando instrução desnecessária e eventual perícia em demanda fadada à improcedência por ausência de cobertura no RGPS.</w:t>
      </w:r>
    </w:p>
    <w:p>
      <w:pPr>
        <w:spacing w:before="260" w:after="80" w:line="240" w:lineRule="auto"/>
        <w:jc w:val="left"/>
      </w:pPr>
      <w:r>
        <w:rPr>
          <w:rFonts w:ascii="EB Garamond" w:hAnsi="EB Garamond" w:cs="EB Garamond"/>
          <w:b/>
          <w:i w:val="0"/>
          <w:color w:val="3A3128"/>
          <w:sz w:val="25"/>
          <w:lang w:val="pt-BR" w:bidi="ar-SA"/>
          <w:kern w:val="16"/>
          <w14:ligatures w14:val="standardContextual"/>
        </w:rPr>
        <w:t>15.21.5 Auxílio-acidente e reabilitação profissional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segurado que recebe auxílio-acidente pode ser encaminhado para reabilitação profissional (art. 89, Lei 8.213/91). A reabilitação visa preparar o segurado para atividade diversa da habitual, compatível com suas limitações. A conclusão bem-sucedida da reabilitação não cessa o auxílio-acidente — o benefício persiste enquanto houver redução da capacidade para o trabalho habitual, mesmo que o segurado esteja reabilitado para outra atividade. A reabilitação profissional e o auxílio-acidente operam em planos distintos: enquanto a primeira visa adaptar o segurado a nova atividade, o segundo compensa a perda funcional permanente em relação à atividade originária, de modo que a reabilitação bem-sucedida não afasta o direito ao benefício indenizatório.</w:t>
      </w:r>
    </w:p>
    <w:p>
      <w:pPr>
        <w:spacing w:before="260" w:after="80" w:line="240" w:lineRule="auto"/>
        <w:jc w:val="left"/>
      </w:pPr>
      <w:r>
        <w:rPr>
          <w:rFonts w:ascii="EB Garamond" w:hAnsi="EB Garamond" w:cs="EB Garamond"/>
          <w:b/>
          <w:i w:val="0"/>
          <w:color w:val="3A3128"/>
          <w:sz w:val="25"/>
          <w:lang w:val="pt-BR" w:bidi="ar-SA"/>
          <w:kern w:val="16"/>
          <w14:ligatures w14:val="standardContextual"/>
        </w:rPr>
        <w:t>15.21.6 Irrepetibilidade dos valores recebidos de boa-fé</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STJ, na edição 198 da Jurisprudência em Teses, firmou que "é indevida a devolução ao INSS do auxílio-acidente recebido de boa-fé pelos segurados a título de aplicação retroativa da majoração estabelecida pela Lei 9.032, de 1995." Embora a tese tenha escopo específico, a majoração retroativa dos percentuais do auxílio-acidente, ela se insere no princípio mais amplo da irrepetibilidade dos benefícios previdenciários recebidos de boa-fé, consolidado pelo STJ em diversas outras matérias previdenciárias e extensamente aplicado nos JEFs. A vedação de devolução protege o segurado contra cobranças retroativas do INSS quando o benefício é posteriormente cessado ou revisado.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15.22 Síntese e quadros práticos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5F3EF" w:val="clear"/>
            <w:tcBorders>
              <w:top w:val="single" w:sz="7" w:space="0" w:color="A09882"/>
              <w:bottom w:val="single" w:sz="7" w:space="0" w:color="A09882"/>
              <w:right w:val="single" w:sz="7" w:space="0" w:color="A09882"/>
              <w:left w:val="single" w:sz="24" w:space="0" w:color="6B6256"/>
            </w:tcBorders>
          </w:tcPr>
          <w:p>
            <w:pPr>
              <w:spacing w:before="0" w:after="60" w:line="240" w:lineRule="auto"/>
              <w:jc w:val="left"/>
            </w:pPr>
            <w:r>
              <w:rPr>
                <w:rFonts w:ascii="Noto Sans" w:hAnsi="Noto Sans" w:cs="Noto Sans"/>
                <w:b/>
                <w:i w:val="0"/>
                <w:caps/>
                <w:color w:val="6B6256"/>
                <w:sz w:val="16"/>
                <w:lang w:val="pt-BR" w:bidi="ar-SA"/>
                <w:kern w:val="16"/>
                <w14:ligatures w14:val="standardContextual"/>
              </w:rPr>
              <w:t>QUADRO</w:t>
            </w:r>
          </w:p>
          <w:p>
            <w:pPr>
              <w:spacing w:before="0" w:after="60" w:line="247" w:lineRule="auto"/>
              <w:jc w:val="both"/>
            </w:pPr>
            <w:r>
              <w:rPr>
                <w:rFonts w:ascii="EB Garamond" w:hAnsi="EB Garamond" w:cs="EB Garamond"/>
                <w:b/>
                <w:i w:val="0"/>
                <w:color w:val="201B16"/>
                <w:sz w:val="19"/>
                <w:lang w:val="pt-BR" w:bidi="ar-SA"/>
                <w:kern w:val="16"/>
                <w14:ligatures w14:val="standardContextual"/>
              </w:rPr>
              <w:t>Quadro 15.1 — Requisitos do Auxílio-Acidente</w:t>
            </w:r>
          </w:p>
          <w:tbl>
            <w:tblPr>
              <w:tblW w:type="auto" w:w="0"/>
              <w:jc w:val="center"/>
              <w:tblLook w:firstColumn="1" w:firstRow="1" w:lastColumn="0" w:lastRow="0" w:noHBand="0" w:noVBand="1" w:val="04A0"/>
              <w:tblW w:w="5000" w:type="pct"/>
            </w:tblPr>
            <w:tblGrid>
              <w:gridCol w:w="3175"/>
              <w:gridCol w:w="3175"/>
            </w:tblGrid>
            <w:tr>
              <w:trPr>
                <w:tblHeader/>
              </w:trPr>
              <w:tc>
                <w:tcPr>
                  <w:tcW w:type="dxa" w:w="3175"/>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Requisito</w:t>
                  </w:r>
                </w:p>
              </w:tc>
              <w:tc>
                <w:tcPr>
                  <w:tcW w:type="dxa" w:w="3175"/>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Descrição</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Fato gerador</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Acidente de qualquer natureza (art. 86, caput)</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Consolidação</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Lesões consolidadas (estáveis)</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Sequela</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Redução permanente da capacidade para o trabalho habitual</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Qualidade de segurado</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Exigida na data do acidente</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Carência</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Dispensada (art. 26, I)</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Segurados</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Empregado, doméstico, avulso, especial</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Excluídos</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Contribuinte individual, facultativo</w:t>
                  </w:r>
                </w:p>
              </w:tc>
            </w:tr>
          </w:tbl>
          <w:p/>
          <w:p>
            <w:pPr>
              <w:spacing w:before="0" w:after="0" w:line="240" w:lineRule="auto"/>
            </w:pP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5F3EF" w:val="clear"/>
            <w:tcBorders>
              <w:top w:val="single" w:sz="7" w:space="0" w:color="A09882"/>
              <w:bottom w:val="single" w:sz="7" w:space="0" w:color="A09882"/>
              <w:right w:val="single" w:sz="7" w:space="0" w:color="A09882"/>
              <w:left w:val="single" w:sz="24" w:space="0" w:color="6B6256"/>
            </w:tcBorders>
          </w:tcPr>
          <w:p>
            <w:pPr>
              <w:spacing w:before="0" w:after="60" w:line="240" w:lineRule="auto"/>
              <w:jc w:val="left"/>
            </w:pPr>
            <w:r>
              <w:rPr>
                <w:rFonts w:ascii="Noto Sans" w:hAnsi="Noto Sans" w:cs="Noto Sans"/>
                <w:b/>
                <w:i w:val="0"/>
                <w:caps/>
                <w:color w:val="6B6256"/>
                <w:sz w:val="16"/>
                <w:lang w:val="pt-BR" w:bidi="ar-SA"/>
                <w:kern w:val="16"/>
                <w14:ligatures w14:val="standardContextual"/>
              </w:rPr>
              <w:t>QUADRO</w:t>
            </w:r>
          </w:p>
          <w:p>
            <w:pPr>
              <w:spacing w:before="0" w:after="60" w:line="247" w:lineRule="auto"/>
              <w:jc w:val="both"/>
            </w:pPr>
            <w:r>
              <w:rPr>
                <w:rFonts w:ascii="EB Garamond" w:hAnsi="EB Garamond" w:cs="EB Garamond"/>
                <w:b/>
                <w:i w:val="0"/>
                <w:color w:val="201B16"/>
                <w:sz w:val="19"/>
                <w:lang w:val="pt-BR" w:bidi="ar-SA"/>
                <w:kern w:val="16"/>
                <w14:ligatures w14:val="standardContextual"/>
              </w:rPr>
              <w:t>Quadro 15.2 — Valor e Duração</w:t>
            </w:r>
          </w:p>
          <w:tbl>
            <w:tblPr>
              <w:tblW w:type="auto" w:w="0"/>
              <w:jc w:val="center"/>
              <w:tblLook w:firstColumn="1" w:firstRow="1" w:lastColumn="0" w:lastRow="0" w:noHBand="0" w:noVBand="1" w:val="04A0"/>
              <w:tblW w:w="5000" w:type="pct"/>
            </w:tblPr>
            <w:tblGrid>
              <w:gridCol w:w="3175"/>
              <w:gridCol w:w="3175"/>
            </w:tblGrid>
            <w:tr>
              <w:trPr>
                <w:tblHeader/>
              </w:trPr>
              <w:tc>
                <w:tcPr>
                  <w:tcW w:type="dxa" w:w="3175"/>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Item</w:t>
                  </w:r>
                </w:p>
              </w:tc>
              <w:tc>
                <w:tcPr>
                  <w:tcW w:type="dxa" w:w="3175"/>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Regra</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Percentual</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50% do salário-de-benefício</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Cálculo (até 12/11/2019)</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Média dos 80% maiores salários desde 07/1994</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Cálculo (a partir de 13/11/2019)</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Média de todos os salários desde 07/1994</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Piso</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 há piso de salário-mínimo</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Duração</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Até véspera da aposentadoria ou óbito</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Acumulação com trabalho</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Permitida</w:t>
                  </w:r>
                </w:p>
              </w:tc>
            </w:tr>
          </w:tbl>
          <w:p/>
          <w:p>
            <w:pPr>
              <w:spacing w:before="0" w:after="0" w:line="240" w:lineRule="auto"/>
            </w:pP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5F3EF" w:val="clear"/>
            <w:tcBorders>
              <w:top w:val="single" w:sz="7" w:space="0" w:color="A09882"/>
              <w:bottom w:val="single" w:sz="7" w:space="0" w:color="A09882"/>
              <w:right w:val="single" w:sz="7" w:space="0" w:color="A09882"/>
              <w:left w:val="single" w:sz="24" w:space="0" w:color="6B6256"/>
            </w:tcBorders>
          </w:tcPr>
          <w:p>
            <w:pPr>
              <w:spacing w:before="0" w:after="60" w:line="240" w:lineRule="auto"/>
              <w:jc w:val="left"/>
            </w:pPr>
            <w:r>
              <w:rPr>
                <w:rFonts w:ascii="Noto Sans" w:hAnsi="Noto Sans" w:cs="Noto Sans"/>
                <w:b/>
                <w:i w:val="0"/>
                <w:caps/>
                <w:color w:val="6B6256"/>
                <w:sz w:val="16"/>
                <w:lang w:val="pt-BR" w:bidi="ar-SA"/>
                <w:kern w:val="16"/>
                <w14:ligatures w14:val="standardContextual"/>
              </w:rPr>
              <w:t>QUADRO</w:t>
            </w:r>
          </w:p>
          <w:p>
            <w:pPr>
              <w:spacing w:before="0" w:after="60" w:line="247" w:lineRule="auto"/>
              <w:jc w:val="both"/>
            </w:pPr>
            <w:r>
              <w:rPr>
                <w:rFonts w:ascii="EB Garamond" w:hAnsi="EB Garamond" w:cs="EB Garamond"/>
                <w:b/>
                <w:i w:val="0"/>
                <w:color w:val="201B16"/>
                <w:sz w:val="19"/>
                <w:lang w:val="pt-BR" w:bidi="ar-SA"/>
                <w:kern w:val="16"/>
                <w14:ligatures w14:val="standardContextual"/>
              </w:rPr>
              <w:t>Quadro 15.3 — Regras de Acumulação</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Combinação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Permitida?</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Fundamento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AA + remuneração do trabalho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Sim</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86, §2º</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AA + aposentadoria (lesão a partir de 11.11.1997)</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86, §2º; Lei 9.528/97</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AA + aposentadoria (lesão até 10.11.1997)</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Sim</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Súmula 507/STJ</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AA + pensão por morte</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Sim, integral</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124 da Lei 8.213/91 não veda; fora do rol do art. 24, § 1º, EC 103/2019</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AA + aux. Incapacidade temporária (mesma lesão)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Excludência temporal (AA pressupõe cessação do aux. Incap. Temporária)</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AA + aux. Incapacidade temporária (lesão diversa)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Sim</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Vedação específica à mesma lesão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Mais de um AA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124, V; admite-se recálculo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AA + salário-família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Sim</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Sem vedação legal</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AA + salário-maternidade</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Sim</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Sem vedação legal</w:t>
                  </w:r>
                </w:p>
              </w:tc>
            </w:tr>
          </w:tbl>
          <w:p/>
          <w:p>
            <w:pPr>
              <w:spacing w:before="0" w:after="0" w:line="240" w:lineRule="auto"/>
            </w:pP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5F3EF" w:val="clear"/>
            <w:tcBorders>
              <w:top w:val="single" w:sz="7" w:space="0" w:color="A09882"/>
              <w:bottom w:val="single" w:sz="7" w:space="0" w:color="A09882"/>
              <w:right w:val="single" w:sz="7" w:space="0" w:color="A09882"/>
              <w:left w:val="single" w:sz="24" w:space="0" w:color="6B6256"/>
            </w:tcBorders>
          </w:tcPr>
          <w:p>
            <w:pPr>
              <w:spacing w:before="0" w:after="60" w:line="240" w:lineRule="auto"/>
              <w:jc w:val="left"/>
            </w:pPr>
            <w:r>
              <w:rPr>
                <w:rFonts w:ascii="Noto Sans" w:hAnsi="Noto Sans" w:cs="Noto Sans"/>
                <w:b/>
                <w:i w:val="0"/>
                <w:caps/>
                <w:color w:val="6B6256"/>
                <w:sz w:val="16"/>
                <w:lang w:val="pt-BR" w:bidi="ar-SA"/>
                <w:kern w:val="16"/>
                <w14:ligatures w14:val="standardContextual"/>
              </w:rPr>
              <w:t>QUADRO</w:t>
            </w:r>
          </w:p>
          <w:p>
            <w:pPr>
              <w:spacing w:before="0" w:after="60" w:line="247" w:lineRule="auto"/>
              <w:jc w:val="both"/>
            </w:pPr>
            <w:r>
              <w:rPr>
                <w:rFonts w:ascii="EB Garamond" w:hAnsi="EB Garamond" w:cs="EB Garamond"/>
                <w:b/>
                <w:i w:val="0"/>
                <w:color w:val="201B16"/>
                <w:sz w:val="19"/>
                <w:lang w:val="pt-BR" w:bidi="ar-SA"/>
                <w:kern w:val="16"/>
                <w14:ligatures w14:val="standardContextual"/>
              </w:rPr>
              <w:t>Quadro 15.4 — Competência Jurisdicional</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Origem do acidente</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Espécie INSS</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Competência</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Acidente do trabalho típico (art. 19)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B94</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Justiça Estadual</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Doença profissional/do trabalho (art. 20)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B94</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Justiça Estadual</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Acidente de trajeto (art. 21)</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B94</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Justiça Estadual</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Acidente doméstico, de trânsito, esportivo etc.</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B36</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Justiça Federal/JEF</w:t>
                  </w:r>
                </w:p>
              </w:tc>
            </w:tr>
          </w:tbl>
          <w:p/>
          <w:p>
            <w:pPr>
              <w:spacing w:before="0" w:after="0" w:line="240" w:lineRule="auto"/>
            </w:pP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5F3EF" w:val="clear"/>
            <w:tcBorders>
              <w:top w:val="single" w:sz="7" w:space="0" w:color="A09882"/>
              <w:bottom w:val="single" w:sz="7" w:space="0" w:color="A09882"/>
              <w:right w:val="single" w:sz="7" w:space="0" w:color="A09882"/>
              <w:left w:val="single" w:sz="24" w:space="0" w:color="6B6256"/>
            </w:tcBorders>
          </w:tcPr>
          <w:p>
            <w:pPr>
              <w:spacing w:before="0" w:after="60" w:line="240" w:lineRule="auto"/>
              <w:jc w:val="left"/>
            </w:pPr>
            <w:r>
              <w:rPr>
                <w:rFonts w:ascii="Noto Sans" w:hAnsi="Noto Sans" w:cs="Noto Sans"/>
                <w:b/>
                <w:i w:val="0"/>
                <w:caps/>
                <w:color w:val="6B6256"/>
                <w:sz w:val="16"/>
                <w:lang w:val="pt-BR" w:bidi="ar-SA"/>
                <w:kern w:val="16"/>
                <w14:ligatures w14:val="standardContextual"/>
              </w:rPr>
              <w:t>QUADRO</w:t>
            </w:r>
          </w:p>
          <w:p>
            <w:pPr>
              <w:spacing w:before="0" w:after="60" w:line="247" w:lineRule="auto"/>
              <w:jc w:val="both"/>
            </w:pPr>
            <w:r>
              <w:rPr>
                <w:rFonts w:ascii="EB Garamond" w:hAnsi="EB Garamond" w:cs="EB Garamond"/>
                <w:b/>
                <w:i w:val="0"/>
                <w:color w:val="201B16"/>
                <w:sz w:val="19"/>
                <w:lang w:val="pt-BR" w:bidi="ar-SA"/>
                <w:kern w:val="16"/>
                <w14:ligatures w14:val="standardContextual"/>
              </w:rPr>
              <w:t>Quadro 15.5 — Data de Início do Benefício (DIB)</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Situação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DIB</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Fundamento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Com aux. Incapacidade temporária prévio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Dia seguinte à cessação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Tema 862/STJ; Tema 315/TNU</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Sem aux. Incapacidade temporária, com requerimento administrativo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Data do requerimento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Jur. Em Teses 199/STJ</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Sem aux. Incapacidade temporária, sem requerimento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Data da citação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Jurisprudência consolidada</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Laudo pericial</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 serve como DIB</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Jur. Em Teses 199/STJ</w:t>
                  </w:r>
                </w:p>
              </w:tc>
            </w:tr>
          </w:tbl>
          <w:p/>
          <w:p>
            <w:pPr>
              <w:spacing w:before="0" w:after="0" w:line="240" w:lineRule="auto"/>
            </w:pP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5F3EF" w:val="clear"/>
            <w:tcBorders>
              <w:top w:val="single" w:sz="7" w:space="0" w:color="A09882"/>
              <w:bottom w:val="single" w:sz="7" w:space="0" w:color="A09882"/>
              <w:right w:val="single" w:sz="7" w:space="0" w:color="A09882"/>
              <w:left w:val="single" w:sz="24" w:space="0" w:color="6B6256"/>
            </w:tcBorders>
          </w:tcPr>
          <w:p>
            <w:pPr>
              <w:spacing w:before="0" w:after="60" w:line="240" w:lineRule="auto"/>
              <w:jc w:val="left"/>
            </w:pPr>
            <w:r>
              <w:rPr>
                <w:rFonts w:ascii="Noto Sans" w:hAnsi="Noto Sans" w:cs="Noto Sans"/>
                <w:b/>
                <w:i w:val="0"/>
                <w:caps/>
                <w:color w:val="6B6256"/>
                <w:sz w:val="16"/>
                <w:lang w:val="pt-BR" w:bidi="ar-SA"/>
                <w:kern w:val="16"/>
                <w14:ligatures w14:val="standardContextual"/>
              </w:rPr>
              <w:t>QUADRO</w:t>
            </w:r>
          </w:p>
          <w:p>
            <w:pPr>
              <w:spacing w:before="0" w:after="60" w:line="247" w:lineRule="auto"/>
              <w:jc w:val="both"/>
            </w:pPr>
            <w:r>
              <w:rPr>
                <w:rFonts w:ascii="EB Garamond" w:hAnsi="EB Garamond" w:cs="EB Garamond"/>
                <w:b/>
                <w:i w:val="0"/>
                <w:color w:val="201B16"/>
                <w:sz w:val="19"/>
                <w:lang w:val="pt-BR" w:bidi="ar-SA"/>
                <w:kern w:val="16"/>
                <w14:ligatures w14:val="standardContextual"/>
              </w:rPr>
              <w:t>Quadro 15.6 — Jurisprudência Consolidada</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Referência</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Tese</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Órgão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Tema 862</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DIB = dia seguinte à cessação do aux. Incapacidade temporária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STJ, 1ª Seção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Súmula 507</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Acumulação com aposentadoria: lesão ocorrida até 10.11.1997 (véspera da MP 1.596-14/97)</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STJ</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Súmula 44</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Grau mínimo de disacusia não exclui concessão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STJ</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Tema 269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"Acidente de qualquer natureza" = evento súbito, traumático, exógeno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TNU</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Tema 315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DIB independe de pedido de prorrogação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TNU</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Tema 322</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AA no PBC da aposentadoria rural do segurado especial</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TNU</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Jur. Teses 198</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Vedação de acúmulo; admite-se recálculo por novo infortúnio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STJ</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Jur. Teses 199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Laudo pericial não fixa DIB</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STJ</w:t>
                  </w:r>
                </w:p>
              </w:tc>
            </w:tr>
          </w:tbl>
          <w:p/>
          <w:p>
            <w:pPr>
              <w:spacing w:before="0" w:after="0" w:line="240" w:lineRule="auto"/>
            </w:pP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Salário-Família</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15.23 Conceito e natureza jurídica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salário-família é benefício previdenciário de valor fixo, pago em cotas por filho ou equiparado de até 14 anos de idade, ou inválido de qualquer idade, ao segurado de baixa renda (art. 65 da Lei n. 8.213/91). Diferentemente da maioria dos benefícios previdenciários, o salário-família não visa substituir a renda do segurado nem indenizar perda funcional: sua finalidade é complementar a renda familiar para custear a manutenção dos dependentes, configurando prestação de natureza alimentar e assistencial dentro do sistema contributivo.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fundamento constitucional do salário-família encontra-se no art. 201, inciso IV, da Constituição Federal de 1988, que assegura, entre os eventos cobertos pela previdência social, o "salário-família e auxílio-reclusão para os dependentes dos segurados de baixa renda." A Emenda Constitucional n. 20, de 15 de dezembro de 1998, restringiu o benefício aos segurados de baixa renda, alteração que a EC 103/2019 manteve e reforçou.</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Sustentamos que a natureza jurídica do salário-família é de benefício previdenciário em sentido estrito, e não de prestação assistencial. Embora tenha feição assistencial (destina-se a famílias de baixa renda e não guarda proporção com as contribuições), o benefício exige filiação ao RGPS e qualidade de segurado, requisitos incompatíveis com a natureza puramente assistencial. O salário-família situa-se na fronteira entre a previdência e a assistência social, pois combina a exigência de filiação contributiva com a finalidade redistributiva própria dos benefícios assistenciais. Castro e Lazzari (2025) qualificam o salário-família como benefício previdenciário de caráter alimentar, observando que sua função não é substituir renda perdida, mas suplementar renda insuficiente para a manutenção dos filhos menores.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Três características distinguem o salário-família dos demais benefícios do RGPS: (a) o valor é fixo por cota, independentemente do salário de contribuição do segurado; (b) não há limite de cotas — o segurado recebe uma cota por cada filho ou equiparado que preencha os requisitos; e (c) o pagamento é feito, em regra, pelo empregador, que o compensa na contribuição previdenciária.</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15.24 Evolução histórica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salário-família foi instituído pela Lei n. 4.266, de 3 de outubro de 1963, como benefício devido a todo empregado, sem critério de renda. Até a EC 20/1998, qualquer segurado empregado fazia jus ao benefício, independentemente de sua faixa salarial. A universalidade do benefício era coerente com a concepção original de política de incentivo à natalidade e proteção à infância, mas gerava crítica doutrinária pela distribuição de recursos previdenciários a segurados de alta renda.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EC 20/1998 alterou o art. 201, IV, da CF para restringir o salário-família aos "dependentes dos segurados de baixa renda", delegando à legislação infraconstitucional a definição do critério de enquadramento. A partir dessa alteração, o salário-família passou a exigir, além da filiação ao RGPS e da existência de filho menor de 14 anos ou inválido, que o segurado perceba remuneração igual ou inferior ao teto fixado em portaria.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Lei n. 8.213/91, em seus arts. 65 a 70, disciplina o benefício em sua configuração atual. O Decreto n. 3.048/99 (arts. 81 a 92) regulamenta os procedimentos de habilitação, documentação e pagamento. A EC 103/2019 (art. 27, §2º) manteve a restrição aos segurados de baixa renda e delegou ao Poder Executivo a fixação dos valores da cota e do limite de remuneração por meio de portaria interministerial.</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15.25 Segurados beneficiários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65 da Lei n. 8.213/91 restringe o salário-família a três categorias de segurados: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 Segurado empregado</w:t>
      </w:r>
      <w:r>
        <w:rPr>
          <w:rFonts w:ascii="EB Garamond" w:hAnsi="EB Garamond" w:cs="EB Garamond"/>
          <w:b w:val="0"/>
          <w:i w:val="0"/>
          <w:color w:val="201B16"/>
          <w:sz w:val="21"/>
          <w:lang w:val="pt-BR" w:bidi="ar-SA"/>
          <w:kern w:val="16"/>
          <w14:ligatures w14:val="standardContextual"/>
        </w:rPr>
        <w:t xml:space="preserve"> (art. 11, I). A principal categoria beneficiária. O pagamento é feito diretamente pelo empregador, que compensa o valor na guia de recolhimento previdenciário.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b) Trabalhador avulso</w:t>
      </w:r>
      <w:r>
        <w:rPr>
          <w:rFonts w:ascii="EB Garamond" w:hAnsi="EB Garamond" w:cs="EB Garamond"/>
          <w:b w:val="0"/>
          <w:i w:val="0"/>
          <w:color w:val="201B16"/>
          <w:sz w:val="21"/>
          <w:lang w:val="pt-BR" w:bidi="ar-SA"/>
          <w:kern w:val="16"/>
          <w14:ligatures w14:val="standardContextual"/>
        </w:rPr>
        <w:t xml:space="preserve"> (art. 11, VI). O pagamento é feito pelo Órgão Gestor de Mão de Obra (OGMO) ou, na ausência deste, pelo sindicato que intermediar a mão de obra, com compensação na contribuição previdenciária.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 Aposentado por invalidez, por idade ou em gozo de auxílio por incapacidade temporária</w:t>
      </w:r>
      <w:r>
        <w:rPr>
          <w:rFonts w:ascii="EB Garamond" w:hAnsi="EB Garamond" w:cs="EB Garamond"/>
          <w:b w:val="0"/>
          <w:i w:val="0"/>
          <w:color w:val="201B16"/>
          <w:sz w:val="21"/>
          <w:lang w:val="pt-BR" w:bidi="ar-SA"/>
          <w:kern w:val="16"/>
          <w14:ligatures w14:val="standardContextual"/>
        </w:rPr>
        <w:t xml:space="preserve"> (art. 65, parágrafo único). Nessas hipóteses, o INSS paga diretamente o salário-família junto com o benefício previdenciário.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Segurados excluídos.</w:t>
      </w:r>
      <w:r>
        <w:rPr>
          <w:rFonts w:ascii="EB Garamond" w:hAnsi="EB Garamond" w:cs="EB Garamond"/>
          <w:b w:val="0"/>
          <w:i w:val="0"/>
          <w:color w:val="201B16"/>
          <w:sz w:val="21"/>
          <w:lang w:val="pt-BR" w:bidi="ar-SA"/>
          <w:kern w:val="16"/>
          <w14:ligatures w14:val="standardContextual"/>
        </w:rPr>
        <w:t xml:space="preserve"> O contribuinte individual (art. 11, V) e o segurado facultativo (art. 13) não fazem jus ao salário-família. A exclusão segue a mesma lógica do auxílio-acidente: essas categorias não mantêm relação de emprego que viabilize o mecanismo de pagamento pelo empregador com compensação previdenciária.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Empregado doméstico.</w:t>
      </w:r>
      <w:r>
        <w:rPr>
          <w:rFonts w:ascii="EB Garamond" w:hAnsi="EB Garamond" w:cs="EB Garamond"/>
          <w:b w:val="0"/>
          <w:i w:val="0"/>
          <w:color w:val="201B16"/>
          <w:sz w:val="21"/>
          <w:lang w:val="pt-BR" w:bidi="ar-SA"/>
          <w:kern w:val="16"/>
          <w14:ligatures w14:val="standardContextual"/>
        </w:rPr>
        <w:t xml:space="preserve"> Antes da Lei Complementar n. 150/2015, o empregado doméstico era excluído do salário-família. A LC 150/2015 (art. 34, que alterou o art. 65 da Lei n. 8.213/91) incluiu expressamente o empregado doméstico entre os beneficiários, corrigindo omissão historicamente criticada. O empregador doméstico paga o salário-família e compensa o valor no eSocial/DAE (Documento de Arrecadação do eSocial).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segurado especial (art. 11, VII) não é mencionado no art. 65 como beneficiário do salário-família. Entendemos que a exclusão decorre da incompatibilidade operacional: o segurado especial não tem empregador que possa pagar e compensar o benefício, e sua contribuição é sobre o resultado da comercialização (art. 25, Lei 8.212/91). Para o segurado especial que contribui facultativamente como contribuinte individual, a exclusão persiste, pois o art. 65 não o contempla nessa qualidade.</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15.26 Critério de baixa renda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D</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esde a EC 20/1998, o salário-família é devido apenas ao segurado de baixa renda. O critério é objetivo: a remuneração mensal do segurado deve ser igual ou inferior ao teto fixado em portaria interministerial, atualizada anualmente.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EC 103/2019 (art. 27, §2º) manteve a restrição constitucional e delegou ao regulamento a fixação do valor-limite. A Portaria Interministerial MPS/MF n. 13, de 9 de janeiro de 2026, fixou, para o exercício de 2026, o teto de remuneração para fins de salário-família em R$ 1.980,38. O segurado cuja remuneração mensal não ultrapasse esse valor faz jus ao benefício; o segurado cuja remuneração exceda o teto, ainda que por um centavo, perde o direito à cota integral.</w:t>
      </w:r>
    </w:p>
    <w:tbl>
      <w:tblPr>
        <w:tblW w:type="auto" w:w="0"/>
        <w:jc w:val="center"/>
        <w:tblLook w:firstColumn="1" w:firstRow="1" w:lastColumn="0" w:lastRow="0" w:noHBand="0" w:noVBand="1" w:val="04A0"/>
        <w:tblW w:w="4600" w:type="pct"/>
      </w:tblPr>
      <w:tblGrid>
        <w:gridCol w:w="6350"/>
      </w:tblGrid>
      <w:tr>
        <w:tc>
          <w:tcPr>
            <w:tcW w:type="dxa" w:w="6350"/>
            <w:vAlign w:val="top"/>
            <w:tcMar>
              <w:top w:w="100" w:type="dxa"/>
              <w:bottom w:w="100" w:type="dxa"/>
              <w:left w:w="240" w:type="dxa"/>
              <w:right w:w="180" w:type="dxa"/>
            </w:tcMar>
            <w:tcBorders>
              <w:top w:val="none" w:sz="0" w:space="0" w:color="auto"/>
              <w:bottom w:val="none" w:sz="0" w:space="0" w:color="auto"/>
              <w:right w:val="none" w:sz="0" w:space="0" w:color="auto"/>
              <w:left w:val="single" w:sz="16" w:space="0" w:color="B78B37"/>
            </w:tcBorders>
          </w:tcPr>
          <w:p>
            <w:pPr>
              <w:spacing w:before="0" w:after="40" w:line="252" w:lineRule="auto"/>
              <w:jc w:val="left"/>
            </w:pPr>
            <w:r>
              <w:rPr>
                <w:rFonts w:ascii="Noto Sans" w:hAnsi="Noto Sans" w:cs="Noto Sans"/>
                <w:b/>
                <w:i w:val="0"/>
                <w:color w:val="3A3128"/>
                <w:sz w:val="18"/>
                <w:lang w:val="pt-BR" w:bidi="ar-SA"/>
                <w:kern w:val="16"/>
                <w14:ligatures w14:val="standardContextual"/>
              </w:rPr>
              <w:t>Atenção</w:t>
            </w:r>
          </w:p>
          <w:p>
            <w:pPr>
              <w:spacing w:before="0" w:after="60" w:line="252" w:lineRule="auto"/>
              <w:jc w:val="both"/>
            </w:pPr>
            <w:r>
              <w:rPr>
                <w:rFonts w:ascii="EB Garamond" w:hAnsi="EB Garamond" w:cs="EB Garamond"/>
                <w:b w:val="0"/>
                <w:i/>
                <w:color w:val="3A3128"/>
                <w:sz w:val="20"/>
                <w:lang w:val="pt-BR" w:bidi="ar-SA"/>
                <w:kern w:val="16"/>
                <w14:ligatures w14:val="standardContextual"/>
              </w:rPr>
              <w:t>O valor-limite é atualizado anualmente por portaria interministerial. O profissional deve sempre consultar a portaria vigente para o exercício em curso. Para 2026, o teto é de R$ 1.980,38 (Portaria Interministerial MPS/MF n. 13/2026).</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M</w:t>
      </w:r>
    </w:p>
    <w:p>
      <w:pPr>
        <w:spacing w:before="0" w:after="70" w:line="259" w:lineRule="auto"/>
        <w:jc w:val="both"/>
      </w:pPr>
      <w:r>
        <w:rPr>
          <w:rFonts w:ascii="EB Garamond" w:hAnsi="EB Garamond" w:cs="EB Garamond"/>
          <w:b/>
          <w:i w:val="0"/>
          <w:color w:val="201B16"/>
          <w:sz w:val="21"/>
          <w:lang w:val="pt-BR" w:bidi="ar-SA"/>
          <w:kern w:val="16"/>
          <w14:ligatures w14:val="standardContextual"/>
        </w:rPr>
        <w:t>omento de aferição.</w:t>
      </w:r>
      <w:r>
        <w:rPr>
          <w:rFonts w:ascii="EB Garamond" w:hAnsi="EB Garamond" w:cs="EB Garamond"/>
          <w:b w:val="0"/>
          <w:i w:val="0"/>
          <w:color w:val="201B16"/>
          <w:sz w:val="21"/>
          <w:lang w:val="pt-BR" w:bidi="ar-SA"/>
          <w:kern w:val="16"/>
          <w14:ligatures w14:val="standardContextual"/>
        </w:rPr>
        <w:t xml:space="preserve"> A aferição do critério de baixa renda deve ser feita mês a mês. Se o segurado recebe remuneração inferior ao teto em determinado mês e superior no mês seguinte (por horas extras, comissões ou gratificações), perde o direito ao salário-família no mês em que a remuneração ultrapassou o limite, recuperando-o nos meses em que a remuneração retornar ao patamar inferior. O Decreto n. 3.048/99, art. 82, §2º, é expresso nesse sentido.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Segurado com mais de um vínculo.</w:t>
      </w:r>
      <w:r>
        <w:rPr>
          <w:rFonts w:ascii="EB Garamond" w:hAnsi="EB Garamond" w:cs="EB Garamond"/>
          <w:b w:val="0"/>
          <w:i w:val="0"/>
          <w:color w:val="201B16"/>
          <w:sz w:val="21"/>
          <w:lang w:val="pt-BR" w:bidi="ar-SA"/>
          <w:kern w:val="16"/>
          <w14:ligatures w14:val="standardContextual"/>
        </w:rPr>
        <w:t xml:space="preserve"> Quando o mesmo segurado mantém dois ou mais vínculos empregatícios simultâneos, a baixa renda é aferida pela </w:t>
      </w:r>
      <w:r>
        <w:rPr>
          <w:rFonts w:ascii="EB Garamond" w:hAnsi="EB Garamond" w:cs="EB Garamond"/>
          <w:b w:val="0"/>
          <w:i/>
          <w:color w:val="201B16"/>
          <w:sz w:val="21"/>
          <w:lang w:val="pt-BR" w:bidi="ar-SA"/>
          <w:kern w:val="16"/>
          <w14:ligatures w14:val="standardContextual"/>
        </w:rPr>
        <w:t>soma</w:t>
      </w:r>
      <w:r>
        <w:rPr>
          <w:rFonts w:ascii="EB Garamond" w:hAnsi="EB Garamond" w:cs="EB Garamond"/>
          <w:b w:val="0"/>
          <w:i w:val="0"/>
          <w:color w:val="201B16"/>
          <w:sz w:val="21"/>
          <w:lang w:val="pt-BR" w:bidi="ar-SA"/>
          <w:kern w:val="16"/>
          <w14:ligatures w14:val="standardContextual"/>
        </w:rPr>
        <w:t xml:space="preserve"> dos salários de contribuição, e não vínculo a vínculo. O art. 83 do Decreto n. 3.048/99 é expresso: "considera-se remuneração mensal do segurado o valor total do respectivo salário de contribuição, ainda que resultante da soma dos salários de contribuição correspondentes a atividades simultâneas". No mesmo sentido dispõe a Portaria Interministerial MPS/MF n. 13/2026. Assim, o segurado com dois empregos cujos salários de contribuição, somados, ultrapassem o teto de R$ 1.980,38 não faz jus ao salário-família, ainda que a remuneração de cada vínculo, isoladamente, fique abaixo do limite. Cumpre não confundir essa hipótese — multiplicidade de vínculos do </w:t>
      </w:r>
      <w:r>
        <w:rPr>
          <w:rFonts w:ascii="EB Garamond" w:hAnsi="EB Garamond" w:cs="EB Garamond"/>
          <w:b w:val="0"/>
          <w:i/>
          <w:color w:val="201B16"/>
          <w:sz w:val="21"/>
          <w:lang w:val="pt-BR" w:bidi="ar-SA"/>
          <w:kern w:val="16"/>
          <w14:ligatures w14:val="standardContextual"/>
        </w:rPr>
        <w:t>mesmo</w:t>
      </w:r>
      <w:r>
        <w:rPr>
          <w:rFonts w:ascii="EB Garamond" w:hAnsi="EB Garamond" w:cs="EB Garamond"/>
          <w:b w:val="0"/>
          <w:i w:val="0"/>
          <w:color w:val="201B16"/>
          <w:sz w:val="21"/>
          <w:lang w:val="pt-BR" w:bidi="ar-SA"/>
          <w:kern w:val="16"/>
          <w14:ligatures w14:val="standardContextual"/>
        </w:rPr>
        <w:t xml:space="preserve"> segurado, em que há soma — com a cumulação do benefício entre pessoas distintas (ambos os cônjuges ou companheiros segurados), na qual a baixa renda é aferida pela remuneração individual de cada titular, conforme exposto na seção 15.32.</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15.27 Valor da cota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valor do salário-família é fixo por cota e atualizado anualmente por portaria interministerial. Para o exercício de 2026, a Portaria Interministerial MPS/MF n. 13/2026 fixou o valor da cota em R$ 67,54 por filho ou equiparado.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Cada segurado recebe uma cota por filho (ou equiparado) menor de 14 anos ou inválido de qualquer idade. Não há limite de cotas: segurado com seis filhos menores de 14 anos recebe seis cotas (R$ 405,24 em valores de 2026).</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Filho ou equiparado.</w:t>
      </w:r>
      <w:r>
        <w:rPr>
          <w:rFonts w:ascii="EB Garamond" w:hAnsi="EB Garamond" w:cs="EB Garamond"/>
          <w:b w:val="0"/>
          <w:i w:val="0"/>
          <w:color w:val="201B16"/>
          <w:sz w:val="21"/>
          <w:lang w:val="pt-BR" w:bidi="ar-SA"/>
          <w:kern w:val="16"/>
          <w14:ligatures w14:val="standardContextual"/>
        </w:rPr>
        <w:t xml:space="preserve"> Consideram-se filhos, para fins de salário-família: (a) filhos biológicos; (b) filhos adotivos; (c) enteados; e (d) menores sob tutela judicial. Os enteados e os menores sob tutela são equiparados a filhos para esse efeito, desde que comprovada a dependência econômica, na forma do art. 16, §2º, da Lei n. 8.213/91.</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Limite de idade.</w:t>
      </w:r>
      <w:r>
        <w:rPr>
          <w:rFonts w:ascii="EB Garamond" w:hAnsi="EB Garamond" w:cs="EB Garamond"/>
          <w:b w:val="0"/>
          <w:i w:val="0"/>
          <w:color w:val="201B16"/>
          <w:sz w:val="21"/>
          <w:lang w:val="pt-BR" w:bidi="ar-SA"/>
          <w:kern w:val="16"/>
          <w14:ligatures w14:val="standardContextual"/>
        </w:rPr>
        <w:t xml:space="preserve"> O filho menor de 14 anos gera direito à cota até o mês em que completar 14 anos. A partir do mês seguinte ao aniversário de 14 anos, a cota cessa. Para o filho inválido, não há limite de idade: a cota é devida enquanto persistir a invalidez.</w:t>
      </w:r>
    </w:p>
    <w:tbl>
      <w:tblPr>
        <w:tblW w:type="auto" w:w="0"/>
        <w:jc w:val="center"/>
        <w:tblLook w:firstColumn="1" w:firstRow="1" w:lastColumn="0" w:lastRow="0" w:noHBand="0" w:noVBand="1" w:val="04A0"/>
        <w:tblW w:w="4600" w:type="pct"/>
      </w:tblPr>
      <w:tblGrid>
        <w:gridCol w:w="6350"/>
      </w:tblGrid>
      <w:tr>
        <w:tc>
          <w:tcPr>
            <w:tcW w:type="dxa" w:w="6350"/>
            <w:vAlign w:val="top"/>
            <w:tcMar>
              <w:top w:w="100" w:type="dxa"/>
              <w:bottom w:w="100" w:type="dxa"/>
              <w:left w:w="240" w:type="dxa"/>
              <w:right w:w="180" w:type="dxa"/>
            </w:tcMar>
            <w:tcBorders>
              <w:top w:val="none" w:sz="0" w:space="0" w:color="auto"/>
              <w:bottom w:val="none" w:sz="0" w:space="0" w:color="auto"/>
              <w:right w:val="none" w:sz="0" w:space="0" w:color="auto"/>
              <w:left w:val="single" w:sz="16" w:space="0" w:color="B78B37"/>
            </w:tcBorders>
          </w:tcPr>
          <w:p>
            <w:pPr>
              <w:spacing w:before="0" w:after="40" w:line="252" w:lineRule="auto"/>
              <w:jc w:val="left"/>
            </w:pPr>
            <w:r>
              <w:rPr>
                <w:rFonts w:ascii="Noto Sans" w:hAnsi="Noto Sans" w:cs="Noto Sans"/>
                <w:b/>
                <w:i w:val="0"/>
                <w:color w:val="3A3128"/>
                <w:sz w:val="18"/>
                <w:lang w:val="pt-BR" w:bidi="ar-SA"/>
                <w:kern w:val="16"/>
                <w14:ligatures w14:val="standardContextual"/>
              </w:rPr>
              <w:t>Na prática</w:t>
            </w:r>
          </w:p>
          <w:p>
            <w:pPr>
              <w:spacing w:before="0" w:after="60" w:line="252" w:lineRule="auto"/>
              <w:jc w:val="both"/>
            </w:pPr>
            <w:r>
              <w:rPr>
                <w:rFonts w:ascii="EB Garamond" w:hAnsi="EB Garamond" w:cs="EB Garamond"/>
                <w:b w:val="0"/>
                <w:i/>
                <w:color w:val="3A3128"/>
                <w:sz w:val="20"/>
                <w:lang w:val="pt-BR" w:bidi="ar-SA"/>
                <w:kern w:val="16"/>
                <w14:ligatures w14:val="standardContextual"/>
              </w:rPr>
              <w:t>Na prática dos JEFs, a questão do valor da cota raramente gera litígio. As ações envolvendo salário-família concentram-se no critério de baixa renda (segurado que alega ter direito porque o empregador não pagou) e na documentação (empregador que suspendeu o pagamento por falta de comprovante de frequência escolar).</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15.28 Documentação exigida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67 da Lei n. 8.213/91 e o art. 84 do Decreto n. 3.048/99 estabelecem a documentação necessária para a habilitação ao salário-família: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 Certidão de nascimento do filho ou documentação relativa ao equiparado.</w:t>
      </w:r>
      <w:r>
        <w:rPr>
          <w:rFonts w:ascii="EB Garamond" w:hAnsi="EB Garamond" w:cs="EB Garamond"/>
          <w:b w:val="0"/>
          <w:i w:val="0"/>
          <w:color w:val="201B16"/>
          <w:sz w:val="21"/>
          <w:lang w:val="pt-BR" w:bidi="ar-SA"/>
          <w:kern w:val="16"/>
          <w14:ligatures w14:val="standardContextual"/>
        </w:rPr>
        <w:t xml:space="preserve"> É o documento básico que comprova a existência do dependente e sua idade. Para enteados e menores sob tutela, exige-se, além da certidão de nascimento, a comprovação da dependência econômica (declaração firmada pelo segurado, na forma do regulamento) e, para menores sob tutela, o termo de tutela judicial.</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b) Caderneta de vacinação ou equivalente</w:t>
      </w:r>
      <w:r>
        <w:rPr>
          <w:rFonts w:ascii="EB Garamond" w:hAnsi="EB Garamond" w:cs="EB Garamond"/>
          <w:b w:val="0"/>
          <w:i w:val="0"/>
          <w:color w:val="201B16"/>
          <w:sz w:val="21"/>
          <w:lang w:val="pt-BR" w:bidi="ar-SA"/>
          <w:kern w:val="16"/>
          <w14:ligatures w14:val="standardContextual"/>
        </w:rPr>
        <w:t xml:space="preserve"> (para filhos de até 6 anos de idade). O segurado deve apresentar, anualmente, no mês de novembro, comprovante de vacinação obrigatória do filho de até 6 anos. A não apresentação acarreta a suspensão do pagamento da cota relativa àquele filho até a regularização (art. 67, Lei n. 8.213/91).</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 Comprovante de frequência escolar</w:t>
      </w:r>
      <w:r>
        <w:rPr>
          <w:rFonts w:ascii="EB Garamond" w:hAnsi="EB Garamond" w:cs="EB Garamond"/>
          <w:b w:val="0"/>
          <w:i w:val="0"/>
          <w:color w:val="201B16"/>
          <w:sz w:val="21"/>
          <w:lang w:val="pt-BR" w:bidi="ar-SA"/>
          <w:kern w:val="16"/>
          <w14:ligatures w14:val="standardContextual"/>
        </w:rPr>
        <w:t xml:space="preserve"> (para filhos de 7 a 14 anos). O segurado deve apresentar semestralmente, nos meses de maio e novembro, comprovante de frequência à escola do filho de 7 a 14 anos de idade. A não apresentação suspende o pagamento da cota até a regularização.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Atenção — Suspensão, não cessação</w:t>
            </w:r>
            <w:r>
              <w:rPr>
                <w:rFonts w:ascii="EB Garamond" w:hAnsi="EB Garamond" w:cs="EB Garamond"/>
                <w:b w:val="0"/>
                <w:i w:val="0"/>
                <w:color w:val="201B16"/>
                <w:sz w:val="19"/>
                <w:lang w:val="pt-BR" w:bidi="ar-SA"/>
                <w:kern w:val="16"/>
                <w14:ligatures w14:val="standardContextual"/>
              </w:rPr>
              <w:t xml:space="preserve"> A falta de apresentação da caderneta de vacinação ou do comprovante de frequência escolar acarreta a </w:t>
            </w:r>
            <w:r>
              <w:rPr>
                <w:rFonts w:ascii="EB Garamond" w:hAnsi="EB Garamond" w:cs="EB Garamond"/>
                <w:b w:val="0"/>
                <w:i/>
                <w:color w:val="201B16"/>
                <w:sz w:val="19"/>
                <w:lang w:val="pt-BR" w:bidi="ar-SA"/>
                <w:kern w:val="16"/>
                <w14:ligatures w14:val="standardContextual"/>
              </w:rPr>
              <w:t>suspensão</w:t>
            </w:r>
            <w:r>
              <w:rPr>
                <w:rFonts w:ascii="EB Garamond" w:hAnsi="EB Garamond" w:cs="EB Garamond"/>
                <w:b w:val="0"/>
                <w:i w:val="0"/>
                <w:color w:val="201B16"/>
                <w:sz w:val="19"/>
                <w:lang w:val="pt-BR" w:bidi="ar-SA"/>
                <w:kern w:val="16"/>
                <w14:ligatures w14:val="standardContextual"/>
              </w:rPr>
              <w:t xml:space="preserve"> do pagamento, e não a </w:t>
            </w:r>
            <w:r>
              <w:rPr>
                <w:rFonts w:ascii="EB Garamond" w:hAnsi="EB Garamond" w:cs="EB Garamond"/>
                <w:b w:val="0"/>
                <w:i/>
                <w:color w:val="201B16"/>
                <w:sz w:val="19"/>
                <w:lang w:val="pt-BR" w:bidi="ar-SA"/>
                <w:kern w:val="16"/>
                <w14:ligatures w14:val="standardContextual"/>
              </w:rPr>
              <w:t>cessação</w:t>
            </w:r>
            <w:r>
              <w:rPr>
                <w:rFonts w:ascii="EB Garamond" w:hAnsi="EB Garamond" w:cs="EB Garamond"/>
                <w:b w:val="0"/>
                <w:i w:val="0"/>
                <w:color w:val="201B16"/>
                <w:sz w:val="19"/>
                <w:lang w:val="pt-BR" w:bidi="ar-SA"/>
                <w:kern w:val="16"/>
                <w14:ligatures w14:val="standardContextual"/>
              </w:rPr>
              <w:t xml:space="preserve"> do benefício. Regularizada a documentação, o pagamento é restabelecido. O Decreto n. 3.048/99, art. 84, §2º, é claro: não há perda do direito, apenas suspensão da exigibilidade da prestação enquanto pendente a documentação. Essa distinção é relevante na prática dos JEFs, porque o INSS, em alguns casos, cessa o benefício ao invés de suspendê-lo, gerando demanda judicial para restabelecimento com pagamento das cotas retroativas ao período de suspensão indevida.</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15.29 Frequência escolar: obrigação semestral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exigência de comprovação de frequência escolar (art. 67, §2º, da Lei n. 8.213/91) merece análise destacada por ser a causa mais frequente de suspensão do salário-família na prática administrativa.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segurado deve comprovar a frequência escolar do filho de 7 a 14 anos semestralmente, nos meses de maio e novembro de cada ano. O comprovante é emitido pela escola e deve atestar que o menor está matriculado e frequentando regularmente as aulas. O Decreto n. 3.048/99 não exige percentual mínimo de frequência — basta a matrícula e a frequência regular atestada pela instituição de ensino.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Consequência da não apresentação.</w:t>
      </w:r>
      <w:r>
        <w:rPr>
          <w:rFonts w:ascii="EB Garamond" w:hAnsi="EB Garamond" w:cs="EB Garamond"/>
          <w:b w:val="0"/>
          <w:i w:val="0"/>
          <w:color w:val="201B16"/>
          <w:sz w:val="21"/>
          <w:lang w:val="pt-BR" w:bidi="ar-SA"/>
          <w:kern w:val="16"/>
          <w14:ligatures w14:val="standardContextual"/>
        </w:rPr>
        <w:t xml:space="preserve"> A falta do comprovante no prazo suspende o pagamento da cota a partir do mês seguinte ao da exigência (junho, se não apresentado em maio; dezembro, se não apresentado em novembro). A suspensão persiste até a apresentação do documento. Regularizada a situação, as cotas retroativas ao período de suspensão devem ser pagas, porque o direito ao benefício não se extinguiu — apenas o pagamento foi suspenso por descumprimento de obrigação formal.</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Filho que abandona a escola.</w:t>
      </w:r>
      <w:r>
        <w:rPr>
          <w:rFonts w:ascii="EB Garamond" w:hAnsi="EB Garamond" w:cs="EB Garamond"/>
          <w:b w:val="0"/>
          <w:i w:val="0"/>
          <w:color w:val="201B16"/>
          <w:sz w:val="21"/>
          <w:lang w:val="pt-BR" w:bidi="ar-SA"/>
          <w:kern w:val="16"/>
          <w14:ligatures w14:val="standardContextual"/>
        </w:rPr>
        <w:t xml:space="preserve"> Se o filho deixar de frequentar a escola, o segurado perde o direito à cota relativa àquele dependente. A perda persiste enquanto o menor não retornar à escola. Essa hipótese é distinta da mera falta de apresentação do comprovante (que gera suspensão, não cessação): aqui, o requisito material (frequência escolar) deixou de ser preenchido.</w:t>
      </w:r>
    </w:p>
    <w:tbl>
      <w:tblPr>
        <w:tblW w:type="auto" w:w="0"/>
        <w:jc w:val="center"/>
        <w:tblLook w:firstColumn="1" w:firstRow="1" w:lastColumn="0" w:lastRow="0" w:noHBand="0" w:noVBand="1" w:val="04A0"/>
        <w:tblW w:w="4600" w:type="pct"/>
      </w:tblPr>
      <w:tblGrid>
        <w:gridCol w:w="6350"/>
      </w:tblGrid>
      <w:tr>
        <w:tc>
          <w:tcPr>
            <w:tcW w:type="dxa" w:w="6350"/>
            <w:vAlign w:val="top"/>
            <w:tcMar>
              <w:top w:w="100" w:type="dxa"/>
              <w:bottom w:w="100" w:type="dxa"/>
              <w:left w:w="240" w:type="dxa"/>
              <w:right w:w="180" w:type="dxa"/>
            </w:tcMar>
            <w:tcBorders>
              <w:top w:val="none" w:sz="0" w:space="0" w:color="auto"/>
              <w:bottom w:val="none" w:sz="0" w:space="0" w:color="auto"/>
              <w:right w:val="none" w:sz="0" w:space="0" w:color="auto"/>
              <w:left w:val="single" w:sz="16" w:space="0" w:color="B78B37"/>
            </w:tcBorders>
          </w:tcPr>
          <w:p>
            <w:pPr>
              <w:spacing w:before="0" w:after="40" w:line="252" w:lineRule="auto"/>
              <w:jc w:val="left"/>
            </w:pPr>
            <w:r>
              <w:rPr>
                <w:rFonts w:ascii="Noto Sans" w:hAnsi="Noto Sans" w:cs="Noto Sans"/>
                <w:b/>
                <w:i w:val="0"/>
                <w:color w:val="3A3128"/>
                <w:sz w:val="18"/>
                <w:lang w:val="pt-BR" w:bidi="ar-SA"/>
                <w:kern w:val="16"/>
                <w14:ligatures w14:val="standardContextual"/>
              </w:rPr>
              <w:t>Na prática</w:t>
            </w:r>
          </w:p>
          <w:p>
            <w:pPr>
              <w:spacing w:before="0" w:after="60" w:line="252" w:lineRule="auto"/>
              <w:jc w:val="both"/>
            </w:pPr>
            <w:r>
              <w:rPr>
                <w:rFonts w:ascii="EB Garamond" w:hAnsi="EB Garamond" w:cs="EB Garamond"/>
                <w:b w:val="0"/>
                <w:i/>
                <w:color w:val="3A3128"/>
                <w:sz w:val="20"/>
                <w:lang w:val="pt-BR" w:bidi="ar-SA"/>
                <w:kern w:val="16"/>
                <w14:ligatures w14:val="standardContextual"/>
              </w:rPr>
              <w:t>Nos JEFs, a questão da frequência escolar surge em ações de restabelecimento: o empregador ou o INSS suspendeu o salário-família por falta de comprovante e o segurado alega que não foi notificado ou que apresentou o documento e este não foi processado. O juiz deve verificar se houve efetiva notificação do segurado sobre a necessidade de apresentação e se a suspensão foi precedida de oportunidade de regularização.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15.30 Pagamento e responsabilidade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mecanismo de pagamento do salário-família é peculiar no sistema previdenciário, porque envolve o empregador como intermediário: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 Segurado empregado e empregado doméstico.</w:t>
      </w:r>
      <w:r>
        <w:rPr>
          <w:rFonts w:ascii="EB Garamond" w:hAnsi="EB Garamond" w:cs="EB Garamond"/>
          <w:b w:val="0"/>
          <w:i w:val="0"/>
          <w:color w:val="201B16"/>
          <w:sz w:val="21"/>
          <w:lang w:val="pt-BR" w:bidi="ar-SA"/>
          <w:kern w:val="16"/>
          <w14:ligatures w14:val="standardContextual"/>
        </w:rPr>
        <w:t xml:space="preserve"> O empregador paga diretamente o salário-família ao segurado, junto com a remuneração mensal, e compensa o valor na guia de recolhimento previdenciário. No eSocial, a compensação é feita automaticamente mediante o registro do evento de salário-família. O empregador que não paga o salário-família ao segurado que tem direito assume responsabilidade direta, podendo ser demandado na Justiça do Trabalho.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b) Trabalhador avulso.</w:t>
      </w:r>
      <w:r>
        <w:rPr>
          <w:rFonts w:ascii="EB Garamond" w:hAnsi="EB Garamond" w:cs="EB Garamond"/>
          <w:b w:val="0"/>
          <w:i w:val="0"/>
          <w:color w:val="201B16"/>
          <w:sz w:val="21"/>
          <w:lang w:val="pt-BR" w:bidi="ar-SA"/>
          <w:kern w:val="16"/>
          <w14:ligatures w14:val="standardContextual"/>
        </w:rPr>
        <w:t xml:space="preserve"> O OGMO (Órgão Gestor de Mão de Obra) ou o sindicato intermediador paga o salário-família e compensa na contribuição previdenciária. Na ausência de OGMO, o sindicato assume a responsabilidade.</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 Aposentado e segurado em gozo de auxílio por incapacidade temporária.</w:t>
      </w:r>
      <w:r>
        <w:rPr>
          <w:rFonts w:ascii="EB Garamond" w:hAnsi="EB Garamond" w:cs="EB Garamond"/>
          <w:b w:val="0"/>
          <w:i w:val="0"/>
          <w:color w:val="201B16"/>
          <w:sz w:val="21"/>
          <w:lang w:val="pt-BR" w:bidi="ar-SA"/>
          <w:kern w:val="16"/>
          <w14:ligatures w14:val="standardContextual"/>
        </w:rPr>
        <w:t xml:space="preserve"> O INSS paga o salário-família diretamente, junto com a renda mensal do benefício. A habilitação é feita perante a autarquia, mediante apresentação da documentação exigida.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Início do pagamento.</w:t>
      </w:r>
      <w:r>
        <w:rPr>
          <w:rFonts w:ascii="EB Garamond" w:hAnsi="EB Garamond" w:cs="EB Garamond"/>
          <w:b w:val="0"/>
          <w:i w:val="0"/>
          <w:color w:val="201B16"/>
          <w:sz w:val="21"/>
          <w:lang w:val="pt-BR" w:bidi="ar-SA"/>
          <w:kern w:val="16"/>
          <w14:ligatures w14:val="standardContextual"/>
        </w:rPr>
        <w:t xml:space="preserve"> O salário-família é devido a partir da data da apresentação da certidão de nascimento do filho ou da documentação relativa ao equiparado (art. 68, Lei n. 8.213/91). Não há retroatividade à data do nascimento, salvo se o segurado comprovar que apresentou a documentação ao empregador na data do nascimento ou logo após.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15.31 Cessação do salário-família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direito à cota de salário-família cessa nas seguintes hipóteses (art. 88, Decreto n. 3.048/99):</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 Morte do filho ou equiparado.</w:t>
      </w:r>
      <w:r>
        <w:rPr>
          <w:rFonts w:ascii="EB Garamond" w:hAnsi="EB Garamond" w:cs="EB Garamond"/>
          <w:b w:val="0"/>
          <w:i w:val="0"/>
          <w:color w:val="201B16"/>
          <w:sz w:val="21"/>
          <w:lang w:val="pt-BR" w:bidi="ar-SA"/>
          <w:kern w:val="16"/>
          <w14:ligatures w14:val="standardContextual"/>
        </w:rPr>
        <w:t xml:space="preserve"> A cota cessa a partir do mês seguinte ao do óbito.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b) Filho que completa 14 anos de idade.</w:t>
      </w:r>
      <w:r>
        <w:rPr>
          <w:rFonts w:ascii="EB Garamond" w:hAnsi="EB Garamond" w:cs="EB Garamond"/>
          <w:b w:val="0"/>
          <w:i w:val="0"/>
          <w:color w:val="201B16"/>
          <w:sz w:val="21"/>
          <w:lang w:val="pt-BR" w:bidi="ar-SA"/>
          <w:kern w:val="16"/>
          <w14:ligatures w14:val="standardContextual"/>
        </w:rPr>
        <w:t xml:space="preserve"> A cota cessa a partir do mês seguinte ao do aniversário de 14 anos, salvo se o filho for inválido, caso em que a cota persiste sem limite de idade.</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 Cessação da invalidez do filho.</w:t>
      </w:r>
      <w:r>
        <w:rPr>
          <w:rFonts w:ascii="EB Garamond" w:hAnsi="EB Garamond" w:cs="EB Garamond"/>
          <w:b w:val="0"/>
          <w:i w:val="0"/>
          <w:color w:val="201B16"/>
          <w:sz w:val="21"/>
          <w:lang w:val="pt-BR" w:bidi="ar-SA"/>
          <w:kern w:val="16"/>
          <w14:ligatures w14:val="standardContextual"/>
        </w:rPr>
        <w:t xml:space="preserve"> Para o filho inválido que recupera a capacidade, a cota cessa a partir do mês seguinte à cessação da invalidez.</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d) Morte do segurado.</w:t>
      </w:r>
      <w:r>
        <w:rPr>
          <w:rFonts w:ascii="EB Garamond" w:hAnsi="EB Garamond" w:cs="EB Garamond"/>
          <w:b w:val="0"/>
          <w:i w:val="0"/>
          <w:color w:val="201B16"/>
          <w:sz w:val="21"/>
          <w:lang w:val="pt-BR" w:bidi="ar-SA"/>
          <w:kern w:val="16"/>
          <w14:ligatures w14:val="standardContextual"/>
        </w:rPr>
        <w:t xml:space="preserve"> O salário-família cessa com o óbito do segurado. Os dependentes sobreviventes poderão fazer jus à pensão por morte, mas o salário-família, em si, não se transmite.</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e) Perda da qualidade de segurado.</w:t>
      </w:r>
      <w:r>
        <w:rPr>
          <w:rFonts w:ascii="EB Garamond" w:hAnsi="EB Garamond" w:cs="EB Garamond"/>
          <w:b w:val="0"/>
          <w:i w:val="0"/>
          <w:color w:val="201B16"/>
          <w:sz w:val="21"/>
          <w:lang w:val="pt-BR" w:bidi="ar-SA"/>
          <w:kern w:val="16"/>
          <w14:ligatures w14:val="standardContextual"/>
        </w:rPr>
        <w:t xml:space="preserve"> A demissão ou o término do vínculo empregatício extingue o direito ao salário-família do segurado empregado, ressalvado o período de graça (art. 15, Lei n. 8.213/91) para o segurado aposentado ou em gozo de benefício por incapacidade.</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f) Remuneração superior ao teto.</w:t>
      </w:r>
      <w:r>
        <w:rPr>
          <w:rFonts w:ascii="EB Garamond" w:hAnsi="EB Garamond" w:cs="EB Garamond"/>
          <w:b w:val="0"/>
          <w:i w:val="0"/>
          <w:color w:val="201B16"/>
          <w:sz w:val="21"/>
          <w:lang w:val="pt-BR" w:bidi="ar-SA"/>
          <w:kern w:val="16"/>
          <w14:ligatures w14:val="standardContextual"/>
        </w:rPr>
        <w:t xml:space="preserve"> O segurado que passa a receber remuneração superior ao limite perde o direito enquanto persistir a remuneração acima do teto. Trata-se de hipótese de suspensão funcional, não de cessação definitiva.</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15.32 Cumulação entre cônjuges e companheiros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Q</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uestão prática relevante: quando ambos os cônjuges ou companheiros são segurados de baixa renda, cada um pode receber o salário-família em relação aos mesmos filhos? A resposta é afirmativa.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A resposta afirmativa funda-se na titularidade individual do direito, e não em qualquer dispositivo que trate diretamente da cumulação familiar — sobre a qual a lei é silente. O art. 65, </w:t>
      </w:r>
      <w:r>
        <w:rPr>
          <w:rFonts w:ascii="EB Garamond" w:hAnsi="EB Garamond" w:cs="EB Garamond"/>
          <w:b w:val="0"/>
          <w:i/>
          <w:color w:val="201B16"/>
          <w:sz w:val="21"/>
          <w:lang w:val="pt-BR" w:bidi="ar-SA"/>
          <w:kern w:val="16"/>
          <w14:ligatures w14:val="standardContextual"/>
        </w:rPr>
        <w:t>caput</w:t>
      </w:r>
      <w:r>
        <w:rPr>
          <w:rFonts w:ascii="EB Garamond" w:hAnsi="EB Garamond" w:cs="EB Garamond"/>
          <w:b w:val="0"/>
          <w:i w:val="0"/>
          <w:color w:val="201B16"/>
          <w:sz w:val="21"/>
          <w:lang w:val="pt-BR" w:bidi="ar-SA"/>
          <w:kern w:val="16"/>
          <w14:ligatures w14:val="standardContextual"/>
        </w:rPr>
        <w:t>, da Lei n. 8.213/91 atribui o salário-família ao "segurado empregado e o trabalhador avulso", isto é, define o beneficiário como cada segurado, individualmente considerado, e não o núcleo familiar como unidade de fruição. Logo, cada cônjuge ou companheiro que, por si só, preencha os requisitos (qualidade de segurado em categoria contemplada, baixa renda aferida por sua própria remuneração e existência de filho menor de 14 anos ou inválido) é titular autônomo do direito à cota, independentemente de o outro também o ser. Não há, no art. 65 nem em qualquer outro dispositivo, regra que condicione o benefício a um único titular por grupo familiar ou que vede a percepção simultânea por ambos os genitores.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O art. 66 da Lei n. 8.213/91 não rege essa questão: limita-se a </w:t>
      </w:r>
      <w:r>
        <w:rPr>
          <w:rFonts w:ascii="EB Garamond" w:hAnsi="EB Garamond" w:cs="EB Garamond"/>
          <w:b w:val="0"/>
          <w:i/>
          <w:color w:val="201B16"/>
          <w:sz w:val="21"/>
          <w:lang w:val="pt-BR" w:bidi="ar-SA"/>
          <w:kern w:val="16"/>
          <w14:ligatures w14:val="standardContextual"/>
        </w:rPr>
        <w:t>quantificar</w:t>
      </w:r>
      <w:r>
        <w:rPr>
          <w:rFonts w:ascii="EB Garamond" w:hAnsi="EB Garamond" w:cs="EB Garamond"/>
          <w:b w:val="0"/>
          <w:i w:val="0"/>
          <w:color w:val="201B16"/>
          <w:sz w:val="21"/>
          <w:lang w:val="pt-BR" w:bidi="ar-SA"/>
          <w:kern w:val="16"/>
          <w14:ligatures w14:val="standardContextual"/>
        </w:rPr>
        <w:t xml:space="preserve"> a prestação, ao dispor que "o valor da cota do salário-família, por filho ou equiparado de qualquer condição, até 14 (quatorze) anos de idade ou inválido de qualquer idade, será de [valor fixado em ato do Poder Executivo]". Trata-se da norma que define o valor da cota — invocável apenas para esse fim —, e não de fundamento da individualidade ou da cumulação, que decorre, como visto, do art. 65.</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isso significa que uma família com pai e mãe empregados, ambos com remuneração inferior ao teto, e dois filhos menores de 14 anos, receberá quatro cotas de salário-família: duas pagas pelo empregador do pai e duas pagas pelo empregador da mãe. O valor total (4 x R$ 67,54 = R$ 270,16 em 2026) complementa a renda familiar. Entendemos que essa cumulação é constitucional e legal: como o direito é deferido a cada "segurado" (art. 65), e não à família, a percepção por ambos os genitores não configura duplicidade vedada, mas exercício simultâneo de direitos individuais distintos.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15.33 Impacto da EC 103/2019 e regime jurídico atual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EC 103/2019 (art. 27, §2º) manteve a restrição do salário-família ao segurado de baixa renda e delegou ao regulamento a fixação dos valores. O impacto principal da reforma sobre o salário-família não está na alteração de suas regras (que permaneceram substancialmente inalteradas), mas no contexto mais amplo de contenção de gastos previdenciários.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art. 13 da EC 103/2019 determinou que, até que lei discipline o acesso ao salário-família do segurado de baixa renda, aplica-se o disposto nos arts. 65 a 70 da Lei n. 8.213/91. Na prática, a legislação vigente não sofreu alteração relevante, e o regime do salário-família permanece o mesmo desde a EC 20/1998, com atualização anual dos valores de cota e do teto de remuneração.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Entendemos que a delegação ao regulamento para fixação do teto de remuneração é constitucional, na medida em que o conceito de "baixa renda" é indeterminado e exige concretização normativa periódica para acompanhar a evolução salarial. A fixação por portaria interministerial, embora criticável pela ausência de debate legislativo, é mecanismo ágil que permite atualização anual sem necessidade de processo legislativo.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15.34 Jurisprudência e controvérsias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salário-família é benefício de baixa litigiosidade se comparado ao auxílio-acidente ou aos benefícios por incapacidade. As controvérsias que chegam ao Judiciário concentram-se em quatro eixos: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 Critério de baixa renda — renda individual vs. Renda familiar.</w:t>
      </w:r>
      <w:r>
        <w:rPr>
          <w:rFonts w:ascii="EB Garamond" w:hAnsi="EB Garamond" w:cs="EB Garamond"/>
          <w:b w:val="0"/>
          <w:i w:val="0"/>
          <w:color w:val="201B16"/>
          <w:sz w:val="21"/>
          <w:lang w:val="pt-BR" w:bidi="ar-SA"/>
          <w:kern w:val="16"/>
          <w14:ligatures w14:val="standardContextual"/>
        </w:rPr>
        <w:t xml:space="preserve"> A jurisprudência pacífica adota o critério da renda individual </w:t>
      </w:r>
      <w:r>
        <w:rPr>
          <w:rFonts w:ascii="EB Garamond" w:hAnsi="EB Garamond" w:cs="EB Garamond"/>
          <w:b w:val="0"/>
          <w:i/>
          <w:color w:val="201B16"/>
          <w:sz w:val="21"/>
          <w:lang w:val="pt-BR" w:bidi="ar-SA"/>
          <w:kern w:val="16"/>
          <w14:ligatures w14:val="standardContextual"/>
        </w:rPr>
        <w:t>do segurado</w:t>
      </w:r>
      <w:r>
        <w:rPr>
          <w:rFonts w:ascii="EB Garamond" w:hAnsi="EB Garamond" w:cs="EB Garamond"/>
          <w:b w:val="0"/>
          <w:i w:val="0"/>
          <w:color w:val="201B16"/>
          <w:sz w:val="21"/>
          <w:lang w:val="pt-BR" w:bidi="ar-SA"/>
          <w:kern w:val="16"/>
          <w14:ligatures w14:val="standardContextual"/>
        </w:rPr>
        <w:t xml:space="preserve">, não da renda familiar: o teto é aferido pela remuneração do próprio segurado, e não pela renda per capita da família ou pela soma das remunerações de cônjuges ou companheiros (cada qual titular autônomo, conforme a seção 15.32). Essa interpretação decorre da literalidade do art. 65, que se refere ao "segurado empregado" com "remuneração mensal" não superior ao limite. Ponto distinto, e que não se confunde com aquele, é o do segurado que mantém </w:t>
      </w:r>
      <w:r>
        <w:rPr>
          <w:rFonts w:ascii="EB Garamond" w:hAnsi="EB Garamond" w:cs="EB Garamond"/>
          <w:b w:val="0"/>
          <w:i/>
          <w:color w:val="201B16"/>
          <w:sz w:val="21"/>
          <w:lang w:val="pt-BR" w:bidi="ar-SA"/>
          <w:kern w:val="16"/>
          <w14:ligatures w14:val="standardContextual"/>
        </w:rPr>
        <w:t>mais de um vínculo simultâneo</w:t>
      </w:r>
      <w:r>
        <w:rPr>
          <w:rFonts w:ascii="EB Garamond" w:hAnsi="EB Garamond" w:cs="EB Garamond"/>
          <w:b w:val="0"/>
          <w:i w:val="0"/>
          <w:color w:val="201B16"/>
          <w:sz w:val="21"/>
          <w:lang w:val="pt-BR" w:bidi="ar-SA"/>
          <w:kern w:val="16"/>
          <w14:ligatures w14:val="standardContextual"/>
        </w:rPr>
        <w:t>: nesse caso, a "remuneração mensal" corresponde à soma dos salários de contribuição das atividades concomitantes (art. 83 do Decreto n. 3.048/99), de modo que a baixa renda é aferida sobre o total, e não por vínculo isolado (v. Seção 15.26).</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b) Empregador que não paga o salário-família.</w:t>
      </w:r>
      <w:r>
        <w:rPr>
          <w:rFonts w:ascii="EB Garamond" w:hAnsi="EB Garamond" w:cs="EB Garamond"/>
          <w:b w:val="0"/>
          <w:i w:val="0"/>
          <w:color w:val="201B16"/>
          <w:sz w:val="21"/>
          <w:lang w:val="pt-BR" w:bidi="ar-SA"/>
          <w:kern w:val="16"/>
          <w14:ligatures w14:val="standardContextual"/>
        </w:rPr>
        <w:t xml:space="preserve"> A competência para a ação contra o empregador que não paga o salário-família é da Justiça do Trabalho, não da Justiça Federal, porque a relação jurídica é trabalhista (obrigação do empregador decorrente do vínculo de emprego). Já a ação contra o INSS para pagamento de salário-família ao aposentado ou ao segurado em gozo de benefício por incapacidade é de competência da Justiça Federal/JEFs.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 Retroatividade das cotas não pagas.</w:t>
      </w:r>
      <w:r>
        <w:rPr>
          <w:rFonts w:ascii="EB Garamond" w:hAnsi="EB Garamond" w:cs="EB Garamond"/>
          <w:b w:val="0"/>
          <w:i w:val="0"/>
          <w:color w:val="201B16"/>
          <w:sz w:val="21"/>
          <w:lang w:val="pt-BR" w:bidi="ar-SA"/>
          <w:kern w:val="16"/>
          <w14:ligatures w14:val="standardContextual"/>
        </w:rPr>
        <w:t xml:space="preserve"> O segurado que comprova ter apresentado a documentação ao empregador e não recebeu o salário-família tem direito à retroatividade das cotas desde a data da apresentação. O prazo prescricional é quinquenal (Súmula 85/STJ, aplicável por analogia). Na prática dos JEFs, a questão surge quando o INSS deixa de incluir o salário-família no benefício de aposentadoria ou auxílio por incapacidade temporária, apesar de o segurado ter requerido e apresentado documentação.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d) Extensão a categorias não previstas.</w:t>
      </w:r>
      <w:r>
        <w:rPr>
          <w:rFonts w:ascii="EB Garamond" w:hAnsi="EB Garamond" w:cs="EB Garamond"/>
          <w:b w:val="0"/>
          <w:i w:val="0"/>
          <w:color w:val="201B16"/>
          <w:sz w:val="21"/>
          <w:lang w:val="pt-BR" w:bidi="ar-SA"/>
          <w:kern w:val="16"/>
          <w14:ligatures w14:val="standardContextual"/>
        </w:rPr>
        <w:t xml:space="preserve"> A doutrina minoritária sustenta a inconstitucionalidade da exclusão do contribuinte individual e do segurado facultativo, invocando o princípio da universalidade da cobertura (art. 194, parágrafo único, I, CF). Santos (2025) argumenta que a restrição do art. 65 fere o princípio da isonomia ao negar proteção aos filhos de segurados de baixa renda pelo simples fato de seus pais não manterem vínculo empregatício. A questão, todavia, não está pacificada no STJ ou no STF, e o entendimento predominante é pela constitucionalidade da restrição, fundada na estrutura contributiva do RGPS e no mecanismo operacional do benefício (pagamento pelo empregador com compensação).</w:t>
      </w:r>
    </w:p>
    <w:tbl>
      <w:tblPr>
        <w:tblW w:type="auto" w:w="0"/>
        <w:jc w:val="center"/>
        <w:tblLook w:firstColumn="1" w:firstRow="1" w:lastColumn="0" w:lastRow="0" w:noHBand="0" w:noVBand="1" w:val="04A0"/>
        <w:tblW w:w="4600" w:type="pct"/>
      </w:tblPr>
      <w:tblGrid>
        <w:gridCol w:w="6350"/>
      </w:tblGrid>
      <w:tr>
        <w:tc>
          <w:tcPr>
            <w:tcW w:type="dxa" w:w="6350"/>
            <w:vAlign w:val="top"/>
            <w:tcMar>
              <w:top w:w="100" w:type="dxa"/>
              <w:bottom w:w="100" w:type="dxa"/>
              <w:left w:w="240" w:type="dxa"/>
              <w:right w:w="180" w:type="dxa"/>
            </w:tcMar>
            <w:tcBorders>
              <w:top w:val="none" w:sz="0" w:space="0" w:color="auto"/>
              <w:bottom w:val="none" w:sz="0" w:space="0" w:color="auto"/>
              <w:right w:val="none" w:sz="0" w:space="0" w:color="auto"/>
              <w:left w:val="single" w:sz="16" w:space="0" w:color="B78B37"/>
            </w:tcBorders>
          </w:tcPr>
          <w:p>
            <w:pPr>
              <w:spacing w:before="0" w:after="40" w:line="252" w:lineRule="auto"/>
              <w:jc w:val="left"/>
            </w:pPr>
            <w:r>
              <w:rPr>
                <w:rFonts w:ascii="Noto Sans" w:hAnsi="Noto Sans" w:cs="Noto Sans"/>
                <w:b/>
                <w:i w:val="0"/>
                <w:color w:val="3A3128"/>
                <w:sz w:val="18"/>
                <w:lang w:val="pt-BR" w:bidi="ar-SA"/>
                <w:kern w:val="16"/>
                <w14:ligatures w14:val="standardContextual"/>
              </w:rPr>
              <w:t>Atenção</w:t>
            </w:r>
          </w:p>
          <w:p>
            <w:pPr>
              <w:spacing w:before="0" w:after="60" w:line="252" w:lineRule="auto"/>
              <w:jc w:val="both"/>
            </w:pPr>
            <w:r>
              <w:rPr>
                <w:rFonts w:ascii="EB Garamond" w:hAnsi="EB Garamond" w:cs="EB Garamond"/>
                <w:b w:val="0"/>
                <w:i/>
                <w:color w:val="3A3128"/>
                <w:sz w:val="20"/>
                <w:lang w:val="pt-BR" w:bidi="ar-SA"/>
                <w:kern w:val="16"/>
                <w14:ligatures w14:val="standardContextual"/>
              </w:rPr>
              <w:t>Nos JEFs, a competência para ações de salário-família depende do réu: contra o INSS (aposentado, segurado em gozo de benefício), a competência é da Justiça Federal/JEF; contra o empregador, a competência é da Justiça do Trabalho. O juiz do JEF deve estar atento à legitimidade passiva e à competência material ao receber ações de salário-família.</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15.35 Prática nos JEFs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 ações de salário-família nos Juizados Especiais Federais representam volume reduzido em relação ao total do contencioso previdenciário. As demandas mais comuns são: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 Concessão de salário-família ao aposentado ou ao segurado em gozo de benefício por incapacidade.</w:t>
      </w:r>
      <w:r>
        <w:rPr>
          <w:rFonts w:ascii="EB Garamond" w:hAnsi="EB Garamond" w:cs="EB Garamond"/>
          <w:b w:val="0"/>
          <w:i w:val="0"/>
          <w:color w:val="201B16"/>
          <w:sz w:val="21"/>
          <w:lang w:val="pt-BR" w:bidi="ar-SA"/>
          <w:kern w:val="16"/>
          <w14:ligatures w14:val="standardContextual"/>
        </w:rPr>
        <w:t xml:space="preserve"> O segurado apresenta requerimento ao INSS com a documentação exigida e tem o pedido indeferido, geralmente por suposta renda superior ao teto ou por inconsistência documental. A ação é simples: comprovação da renda do benefício (inferior ao teto) e da existência de filhos menores de 14 anos ou inválidos.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b) Restabelecimento de salário-família suspenso.</w:t>
      </w:r>
      <w:r>
        <w:rPr>
          <w:rFonts w:ascii="EB Garamond" w:hAnsi="EB Garamond" w:cs="EB Garamond"/>
          <w:b w:val="0"/>
          <w:i w:val="0"/>
          <w:color w:val="201B16"/>
          <w:sz w:val="21"/>
          <w:lang w:val="pt-BR" w:bidi="ar-SA"/>
          <w:kern w:val="16"/>
          <w14:ligatures w14:val="standardContextual"/>
        </w:rPr>
        <w:t xml:space="preserve"> O INSS suspende o pagamento por falta de comprovante de frequência escolar ou caderneta de vacinação, e o segurado alega ter apresentado a documentação ou não ter sido notificado da exigência. O juiz deve verificar se houve regular notificação e oportunidade de regularização.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 Pagamento retroativo de cotas.</w:t>
      </w:r>
      <w:r>
        <w:rPr>
          <w:rFonts w:ascii="EB Garamond" w:hAnsi="EB Garamond" w:cs="EB Garamond"/>
          <w:b w:val="0"/>
          <w:i w:val="0"/>
          <w:color w:val="201B16"/>
          <w:sz w:val="21"/>
          <w:lang w:val="pt-BR" w:bidi="ar-SA"/>
          <w:kern w:val="16"/>
          <w14:ligatures w14:val="standardContextual"/>
        </w:rPr>
        <w:t xml:space="preserve"> O segurado que comprova ter direito ao salário-família durante determinado período e não o recebeu pleiteia o pagamento retroativo das cotas. A prescrição quinquenal (Súmula 85/STJ) limita a retroatividade.</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Valor da causa.</w:t>
      </w:r>
      <w:r>
        <w:rPr>
          <w:rFonts w:ascii="EB Garamond" w:hAnsi="EB Garamond" w:cs="EB Garamond"/>
          <w:b w:val="0"/>
          <w:i w:val="0"/>
          <w:color w:val="201B16"/>
          <w:sz w:val="21"/>
          <w:lang w:val="pt-BR" w:bidi="ar-SA"/>
          <w:kern w:val="16"/>
          <w14:ligatures w14:val="standardContextual"/>
        </w:rPr>
        <w:t xml:space="preserve"> Nas ações de salário-família, o valor da causa é geralmente baixo (cotas de R$ 67,54/mês por filho), o que situa a grande maioria das demandas dentro da competência dos JEFs (até 60 salários-mínimos). A simplicidade do benefício e o baixo valor envolvido tornam essas ações de tramitação célere e instrução simples.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Legitimidade e interesse de agir.</w:t>
      </w:r>
      <w:r>
        <w:rPr>
          <w:rFonts w:ascii="EB Garamond" w:hAnsi="EB Garamond" w:cs="EB Garamond"/>
          <w:b w:val="0"/>
          <w:i w:val="0"/>
          <w:color w:val="201B16"/>
          <w:sz w:val="21"/>
          <w:lang w:val="pt-BR" w:bidi="ar-SA"/>
          <w:kern w:val="16"/>
          <w14:ligatures w14:val="standardContextual"/>
        </w:rPr>
        <w:t xml:space="preserve"> O segurado aposentado ou em gozo de benefício por incapacidade que tem o salário-família negado ou suspenso pelo INSS possui legitimidade ativa e interesse de agir perante o JEF, dispensado o prévio requerimento administrativo quando o INSS já demonstrou resistência à pretensão (Tema 350/STF — RE 631.240). Na prática, a maioria das ações de salário-família é precedida de requerimento administrativo, porque o segurado necessita da negativa para ingressar em juízo.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Segurado aposentado por idade, 66 anos, renda mensal de R$ 1.621,00, com neta de 8 anos sob tutela judicial. Requer salário-família ao INSS, que indefere sob o argumento de que "neta não é filha." O segurado ajuíza ação no JEF, apresentando: certidão de nascimento da neta, termo de tutela judicial e comprovante de frequência escolar. O juiz concede o salário-família, fundamentando: (i) a menor sob tutela é equiparada a filha para fins previdenciários (art. 16, §2º, Lei 8.213/91); (ii) a renda do segurado (R$ 1.621,00) é inferior ao teto de R$ 1.980,38; (iii) a documentação exigida pelo art. 67 está completa. A DIB retroage à data do requerimento administrativo.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15.36 Quadro prático — salário-família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5F3EF" w:val="clear"/>
            <w:tcBorders>
              <w:top w:val="single" w:sz="7" w:space="0" w:color="A09882"/>
              <w:bottom w:val="single" w:sz="7" w:space="0" w:color="A09882"/>
              <w:right w:val="single" w:sz="7" w:space="0" w:color="A09882"/>
              <w:left w:val="single" w:sz="24" w:space="0" w:color="6B6256"/>
            </w:tcBorders>
          </w:tcPr>
          <w:p>
            <w:pPr>
              <w:spacing w:before="0" w:after="60" w:line="240" w:lineRule="auto"/>
              <w:jc w:val="left"/>
            </w:pPr>
            <w:r>
              <w:rPr>
                <w:rFonts w:ascii="Noto Sans" w:hAnsi="Noto Sans" w:cs="Noto Sans"/>
                <w:b/>
                <w:i w:val="0"/>
                <w:caps/>
                <w:color w:val="6B6256"/>
                <w:sz w:val="16"/>
                <w:lang w:val="pt-BR" w:bidi="ar-SA"/>
                <w:kern w:val="16"/>
                <w14:ligatures w14:val="standardContextual"/>
              </w:rPr>
              <w:t>QUADRO</w:t>
            </w:r>
          </w:p>
          <w:p>
            <w:pPr>
              <w:spacing w:before="0" w:after="60" w:line="247" w:lineRule="auto"/>
              <w:jc w:val="both"/>
            </w:pPr>
            <w:r>
              <w:rPr>
                <w:rFonts w:ascii="EB Garamond" w:hAnsi="EB Garamond" w:cs="EB Garamond"/>
                <w:b/>
                <w:i w:val="0"/>
                <w:color w:val="201B16"/>
                <w:sz w:val="19"/>
                <w:lang w:val="pt-BR" w:bidi="ar-SA"/>
                <w:kern w:val="16"/>
                <w14:ligatures w14:val="standardContextual"/>
              </w:rPr>
              <w:t>Quadro 15.7 — Requisitos do Salário-Família</w:t>
            </w:r>
          </w:p>
          <w:tbl>
            <w:tblPr>
              <w:tblW w:type="auto" w:w="0"/>
              <w:jc w:val="center"/>
              <w:tblLook w:firstColumn="1" w:firstRow="1" w:lastColumn="0" w:lastRow="0" w:noHBand="0" w:noVBand="1" w:val="04A0"/>
              <w:tblW w:w="5000" w:type="pct"/>
            </w:tblPr>
            <w:tblGrid>
              <w:gridCol w:w="3175"/>
              <w:gridCol w:w="3175"/>
            </w:tblGrid>
            <w:tr>
              <w:trPr>
                <w:tblHeader/>
              </w:trPr>
              <w:tc>
                <w:tcPr>
                  <w:tcW w:type="dxa" w:w="3175"/>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Requisito</w:t>
                  </w:r>
                </w:p>
              </w:tc>
              <w:tc>
                <w:tcPr>
                  <w:tcW w:type="dxa" w:w="3175"/>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Descrição</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Segurados</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Empregado, doméstico, avulso, aposentado, segurado em gozo de auxílio por incapacidade temporária</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Excluídos</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Contribuinte individual, facultativo, segurado especial</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Critério de renda</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Remuneração mensal ≤ R$ 1.980,38 (Portaria MPS/MF n. 13/2026)</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Dependente</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Filho ou equiparado menor de 14 anos ou inválido de qualquer idade</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Valor da cota</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R$ 67,54 por filho/equiparado (2026)</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Limite de cotas</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 há</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Carência</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Dispensada (art. 26, I, Lei 8.213/91)</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Documentação</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Certidão de nascimento + vacinação (até 6 anos) + frequência escolar (7-14 anos)</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Pagamento</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Empregador (empregado/doméstico), OGMO (avulso), INSS (aposentado/benefício por incapacidade)</w:t>
                  </w:r>
                </w:p>
              </w:tc>
            </w:tr>
          </w:tbl>
          <w:p/>
          <w:p>
            <w:pPr>
              <w:spacing w:before="0" w:after="0" w:line="240" w:lineRule="auto"/>
            </w:pP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5F3EF" w:val="clear"/>
            <w:tcBorders>
              <w:top w:val="single" w:sz="7" w:space="0" w:color="A09882"/>
              <w:bottom w:val="single" w:sz="7" w:space="0" w:color="A09882"/>
              <w:right w:val="single" w:sz="7" w:space="0" w:color="A09882"/>
              <w:left w:val="single" w:sz="24" w:space="0" w:color="6B6256"/>
            </w:tcBorders>
          </w:tcPr>
          <w:p>
            <w:pPr>
              <w:spacing w:before="0" w:after="60" w:line="240" w:lineRule="auto"/>
              <w:jc w:val="left"/>
            </w:pPr>
            <w:r>
              <w:rPr>
                <w:rFonts w:ascii="Noto Sans" w:hAnsi="Noto Sans" w:cs="Noto Sans"/>
                <w:b/>
                <w:i w:val="0"/>
                <w:caps/>
                <w:color w:val="6B6256"/>
                <w:sz w:val="16"/>
                <w:lang w:val="pt-BR" w:bidi="ar-SA"/>
                <w:kern w:val="16"/>
                <w14:ligatures w14:val="standardContextual"/>
              </w:rPr>
              <w:t>QUADRO</w:t>
            </w:r>
          </w:p>
          <w:p>
            <w:pPr>
              <w:spacing w:before="0" w:after="60" w:line="247" w:lineRule="auto"/>
              <w:jc w:val="both"/>
            </w:pPr>
            <w:r>
              <w:rPr>
                <w:rFonts w:ascii="EB Garamond" w:hAnsi="EB Garamond" w:cs="EB Garamond"/>
                <w:b/>
                <w:i w:val="0"/>
                <w:color w:val="201B16"/>
                <w:sz w:val="19"/>
                <w:lang w:val="pt-BR" w:bidi="ar-SA"/>
                <w:kern w:val="16"/>
                <w14:ligatures w14:val="standardContextual"/>
              </w:rPr>
              <w:t>Quadro 15.8 — Cessação do Salário-Família</w:t>
            </w:r>
          </w:p>
          <w:tbl>
            <w:tblPr>
              <w:tblW w:type="auto" w:w="0"/>
              <w:jc w:val="center"/>
              <w:tblLook w:firstColumn="1" w:firstRow="1" w:lastColumn="0" w:lastRow="0" w:noHBand="0" w:noVBand="1" w:val="04A0"/>
              <w:tblW w:w="5000" w:type="pct"/>
            </w:tblPr>
            <w:tblGrid>
              <w:gridCol w:w="3175"/>
              <w:gridCol w:w="3175"/>
            </w:tblGrid>
            <w:tr>
              <w:trPr>
                <w:tblHeader/>
              </w:trPr>
              <w:tc>
                <w:tcPr>
                  <w:tcW w:type="dxa" w:w="3175"/>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Hipótese</w:t>
                  </w:r>
                </w:p>
              </w:tc>
              <w:tc>
                <w:tcPr>
                  <w:tcW w:type="dxa" w:w="3175"/>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Efeito</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Morte do filho</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Cessa no mês seguinte</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Filho completa 14 anos</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Cessa no mês seguinte (salvo invalidez)</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Cessação da invalidez</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Cessa no mês seguinte</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Morte do segurado</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Cessa imediatamente</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Remuneração acima do teto</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Suspensão enquanto perdurar</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Falta de vacinação/frequência escolar</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Suspensão até regularização</w:t>
                  </w:r>
                </w:p>
              </w:tc>
            </w:tr>
          </w:tbl>
          <w:p/>
          <w:p>
            <w:pPr>
              <w:spacing w:before="0" w:after="0" w:line="240" w:lineRule="auto"/>
            </w:pPr>
          </w:p>
        </w:tc>
      </w:tr>
    </w:tbl>
    <w:p>
      <w:pPr>
        <w:spacing w:before="0" w:after="80" w:line="240" w:lineRule="auto"/>
      </w:pPr>
    </w:p>
    <w:p>
      <w:pPr>
        <w:sectPr>
          <w:headerReference w:type="default" r:id="rId159"/>
          <w:headerReference w:type="even" r:id="rId160"/>
          <w:footerReference w:type="default" r:id="rId161"/>
          <w:footerReference w:type="even" r:id="rId162"/>
          <w:headerReference w:type="first" r:id="rId163"/>
          <w:footerReference w:type="first" r:id="rId164"/>
          <w:pgSz w:w="8391" w:h="11906"/>
          <w:pgMar w:top="935" w:right="879" w:bottom="964" w:left="1162" w:header="454" w:footer="425" w:gutter="0" w:mirrorMargins="1"/>
          <w:cols w:space="720"/>
          <w:titlePg/>
          <w:docGrid w:linePitch="360"/>
        </w:sectPr>
      </w:pPr>
    </w:p>
    <w:p>
      <w:pPr>
        <w:spacing w:before="240" w:after="80" w:line="240" w:lineRule="auto"/>
        <w:jc w:val="center"/>
        <w:keepNext/>
      </w:pPr>
      <w:r>
        <w:rPr>
          <w:rFonts w:ascii="Noto Sans" w:hAnsi="Noto Sans" w:cs="Noto Sans"/>
          <w:b/>
          <w:i w:val="0"/>
          <w:caps/>
          <w:color w:val="8A6A2A"/>
          <w:sz w:val="19"/>
          <w:lang w:val="pt-BR" w:bidi="ar-SA"/>
          <w:kern w:val="16"/>
          <w14:ligatures w14:val="standardContextual"/>
        </w:rPr>
        <w:t>CAPÍTULO 16</w:t>
      </w:r>
    </w:p>
    <w:p>
      <w:pPr>
        <w:pStyle w:val="Heading2"/>
        <w:spacing w:before="0" w:after="160" w:line="240" w:lineRule="auto"/>
        <w:jc w:val="center"/>
        <w:keepNext/>
      </w:pPr>
      <w:r>
        <w:rPr>
          <w:rFonts w:ascii="EB Garamond" w:hAnsi="EB Garamond" w:cs="EB Garamond"/>
          <w:b/>
          <w:i w:val="0"/>
          <w:caps/>
          <w:color w:val="2F2923"/>
          <w:sz w:val="40"/>
          <w:lang w:val="pt-BR" w:bidi="ar-SA"/>
          <w:kern w:val="16"/>
          <w14:ligatures w14:val="standardContextual"/>
        </w:rPr>
        <w:t>Cálculo do Benefício: Salário de Benefício e RMI</w:t>
      </w:r>
    </w:p>
    <w:p>
      <w:pPr>
        <w:spacing w:before="0" w:after="240" w:line="240" w:lineRule="auto"/>
        <w:jc w:val="center"/>
      </w:pPr>
      <w:r>
        <w:rPr>
          <w:rFonts w:ascii="EB Garamond" w:hAnsi="EB Garamond" w:cs="EB Garamond"/>
          <w:b w:val="0"/>
          <w:i w:val="0"/>
          <w:color w:val="B78B37"/>
          <w:sz w:val="18"/>
          <w:lang w:val="pt-BR" w:bidi="ar-SA"/>
          <w:kern w:val="16"/>
          <w14:ligatures w14:val="standardContextual"/>
        </w:rPr>
        <w:t>━━━━  ◆  ━━━━</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Introdução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cálculo do benefício previdenciário é, na prática forense, o ponto de convergência entre a norma abstrata e a realidade patrimonial do segurado. Quando o magistrado fixa uma renda mensal inicial, define um valor que acompanhará o beneficiário por décadas — frequentemente pelo restante de sua vida. Quando o advogado impugna o cálculo administrativo, questiona a forma como o INSS traduziu em números o histórico contributivo de seu cliente. Quando a autarquia aplica a fórmula legal, faz escolhas interpretativas que nem sempre coincidem com a leitura mais favorável ao segurado. Por essa razão, as controvérsias sobre cálculo do benefício representam parcela expressiva das demandas que tramitam nos Juizados Especiais Federais.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experiência jurisdicional demonstra que os erros de cálculo administrativo não são excepcionais. Pelo contrário, constituem causa recorrente de judicialização. Salários de contribuição não atualizados pelo índice correto, períodos contributivos omitidos do CNIS, aplicação equivocada do fator previdenciário, utilização de coeficiente inferior ao devido, incidência prematura do teto sobre o salário de benefício em vez de sobre a renda mensal inicial — são falhas que se repetem com frequência nos processos administrativos e que, uma vez identificadas, justificam a concessão judicial de diferenças expressivas em favor do segurado.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o magistrado, o domínio das regras de cálculo é condição indispensável ao exercício da jurisdição previdenciária. Não basta reconhecer o direito ao benefício: é preciso verificar se o valor fixado pelo INSS corresponde ao que a lei determina, confrontar a memória de cálculo apresentada pela autarquia com os dados do CNIS, identificar eventuais vícios na apuração do salário de benefício e assegurar que a renda mensal inicial respeite tanto o piso constitucional quanto o teto do RGPS. Essa tarefa exige familiaridade com conceitos técnicos, salário de contribuição, período básico de cálculo, fator previdenciário, coeficiente de cálculo, que serão sistematizados nas seções seguintes.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Este capítulo reúne a teoria geral do cálculo do benefício, desde a evolução legislativa do salário de benefício e do período básico de cálculo até o fator previdenciário, o coeficiente de 60% + 2%, o quadro unificado da RMI, as regras de teto e piso, o reajustamento, a correção monetária dos salários de contribuição, as atividades concomitantes, a Revisão da Vida Toda e a memória de cálculo nos JEFs.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16.2 Conceito e evolução do salário de benefício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salário de benefício é a grandeza intermediária entre os salários de contribuição efetivamente recolhidos pelo segurado e a renda mensal que ele perceberá a título de benefício previdenciário. Compreender essa posição intermediária é essencial para evitar confusões terminológicas que, na prática, geram erros de cálculo.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salário de contribuição, disciplinado no art. 28 da Lei n. 8.212, de 24 de julho de 1991, é a base sobre a qual incide a contribuição previdenciária do segurado. Corresponde, em regra, à remuneração mensal do empregado, ao pró-labore do contribuinte individual ou ao valor declarado pelo segurado facultativo, sempre dentro dos limites mínimo (salário-mínimo) e máximo (teto do RGPS). Trata-se do insumo do cálculo: cada mês de contribuição gera um registro de salário de contribuição no CNIS, compondo o histórico contributivo do segurado.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salário de benefício, por sua vez, é a média dos salários de contribuição apurada segundo a regra vigente na data do fato gerador. É o resultado da aplicação de uma fórmula de cálculo sobre o conjunto dos salários de contribuição que integram o período básico de cálculo. O salário de benefício não é diretamente pago ao segurado: funciona como base de cálculo sobre a qual se aplica o coeficiente específico de cada espécie de benefício.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renda mensal inicial é o valor efetivamente devido ao segurado no mês de início do benefício. Corresponde ao salário de benefício multiplicado pelo coeficiente de cálculo da espécie — 60% + 2% na aposentadoria programada, 91% no auxílio por incapacidade temporária, 50% no auxílio-acidente, e assim por diante. A RMI é o número que aparece na carta de concessão e que será reajustado anualmente. É sobre a RMI que incidem o piso (salário-mínimo) e o teto (teto do RGPS), embora o teto também incida sobre o próprio salário de benefício (conforme analisaremos na seção 16.7).</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evolução legislativa do salário de benefício percorreu três marcos fundamentais, cada qual redefinindo a fórmula de apuração da média contributiva.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redação original da Lei n. 8.213/91, o salário de benefício correspondia à média aritmética simples dos últimos 36 salários de contribuição, corrigidos monetariamente, apurados em período não superior a 48 meses (art. 29, caput, redação original). Essa fórmula era de cálculo relativamente simples e favorecia o segurado com trajetória contributiva crescente, pois considerava apenas os salários mais recentes, presumivelmente os mais elevados.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Lei n. 9.876, de 26 de novembro de 1999, alterou profundamente a sistemática. O novo art. 29 da Lei n. 8.213/91 passou a definir o salário de benefício como a média aritmética simples dos maiores salários de contribuição correspondentes a oitenta por cento de todo o período contributivo, desde a competência julho de 1994 (início do Plano Real). Essa mudança ampliou drasticamente o período de apuração, de 36 meses para potencialmente centenas de meses, e introduziu o mecanismo de descarte dos 20% menores salários de contribuição, que funcionava como fator de proteção ao segurado: os meses de contribuição mais baixa (início de carreira, períodos de subemprego, contribuições sobre o mínimo) eram eliminados do cálculo.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Emenda Constitucional n. 103, de 12 de novembro de 2019, introduziu o terceiro e atual marco. O art. 26, caput, da EC 103 determina que o salário de benefício corresponde à média aritmética simples de todos os salários de contribuição desde julho de 1994, sem qualquer descarte. A eliminação da regra dos 80% maiores significou a inclusão, no cálculo, de todos os meses de contribuição, inclusive os de valor mais baixo. O impacto prático foi a redução do salário de benefício para a maioria dos segurados com trajetória contributiva irregular, conforme analisaremos na seção 16.3.</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5F3EF" w:val="clear"/>
            <w:tcBorders>
              <w:top w:val="single" w:sz="7" w:space="0" w:color="A09882"/>
              <w:bottom w:val="single" w:sz="7" w:space="0" w:color="A09882"/>
              <w:right w:val="single" w:sz="7" w:space="0" w:color="A09882"/>
              <w:left w:val="single" w:sz="24" w:space="0" w:color="6B6256"/>
            </w:tcBorders>
          </w:tcPr>
          <w:p>
            <w:pPr>
              <w:spacing w:before="0" w:after="60" w:line="240" w:lineRule="auto"/>
              <w:jc w:val="left"/>
            </w:pPr>
            <w:r>
              <w:rPr>
                <w:rFonts w:ascii="Noto Sans" w:hAnsi="Noto Sans" w:cs="Noto Sans"/>
                <w:b/>
                <w:i w:val="0"/>
                <w:caps/>
                <w:color w:val="6B6256"/>
                <w:sz w:val="16"/>
                <w:lang w:val="pt-BR" w:bidi="ar-SA"/>
                <w:kern w:val="16"/>
                <w14:ligatures w14:val="standardContextual"/>
              </w:rPr>
              <w:t>QUADRO</w:t>
            </w:r>
          </w:p>
          <w:p>
            <w:pPr>
              <w:spacing w:before="0" w:after="60" w:line="247" w:lineRule="auto"/>
              <w:jc w:val="both"/>
            </w:pPr>
            <w:r>
              <w:rPr>
                <w:rFonts w:ascii="EB Garamond" w:hAnsi="EB Garamond" w:cs="EB Garamond"/>
                <w:b/>
                <w:i w:val="0"/>
                <w:color w:val="201B16"/>
                <w:sz w:val="19"/>
                <w:lang w:val="pt-BR" w:bidi="ar-SA"/>
                <w:kern w:val="16"/>
                <w14:ligatures w14:val="standardContextual"/>
              </w:rPr>
              <w:t>Quadro 16.1 — Evolução legislativa do salário de benefício</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Período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Norma</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Fórmula do SB</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1991–1999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Lei 8.213/91 (redação original)</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Média dos últimos 36 SC, corrigidos, apurados em até 48 meses</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1999–2019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Lei 9.876/99 (novo art. 29)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Média dos 80% maiores SC desde jul/1994</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2019–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EC 103/2019 (art. 26)</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Média de 100% dos SC desde jul/1994</w:t>
                  </w:r>
                </w:p>
              </w:tc>
            </w:tr>
          </w:tbl>
          <w:p/>
          <w:p>
            <w:pPr>
              <w:spacing w:before="0" w:after="0" w:line="240" w:lineRule="auto"/>
            </w:pP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E</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ssa progressão revela uma tendência clara de ampliação do período de cálculo e de redução dos mecanismos de proteção ao segurado. A fórmula original dos 36 últimos meses era generosa; a fórmula dos 80% maiores ainda preservava um filtro de proteção; a fórmula atual, sem descarte, é a menos favorável ao segurado com histórico contributivo heterogêneo.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16.3 Período básico de cálculo (PBC)</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período básico de cálculo é o intervalo temporal do qual se extraem os salários de contribuição utilizados na apuração do salário de benefício. A definição do PBC determina quais meses de contribuição são considerados, e, por consequência, quais são descartados, para fins de cálculo da média. As regras que disciplinam o PBC determinam a correta apuração do benefício, especialmente nos casos em que o segurado transita entre o regime anterior e o regime posterior à EC 103/2019.</w:t>
      </w:r>
    </w:p>
    <w:p>
      <w:pPr>
        <w:spacing w:before="260" w:after="80" w:line="240" w:lineRule="auto"/>
        <w:jc w:val="left"/>
      </w:pPr>
      <w:r>
        <w:rPr>
          <w:rFonts w:ascii="EB Garamond" w:hAnsi="EB Garamond" w:cs="EB Garamond"/>
          <w:b/>
          <w:i w:val="0"/>
          <w:color w:val="3A3128"/>
          <w:sz w:val="25"/>
          <w:lang w:val="pt-BR" w:bidi="ar-SA"/>
          <w:kern w:val="16"/>
          <w14:ligatures w14:val="standardContextual"/>
        </w:rPr>
        <w:t>16.3.1 Regra pré-EC 103: os 80% maiores desde julho de 1994</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P</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ara os benefícios com fato gerador anterior a 13 de novembro de 2019, e para os segurados que exercem direito adquirido à regra anterior, o PBC é composto pela totalidade dos salários de contribuição desde a competência julho de 1994 até o mês anterior ao do requerimento. Sobre esse universo, aplica-se o filtro de descarte: eliminam-se os 20% menores salários de contribuição, e a média aritmética é calculada sobre os 80% restantes.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marco inicial de julho de 1994 corresponde à implantação do Plano Real e foi fixado pela Lei n. 9.876/99 como ponto de partida do período contributivo relevante. A escolha não foi casual: antes do Plano Real, a hiperinflação brasileira comprometia a fidedignidade dos registros de salários de contribuição, tornando pouco confiável qualquer cálculo baseado em valores nominais anteriores à estabilização monetária. A fixação de julho de 1994 como termo a quo funcionou como um filtro de confiabilidade, assegurando que o cálculo se baseasse em salários de contribuição expressos em moeda estável. Esse marco temporal gerou, contudo, a situação peculiar dos segurados com longo período contributivo anterior a julho de 1994: suas contribuições pré-Plano Real, embora computadas para fins de tempo de contribuição, não ingressam no período básico de cálculo como salários de contribuição — o que pode favorecer ou prejudicar o segurado, conforme o perfil de sua trajetória remuneratória.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descarte dos 20% menores salários de contribuição representava mecanismo de proteção ao segurado, eliminando do cálculo os meses de contribuição mais baixa. Esse filtro beneficiava especialmente os segurados com trajetória contributiva desigual — aqueles que alternaram períodos de emprego formal com salário elevado e períodos de contribuição sobre o mínimo ou de subemprego. Ao excluir os meses de menor valor, a fórmula aproximava o salário de benefício dos rendimentos habituais do segurado em seus melhores anos de contribuição.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lógica protetiva do descarte dos 20% menores tinha fundamento no princípio da preservação do valor real dos benefícios (art. 201, § 4º, CF): se o objetivo da previdência é assegurar renda compatível com o padrão de vida do segurado durante a atividade, faz sentido eliminar do cálculo os meses atípicos de contribuição reduzida.</w:t>
      </w:r>
    </w:p>
    <w:p>
      <w:pPr>
        <w:spacing w:before="260" w:after="80" w:line="240" w:lineRule="auto"/>
        <w:jc w:val="left"/>
      </w:pPr>
      <w:r>
        <w:rPr>
          <w:rFonts w:ascii="EB Garamond" w:hAnsi="EB Garamond" w:cs="EB Garamond"/>
          <w:b/>
          <w:i w:val="0"/>
          <w:color w:val="3A3128"/>
          <w:sz w:val="25"/>
          <w:lang w:val="pt-BR" w:bidi="ar-SA"/>
          <w:kern w:val="16"/>
          <w14:ligatures w14:val="standardContextual"/>
        </w:rPr>
        <w:t>16.3.2 Regra pós-EC 103: a média de 100% desde julho de 1994</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EC 103/2019 eliminou o descarte dos 20% menores, determinando que o salário de benefício corresponda à média aritmética simples de todos os salários de contribuição desde julho de 1994 (art. 26, caput). A mudança é significativa: os meses de contribuição mais baixa, antes excluídos, passam a integrar o cálculo, reduzindo a média para a maioria dos segurados com histórico contributivo irregular.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impacto prático é direto. Considere-se um segurado com 300 meses de contribuição desde julho de 1994. Na regra anterior, os 60 meses de menor valor seriam descartados, e a média seria calculada sobre os 240 meses restantes. Na regra atual, todos os 300 meses integram o cálculo. Se os 60 meses descartados correspondiam a contribuições sobre o salário-mínimo e os 240 meses restantes a contribuições sobre valores mais elevados, a diferença entre as duas médias pode ser expressiva.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atenuar parcialmente esse impacto, o art. 26, § 6º, da EC 103/2019 faculta ao segurado excluir do cálculo as contribuições que resultem em redução do salário de benefício, desde que mantido o tempo mínimo de contribuição exigido para a espécie. Essa exclusão facultativa funciona como um mecanismo de ajuste: o segurado (ou seu advogado) pode simular o cálculo com e sem determinadas contribuições, optando pela configuração que produza o melhor resultado. A aplicação prática desse dispositivo foi analisada na seção 10.11.4, com o exemplo de Pedro, a que remetemos o leitor.</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O impacto da regra de 100% sobre segurados com trajetória contributiva irregular</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eliminação do descarte dos 20% menores salários de contribuição pela EC 103/2019 prejudica sobretudo os segurados que, ao longo de sua vida laboral, alternaram períodos de contribuição sobre valores elevados com períodos de contribuição sobre o salário-mínimo. Para esses segurados, a inclusão de todos os meses no cálculo reduz significativamente a média. O art. 26, § 6º, da EC 103 oferece um mecanismo de mitigação (exclusão facultativa de contribuições prejudiciais), mas essa exclusão está condicionada à manutenção do tempo mínimo de contribuição. Na prática, o segurado que possui tempo de contribuição apenas ligeiramente superior ao mínimo exigido terá margem muito reduzida para utilizar esse mecanismo — precisamente o perfil que mais se beneficiaria dele.</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16.3.3 O divisor mínimo e a Lei n. 14.331/2022</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regra de cálculo da média de salários de contribuição gerou, nos primeiros anos de vigência da EC 103/2019, uma distorção que ficou conhecida como "milagre da contribuição única". A distorção decorria da interpretação de que o segurado com longo período sem contribuição e apenas uma ou poucas contribuições de valor elevado poderia obter um salário de benefício desproporcional, uma vez que a média de um único salário de contribuição é o próprio salário de contribuição.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situação era particularmente relevante para segurados que preenchiam o requisito de tempo de contribuição com períodos anteriores a julho de 1994 — computados para fins de tempo de contribuição, mas que não geravam salários de contribuição no PBC (cujo marco inicial é julho de 1994). Se o segurado contribuíra por 25 anos antes de julho de 1994 e realizasse uma única contribuição de alto valor em 2020, o salário de benefício seria a média de um único salário de contribuição — potencialmente o teto do RGPS.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Lei n. 14.331, de 4 de maio de 2022, encerrou essa distorção ao restabelecer o divisor mínimo de 108 meses. A nova redação do art. 29, § 10, da Lei n. 8.213/91 estabelece que, se o número de salários de contribuição no PBC for inferior a 108, a soma dos salários de contribuição será dividida por 108, independentemente do número efetivo de meses de contribuição dentro do PBC. Na prática, o segurado com apenas uma contribuição no PBC terá seu salário de benefício calculado dividindo-se esse único salário por 108, resultado muito inferior ao que obteria pela simples média aritmética.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Lei n. 14.331/2022 aplica-se aos benefícios requeridos a partir de 5 de maio de 2022 (data de publicação), não retroagindo para benefícios concedidos anteriormente. Os segurados que obtiveram o "milagre da contribuição única" antes dessa data mantêm o benefício calculado pela regra vigente ao tempo da concessão, ressalvada eventual revisão administrativa ou judicial por outros fundamentos.</w:t>
      </w:r>
    </w:p>
    <w:p>
      <w:pPr>
        <w:spacing w:before="260" w:after="80" w:line="240" w:lineRule="auto"/>
        <w:jc w:val="left"/>
      </w:pPr>
      <w:r>
        <w:rPr>
          <w:rFonts w:ascii="EB Garamond" w:hAnsi="EB Garamond" w:cs="EB Garamond"/>
          <w:b/>
          <w:i w:val="0"/>
          <w:color w:val="3A3128"/>
          <w:sz w:val="25"/>
          <w:lang w:val="pt-BR" w:bidi="ar-SA"/>
          <w:kern w:val="16"/>
          <w14:ligatures w14:val="standardContextual"/>
        </w:rPr>
        <w:t>16.3.4 Direito intertemporal: a regra aplicável conforme o fato gerador</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coexistência de regras distintas de PBC, 80% maiores (Lei 9.876/99), 100% (EC 103/2019), divisor mínimo 108 (Lei 14.331/2022), exige do operador do direito previdenciário atenção redobrada ao direito intertemporal. O princípio geral é que a fórmula de cálculo aplicável é aquela vigente na data do fato gerador do benefício.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a aposentadoria voluntária, o fato gerador coincide com a data de implementação de todos os requisitos legais — ou, caso o segurado opte por continuar contribuindo após essa data, com a data do requerimento administrativo (DER). Para os benefícios por incapacidade, o fato gerador é a data do início da incapacidade (DII). Para a pensão por morte, o fato gerador é a data do óbito.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Essa regra geral comporta nuances relevantes. O segurado que implementou todos os requisitos para a aposentadoria antes de 13 de novembro de 2019 (data de vigência da EC 103) tem direito adquirido ao cálculo pela regra dos 80% maiores, mesmo que requeira o benefício em data posterior. O direito adquirido protege não apenas os requisitos de concessão, mas também a fórmula de cálculo vigente ao tempo da implementação.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reafirmação da DER, consolidada no Tema 995 do STJ, adiciona complexidade ao quadro. O STJ firmou a tese de que é possível reafirmar a data de entrada do requerimento para o momento em que o segurado implementou todos os requisitos, inclusive durante o processo judicial, até a data da sentença. A data de início do benefício (DIB) é fixada na data em que os requisitos foram preenchidos. A implicação para o cálculo é direta: se os requisitos foram implementados antes de 13/11/2019, a fórmula aplicável é a dos 80% maiores; se foram implementados após essa data, aplica-se a média de 100%. A reafirmação da DER pode, portanto, alterar não apenas a DIB, mas a própria regra de cálculo aplicável (conforme analisado na seção 10.8).</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16.4 Fator previdenciário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fator previdenciário é uma fórmula atuarial que incide sobre o salário de benefício, podendo majorá-lo ou reduzi-lo conforme a combinação de idade, tempo de contribuição e expectativa de sobrevida do segurado na data do requerimento. Desde sua criação em 1999, o fator previdenciário tem sido o mecanismo mais controverso do sistema de cálculo previdenciário brasileiro — elogiado por seus defensores como instrumento de equilíbrio atuarial e criticado por seus opositores como fórmula punitiva que penaliza o segurado que se aposenta mais jovem.</w:t>
      </w:r>
    </w:p>
    <w:p>
      <w:pPr>
        <w:spacing w:before="260" w:after="80" w:line="240" w:lineRule="auto"/>
        <w:jc w:val="left"/>
      </w:pPr>
      <w:r>
        <w:rPr>
          <w:rFonts w:ascii="EB Garamond" w:hAnsi="EB Garamond" w:cs="EB Garamond"/>
          <w:b/>
          <w:i w:val="0"/>
          <w:color w:val="3A3128"/>
          <w:sz w:val="25"/>
          <w:lang w:val="pt-BR" w:bidi="ar-SA"/>
          <w:kern w:val="16"/>
          <w14:ligatures w14:val="standardContextual"/>
        </w:rPr>
        <w:t>16.4.1 Origem e finalidade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Lei n. 9.876, de 26 de novembro de 1999 instituiu o fator previdenciário como resposta à frustração da Emenda Constitucional 20/1998, que pretendia, mas não conseguiu, impor idade mínima para a aposentadoria por tempo de contribuição. Sem a idade mínima, o governo necessitava de um mecanismo alternativo que desestimulasse a aposentadoria precoce sem vedar formalmente o acesso ao benefício. O fator previdenciário cumpriu essa função: ao incorporar a expectativa de sobrevida na fórmula de cálculo, vinculou o valor do benefício ao período estimado de fruição, penalizando financeiramente o segurado que se aposentasse cedo e premiando aquele que postergasse a aposentadoria.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fundamentação atuarial é relativamente direta. Um segurado que se aposenta aos 55 anos receberá o benefício, em tese, por mais tempo do que um segurado que se aposenta aos 65 anos. Se ambos contribuíram por períodos semelhantes, o primeiro representará um custo maior para o sistema. O fator previdenciário traduz essa lógica em uma fórmula que ajusta o valor do benefício à relação entre contribuições realizadas e benefício esperado.</w:t>
      </w:r>
    </w:p>
    <w:p>
      <w:pPr>
        <w:spacing w:before="260" w:after="80" w:line="240" w:lineRule="auto"/>
        <w:jc w:val="left"/>
      </w:pPr>
      <w:r>
        <w:rPr>
          <w:rFonts w:ascii="EB Garamond" w:hAnsi="EB Garamond" w:cs="EB Garamond"/>
          <w:b/>
          <w:i w:val="0"/>
          <w:color w:val="3A3128"/>
          <w:sz w:val="25"/>
          <w:lang w:val="pt-BR" w:bidi="ar-SA"/>
          <w:kern w:val="16"/>
          <w14:ligatures w14:val="standardContextual"/>
        </w:rPr>
        <w:t>16.4.2 Fórmula e variáveis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fator previdenciário é calculado pela seguinte fórmula: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f = (Tc × a / Es) × [1 + (Id + Tc × a) / 100]</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Onde:</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Tc</w:t>
      </w:r>
      <w:r>
        <w:rPr>
          <w:rFonts w:ascii="EB Garamond" w:hAnsi="EB Garamond" w:cs="EB Garamond"/>
          <w:b w:val="0"/>
          <w:i w:val="0"/>
          <w:color w:val="201B16"/>
          <w:sz w:val="21"/>
          <w:lang w:val="pt-BR" w:bidi="ar-SA"/>
          <w:kern w:val="16"/>
          <w14:ligatures w14:val="standardContextual"/>
        </w:rPr>
        <w:t xml:space="preserve"> = tempo de contribuição do segurado, em anos. Para a mulher, adiciona-se um bônus de 5 anos ao tempo de contribuição efetivo. Para o professor que comprove exclusivamente exercício de magistério na educação infantil, ensino fundamental ou ensino médio, adiciona-se bônus de 5 anos ao tempo de contribuição e 5 anos à idade. Para a professora que comprove as mesmas condições, adiciona-se 10 anos ao tempo de contribuição e 5 anos à idade.</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w:t>
      </w:r>
      <w:r>
        <w:rPr>
          <w:rFonts w:ascii="EB Garamond" w:hAnsi="EB Garamond" w:cs="EB Garamond"/>
          <w:b w:val="0"/>
          <w:i w:val="0"/>
          <w:color w:val="201B16"/>
          <w:sz w:val="21"/>
          <w:lang w:val="pt-BR" w:bidi="ar-SA"/>
          <w:kern w:val="16"/>
          <w14:ligatures w14:val="standardContextual"/>
        </w:rPr>
        <w:t xml:space="preserve"> = alíquota de contribuição, fixada em 0,31 (equivalente a 31%, que corresponde à soma da contribuição patronal de 20% e da contribuição máxima do segurado de 11%).</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Es</w:t>
      </w:r>
      <w:r>
        <w:rPr>
          <w:rFonts w:ascii="EB Garamond" w:hAnsi="EB Garamond" w:cs="EB Garamond"/>
          <w:b w:val="0"/>
          <w:i w:val="0"/>
          <w:color w:val="201B16"/>
          <w:sz w:val="21"/>
          <w:lang w:val="pt-BR" w:bidi="ar-SA"/>
          <w:kern w:val="16"/>
          <w14:ligatures w14:val="standardContextual"/>
        </w:rPr>
        <w:t xml:space="preserve"> = expectativa de sobrevida do segurado na data do requerimento, obtida da tabela de mortalidade publicada anualmente pelo IBGE. A tabela de referência é a vigente na data do requerimento do benefício. A tabela IBGE 2024 (publicada em novembro de 2025) indica expectativa de vida geral ao nascer de 76,6 anos.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Id</w:t>
      </w:r>
      <w:r>
        <w:rPr>
          <w:rFonts w:ascii="EB Garamond" w:hAnsi="EB Garamond" w:cs="EB Garamond"/>
          <w:b w:val="0"/>
          <w:i w:val="0"/>
          <w:color w:val="201B16"/>
          <w:sz w:val="21"/>
          <w:lang w:val="pt-BR" w:bidi="ar-SA"/>
          <w:kern w:val="16"/>
          <w14:ligatures w14:val="standardContextual"/>
        </w:rPr>
        <w:t xml:space="preserve"> = idade do segurado na data do requerimento do benefício.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resultado da fórmula pode ser superior ou inferior a 1,0. Quando inferior a 1,0, o fator atua como redutor do salário de benefício; quando superior a 1,0, atua como majorador. Na prática, o fator é inferior a 1,0 para a maioria dos segurados que se aposentam com idade abaixo de 60 anos e tempo de contribuição próximo ao mínimo. O fator tende a superar 1,0 quando o segurado reúne idade avançada (acima de 63-65 anos) e longo tempo de contribuição (acima de 37-40 anos).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a demonstração passo a passo do cálculo do fator previdenciário com a tabela completa de simulações para diferentes combinações de idade e tempo de contribuição, remetemos o leitor à seção 11.8, que apresenta o cálculo detalhado com tabela 4×4 de cenários.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Simulação — Fator previdenciário para mulher de 57 anos com 32 anos de TC</w:t>
            </w:r>
          </w:p>
          <w:p>
            <w:pPr>
              <w:spacing w:before="0" w:after="60" w:line="247" w:lineRule="auto"/>
              <w:jc w:val="both"/>
            </w:pPr>
            <w:r>
              <w:rPr>
                <w:rFonts w:ascii="EB Garamond" w:hAnsi="EB Garamond" w:cs="EB Garamond"/>
                <w:b/>
                <w:i w:val="0"/>
                <w:color w:val="201B16"/>
                <w:sz w:val="19"/>
                <w:lang w:val="pt-BR" w:bidi="ar-SA"/>
                <w:kern w:val="16"/>
                <w14:ligatures w14:val="standardContextual"/>
              </w:rPr>
              <w:t>Beatriz</w:t>
            </w:r>
            <w:r>
              <w:rPr>
                <w:rFonts w:ascii="EB Garamond" w:hAnsi="EB Garamond" w:cs="EB Garamond"/>
                <w:b w:val="0"/>
                <w:i w:val="0"/>
                <w:color w:val="201B16"/>
                <w:sz w:val="19"/>
                <w:lang w:val="pt-BR" w:bidi="ar-SA"/>
                <w:kern w:val="16"/>
                <w14:ligatures w14:val="standardContextual"/>
              </w:rPr>
              <w:t>, segurada do RGPS, com 57 anos de idade e 27 anos de contribuição efetiva. Com o bônus de 5 anos aplicado à mulher, o tempo de contribuição para fins do fator é de 32 anos (Tc = 32). Consulta à tabela IBGE 2024: para pessoa de 57 anos, a expectativa de sobrevida é de aproximadamente 26,4 anos (Es = 26,4).</w:t>
            </w:r>
          </w:p>
          <w:p>
            <w:pPr>
              <w:spacing w:before="0" w:after="60" w:line="247" w:lineRule="auto"/>
              <w:jc w:val="both"/>
            </w:pPr>
            <w:r>
              <w:rPr>
                <w:rFonts w:ascii="EB Garamond" w:hAnsi="EB Garamond" w:cs="EB Garamond"/>
                <w:b/>
                <w:i w:val="0"/>
                <w:color w:val="201B16"/>
                <w:sz w:val="19"/>
                <w:lang w:val="pt-BR" w:bidi="ar-SA"/>
                <w:kern w:val="16"/>
                <w14:ligatures w14:val="standardContextual"/>
              </w:rPr>
              <w:t>Passo 1 — Primeiro fator da fórmula:</w:t>
            </w:r>
            <w:r>
              <w:rPr>
                <w:rFonts w:ascii="EB Garamond" w:hAnsi="EB Garamond" w:cs="EB Garamond"/>
                <w:b w:val="0"/>
                <w:i w:val="0"/>
                <w:color w:val="201B16"/>
                <w:sz w:val="19"/>
                <w:lang w:val="pt-BR" w:bidi="ar-SA"/>
                <w:kern w:val="16"/>
                <w14:ligatures w14:val="standardContextual"/>
              </w:rPr>
              <w:t xml:space="preserve"> Tc × a / Es = 32 × 0,31 / 26,4 = 9,92 / 26,4 = 0,3758</w:t>
            </w:r>
          </w:p>
          <w:p>
            <w:pPr>
              <w:spacing w:before="0" w:after="60" w:line="247" w:lineRule="auto"/>
              <w:jc w:val="both"/>
            </w:pPr>
            <w:r>
              <w:rPr>
                <w:rFonts w:ascii="EB Garamond" w:hAnsi="EB Garamond" w:cs="EB Garamond"/>
                <w:b/>
                <w:i w:val="0"/>
                <w:color w:val="201B16"/>
                <w:sz w:val="19"/>
                <w:lang w:val="pt-BR" w:bidi="ar-SA"/>
                <w:kern w:val="16"/>
                <w14:ligatures w14:val="standardContextual"/>
              </w:rPr>
              <w:t>Passo 2, segundo fator da fórmula:</w:t>
            </w:r>
            <w:r>
              <w:rPr>
                <w:rFonts w:ascii="EB Garamond" w:hAnsi="EB Garamond" w:cs="EB Garamond"/>
                <w:b w:val="0"/>
                <w:i w:val="0"/>
                <w:color w:val="201B16"/>
                <w:sz w:val="19"/>
                <w:lang w:val="pt-BR" w:bidi="ar-SA"/>
                <w:kern w:val="16"/>
                <w14:ligatures w14:val="standardContextual"/>
              </w:rPr>
              <w:t xml:space="preserve"> 1 + (Id + Tc × a) / 100 = 1 + (57 + 32 × 0,31) / 100 = 1 + (57 + 9,92) / 100 = 1 + 66,92 / 100 = 1,6692</w:t>
            </w:r>
          </w:p>
          <w:p>
            <w:pPr>
              <w:spacing w:before="0" w:after="60" w:line="247" w:lineRule="auto"/>
              <w:jc w:val="both"/>
            </w:pPr>
            <w:r>
              <w:rPr>
                <w:rFonts w:ascii="EB Garamond" w:hAnsi="EB Garamond" w:cs="EB Garamond"/>
                <w:b/>
                <w:i w:val="0"/>
                <w:color w:val="201B16"/>
                <w:sz w:val="19"/>
                <w:lang w:val="pt-BR" w:bidi="ar-SA"/>
                <w:kern w:val="16"/>
                <w14:ligatures w14:val="standardContextual"/>
              </w:rPr>
              <w:t>Passo 3 — Fator previdenciário:</w:t>
            </w:r>
            <w:r>
              <w:rPr>
                <w:rFonts w:ascii="EB Garamond" w:hAnsi="EB Garamond" w:cs="EB Garamond"/>
                <w:b w:val="0"/>
                <w:i w:val="0"/>
                <w:color w:val="201B16"/>
                <w:sz w:val="19"/>
                <w:lang w:val="pt-BR" w:bidi="ar-SA"/>
                <w:kern w:val="16"/>
                <w14:ligatures w14:val="standardContextual"/>
              </w:rPr>
              <w:t xml:space="preserve"> f = 0,3758 × 1,6692 = 0,6272</w:t>
            </w:r>
          </w:p>
          <w:p>
            <w:pPr>
              <w:spacing w:before="0" w:after="60" w:line="247" w:lineRule="auto"/>
              <w:jc w:val="both"/>
            </w:pPr>
            <w:r>
              <w:rPr>
                <w:rFonts w:ascii="EB Garamond" w:hAnsi="EB Garamond" w:cs="EB Garamond"/>
                <w:b/>
                <w:i w:val="0"/>
                <w:color w:val="201B16"/>
                <w:sz w:val="19"/>
                <w:lang w:val="pt-BR" w:bidi="ar-SA"/>
                <w:kern w:val="16"/>
                <w14:ligatures w14:val="standardContextual"/>
              </w:rPr>
              <w:t>Resultado:</w:t>
            </w:r>
            <w:r>
              <w:rPr>
                <w:rFonts w:ascii="EB Garamond" w:hAnsi="EB Garamond" w:cs="EB Garamond"/>
                <w:b w:val="0"/>
                <w:i w:val="0"/>
                <w:color w:val="201B16"/>
                <w:sz w:val="19"/>
                <w:lang w:val="pt-BR" w:bidi="ar-SA"/>
                <w:kern w:val="16"/>
                <w14:ligatures w14:val="standardContextual"/>
              </w:rPr>
              <w:t xml:space="preserve"> O fator previdenciário de Beatriz é 0,6272, ou seja, o salário de benefício será reduzido em aproximadamente 37,3%. Se o salário de benefício (média dos 80% maiores SC) fosse R$ 4.000,00, a RMI com a aplicação do fator seria R$ 4.000,00 × 0,6272 = R$ 2.508,80.</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simulação evidencia o efeito redutor severo do fator para seguradas que se aposentam antes dos 60 anos, mesmo com tempo de contribuição razoável. Comparativamente, se Beatriz postergasse a aposentadoria por 3 anos (60 anos de idade, 30 anos de TC efetivo, Tc = 35 com bônus), o fator subiria para aproximadamente 0,78, redução da penalização em mais de 10 pontos percentuais.</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16.4.3 Constitucionalidade: ADI 2.111 e Tema 616/STF</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fator previdenciário foi objeto de controle concentrado de constitucionalidade na ADI 2.111, que impugnava a Lei n. 9.876/99 por alegada violação aos princípios da irredutibilidade do valor dos benefícios e da preservação do seu valor real. O Supremo Tribunal Federal, em julgamento final concluído em 21 de março de 2024, declarou a constitucionalidade do fator previdenciário, por maioria, entendendo que a fórmula atuarial constitui mecanismo legítimo de equilíbrio financeiro e atuarial do sistema previdenciário, nos termos do art. 201, caput, da Constituição Federal.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orientação sinalizada na ADI 2.111 foi reafirmada, agora sob a sistemática da repercussão geral, no Tema 616 do STF (RE 639.856, Rel. Min. Gilmar Mendes, j. 19/08/2025). A tese firmada tem recorte específico: cuida da incidência do fator sobre os segurados abrangidos pela regra de transição da EC 20/1998, isto é, aqueles filiados ao RGPS antes da data de promulgação dessa Emenda. Nesses termos, o Tribunal assentou que "é constitucional a aplicação do fator previdenciário, instituído pela Lei 9.876/1999, aos benefícios concedidos a segurados filiados ao Regime Geral de Previdência Social antes de 16.12.1998, abrangidos pela regra de transição do art. 9º da EC 20/98". A conclusão reforça o entendimento de que a incorporação do fator atuarial ao cálculo, ainda que para segurados já filiados ao tempo da reforma de 1998, não ofende direito adquirido nem a irredutibilidade do valor real do benefício.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constitucionalidade do fator previdenciário, em sua dimensão mais ampla, já havia sido reafirmada pelo STF, em repercussão geral, no Tema 1.091 (RE 1.221.630, j. 05/06/2020). Ali, por reafirmação de jurisprudência (plenário virtual), o Tribunal fixou tese de alcance geral sobre a própria fórmula instituída pela Lei n. 9.876/99, e não apenas sobre um grupo específico de segurados: "É constitucional o fator previdenciário previsto no art. 29, caput, incisos e parágrafos, da Lei nº 8.213/91, com a redação dada pelo art. 2º da Lei nº 9.876/99." Os dois precedentes de repercussão geral, portanto, se complementam: o Tema 1.091 assenta, em termos gerais, a compatibilidade do fator com a Constituição; o Tema 616 confirma sua incidência mesmo sobre os segurados filiados antes da EC 20/1998. Somados à ADI 2.111, esses julgados consolidam, sob diferentes ângulos e com eficácia vinculante, a higidez constitucional do fator previdenciário.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Tema 616/STF — Constitucionalidade do fator previdenciário (segurados da transição da EC 20/1998)</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No RE 639.856 (Tema 616, Rel. Min. Gilmar Mendes, j. 19/08/2025), o STF, sob repercussão geral, firmou a seguinte tese: "É constitucional a aplicação do fator previdenciário, instituído pela Lei 9.876/1999, aos benefícios concedidos a segurados filiados ao Regime Geral de Previdência Social antes de 16.12.1998, abrangidos pela regra de transição do art. 9º da EC 20/98."</w:t>
            </w:r>
          </w:p>
          <w:p>
            <w:pPr>
              <w:spacing w:before="0" w:after="60" w:line="247" w:lineRule="auto"/>
              <w:jc w:val="both"/>
            </w:pPr>
            <w:r>
              <w:rPr>
                <w:rFonts w:ascii="EB Garamond" w:hAnsi="EB Garamond" w:cs="EB Garamond"/>
                <w:b/>
                <w:i w:val="0"/>
                <w:color w:val="201B16"/>
                <w:sz w:val="19"/>
                <w:lang w:val="pt-BR" w:bidi="ar-SA"/>
                <w:kern w:val="16"/>
                <w14:ligatures w14:val="standardContextual"/>
              </w:rPr>
              <w:t>Alcance:</w:t>
            </w:r>
            <w:r>
              <w:rPr>
                <w:rFonts w:ascii="EB Garamond" w:hAnsi="EB Garamond" w:cs="EB Garamond"/>
                <w:b w:val="0"/>
                <w:i w:val="0"/>
                <w:color w:val="201B16"/>
                <w:sz w:val="19"/>
                <w:lang w:val="pt-BR" w:bidi="ar-SA"/>
                <w:kern w:val="16"/>
                <w14:ligatures w14:val="standardContextual"/>
              </w:rPr>
              <w:t xml:space="preserve"> o precedente confirma, com eficácia vinculante, a validade da incidência do fator previdenciário inclusive sobre os segurados já filiados ao sistema antes da EC 20/1998, afastando a alegação de violação a direito adquirido. Soma-se à declaração de constitucionalidade da Lei n. 9.876/99 obtida na ADI 2.111 (j. 21/03/2024), consolidando o entendimento de que a fórmula atuarial é compatível com a Constituição.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Reforço em repercussão geral (Tema 1.091/STF):</w:t>
            </w:r>
            <w:r>
              <w:rPr>
                <w:rFonts w:ascii="EB Garamond" w:hAnsi="EB Garamond" w:cs="EB Garamond"/>
                <w:b w:val="0"/>
                <w:i w:val="0"/>
                <w:color w:val="201B16"/>
                <w:sz w:val="19"/>
                <w:lang w:val="pt-BR" w:bidi="ar-SA"/>
                <w:kern w:val="16"/>
                <w14:ligatures w14:val="standardContextual"/>
              </w:rPr>
              <w:t xml:space="preserve"> em sentido convergente, e de forma mais abrangente, o STF já havia firmado, por reafirmação de jurisprudência, a tese do Tema 1.091 (RE 1.221.630, j. 05/06/2020): "É constitucional o fator previdenciário previsto no art. 29, caput, incisos e parágrafos, da Lei nº 8.213/91, com a redação dada pelo art. 2º da Lei nº 9.876/99." Enquanto o Tema 616 trata do recorte dos segurados da transição da EC 20/1998, o Tema 1.091 atesta a constitucionalidade da própria fórmula em termos gerais.</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declaração de constitucionalidade teve repercussão direta sobre outra controvérsia relevante. O art. 3º da Lei n. 9.876/99, que estabeleceu a regra de transição para os segurados filiados antes de sua vigência, permitindo o cálculo pela média dos 80% maiores salários de contribuição em vez da regra anterior dos 36 últimos meses, foi declarado norma cogente, de aplicação obrigatória, e não norma dispositiva que pudesse ser afastada por opção do segurado.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Essa declaração de cogência do art. 3º da Lei n. 9.876/99 constituiu um dos fundamentos centrais para a reversão da tese da Revisão da Vida Toda pelo STF, conforme analisaremos na seção 16.11. A lógica foi a seguinte: se o art. 3º da Lei n. 9.876/99 é cogente (e não facultativo), o segurado não pode optar pela regra do art. 29 da Lei n. 8.213/91 em sua redação original — e, portanto, não pode incluir no cálculo os salários de contribuição anteriores a julho de 1994.</w:t>
      </w:r>
    </w:p>
    <w:p>
      <w:pPr>
        <w:spacing w:before="260" w:after="80" w:line="240" w:lineRule="auto"/>
        <w:jc w:val="left"/>
      </w:pPr>
      <w:r>
        <w:rPr>
          <w:rFonts w:ascii="EB Garamond" w:hAnsi="EB Garamond" w:cs="EB Garamond"/>
          <w:b/>
          <w:i w:val="0"/>
          <w:color w:val="3A3128"/>
          <w:sz w:val="25"/>
          <w:lang w:val="pt-BR" w:bidi="ar-SA"/>
          <w:kern w:val="16"/>
          <w14:ligatures w14:val="standardContextual"/>
        </w:rPr>
        <w:t>16.4.4 A regra 85/95 (Lei n. 13.183/2015)</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insatisfação dos segurados com os efeitos redutores do fator previdenciário levou à criação, pela Lei n. 13.183/2015, da chamada regra 85/95 — alternativa que permitia ao segurado afastar a aplicação do fator quando atingisse pontuação mínima (soma de idade e tempo de contribuição). O segurado mulher precisava atingir 85 pontos, e o homem, 95 pontos, com progressão bianual até atingir 90/100 pontos. Ao atingir a pontuação, o segurado aposentava-se com 100% do salário de benefício, sem incidência do fator.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regra 85/95 foi tratada em detalhe na seção 11.9, com o exemplo da segurada Sônia e a tabela de progressão de pontos, a que remetemos o leitor. A regra 85/95 perdeu aplicabilidade prática após a EC 103/2019, subsistindo apenas para os segurados com direito adquirido — aqueles que atingiram a pontuação mínima até 12 de novembro de 2019. Para os demais, a regra foi absorvida pela nova sistemática das regras de transição (arts. 15 a 20 da EC 103).</w:t>
      </w:r>
    </w:p>
    <w:p>
      <w:pPr>
        <w:spacing w:before="260" w:after="80" w:line="240" w:lineRule="auto"/>
        <w:jc w:val="left"/>
      </w:pPr>
      <w:r>
        <w:rPr>
          <w:rFonts w:ascii="EB Garamond" w:hAnsi="EB Garamond" w:cs="EB Garamond"/>
          <w:b/>
          <w:i w:val="0"/>
          <w:color w:val="3A3128"/>
          <w:sz w:val="25"/>
          <w:lang w:val="pt-BR" w:bidi="ar-SA"/>
          <w:kern w:val="16"/>
          <w14:ligatures w14:val="standardContextual"/>
        </w:rPr>
        <w:t>16.4.5 Aplicabilidade do fator previdenciário pós-EC 103/2019</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EC 103/2019, ao substituir a fórmula de cálculo dos benefícios pelo coeficiente de 60% + 2%, não revogou expressamente o fator previdenciário. A questão que se coloca é: em quais hipóteses o fator previdenciário ainda se aplica após a reforma?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resposta varia conforme a situação do segurado: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 Aplicação obrigatória:</w:t>
      </w:r>
      <w:r>
        <w:rPr>
          <w:rFonts w:ascii="EB Garamond" w:hAnsi="EB Garamond" w:cs="EB Garamond"/>
          <w:b w:val="0"/>
          <w:i w:val="0"/>
          <w:color w:val="201B16"/>
          <w:sz w:val="21"/>
          <w:lang w:val="pt-BR" w:bidi="ar-SA"/>
          <w:kern w:val="16"/>
          <w14:ligatures w14:val="standardContextual"/>
        </w:rPr>
        <w:t xml:space="preserve"> O fator previdenciário continua de incidência obrigatória na regra de transição do art. 17 da EC 103/2019 (pedágio de 50%), conforme analisado na seção 11.6. Nessa regra, o segurado aposenta-se com 100% do salário de benefício (média dos 80% maiores SC, regra antiga), com aplicação obrigatória do fator. O resultado pode ser superior ou inferior ao salário de benefício, dependendo do perfil do segurado.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b) Aplicação facultativa ("quando mais vantajoso"):</w:t>
      </w:r>
      <w:r>
        <w:rPr>
          <w:rFonts w:ascii="EB Garamond" w:hAnsi="EB Garamond" w:cs="EB Garamond"/>
          <w:b w:val="0"/>
          <w:i w:val="0"/>
          <w:color w:val="201B16"/>
          <w:sz w:val="21"/>
          <w:lang w:val="pt-BR" w:bidi="ar-SA"/>
          <w:kern w:val="16"/>
          <w14:ligatures w14:val="standardContextual"/>
        </w:rPr>
        <w:t xml:space="preserve"> Para os segurados com direito adquirido à aposentadoria por idade na regra anterior à EC 103, o fator previdenciário era aplicado apenas quando mais favorável ao segurado (art. 7º da Lei n. 9.876/99). Essa regra permanece para os casos de direito adquirido. Do mesmo modo, para os segurados com direito adquirido à aposentadoria por tempo de contribuição da pessoa com deficiência (LC 142/2013), o fator previdenciário é aplicado apenas quando benéfico.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 Não se aplica:</w:t>
      </w:r>
      <w:r>
        <w:rPr>
          <w:rFonts w:ascii="EB Garamond" w:hAnsi="EB Garamond" w:cs="EB Garamond"/>
          <w:b w:val="0"/>
          <w:i w:val="0"/>
          <w:color w:val="201B16"/>
          <w:sz w:val="21"/>
          <w:lang w:val="pt-BR" w:bidi="ar-SA"/>
          <w:kern w:val="16"/>
          <w14:ligatures w14:val="standardContextual"/>
        </w:rPr>
        <w:t xml:space="preserve"> Para os benefícios calculados exclusivamente pela regra pós-EC 103 — aposentadoria programada (denominação adotada pela EC 103 e pela regulamentação infralegal para o benefício do art. 201, § 7º, I, da CF), aposentadoria por incapacidade permanente (arts. 26, §§ 2º e 3º, EC 103), regras de transição dos arts. 15, 16 e 20 da EC 103 —, o fator previdenciário não se aplica. Nesses casos, o cálculo é feito exclusivamente pelo coeficiente de 60% + 2%, sem qualquer incidência da fórmula atuarial do fator.</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16.5 Coeficiente de cálculo pós-EC 103/2019</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EC 103/2019 substituiu a multiplicidade de coeficientes de cálculo que vigoravam na legislação anterior por uma fórmula unificada, prevista no art. 26, §§ 2º a 5º. Essa fórmula, ao vincular o percentual do benefício ao tempo de contribuição do segurado, estabeleceu um sistema progressivo em que a renda mensal inicial cresce proporcionalmente ao período contributivo. A lógica é de incentivo à permanência no sistema: quanto mais tempo o segurado contribui, maior o percentual que receberá.</w:t>
      </w:r>
    </w:p>
    <w:p>
      <w:pPr>
        <w:spacing w:before="260" w:after="80" w:line="240" w:lineRule="auto"/>
        <w:jc w:val="left"/>
      </w:pPr>
      <w:r>
        <w:rPr>
          <w:rFonts w:ascii="EB Garamond" w:hAnsi="EB Garamond" w:cs="EB Garamond"/>
          <w:b/>
          <w:i w:val="0"/>
          <w:color w:val="3A3128"/>
          <w:sz w:val="25"/>
          <w:lang w:val="pt-BR" w:bidi="ar-SA"/>
          <w:kern w:val="16"/>
          <w14:ligatures w14:val="standardContextual"/>
        </w:rPr>
        <w:t>16.5.1 Regra geral: 60% + 2% por ano excedente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regra geral do coeficiente pós-EC 103, examinada pela doutrina, está no art. 26, § 2º. O benefício corresponde a 60% do salário de benefício, acrescidos de 2 pontos percentuais para cada ano de contribuição que exceder 20 anos (para o homem) ou 15 anos (para a mulher).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A fórmula é: </w:t>
      </w:r>
      <w:r>
        <w:rPr>
          <w:rFonts w:ascii="EB Garamond" w:hAnsi="EB Garamond" w:cs="EB Garamond"/>
          <w:b/>
          <w:i w:val="0"/>
          <w:color w:val="201B16"/>
          <w:sz w:val="21"/>
          <w:lang w:val="pt-BR" w:bidi="ar-SA"/>
          <w:kern w:val="16"/>
          <w14:ligatures w14:val="standardContextual"/>
        </w:rPr>
        <w:t>RMI = SB × [60% + 2% × (TC – 20)]</w:t>
      </w:r>
      <w:r>
        <w:rPr>
          <w:rFonts w:ascii="EB Garamond" w:hAnsi="EB Garamond" w:cs="EB Garamond"/>
          <w:b w:val="0"/>
          <w:i w:val="0"/>
          <w:color w:val="201B16"/>
          <w:sz w:val="21"/>
          <w:lang w:val="pt-BR" w:bidi="ar-SA"/>
          <w:kern w:val="16"/>
          <w14:ligatures w14:val="standardContextual"/>
        </w:rPr>
        <w:t xml:space="preserve"> para homens, e </w:t>
      </w:r>
      <w:r>
        <w:rPr>
          <w:rFonts w:ascii="EB Garamond" w:hAnsi="EB Garamond" w:cs="EB Garamond"/>
          <w:b/>
          <w:i w:val="0"/>
          <w:color w:val="201B16"/>
          <w:sz w:val="21"/>
          <w:lang w:val="pt-BR" w:bidi="ar-SA"/>
          <w:kern w:val="16"/>
          <w14:ligatures w14:val="standardContextual"/>
        </w:rPr>
        <w:t>RMI = SB × [60% + 2% × (TC – 15)]</w:t>
      </w:r>
      <w:r>
        <w:rPr>
          <w:rFonts w:ascii="EB Garamond" w:hAnsi="EB Garamond" w:cs="EB Garamond"/>
          <w:b w:val="0"/>
          <w:i w:val="0"/>
          <w:color w:val="201B16"/>
          <w:sz w:val="21"/>
          <w:lang w:val="pt-BR" w:bidi="ar-SA"/>
          <w:kern w:val="16"/>
          <w14:ligatures w14:val="standardContextual"/>
        </w:rPr>
        <w:t xml:space="preserve"> para mulheres.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Em termos práticos, um homem atinge 100% do salário de benefício com 40 anos de contribuição: 60% + 2% × (40 – 20) = 60% + 40% = 100%. Uma mulher atinge 100% com 35 anos de contribuição: 60% + 2% × (35 – 15) = 60% + 40% = 100%.</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fórmula não prevê teto percentual expresso. O segurado que contribuir por período superior ao necessário para atingir 100% receberá coeficiente superior a 100% — situação que beneficia os segurados com longo tempo de contribuição. Um homem com 45 anos de contribuição receberá coeficiente de 110%; uma mulher com 40 anos de contribuição, igualmente 110%.</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tabela a seguir apresenta os coeficientes para diferentes tempos de contribuição, por sexo:</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TC (anos)</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Coeficiente Homem</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Coeficiente Mulher</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60% (mínimo feminino)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60%</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60%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70%</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25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70%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80%</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30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80%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90%</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35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90%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40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100%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110%</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45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110%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120%</w:t>
            </w: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O coeficiente pode ultrapassar 100%</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Ao contrário do que muitos segurados e mesmo alguns operadores do direito supõem, o coeficiente do art. 26, § 2º, da EC 103/2019 pode ultrapassar 100%. Não há teto percentual expresso na norma constitucional. Um homem com 45 anos de contribuição recebe coeficiente de 110%; uma mulher com 42 anos, de 114%. O resultado está sujeito ao teto do RGPS (R$ 8.475,55 em 2026), mas o coeficiente em si é ilimitado. Essa possibilidade é especialmente relevante para segurados com salários de contribuição próximos ao teto: o coeficiente acima de 100% pode significar uma RMI superior ao próprio salário de benefício, até o limite do teto do RGPS.</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16.5.2 Exceções por espécie de benefício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regra geral do coeficiente 60% + 2% admite exceções expressas no texto da EC 103/2019, conforme a espécie de benefício: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 Aposentadoria por incapacidade permanente não acidentária (art. 26, § 2º, III):</w:t>
      </w:r>
      <w:r>
        <w:rPr>
          <w:rFonts w:ascii="EB Garamond" w:hAnsi="EB Garamond" w:cs="EB Garamond"/>
          <w:b w:val="0"/>
          <w:i w:val="0"/>
          <w:color w:val="201B16"/>
          <w:sz w:val="21"/>
          <w:lang w:val="pt-BR" w:bidi="ar-SA"/>
          <w:kern w:val="16"/>
          <w14:ligatures w14:val="standardContextual"/>
        </w:rPr>
        <w:t xml:space="preserve"> O coeficiente é o mesmo da regra geral — 60% + 2% por ano acima de 20 anos (homem) ou 15 anos (mulher). Contudo, a incidência desse coeficiente sobre o benefício por incapacidade tem sido alvo de severa crítica doutrinária, pois o segurado que se torna permanentemente incapaz para o trabalho frequentemente não tem como ampliar seu tempo de contribuição para melhorar o coeficiente. A jurisprudência enfrentou essa questão no Tema 1300/STF, analisado adiante.</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b) Aposentadoria por incapacidade permanente acidentária (art. 26, § 3º, II):</w:t>
      </w:r>
      <w:r>
        <w:rPr>
          <w:rFonts w:ascii="EB Garamond" w:hAnsi="EB Garamond" w:cs="EB Garamond"/>
          <w:b w:val="0"/>
          <w:i w:val="0"/>
          <w:color w:val="201B16"/>
          <w:sz w:val="21"/>
          <w:lang w:val="pt-BR" w:bidi="ar-SA"/>
          <w:kern w:val="16"/>
          <w14:ligatures w14:val="standardContextual"/>
        </w:rPr>
        <w:t xml:space="preserve"> O coeficiente é de 100% do salário de benefício, sem aplicação da regra progressiva. A distinção entre incapacidade acidentária e não acidentária foi mantida pela EC 103 e permanece como uma das mais criticadas desigualdades do sistema.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 Aposentadoria do professor (art. 26, § 5º):</w:t>
      </w:r>
      <w:r>
        <w:rPr>
          <w:rFonts w:ascii="EB Garamond" w:hAnsi="EB Garamond" w:cs="EB Garamond"/>
          <w:b w:val="0"/>
          <w:i w:val="0"/>
          <w:color w:val="201B16"/>
          <w:sz w:val="21"/>
          <w:lang w:val="pt-BR" w:bidi="ar-SA"/>
          <w:kern w:val="16"/>
          <w14:ligatures w14:val="standardContextual"/>
        </w:rPr>
        <w:t xml:space="preserve"> O coeficiente segue a regra geral de 60% + 2%, porém o ponto de partida para o acréscimo percentual é 25 anos de contribuição para o homem e 20 anos para a mulher, e não 20/15 como na regra geral. Essa redução do limiar de partida reconhece as condições especiais do magistério e resulta em coeficiente mais elevado para o mesmo tempo de contribuição.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d) Aposentadoria da pessoa com deficiência (art. 22 da EC 103):</w:t>
      </w:r>
      <w:r>
        <w:rPr>
          <w:rFonts w:ascii="EB Garamond" w:hAnsi="EB Garamond" w:cs="EB Garamond"/>
          <w:b w:val="0"/>
          <w:i w:val="0"/>
          <w:color w:val="201B16"/>
          <w:sz w:val="21"/>
          <w:lang w:val="pt-BR" w:bidi="ar-SA"/>
          <w:kern w:val="16"/>
          <w14:ligatures w14:val="standardContextual"/>
        </w:rPr>
        <w:t xml:space="preserve"> O coeficiente é de 100% do salário de benefício, sem aplicação do redutor de 60% + 2%. A norma da LC 142/2013 foi preservada expressamente pela EC 103, que manteve a integralidade do benefício para os segurados com deficiência.</w:t>
      </w:r>
    </w:p>
    <w:p>
      <w:pPr>
        <w:spacing w:before="260" w:after="80" w:line="240" w:lineRule="auto"/>
        <w:jc w:val="left"/>
      </w:pPr>
      <w:r>
        <w:rPr>
          <w:rFonts w:ascii="EB Garamond" w:hAnsi="EB Garamond" w:cs="EB Garamond"/>
          <w:b/>
          <w:i w:val="0"/>
          <w:color w:val="3A3128"/>
          <w:sz w:val="25"/>
          <w:lang w:val="pt-BR" w:bidi="ar-SA"/>
          <w:kern w:val="16"/>
          <w14:ligatures w14:val="standardContextual"/>
        </w:rPr>
        <w:t>16.5.3 Constitucionalidade do coeficiente de 60% + 2% para incapacidade permanente: Tema 1300/STF</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aplicação do coeficiente de 60% + 2% à aposentadoria por incapacidade permanente não acidentária gerou intensa controvérsia. A questão central era saber se a redução do benefício por incapacidade em razão do pouco tempo de contribuição violaria os princípios da dignidade da pessoa humana e da vedação ao retrocesso social, considerando que o segurado incapaz não tem como ampliar sua contribuição ao sistema.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Supremo Tribunal Federal enfrentou a matéria no Tema 1300 (RE 1.469.150), em julgamento concluído em 18 de dezembro de 2025. Por maioria de 6 votos a 4, o Tribunal declarou constitucional o coeficiente de 60% + 2% para a aposentadoria por incapacidade permanente não acidentária, afastando a alegação de inconstitucionalidade. O voto condutor do Ministro Luís Roberto Barroso fundou-se na autonomia do legislador reformador para definir os parâmetros de cálculo dos benefícios, no equilíbrio financeiro e atuarial do sistema e na existência de piso constitucional (salário-mínimo) como garantia mínima de subsistência.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Tema 1300/STF — Constitucionalidade do coeficiente de 60% + 2% para aposentadoria por incapacidade permanente</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No RE 1.469.150 (Tema 1300), julgado em 18/12/2025, o STF declarou constitucional o coeficiente de cálculo previsto no art. 26, § 2º, III, da EC 103/2019, aplicável à aposentadoria por incapacidade permanente de origem não acidentária. A votação foi de 6 a 4, relatoria do Min. Luís Roberto Barroso. Os votos vencidos sustentavam que a aplicação do coeficiente redutor a um benefício por incapacidade violaria a dignidade humana, pois o segurado incapaz não teria como ampliar o tempo de contribuição para melhorar o percentual.</w:t>
            </w:r>
          </w:p>
          <w:p>
            <w:pPr>
              <w:spacing w:before="0" w:after="60" w:line="247" w:lineRule="auto"/>
              <w:jc w:val="both"/>
            </w:pPr>
            <w:r>
              <w:rPr>
                <w:rFonts w:ascii="EB Garamond" w:hAnsi="EB Garamond" w:cs="EB Garamond"/>
                <w:b/>
                <w:i w:val="0"/>
                <w:color w:val="201B16"/>
                <w:sz w:val="19"/>
                <w:lang w:val="pt-BR" w:bidi="ar-SA"/>
                <w:kern w:val="16"/>
                <w14:ligatures w14:val="standardContextual"/>
              </w:rPr>
              <w:t>Implicação prática:</w:t>
            </w:r>
            <w:r>
              <w:rPr>
                <w:rFonts w:ascii="EB Garamond" w:hAnsi="EB Garamond" w:cs="EB Garamond"/>
                <w:b w:val="0"/>
                <w:i w:val="0"/>
                <w:color w:val="201B16"/>
                <w:sz w:val="19"/>
                <w:lang w:val="pt-BR" w:bidi="ar-SA"/>
                <w:kern w:val="16"/>
                <w14:ligatures w14:val="standardContextual"/>
              </w:rPr>
              <w:t xml:space="preserve"> Um segurado que se torne permanentemente incapaz para o trabalho com apenas 15 anos de contribuição receberá RMI de 60% do salário de benefício — valor que, após a aplicação do piso constitucional, será elevado ao salário-mínimo (R$ 1.621,00 em 2026) se o resultado for inferior a esse patamar. A tese está firmada com repercussão geral, sendo de observância obrigatória para todas as instâncias.</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decisão do STF não encerrou todas as controvérsias. Permanecem em aberto questões como a possibilidade de aplicação do coeficiente de 100% quando a incapacidade permanente decorre de doença ocupacional (equiparada a acidente do trabalho para fins do art. 20 da Lei n. 8.213/91), e a viabilidade de aplicação analógica do art. 26, § 3º, II, da EC 103 (que garante 100% na incapacidade acidentária) às hipóteses de doença profissional. Essas questões ainda não foram objeto de pronunciamento vinculante dos tribunais superiores.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16.6 Renda mensal inicial (RMI) — quadro unificado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renda mensal inicial é o valor que o segurado efetivamente receberá no primeiro mês do benefício. Resulta da aplicação do coeficiente de cálculo sobre o salário de benefício, observados o piso constitucional e o teto do RGPS. A compreensão da RMI exige domínio tanto da base de cálculo (salário de benefício, seções 16.2 e 16.3) quanto do coeficiente aplicável (fator previdenciário ou coeficiente pós-EC 103, seções 16.4 e 16.5).</w:t>
      </w:r>
    </w:p>
    <w:p>
      <w:pPr>
        <w:spacing w:before="260" w:after="80" w:line="240" w:lineRule="auto"/>
        <w:jc w:val="left"/>
      </w:pPr>
      <w:r>
        <w:rPr>
          <w:rFonts w:ascii="EB Garamond" w:hAnsi="EB Garamond" w:cs="EB Garamond"/>
          <w:b/>
          <w:i w:val="0"/>
          <w:color w:val="3A3128"/>
          <w:sz w:val="25"/>
          <w:lang w:val="pt-BR" w:bidi="ar-SA"/>
          <w:kern w:val="16"/>
          <w14:ligatures w14:val="standardContextual"/>
        </w:rPr>
        <w:t>16.6.1 Conceito e fórmula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N</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 regra pós-EC 103/2019, a fórmula geral é:</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RMI = SB × coeficiente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Onde o salário de benefício é a média de 100% dos salários de contribuição desde julho de 1994 e o coeficiente varia conforme a espécie de benefício (seção 16.5).</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regra pré-EC 103, a fórmula variava conforme a espécie: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Para a aposentadoria por tempo de contribuição: </w:t>
      </w:r>
      <w:r>
        <w:rPr>
          <w:rFonts w:ascii="EB Garamond" w:hAnsi="EB Garamond" w:cs="EB Garamond"/>
          <w:b/>
          <w:i w:val="0"/>
          <w:color w:val="201B16"/>
          <w:sz w:val="21"/>
          <w:lang w:val="pt-BR" w:bidi="ar-SA"/>
          <w:kern w:val="16"/>
          <w14:ligatures w14:val="standardContextual"/>
        </w:rPr>
        <w:t>RMI = SB × fator previdenciário</w:t>
      </w:r>
      <w:r>
        <w:rPr>
          <w:rFonts w:ascii="EB Garamond" w:hAnsi="EB Garamond" w:cs="EB Garamond"/>
          <w:b w:val="0"/>
          <w:i w:val="0"/>
          <w:color w:val="201B16"/>
          <w:sz w:val="21"/>
          <w:lang w:val="pt-BR" w:bidi="ar-SA"/>
          <w:kern w:val="16"/>
          <w14:ligatures w14:val="standardContextual"/>
        </w:rPr>
        <w:t xml:space="preserve"> (ou 100% do SB, se aplicável a regra 85/95).</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Para a aposentadoria por idade: </w:t>
      </w:r>
      <w:r>
        <w:rPr>
          <w:rFonts w:ascii="EB Garamond" w:hAnsi="EB Garamond" w:cs="EB Garamond"/>
          <w:b/>
          <w:i w:val="0"/>
          <w:color w:val="201B16"/>
          <w:sz w:val="21"/>
          <w:lang w:val="pt-BR" w:bidi="ar-SA"/>
          <w:kern w:val="16"/>
          <w14:ligatures w14:val="standardContextual"/>
        </w:rPr>
        <w:t>RMI = SB × (70% + 1% por grupo de 12 contribuições)</w:t>
      </w:r>
      <w:r>
        <w:rPr>
          <w:rFonts w:ascii="EB Garamond" w:hAnsi="EB Garamond" w:cs="EB Garamond"/>
          <w:b w:val="0"/>
          <w:i w:val="0"/>
          <w:color w:val="201B16"/>
          <w:sz w:val="21"/>
          <w:lang w:val="pt-BR" w:bidi="ar-SA"/>
          <w:kern w:val="16"/>
          <w14:ligatures w14:val="standardContextual"/>
        </w:rPr>
        <w:t>, limitada a 100% do SB.</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Para o auxílio por incapacidade temporária: </w:t>
      </w:r>
      <w:r>
        <w:rPr>
          <w:rFonts w:ascii="EB Garamond" w:hAnsi="EB Garamond" w:cs="EB Garamond"/>
          <w:b/>
          <w:i w:val="0"/>
          <w:color w:val="201B16"/>
          <w:sz w:val="21"/>
          <w:lang w:val="pt-BR" w:bidi="ar-SA"/>
          <w:kern w:val="16"/>
          <w14:ligatures w14:val="standardContextual"/>
        </w:rPr>
        <w:t>RMI = 91% do SB</w:t>
      </w:r>
      <w:r>
        <w:rPr>
          <w:rFonts w:ascii="EB Garamond" w:hAnsi="EB Garamond" w:cs="EB Garamond"/>
          <w:b w:val="0"/>
          <w:i w:val="0"/>
          <w:color w:val="201B16"/>
          <w:sz w:val="21"/>
          <w:lang w:val="pt-BR" w:bidi="ar-SA"/>
          <w:kern w:val="16"/>
          <w14:ligatures w14:val="standardContextual"/>
        </w:rPr>
        <w:t xml:space="preserve"> (art. 61 da Lei n. 8.213/91).</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Para a aposentadoria por incapacidade permanente: </w:t>
      </w:r>
      <w:r>
        <w:rPr>
          <w:rFonts w:ascii="EB Garamond" w:hAnsi="EB Garamond" w:cs="EB Garamond"/>
          <w:b/>
          <w:i w:val="0"/>
          <w:color w:val="201B16"/>
          <w:sz w:val="21"/>
          <w:lang w:val="pt-BR" w:bidi="ar-SA"/>
          <w:kern w:val="16"/>
          <w14:ligatures w14:val="standardContextual"/>
        </w:rPr>
        <w:t>RMI = 100% do SB</w:t>
      </w:r>
      <w:r>
        <w:rPr>
          <w:rFonts w:ascii="EB Garamond" w:hAnsi="EB Garamond" w:cs="EB Garamond"/>
          <w:b w:val="0"/>
          <w:i w:val="0"/>
          <w:color w:val="201B16"/>
          <w:sz w:val="21"/>
          <w:lang w:val="pt-BR" w:bidi="ar-SA"/>
          <w:kern w:val="16"/>
          <w14:ligatures w14:val="standardContextual"/>
        </w:rPr>
        <w:t xml:space="preserve"> (regra pré-EC 103, art. 44 da Lei n. 8.213/91).</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dualidade de regras reforça a importância do direito intertemporal: a fórmula aplicável depende da data do fato gerador, e a escolha da regra mais vantajosa pode representar diferença expressiva no valor mensal do benefício. Na prática forense, a primeira tarefa do advogado ao instruir uma ação previdenciária de concessão ou revisão é identificar a data do fato gerador e, a partir dela, determinar qual fórmula de cálculo se aplica — verificação que o magistrado deve igualmente realizar ao examinar o pedido.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É relevante observar que as regras de transição da EC 103/2019 (arts. 15 a 20) estabelecem fórmulas de cálculo distintas entre si, algumas mantendo a sistemática dos 80% maiores com fator previdenciário (art. 17 — pedágio 50%) e outras adotando a média de 100% com coeficiente de 60% + 2% (arts. 15, 16 e 20). A regra de cálculo aplicável depende da regra de transição pela qual o segurado se aposenta, e a escolha entre elas nem sempre é intuitiva, pois uma regra com requisitos mais exigentes pode resultar em benefício de valor superior. O confronto entre todas as regras disponíveis para um mesmo segurado foi realizado na seção 11.15, com o exemplo de Ricardo, a que remetemos o leitor.</w:t>
      </w:r>
    </w:p>
    <w:p>
      <w:pPr>
        <w:spacing w:before="260" w:after="80" w:line="240" w:lineRule="auto"/>
        <w:jc w:val="left"/>
      </w:pPr>
      <w:r>
        <w:rPr>
          <w:rFonts w:ascii="EB Garamond" w:hAnsi="EB Garamond" w:cs="EB Garamond"/>
          <w:b/>
          <w:i w:val="0"/>
          <w:color w:val="3A3128"/>
          <w:sz w:val="25"/>
          <w:lang w:val="pt-BR" w:bidi="ar-SA"/>
          <w:kern w:val="16"/>
          <w14:ligatures w14:val="standardContextual"/>
        </w:rPr>
        <w:t>16.6.2 Quadro unificado por espécie de benefício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quadro a seguir consolida, para todas as espécies de benefício do RGPS, a base de cálculo, o coeficiente, a fórmula da RMI, o piso e o capítulo de referência. A regra indicada é a pós-EC 103/2019, salvo menção expressa.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5F3EF" w:val="clear"/>
            <w:tcBorders>
              <w:top w:val="single" w:sz="7" w:space="0" w:color="A09882"/>
              <w:bottom w:val="single" w:sz="7" w:space="0" w:color="A09882"/>
              <w:right w:val="single" w:sz="7" w:space="0" w:color="A09882"/>
              <w:left w:val="single" w:sz="24" w:space="0" w:color="6B6256"/>
            </w:tcBorders>
          </w:tcPr>
          <w:p>
            <w:pPr>
              <w:spacing w:before="0" w:after="60" w:line="240" w:lineRule="auto"/>
              <w:jc w:val="left"/>
            </w:pPr>
            <w:r>
              <w:rPr>
                <w:rFonts w:ascii="Noto Sans" w:hAnsi="Noto Sans" w:cs="Noto Sans"/>
                <w:b/>
                <w:i w:val="0"/>
                <w:caps/>
                <w:color w:val="6B6256"/>
                <w:sz w:val="16"/>
                <w:lang w:val="pt-BR" w:bidi="ar-SA"/>
                <w:kern w:val="16"/>
                <w14:ligatures w14:val="standardContextual"/>
              </w:rPr>
              <w:t>QUADRO</w:t>
            </w:r>
          </w:p>
          <w:p>
            <w:pPr>
              <w:spacing w:before="0" w:after="60" w:line="247" w:lineRule="auto"/>
              <w:jc w:val="both"/>
            </w:pPr>
            <w:r>
              <w:rPr>
                <w:rFonts w:ascii="EB Garamond" w:hAnsi="EB Garamond" w:cs="EB Garamond"/>
                <w:b/>
                <w:i w:val="0"/>
                <w:color w:val="201B16"/>
                <w:sz w:val="19"/>
                <w:lang w:val="pt-BR" w:bidi="ar-SA"/>
                <w:kern w:val="16"/>
                <w14:ligatures w14:val="standardContextual"/>
              </w:rPr>
              <w:t>Quadro 16.2 — RMI por espécie de benefício (regra pós-EC 103/2019)</w:t>
            </w:r>
          </w:p>
          <w:tbl>
            <w:tblPr>
              <w:tblW w:type="auto" w:w="0"/>
              <w:jc w:val="center"/>
              <w:tblLook w:firstColumn="1" w:firstRow="1" w:lastColumn="0" w:lastRow="0" w:noHBand="0" w:noVBand="1" w:val="04A0"/>
              <w:tblW w:w="5000" w:type="pct"/>
            </w:tblPr>
            <w:tblGrid>
              <w:gridCol w:w="1058"/>
              <w:gridCol w:w="1058"/>
              <w:gridCol w:w="1058"/>
              <w:gridCol w:w="1058"/>
              <w:gridCol w:w="1058"/>
              <w:gridCol w:w="1058"/>
            </w:tblGrid>
            <w:tr>
              <w:trPr>
                <w:tblHeader/>
              </w:trPr>
              <w:tc>
                <w:tcPr>
                  <w:tcW w:type="dxa" w:w="1058"/>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Espécie</w:t>
                  </w:r>
                </w:p>
              </w:tc>
              <w:tc>
                <w:tcPr>
                  <w:tcW w:type="dxa" w:w="1058"/>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Base de cálculo (SB)</w:t>
                  </w:r>
                </w:p>
              </w:tc>
              <w:tc>
                <w:tcPr>
                  <w:tcW w:type="dxa" w:w="1058"/>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Coeficiente</w:t>
                  </w:r>
                </w:p>
              </w:tc>
              <w:tc>
                <w:tcPr>
                  <w:tcW w:type="dxa" w:w="1058"/>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Fórmula da RMI</w:t>
                  </w:r>
                </w:p>
              </w:tc>
              <w:tc>
                <w:tcPr>
                  <w:tcW w:type="dxa" w:w="1058"/>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Piso</w:t>
                  </w:r>
                </w:p>
              </w:tc>
              <w:tc>
                <w:tcPr>
                  <w:tcW w:type="dxa" w:w="1058"/>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Referência</w:t>
                  </w:r>
                </w:p>
              </w:tc>
            </w:tr>
            <w:tr>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Aposentadoria programada</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Média 100% SC desde jul/1994</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60% + 2%/ano acima 20H/15M</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SB × coeficiente</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 SM</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Cap. 10</w:t>
                  </w:r>
                </w:p>
              </w:tc>
            </w:tr>
            <w:tr>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Aposent. Incapacidade permanente (não acident.)</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Média 100% SC desde jul/1994</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60% + 2%/ano acima 20H/15M</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SB × coeficiente</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 SM</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Cap. 6</w:t>
                  </w:r>
                </w:p>
              </w:tc>
            </w:tr>
            <w:tr>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Aposent. Incapacidade permanente (acidentária)</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Média 100% SC desde jul/1994</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100%</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SB × 100%</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 SM</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Cap. 6</w:t>
                  </w:r>
                </w:p>
              </w:tc>
            </w:tr>
            <w:tr>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Aposentadoria especial</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Média 100% SC desde jul/1994</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60% + 2%/ano acima 20H/15M</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SB × coeficiente</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 SM</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Cap. 8</w:t>
                  </w:r>
                </w:p>
              </w:tc>
            </w:tr>
            <w:tr>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Aposentadoria PcD (TC)</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Média 100% SC (com exclusão facultativa, art. 26, §6º, EC 103)</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100% (art. 22, EC 103 + art. 8º, I, LC 142)</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SB × 100%</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 SM</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Cap. 12</w:t>
                  </w:r>
                </w:p>
              </w:tc>
            </w:tr>
            <w:tr>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Aposentadoria PcD (idade)</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Média 100% SC (com exclusão facultativa, art. 26, §6º, EC 103)</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70% + 1%/grupo 12 contrib. (art. 50, Lei 8.213/91, por remissão do art. 8º, LC 142)</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SB × coeficiente</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 SM</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Cap. 12</w:t>
                  </w:r>
                </w:p>
              </w:tc>
            </w:tr>
            <w:tr>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Auxílio por incapacidade temporária</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Média 100% SC desde jul/1994</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91%</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SB × 91%</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 SM</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Cap. 6</w:t>
                  </w:r>
                </w:p>
              </w:tc>
            </w:tr>
            <w:tr>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Auxílio-acidente</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SB que originou o auxílio por incapacidade temporária (art. 86, §1º)</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50%</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SB × 50%</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Sem piso de 1 SM</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Cap. 15</w:t>
                  </w:r>
                </w:p>
              </w:tc>
            </w:tr>
            <w:tr>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Pensão por morte</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Média 100% SC desde jul/1994</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50% + 10%/dependente (até 100%)</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SB × coef. × cota familiar</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 SM</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Cap. 19</w:t>
                  </w:r>
                </w:p>
              </w:tc>
            </w:tr>
            <w:tr>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Salário-maternidade (empregada)</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Remuneração integral</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 usa SB</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Remuneração mensal</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 SM</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Cap. 13</w:t>
                  </w:r>
                </w:p>
              </w:tc>
            </w:tr>
            <w:tr>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Salário-maternidade (avulsa)</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Remuneração integral</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 usa SB</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Última remuneração</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 SM</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Cap. 13</w:t>
                  </w:r>
                </w:p>
              </w:tc>
            </w:tr>
            <w:tr>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Salário-maternidade (CI/facultativa)</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Média 12 últimas contrib.</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 usa SB</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Média ou 1 SM</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 SM</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Cap. 13</w:t>
                  </w:r>
                </w:p>
              </w:tc>
            </w:tr>
            <w:tr>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Salário-maternidade (segurada especial)</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 usa SB</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 SM</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 SM</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Cap. 13</w:t>
                  </w:r>
                </w:p>
              </w:tc>
            </w:tr>
            <w:tr>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Auxílio-reclusão</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 SM (valor único pós-EC 103)</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 SM</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Cap. 14</w:t>
                  </w:r>
                </w:p>
              </w:tc>
            </w:tr>
            <w:tr>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Salário-família</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Cota fixa por filho/equiparado</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Cota fixa</w:t>
                  </w:r>
                </w:p>
              </w:tc>
              <w:tc>
                <w:tcPr>
                  <w:tcW w:type="dxa" w:w="1058"/>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Cap. 13</w:t>
                  </w:r>
                </w:p>
              </w:tc>
            </w:tr>
          </w:tbl>
          <w:p/>
          <w:p>
            <w:pPr>
              <w:spacing w:before="0" w:after="0" w:line="240" w:lineRule="auto"/>
            </w:pPr>
          </w:p>
          <w:p>
            <w:pPr>
              <w:spacing w:before="0" w:after="60" w:line="247" w:lineRule="auto"/>
              <w:jc w:val="both"/>
            </w:pPr>
            <w:r>
              <w:rPr>
                <w:rFonts w:ascii="EB Garamond" w:hAnsi="EB Garamond" w:cs="EB Garamond"/>
                <w:b/>
                <w:i w:val="0"/>
                <w:color w:val="201B16"/>
                <w:sz w:val="19"/>
                <w:lang w:val="pt-BR" w:bidi="ar-SA"/>
                <w:kern w:val="16"/>
                <w14:ligatures w14:val="standardContextual"/>
              </w:rPr>
              <w:t>Notas:</w:t>
            </w:r>
            <w:r>
              <w:rPr>
                <w:rFonts w:ascii="EB Garamond" w:hAnsi="EB Garamond" w:cs="EB Garamond"/>
                <w:b w:val="0"/>
                <w:i w:val="0"/>
                <w:color w:val="201B16"/>
                <w:sz w:val="19"/>
                <w:lang w:val="pt-BR" w:bidi="ar-SA"/>
                <w:kern w:val="16"/>
                <w14:ligatures w14:val="standardContextual"/>
              </w:rPr>
              <w:t xml:space="preserve"> (1) A aposentadoria PcD mantém regra de cálculo própria da LC 142/2013, preservada pelo art. 22 da EC 103 (v. Seção 12.5). (2) A pensão por morte pós-EC 103 tem cota de 50% do SB + 10% por dependente até o limite de 100%, nos termos do art. 23 da EC 103 (v. Seção 19.20). (3) O salário-maternidade da empregada tem teto especial: subsídio de Ministro do STF (v. Seção 13.6). (4) O auxílio-acidente é o único benefício previdenciário que pode ter valor inferior ao salário-mínimo (v. Seção 15.9).</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16.6.3 Direito ao benefício mais vantajoso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segurado que preenche requisitos para mais de uma regra de cálculo, situação comum para os filiados antes da EC 103/2019, tem direito ao benefício calculado pela regra mais vantajosa. Esse direito decorre do princípio da proteção social e foi reconhecido pela própria EC 103, que preservou as regras de transição como alternativas à regra permanente, cabendo ao segurado a escolha.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análise comparativa entre as regras de cálculo foi realizada na seção 10.12, com o exemplo da segurada Helena, que teve seu benefício simulado por seis regras distintas. Remetemos o leitor a essa análise para a demonstração prática de como a escolha da regra pode afetar significativamente o valor mensal do benefício.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forense, a identificação da regra mais vantajosa exige a elaboração de cálculo comparativo — tarefa que, nos processos judiciais, pode ser desempenhada pelo advogado (na inicial), pelo contador judicial (por determinação do juiz) ou pelo próprio INSS (quando instado a apresentar os cálculos nas diferentes regras). O magistrado deve estar atento para determinar, quando necessário, a apresentação de cálculos comparativos que permitam a concessão do benefício mais favorável ao segurado.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16.7 Teto e piso dos benefícios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sistema previdenciário brasileiro opera dentro de limites inferior e superior que balizam o valor dos benefícios. O piso constitucional (salário-mínimo) e o teto do RGPS funcionam como moldura dentro da qual se insere o cálculo do benefício. A compreensão dessas balizas é essencial para a correta fixação da RMI e para a análise das ações revisionais fundadas na readequação dos tetos.</w:t>
      </w:r>
    </w:p>
    <w:p>
      <w:pPr>
        <w:spacing w:before="260" w:after="80" w:line="240" w:lineRule="auto"/>
        <w:jc w:val="left"/>
      </w:pPr>
      <w:r>
        <w:rPr>
          <w:rFonts w:ascii="EB Garamond" w:hAnsi="EB Garamond" w:cs="EB Garamond"/>
          <w:b/>
          <w:i w:val="0"/>
          <w:color w:val="3A3128"/>
          <w:sz w:val="25"/>
          <w:lang w:val="pt-BR" w:bidi="ar-SA"/>
          <w:kern w:val="16"/>
          <w14:ligatures w14:val="standardContextual"/>
        </w:rPr>
        <w:t>16.7.1 Piso: o salário-mínimo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201, § 2º, da Constituição Federal garante que nenhum benefício que substitua o salário de contribuição ou o rendimento do trabalho do segurado terá valor mensal inferior ao salário-mínimo. Essa garantia constitucional abrange a aposentadoria, o auxílio por incapacidade temporária, a pensão por morte, o salário-maternidade e o auxílio-reclusão. Em 2026, o salário-mínimo é de R$ 1.621,00 (Decreto 12.797/2025).</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garantia do piso funciona como cláusula de proteção: se o cálculo do benefício pela fórmula legal resultar em valor inferior ao salário-mínimo, o benefício será elevado ao mínimo. É o caso, por exemplo, do segurado com coeficiente de 60% cujo salário de benefício seja de R$ 2.500,00: a RMI calculada seria R$ 1.500,00, valor inferior ao salário-mínimo, e seria automaticamente elevada para R$ 1.621,00.</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exceção relevante é o auxílio-acidente, que pode ter valor inferior ao salário-mínimo. A razão é que o auxílio-acidente tem natureza indenizatória, e não substitutiva da renda do trabalho, o que o exclui do alcance do art. 201, § 2º, da CF. Como o auxílio-acidente corresponde a 50% do salário de benefício e é compatível com o exercício de atividade remunerada, seu valor pode ser inferior ao mínimo sem que isso configure violação constitucional (conforme analisado na seção 15.9).</w:t>
      </w:r>
    </w:p>
    <w:p>
      <w:pPr>
        <w:spacing w:before="260" w:after="80" w:line="240" w:lineRule="auto"/>
        <w:jc w:val="left"/>
      </w:pPr>
      <w:r>
        <w:rPr>
          <w:rFonts w:ascii="EB Garamond" w:hAnsi="EB Garamond" w:cs="EB Garamond"/>
          <w:b/>
          <w:i w:val="0"/>
          <w:color w:val="3A3128"/>
          <w:sz w:val="25"/>
          <w:lang w:val="pt-BR" w:bidi="ar-SA"/>
          <w:kern w:val="16"/>
          <w14:ligatures w14:val="standardContextual"/>
        </w:rPr>
        <w:t>16.7.2 Teto: R$ 8.475,55 (2026)</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teto do RGPS é o valor máximo que o segurado pode receber a título de benefício previdenciário no regime geral. Em 2026, o teto é de R$ 8.475,55 (Portaria Interministerial MPS/MF n. 13, de 9 de janeiro de 2026, com reajuste de 3,90% pelo INPC sobre o teto anterior de R$ 8.157,41).</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teto incide em dois momentos distintos do cálculo. Primeiro, sobre o salário de contribuição: o segurado não pode contribuir sobre base superior ao teto do RGPS, o que limita os salários de contribuição que integram o PBC. Segundo, sobre a renda mensal inicial: o benefício concedido não pode exceder o teto vigente na data da concessão. A dupla incidência é relevante porque o salário de benefício (média dos salários de contribuição) pode, em tese, resultar em valor superior ao teto vigente, especialmente quando o segurado contribuiu sobre o teto em período anterior e o teto foi reajustado por percentual inferior à inflação acumulada.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teto é reajustado anualmente pelo mesmo índice aplicado ao reajuste dos benefícios (INPC), na mesma data de reajuste do salário-mínimo. A evolução dos tetos desde a vigência do Plano Real até 2026 é apresentada no quadro a seguir.</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5F3EF" w:val="clear"/>
            <w:tcBorders>
              <w:top w:val="single" w:sz="7" w:space="0" w:color="A09882"/>
              <w:bottom w:val="single" w:sz="7" w:space="0" w:color="A09882"/>
              <w:right w:val="single" w:sz="7" w:space="0" w:color="A09882"/>
              <w:left w:val="single" w:sz="24" w:space="0" w:color="6B6256"/>
            </w:tcBorders>
          </w:tcPr>
          <w:p>
            <w:pPr>
              <w:spacing w:before="0" w:after="60" w:line="240" w:lineRule="auto"/>
              <w:jc w:val="left"/>
            </w:pPr>
            <w:r>
              <w:rPr>
                <w:rFonts w:ascii="Noto Sans" w:hAnsi="Noto Sans" w:cs="Noto Sans"/>
                <w:b/>
                <w:i w:val="0"/>
                <w:caps/>
                <w:color w:val="6B6256"/>
                <w:sz w:val="16"/>
                <w:lang w:val="pt-BR" w:bidi="ar-SA"/>
                <w:kern w:val="16"/>
                <w14:ligatures w14:val="standardContextual"/>
              </w:rPr>
              <w:t>QUADRO</w:t>
            </w:r>
          </w:p>
          <w:p>
            <w:pPr>
              <w:spacing w:before="0" w:after="60" w:line="247" w:lineRule="auto"/>
              <w:jc w:val="both"/>
            </w:pPr>
            <w:r>
              <w:rPr>
                <w:rFonts w:ascii="EB Garamond" w:hAnsi="EB Garamond" w:cs="EB Garamond"/>
                <w:b/>
                <w:i w:val="0"/>
                <w:color w:val="201B16"/>
                <w:sz w:val="19"/>
                <w:lang w:val="pt-BR" w:bidi="ar-SA"/>
                <w:kern w:val="16"/>
                <w14:ligatures w14:val="standardContextual"/>
              </w:rPr>
              <w:t>Quadro 16.3 — Evolução do teto do RGPS (1994-2026)</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Ano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Teto (R$)</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Norma de referência</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1994</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582,86</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Lei 8.880/94 (URV)</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1995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832,66</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Port. MPAS 4.479/95</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1998</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1.081,50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Port. MPAS 4.883/98</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1999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1.200,00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EC 20/98 (art. 14)</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1999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1.252,71</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Port. MPAS 5.188/99</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2004</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2.400,00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EC 41/03 (art. 5º)</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2005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2.508,72</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Port. MPS 822/05</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2008</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3.038,99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Port. MPS 77/08</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2010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3.416,54</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Port. MPS 350/09</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2012</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3.916,20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Port. MPS/MF 02/12</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2015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4.663,75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Port. MPS/MF 13/15</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2018</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5.645,80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Port. MF 15/18</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2020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6.101,06</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Port. SEPRT 3.659/20</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2022</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7.087,22</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Port. MTP 12/22</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2024</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7.786,02</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Port. MPS/MF 02/24</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2025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8.157,41</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Port. MPS/MF 06/25</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2026</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8.475,55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Port. MPS/MF 13/26</w:t>
                  </w:r>
                </w:p>
              </w:tc>
            </w:tr>
          </w:tbl>
          <w:p/>
          <w:p>
            <w:pPr>
              <w:spacing w:before="0" w:after="0" w:line="240" w:lineRule="auto"/>
            </w:pP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16.7.3 Revisão do teto: Tema 76/STF (RE 564.354)</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 Emendas Constitucionais n. 20/1998 e n. 41/2003 elevaram o teto dos benefícios do RGPS em patamares superiores ao reajuste ordinário. A EC 20/98 fixou o teto em R$ 1.200,00 (art. 14 do ADCT), e a EC 41/03 elevou-o para R$ 2.400,00 (art. 5º). Os segurados cujo salário de benefício havia sido limitado pelo teto anterior, inferior aos novos patamares, sustentaram que teriam direito à readequação do benefício aos novos tetos, com pagamento de diferenças retroativas.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STF, no RE 564.354 (Tema 76), julgado em 8 de setembro de 2010, acolheu essa pretensão. A tese firmada reconheceu o direito dos segurados à readequação do valor do benefício ao teto fixado pelas ECs 20/98 e 41/03, quando o salário de benefício tivesse sido limitado pelo teto inferior vigente à época da concessão. O fundamento é que o teto incide sobre a RMI como limite externo; se o limite é ampliado, o benefício deve ser recomposto até o novo limite, recuperando a parcela que havia sido comprimida.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Tema 76/STF — Revisão do teto (ECs 20/1998 e 41/2003)</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No RE 564.354 (Tema 76, rel. Min. Cármen Lúcia, j. 08/09/2010), o STF reconheceu o direito dos segurados do RGPS à readequação do valor dos benefícios ao teto constitucional fixado pelas ECs 20/1998 e 41/2003. A tese beneficia os segurados com data de início do benefício entre 5 de abril de 1991 (data de vigência da Lei n. 8.213/91) e 31 de dezembro de 2003 (data de vigência da EC 41/03), cujo salário de benefício, apurado sem limitação ao teto, era superior ao teto vigente na época da concessão.</w:t>
            </w:r>
          </w:p>
          <w:p>
            <w:pPr>
              <w:spacing w:before="0" w:after="60" w:line="247" w:lineRule="auto"/>
              <w:jc w:val="both"/>
            </w:pPr>
            <w:r>
              <w:rPr>
                <w:rFonts w:ascii="EB Garamond" w:hAnsi="EB Garamond" w:cs="EB Garamond"/>
                <w:b/>
                <w:i w:val="0"/>
                <w:color w:val="201B16"/>
                <w:sz w:val="19"/>
                <w:lang w:val="pt-BR" w:bidi="ar-SA"/>
                <w:kern w:val="16"/>
                <w14:ligatures w14:val="standardContextual"/>
              </w:rPr>
              <w:t>Exemplo prático:</w:t>
            </w:r>
            <w:r>
              <w:rPr>
                <w:rFonts w:ascii="EB Garamond" w:hAnsi="EB Garamond" w:cs="EB Garamond"/>
                <w:b w:val="0"/>
                <w:i w:val="0"/>
                <w:color w:val="201B16"/>
                <w:sz w:val="19"/>
                <w:lang w:val="pt-BR" w:bidi="ar-SA"/>
                <w:kern w:val="16"/>
                <w14:ligatures w14:val="standardContextual"/>
              </w:rPr>
              <w:t xml:space="preserve"> Se o segurado obteve aposentadoria em 2000 com SB de R$ 1.500,00, mas a RMI foi limitada ao teto então vigente de R$ 1.255,32, ele tem direito, a partir de dezembro de 2003 (EC 41/03), a ter a RMI recalculada considerando o SB original de R$ 1.500,00, corrigido até a data da readequação, limitado ao novo teto de R$ 2.400,00.</w:t>
            </w:r>
          </w:p>
          <w:p>
            <w:pPr>
              <w:spacing w:before="0" w:after="60" w:line="247" w:lineRule="auto"/>
              <w:jc w:val="both"/>
            </w:pPr>
            <w:r>
              <w:rPr>
                <w:rFonts w:ascii="EB Garamond" w:hAnsi="EB Garamond" w:cs="EB Garamond"/>
                <w:b/>
                <w:i w:val="0"/>
                <w:color w:val="201B16"/>
                <w:sz w:val="19"/>
                <w:lang w:val="pt-BR" w:bidi="ar-SA"/>
                <w:kern w:val="16"/>
                <w14:ligatures w14:val="standardContextual"/>
              </w:rPr>
              <w:t>Prescrição e procedimento:</w:t>
            </w:r>
            <w:r>
              <w:rPr>
                <w:rFonts w:ascii="EB Garamond" w:hAnsi="EB Garamond" w:cs="EB Garamond"/>
                <w:b w:val="0"/>
                <w:i w:val="0"/>
                <w:color w:val="201B16"/>
                <w:sz w:val="19"/>
                <w:lang w:val="pt-BR" w:bidi="ar-SA"/>
                <w:kern w:val="16"/>
                <w14:ligatures w14:val="standardContextual"/>
              </w:rPr>
              <w:t xml:space="preserve"> V. Capítulo 17, seção 17.4, para prescrição, instrução e cálculo de diferenças na ação revisional do teto.</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aplicação prática da revisão do teto exige a reconstituição do salário de benefício original, sem limitação ao teto, para verificar se o segurado faz jus à readequação. Essa informação nem sempre está disponível nos sistemas do INSS, o que pode demandar diligência complementar (requisição do processo administrativo de concessão ou consulta ao CONBAS).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tese do Tema 76 foi, posteriormente, estendida pelo próprio STF aos benefícios concedidos no chamado "buraco negro" — período compreendido entre a promulgação da Constituição (05/10/1988) e a entrada em vigor da Lei n. 8.213/91 (05/04/1991), em que os benefícios foram concedidos sem que o sistema constitucional de proteção houvesse sido ainda regulamentado. No Tema 930 (RE 937.595, Rel. Min. Luís Roberto Barroso, j. 03/02/2017), o Tribunal afastou a tese de que esses benefícios estariam excluídos da revisão do teto e assentou, com eficácia vinculante, que eles "não estão, em tese, excluídos da possibilidade de readequação segundo os tetos instituídos pelas EC´s nº 20/1998 e 41/2003, a ser aferida caso a caso, conforme os parâmetros definidos no julgamento do RE 564.354, em regime de repercussão geral." O precedente complementa o Tema 76: a readequação aos novos tetos não se limita aos benefícios concedidos sob a vigência da Lei n. 8.213/91, alcançando também os do "buraco negro", desde que a verificação seja feita individualmente, segundo os mesmos parâmetros do RE 564.354.</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Tema 930/STF — Readequação aos tetos (ECs 20/1998 e 41/2003) dos benefícios do "buraco negro"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No RE 937.595 (Tema 930, Rel. Min. Luís Roberto Barroso, j. 03/02/2017), o STF, sob repercussão geral, firmou a tese: "Os benefícios concedidos entre 05.10.1988 e 05.04.1991 (período do buraco negro) não estão, em tese, excluídos da possibilidade de readequação segundo os tetos instituídos pelas EC´s nº 20/1998 e 41/2003, a ser aferida caso a caso, conforme os parâmetros definidos no julgamento do RE 564.354, em regime de repercussão geral."</w:t>
            </w:r>
          </w:p>
          <w:p>
            <w:pPr>
              <w:spacing w:before="0" w:after="60" w:line="247" w:lineRule="auto"/>
              <w:jc w:val="both"/>
            </w:pPr>
            <w:r>
              <w:rPr>
                <w:rFonts w:ascii="EB Garamond" w:hAnsi="EB Garamond" w:cs="EB Garamond"/>
                <w:b/>
                <w:i w:val="0"/>
                <w:color w:val="201B16"/>
                <w:sz w:val="19"/>
                <w:lang w:val="pt-BR" w:bidi="ar-SA"/>
                <w:kern w:val="16"/>
                <w14:ligatures w14:val="standardContextual"/>
              </w:rPr>
              <w:t>Alcance:</w:t>
            </w:r>
            <w:r>
              <w:rPr>
                <w:rFonts w:ascii="EB Garamond" w:hAnsi="EB Garamond" w:cs="EB Garamond"/>
                <w:b w:val="0"/>
                <w:i w:val="0"/>
                <w:color w:val="201B16"/>
                <w:sz w:val="19"/>
                <w:lang w:val="pt-BR" w:bidi="ar-SA"/>
                <w:kern w:val="16"/>
                <w14:ligatures w14:val="standardContextual"/>
              </w:rPr>
              <w:t xml:space="preserve"> o precedente estende a possibilidade de readequação ao teto, reconhecida no Tema 76 (RE 564.354), aos benefícios concedidos no "buraco negro" — aqueles deferidos entre a promulgação da CF/1988 e a vigência da Lei n. 8.213/91. A readequação não é automática: deve ser aferida caso a caso, observados os mesmos parâmetros do RE 564.354, ou seja, verifica-se se o salário de benefício original, sem a limitação do teto então vigente, era superior aos tetos das ECs 20/1998 e 41/2003.</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16.7.4 Benefícios anteriores à CF/1988 e os tetos das ECs 20/1998 e 41/2003: Tema 1.140/STJ</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readequação aos tetos das ECs 20/1998 e 41/2003 suscitou questão própria em relação aos benefícios concedidos antes da Constituição Federal de 1988. Para esses benefícios, discutia-se qual limitador deveria ser utilizado no cálculo da adequação aos novos tetos constitucionais, considerando que, no regime anterior, o sistema operava com a técnica do "menor valor-teto" e do "maior valor-teto", e não com um teto único como o do RGPS atual.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Superior Tribunal de Justiça enfrentou a controvérsia no Tema 1.140 (REsp 1.957.733, Rel. Min. Gurgel de Faria, j. 14/08/2024), firmando a seguinte tese: "Para efeito de adequação dos benefícios previdenciários concedidos antes da Constituição Federal aos tetos das Emendas Constitucionais n. 20/1998 e 41/2003, no cálculo devem-se aplicar os limitadores vigentes à época de sua concessão (menor e maior valor teto), utilizando-se o teto do salário de contribuição estabelecido em cada uma das emendas constitucionais como maior valor teto, e o equivalente à metade daquele salário de contribuição como menor valor teto."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a tese determina que a readequação respeite os limitadores efetivamente vigentes em cada competência: o cálculo não se faz pela simples aplicação do novo teto único, mas pela reconstrução da sistemática do menor e do maior valor-teto. Como maior valor-teto, adota-se o teto do salário de contribuição estabelecido por cada Emenda Constitucional (R$ 1.200,00 na EC 20/1998 e R$ 2.400,00 na EC 41/2003); como menor valor-teto, a metade desse mesmo salário de contribuição. Essa orientação preserva a coerência interna do regime de cálculo dos benefícios mais antigos e evita distorções decorrentes da aplicação retroativa, e descontextualizada, de um teto único concebido para sistemática diversa.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Tema 1.140/STJ — Adequação aos tetos das ECs 20/1998 e 41/2003 dos benefícios anteriores à CF/1988</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No REsp 1.957.733 (Tema 1.140, Rel. Min. Gurgel de Faria, j. 14/08/2024; leading case acompanhado do REsp 1.958.465), a 1ª Seção do STJ firmou a tese: "Para efeito de adequação dos benefícios previdenciários concedidos antes da Constituição Federal aos tetos das Emendas Constitucionais n. 20/1998 e 41/2003, no cálculo devem-se aplicar os limitadores vigentes à época de sua concessão (menor e maior valor teto), utilizando-se o teto do salário de contribuição estabelecido em cada uma das emendas constitucionais como maior valor teto, e o equivalente à metade daquele salário de contribuição como menor valor teto."</w:t>
            </w:r>
          </w:p>
          <w:p>
            <w:pPr>
              <w:spacing w:before="0" w:after="60" w:line="247" w:lineRule="auto"/>
              <w:jc w:val="both"/>
            </w:pPr>
            <w:r>
              <w:rPr>
                <w:rFonts w:ascii="EB Garamond" w:hAnsi="EB Garamond" w:cs="EB Garamond"/>
                <w:b/>
                <w:i w:val="0"/>
                <w:color w:val="201B16"/>
                <w:sz w:val="19"/>
                <w:lang w:val="pt-BR" w:bidi="ar-SA"/>
                <w:kern w:val="16"/>
                <w14:ligatures w14:val="standardContextual"/>
              </w:rPr>
              <w:t>Implicação prática:</w:t>
            </w:r>
            <w:r>
              <w:rPr>
                <w:rFonts w:ascii="EB Garamond" w:hAnsi="EB Garamond" w:cs="EB Garamond"/>
                <w:b w:val="0"/>
                <w:i w:val="0"/>
                <w:color w:val="201B16"/>
                <w:sz w:val="19"/>
                <w:lang w:val="pt-BR" w:bidi="ar-SA"/>
                <w:kern w:val="16"/>
                <w14:ligatures w14:val="standardContextual"/>
              </w:rPr>
              <w:t xml:space="preserve"> complementa o Tema 76/STF na disciplina da revisão do teto, esclarecendo que, para os benefícios mais antigos (anteriores à CF/1988), a adequação deve observar a técnica do menor e do maior valor-teto de cada competência, e não a aplicação de um teto único. A situação do julgamento, à data de fechamento desta edição, é de acórdão publicado com recurso extraordinário pendente — sem trânsito em julgado —, de modo que eventual revisão pelo STF deve ser acompanhada.</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16.7.5 Teto especial: salário-maternidade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salário-maternidade constitui exceção à regra geral do teto do RGPS. Para a segurada empregada, o benefício corresponde à remuneração integral (art. 72 da Lei n. 8.213/91), podendo ultrapassar o teto do RGPS. Nessa hipótese, o teto aplicável é o subsídio mensal de Ministro do Supremo Tribunal Federal, por força da regra constitucional que veda remuneração de servidores e agentes públicos acima desse patamar (art. 37, XI, CF), aplicada por analogia ao salário-maternidade pago pelo RGPS.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diferença entre a remuneração da segurada e o teto do RGPS é suportada pelo empregador em regime de compensação com as contribuições previdenciárias devidas, conforme a sistemática do art. 72, § 1º, da Lei n. 8.213/91. Na prática, o empregador paga o salário-maternidade integral à segurada e deduz o valor correspondente ao teto do RGPS das contribuições previdenciárias devidas ao INSS. A análise detalhada dessa sistemática encontra-se na seção 13.6, a que remetemos o leitor.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Essa exceção ao teto geral do RGPS decorre do reconhecimento de que o salário-maternidade tem natureza salarial e visa assegurar à gestante a manutenção integral de seus rendimentos durante o período de licença, sem que a proteção previdenciária implique redução de renda. A limitação pelo subsídio de Ministro do STF funciona como teto absoluto, aplicável a todas as categorias de seguradas, e tem sido observada pelo INSS nas orientações internas de processamento do benefício.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16.8 Reajustamento dos benefícios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valor do benefício previdenciário não permanece estático após a concessão. O reajustamento periódico é garantia constitucional (art. 201, § 4º, CF) e mecanismo indispensável para preservar o poder aquisitivo da prestação frente à corrosão inflacionária. Compreender as regras de reajustamento é essencial para o magistrado que se depara com ações revisionais e com a conferência de valores em demandas previdenciárias nos JEFs.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Regra vigente: art. 41-A da Lei 8.213/91.</w:t>
      </w:r>
      <w:r>
        <w:rPr>
          <w:rFonts w:ascii="EB Garamond" w:hAnsi="EB Garamond" w:cs="EB Garamond"/>
          <w:b w:val="0"/>
          <w:i w:val="0"/>
          <w:color w:val="201B16"/>
          <w:sz w:val="21"/>
          <w:lang w:val="pt-BR" w:bidi="ar-SA"/>
          <w:kern w:val="16"/>
          <w14:ligatures w14:val="standardContextual"/>
        </w:rPr>
        <w:t xml:space="preserve"> Desde a inserção do art. 41-A pela MP 316/2006, convertida na Lei 11.430/2006, o reajustamento dos benefícios do RGPS ocorre anualmente, na mesma data de reajuste do salário-mínimo, com base na variação do Índice Nacional de Preços ao Consumidor (INPC), apurado pela Fundação Instituto Brasileiro de Geografia e Estatística (IBGE). O dispositivo consolidou regra que já vinha sendo aplicada por sucessivas Medidas Provisórias desde 2003 e eliminou a necessidade de edição anual de ato normativo específico para o reajuste dos benefícios acima do piso. A Portaria MPS/MF 13/2026 fixou o reajuste para janeiro de 2026 em 3,90%, correspondente ao INPC acumulado no ano de 2025, elevando o teto do RGPS para R$ 8.475,55.</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sistemática atual opera em dois patamares distintos. Os benefícios no valor de um salário-mínimo acompanham a política de valorização do SM (atualmente regida pelo Decreto 12.797/2025, que fixou o SM 2026 em R$ 1.621,00). Os benefícios com valor superior a um salário-mínimo são reajustados exclusivamente pelo INPC, o que gera, ao longo dos anos, defasagem em relação ao SM, cujos reajustes reais frequentemente superam a inflação. Essa discrepância entre os dois patamares não configura, segundo o STF, violação ao princípio da irredutibilidade, pois a Constituição exige apenas a preservação do valor real, e não a manutenção de paridade com o salário-mínimo (RE 199.994, Rel. Min. Marco Aurélio).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Evolução histórica dos indexadores.</w:t>
      </w:r>
      <w:r>
        <w:rPr>
          <w:rFonts w:ascii="EB Garamond" w:hAnsi="EB Garamond" w:cs="EB Garamond"/>
          <w:b w:val="0"/>
          <w:i w:val="0"/>
          <w:color w:val="201B16"/>
          <w:sz w:val="21"/>
          <w:lang w:val="pt-BR" w:bidi="ar-SA"/>
          <w:kern w:val="16"/>
          <w14:ligatures w14:val="standardContextual"/>
        </w:rPr>
        <w:t xml:space="preserve"> A trajetória dos índices utilizados para o reajuste dos benefícios reflete a turbulência econômica brasileira das décadas de 1980 e 1990. O art. 41 da Lei 8.213/91, em sua redação original, remetia à legislação específica os critérios de reajuste. A Lei 8.542/1992 estabeleceu o IRSM como indexador. A MP 542/1994, convertida na Lei 9.069/1995 (Plano Real), substituiu-o pelo IPC-r. A Lei 9.711/1998 adotou o IGP-DI, da Fundação Getúlio Vargas. A MP 2.187-13/2001 retomou o INPC, e a Lei 11.430/2006 consolidou definitivamente esse índice no art. 41-A. Essa sequência de alterações produziu diferenças acumuladas que alimentaram extenso contencioso, com ações revisionais buscando a aplicação de índices mais favoráveis em determinados períodos.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Reajuste proporcional (pro rata).</w:t>
      </w:r>
      <w:r>
        <w:rPr>
          <w:rFonts w:ascii="EB Garamond" w:hAnsi="EB Garamond" w:cs="EB Garamond"/>
          <w:b w:val="0"/>
          <w:i w:val="0"/>
          <w:color w:val="201B16"/>
          <w:sz w:val="21"/>
          <w:lang w:val="pt-BR" w:bidi="ar-SA"/>
          <w:kern w:val="16"/>
          <w14:ligatures w14:val="standardContextual"/>
        </w:rPr>
        <w:t xml:space="preserve"> Os benefícios concedidos no decorrer do ano base recebem reajuste proporcional ao número de meses entre a data de início do benefício (DIB) e o mês de referência do reajuste. A fração mensal é calculada sobre o INPC acumulado no período, de modo que um benefício concedido em julho, por exemplo, não recebe o reajuste integral de janeiro a dezembro, mas apenas a parcela correspondente ao INPC de julho a dezembro do ano anterior. As portarias anuais de reajustamento (MPS/MF) publicam tabelas detalhadas com os percentuais proporcionais por mês de DIB.</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Teto do RGPS e reajuste correlato.</w:t>
      </w:r>
      <w:r>
        <w:rPr>
          <w:rFonts w:ascii="EB Garamond" w:hAnsi="EB Garamond" w:cs="EB Garamond"/>
          <w:b w:val="0"/>
          <w:i w:val="0"/>
          <w:color w:val="201B16"/>
          <w:sz w:val="21"/>
          <w:lang w:val="pt-BR" w:bidi="ar-SA"/>
          <w:kern w:val="16"/>
          <w14:ligatures w14:val="standardContextual"/>
        </w:rPr>
        <w:t xml:space="preserve"> O limite máximo do salário de contribuição e, por consequência, do salário de benefício é reajustado pelo mesmo INPC aplicado aos benefícios. Em 2026, o teto é de R$ 8.475,55. A correlação entre o reajuste dos benefícios e o reajuste do teto é relevante para segurados que tiveram o benefício limitado pelo teto na concessão: quando o teto é reajustado, o benefício se expande até o novo limite, respeitado o valor calculado originalmente. Essa mecânica é distinta da revisão do teto tratada na seção 16.7.3 (Tema 76/STF), que envolve readequação a tetos modificados por Emendas Constitucionais.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Defasagem acumulada e controvérsias.</w:t>
      </w:r>
      <w:r>
        <w:rPr>
          <w:rFonts w:ascii="EB Garamond" w:hAnsi="EB Garamond" w:cs="EB Garamond"/>
          <w:b w:val="0"/>
          <w:i w:val="0"/>
          <w:color w:val="201B16"/>
          <w:sz w:val="21"/>
          <w:lang w:val="pt-BR" w:bidi="ar-SA"/>
          <w:kern w:val="16"/>
          <w14:ligatures w14:val="standardContextual"/>
        </w:rPr>
        <w:t xml:space="preserve"> Parcela significativa da doutrina e das entidades representativas de aposentados sustenta que o INPC subestima a inflação efetivamente experimentada pelos idosos, cuja cesta de consumo é mais pesada em saúde e medicamentos. Pesquisas do DIEESE apontam que o Índice de Preços ao Consumidor da Terceira Idade (IPC-3i), calculado pela FGV, superou consistentemente o INPC entre 2006 e 2023. A proposta de adoção de um índice específico para aposentados, embora recorrente no debate legislativo, não encontrou acolhida. Os tribunais, de sua parte, têm rejeitado pedidos de substituição do INPC por índice mais favorável, por entender que a escolha do indexador compete ao legislador (TNU, PEDILEF 0513964-82.2017.4.05.8300).</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Distinção entre reajustamento e revisão.</w:t>
      </w:r>
      <w:r>
        <w:rPr>
          <w:rFonts w:ascii="EB Garamond" w:hAnsi="EB Garamond" w:cs="EB Garamond"/>
          <w:b w:val="0"/>
          <w:i w:val="0"/>
          <w:color w:val="201B16"/>
          <w:sz w:val="21"/>
          <w:lang w:val="pt-BR" w:bidi="ar-SA"/>
          <w:kern w:val="16"/>
          <w14:ligatures w14:val="standardContextual"/>
        </w:rPr>
        <w:t xml:space="preserve"> O reajustamento (art. 41-A) é a atualização periódica do valor do benefício para preservar o poder aquisitivo, incidindo sobre todos os benefícios em manutenção. A revisão (art. 103) é o recálculo do valor originário do benefício em razão de erro na apuração do salário de benefício, da RMI ou dos elementos que os compõem. O reajustamento preserva; a revisão corrige. Ações que postulam índices de reajuste diversos dos legais são, a rigor, ações de reajustamento, não de revisão, e submetem-se à prescrição quinquenal das parcelas, sem prazo decadencial (Súmula 85/STJ). O prazo decadencial de dez anos (art. 103, Lei 8.213/91) aplica-se apenas às revisões do ato de concessão. O Capítulo 17 aprofundará essas distinções no âmbito processual.</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16.9 Correção monetária dos salários de contribuição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S</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e o reajustamento preserva o valor do benefício após a concessão, a correção monetária dos salários de contribuição assegura que os valores utilizados para o cálculo do benefício reflitam seu real poder aquisitivo na data da apuração. Sem essa atualização, contribuições vertidas décadas antes da aposentadoria perderiam quase integralmente seu valor, distorcendo a média que compõe o salário de benefício.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Base normativa: art. 29, § 3º, da Lei 8.213/91.</w:t>
      </w:r>
      <w:r>
        <w:rPr>
          <w:rFonts w:ascii="EB Garamond" w:hAnsi="EB Garamond" w:cs="EB Garamond"/>
          <w:b w:val="0"/>
          <w:i w:val="0"/>
          <w:color w:val="201B16"/>
          <w:sz w:val="21"/>
          <w:lang w:val="pt-BR" w:bidi="ar-SA"/>
          <w:kern w:val="16"/>
          <w14:ligatures w14:val="standardContextual"/>
        </w:rPr>
        <w:t xml:space="preserve"> A redação dada pela Lei 9.876/1999 (art. 29-B na numeração original, renumerado como § 3º do art. 29) determina que todos os salários de contribuição utilizados no cálculo do salário de benefício sejam corrigidos, mês a mês, pelo INPC. Essa correção é anterior à concessão: opera sobre cada competência do período básico de cálculo, trazendo-a a valores do mês de referência do cálculo (em regra, o mês da DIB ou o mês imediatamente anterior). A finalidade é exclusivamente homogeneizar valores de épocas diferentes para que a média aritmética dos salários de contribuição produza resultado economicamente significativo.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Tabela de fatores de atualização.</w:t>
      </w:r>
      <w:r>
        <w:rPr>
          <w:rFonts w:ascii="EB Garamond" w:hAnsi="EB Garamond" w:cs="EB Garamond"/>
          <w:b w:val="0"/>
          <w:i w:val="0"/>
          <w:color w:val="201B16"/>
          <w:sz w:val="21"/>
          <w:lang w:val="pt-BR" w:bidi="ar-SA"/>
          <w:kern w:val="16"/>
          <w14:ligatures w14:val="standardContextual"/>
        </w:rPr>
        <w:t xml:space="preserve"> O INSS publica mensalmente, por intermédio de portarias da Secretaria de Previdência, a tabela de fatores de atualização monetária dos salários de contribuição. Cada fator corresponde ao INPC acumulado entre o mês de competência do salário de contribuição e o mês de referência do cálculo. Na prática, a tabela funciona como um multiplicador: o salário de contribuição de janeiro de 2000, por exemplo, é multiplicado pelo fator acumulado de janeiro/2000 até o mês anterior à DIB, produzindo o valor atualizado que integrará a média do PBC. Essas tabelas estão disponíveis no portal do Ministério da Previdência Social e são utilizadas tanto pelo INSS na concessão administrativa quanto pelos peritos judiciais e contadores na elaboração de memórias de cálculo.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Impacto prático sobre o cálculo.</w:t>
      </w:r>
      <w:r>
        <w:rPr>
          <w:rFonts w:ascii="EB Garamond" w:hAnsi="EB Garamond" w:cs="EB Garamond"/>
          <w:b w:val="0"/>
          <w:i w:val="0"/>
          <w:color w:val="201B16"/>
          <w:sz w:val="21"/>
          <w:lang w:val="pt-BR" w:bidi="ar-SA"/>
          <w:kern w:val="16"/>
          <w14:ligatures w14:val="standardContextual"/>
        </w:rPr>
        <w:t xml:space="preserve"> A atualização monetária produz efeito substancial sobre o salário de benefício, especialmente para segurados com longo período contributivo. Um salário de contribuição de R$ 500,00 em janeiro de 2000, atualizado pelo INPC até dezembro de 2025, equivale a aproximadamente R$ 2.080,00 em valores correntes. Sem a atualização, esse valor seria computado nominalmente na média, o que reduziria drasticamente o salário de benefício. A correção monetária dos salários de contribuição é, por essa razão, premissa inafastável de qualquer cálculo previdenciário, e o magistrado deve verificar, nas memórias de cálculo apresentadas nos autos, se os fatores de atualização utilizados correspondem à tabela oficial do INSS para o mês de referência adequado.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Controvérsia histórica: expurgos inflacionários.</w:t>
      </w:r>
      <w:r>
        <w:rPr>
          <w:rFonts w:ascii="EB Garamond" w:hAnsi="EB Garamond" w:cs="EB Garamond"/>
          <w:b w:val="0"/>
          <w:i w:val="0"/>
          <w:color w:val="201B16"/>
          <w:sz w:val="21"/>
          <w:lang w:val="pt-BR" w:bidi="ar-SA"/>
          <w:kern w:val="16"/>
          <w14:ligatures w14:val="standardContextual"/>
        </w:rPr>
        <w:t xml:space="preserve"> Os planos econômicos das décadas de 1980 e 1990 suprimiram ou reduziram artificialmente índices de correção monetária, gerando os chamados "expurgos inflacionários". O Plano Bresser (junho/1987) substituiu o IPC pela OTN fiscal, com defasagem de 26,06%. O Plano Verão (janeiro/1989) congelou preços com diferença acumulada de 42,72%. O Plano Collor I (março/1990) provocou perda estimada em 84,32% (IPC de março/1990). O Plano Collor II (janeiro/1991) gerou defasagem de 21,87%. A questão dos expurgos no cálculo dos benefícios previdenciários, contudo, seguiu caminho distinto do contencioso bancário. O art. 144 da Lei 8.213/91 (redação original) determinou a revisão dos benefícios concedidos entre abril de 1989 e abril de 1991 com base nos salários de contribuição corrigidos. A Lei 9.032/1995 (art. 26) e a Lei 9.528/1997 complementaram o processo de correção, e a jurisprudência consolidou que os benefícios concedidos após julho de 1994 não sofrem impacto dos expurgos, pois o PBC foi integralmente recalculado com base nos salários de contribuição a partir dessa data.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Correção dos SC (pré-concessão) × Correção das parcelas judiciais (pós-concessão)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Dois institutos distintos frequentemente confundidos na atuação forense:</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 xml:space="preserve">A </w:t>
            </w:r>
            <w:r>
              <w:rPr>
                <w:rFonts w:ascii="EB Garamond" w:hAnsi="EB Garamond" w:cs="EB Garamond"/>
                <w:b/>
                <w:i w:val="0"/>
                <w:color w:val="201B16"/>
                <w:sz w:val="19"/>
                <w:lang w:val="pt-BR" w:bidi="ar-SA"/>
                <w:kern w:val="16"/>
                <w14:ligatures w14:val="standardContextual"/>
              </w:rPr>
              <w:t>correção monetária dos salários de contribuição</w:t>
            </w:r>
            <w:r>
              <w:rPr>
                <w:rFonts w:ascii="EB Garamond" w:hAnsi="EB Garamond" w:cs="EB Garamond"/>
                <w:b w:val="0"/>
                <w:i w:val="0"/>
                <w:color w:val="201B16"/>
                <w:sz w:val="19"/>
                <w:lang w:val="pt-BR" w:bidi="ar-SA"/>
                <w:kern w:val="16"/>
                <w14:ligatures w14:val="standardContextual"/>
              </w:rPr>
              <w:t xml:space="preserve"> (art. 29, § 3º, Lei 8.213/91) opera antes da concessão do benefício, atualizando cada SC pelo INPC até o mês de cálculo. Seu objetivo é homogeneizar valores de diferentes épocas para compor a média do PBC.</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 xml:space="preserve">A </w:t>
            </w:r>
            <w:r>
              <w:rPr>
                <w:rFonts w:ascii="EB Garamond" w:hAnsi="EB Garamond" w:cs="EB Garamond"/>
                <w:b/>
                <w:i w:val="0"/>
                <w:color w:val="201B16"/>
                <w:sz w:val="19"/>
                <w:lang w:val="pt-BR" w:bidi="ar-SA"/>
                <w:kern w:val="16"/>
                <w14:ligatures w14:val="standardContextual"/>
              </w:rPr>
              <w:t>correção monetária das parcelas judiciais</w:t>
            </w:r>
            <w:r>
              <w:rPr>
                <w:rFonts w:ascii="EB Garamond" w:hAnsi="EB Garamond" w:cs="EB Garamond"/>
                <w:b w:val="0"/>
                <w:i w:val="0"/>
                <w:color w:val="201B16"/>
                <w:sz w:val="19"/>
                <w:lang w:val="pt-BR" w:bidi="ar-SA"/>
                <w:kern w:val="16"/>
                <w14:ligatures w14:val="standardContextual"/>
              </w:rPr>
              <w:t xml:space="preserve"> opera após a concessão, incidindo sobre as diferenças devidas em razão de condenação judicial. Desde a EC 113/2021 (art. 3º), aplica-se exclusivamente a taxa SELIC, que engloba correção monetária e juros moratórios. O Tema 905/STJ disciplinou a matéria para o período anterior. As regras de correção judicial serão aprofundadas no Capítulo 23.</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Confundir esses dois planos pode levar a erros graves na memória de cálculo: utilizar SELIC para corrigir os SC no PBC (incorreto) ou utilizar INPC para corrigir parcelas judiciais pós-EC 113 (igualmente incorreto).</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M</w:t>
      </w:r>
    </w:p>
    <w:p>
      <w:pPr>
        <w:spacing w:before="0" w:after="70" w:line="259" w:lineRule="auto"/>
        <w:jc w:val="both"/>
      </w:pPr>
      <w:r>
        <w:rPr>
          <w:rFonts w:ascii="EB Garamond" w:hAnsi="EB Garamond" w:cs="EB Garamond"/>
          <w:b/>
          <w:i w:val="0"/>
          <w:color w:val="201B16"/>
          <w:sz w:val="21"/>
          <w:lang w:val="pt-BR" w:bidi="ar-SA"/>
          <w:kern w:val="16"/>
          <w14:ligatures w14:val="standardContextual"/>
        </w:rPr>
        <w:t>eses sem contribuição e o impacto na correção.</w:t>
      </w:r>
      <w:r>
        <w:rPr>
          <w:rFonts w:ascii="EB Garamond" w:hAnsi="EB Garamond" w:cs="EB Garamond"/>
          <w:b w:val="0"/>
          <w:i w:val="0"/>
          <w:color w:val="201B16"/>
          <w:sz w:val="21"/>
          <w:lang w:val="pt-BR" w:bidi="ar-SA"/>
          <w:kern w:val="16"/>
          <w14:ligatures w14:val="standardContextual"/>
        </w:rPr>
        <w:t xml:space="preserve"> Uma questão prática recorrente diz respeito aos meses em que não houve recolhimento. No regime pré-EC 103 (média dos 80% maiores), os meses sem contribuição eram simplesmente descartados do PBC. No regime pós-EC 103 (média de 100%), a exclusão de contribuições que reduzam o salário de benefício (art. 26, § 6º, EC 103) permite ao segurado afastar os meses de menor valor, mas a iniciativa deve ser expressa e o tempo mínimo de contribuição para a espécie deve ser mantido. O magistrado que se depara com pedido de recálculo deve atentar para essa distinção: não se trata de corrigir valores, mas de verificar se a composição do PBC observou a regra vigente na DIB.</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16.10 Atividades concomitantes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segurado que exerce simultaneamente mais de uma atividade remunerada vinculada ao RGPS contribui por cada uma delas. A forma como essas contribuições múltiplas integram o cálculo do salário de benefício sofreu transformação relevante, passando de um regime de segregação a um modelo de soma. A questão tem impacto direto na RMI de segurados com vínculos simultâneos, como o professor que leciona em duas escolas, o empregado que também é contribuinte individual ou o profissional de saúde com múltiplos contratos.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Regime original: art. 32 da Lei 8.213/91.</w:t>
      </w:r>
      <w:r>
        <w:rPr>
          <w:rFonts w:ascii="EB Garamond" w:hAnsi="EB Garamond" w:cs="EB Garamond"/>
          <w:b w:val="0"/>
          <w:i w:val="0"/>
          <w:color w:val="201B16"/>
          <w:sz w:val="21"/>
          <w:lang w:val="pt-BR" w:bidi="ar-SA"/>
          <w:kern w:val="16"/>
          <w14:ligatures w14:val="standardContextual"/>
        </w:rPr>
        <w:t xml:space="preserve"> Na redação anterior à Lei 13.846/2019, o art. 32 estabelecia regime complexo de cálculo para atividades concomitantes. O segurado deveria eleger uma atividade como "principal" (a de maior salário de contribuição ou a mais antiga), cujo salário de benefício era calculado integralmente. As demais atividades eram tratadas como "secundárias", e o salário de benefício de cada uma era calculado proporcionalmente ao número de meses de contribuição na atividade em relação ao total de meses do PBC. Esse modelo gerava resultado frequentemente inferior à soma aritmética das contribuições, penalizando o segurado que diversificava suas fontes de renda. A proporcionalidade do antigo art. 32 era de difícil compreensão e produzia distorções, pois atribuía peso menor a atividades com poucos meses de contribuição, independentemente do valor contribuído.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Alteração pela Lei 13.846/2019.</w:t>
      </w:r>
      <w:r>
        <w:rPr>
          <w:rFonts w:ascii="EB Garamond" w:hAnsi="EB Garamond" w:cs="EB Garamond"/>
          <w:b w:val="0"/>
          <w:i w:val="0"/>
          <w:color w:val="201B16"/>
          <w:sz w:val="21"/>
          <w:lang w:val="pt-BR" w:bidi="ar-SA"/>
          <w:kern w:val="16"/>
          <w14:ligatures w14:val="standardContextual"/>
        </w:rPr>
        <w:t xml:space="preserve"> A Lei 13.846/2019 (conversão da MP 871/2019) deu nova redação ao art. 32, determinando que, no caso de atividades concomitantes, o salário de benefício será calculado com base na soma dos salários de contribuição das atividades exercidas na data do requerimento ou do óbito, observado o teto do RGPS (R$ 8.475,55 em 2026). A regra é simples e direta: somam-se todas as contribuições de cada competência, respeitado o limite máximo do salário de contribuição, e a média aritmética incide sobre esses valores somados.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Tema 1070/STJ: aplicação retroativa da soma.</w:t>
      </w:r>
      <w:r>
        <w:rPr>
          <w:rFonts w:ascii="EB Garamond" w:hAnsi="EB Garamond" w:cs="EB Garamond"/>
          <w:b w:val="0"/>
          <w:i w:val="0"/>
          <w:color w:val="201B16"/>
          <w:sz w:val="21"/>
          <w:lang w:val="pt-BR" w:bidi="ar-SA"/>
          <w:kern w:val="16"/>
          <w14:ligatures w14:val="standardContextual"/>
        </w:rPr>
        <w:t xml:space="preserve"> O Superior Tribunal de Justiça, no julgamento do Tema 1070 (REsp 1.870.793/RS e REsp 1.870.815/RS, Rel. Min. Sérgio Kukina, 1ª Seção, julgado em 11/05/2022, trânsito em julgado em 13/02/2023), firmou a seguinte tese vinculante: "Após o advento da Lei 9.876/99, e para fins de cálculo do benefício de aposentadoria, no caso do exercício de atividades concomitantes pelo segurado, o salário-de-contribuição deverá ser composto da soma de todas as contribuições previdenciárias por ele vertidas ao sistema, respeitado o teto previdenciário." A tese do Tema 1070 retroage aos benefícios concedidos após a Lei 9.876/1999, não se limitando à vigência da Lei 13.846/2019. Isso significa que segurados aposentados entre novembro de 1999 e junho de 2019 que tiveram o cálculo segregado pelo art. 32 original podem postular a revisão de seu benefício para que a soma das contribuições seja considerada.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Prazo para revisão.</w:t>
      </w:r>
      <w:r>
        <w:rPr>
          <w:rFonts w:ascii="EB Garamond" w:hAnsi="EB Garamond" w:cs="EB Garamond"/>
          <w:b w:val="0"/>
          <w:i w:val="0"/>
          <w:color w:val="201B16"/>
          <w:sz w:val="21"/>
          <w:lang w:val="pt-BR" w:bidi="ar-SA"/>
          <w:kern w:val="16"/>
          <w14:ligatures w14:val="standardContextual"/>
        </w:rPr>
        <w:t xml:space="preserve"> O direito à revisão do benefício com base no Tema 1070 submete-se ao prazo decadencial de dez anos previsto no art. 103 da Lei 8.213/91, contado a partir do primeiro dia do mês seguinte ao da concessão. Para benefícios concedidos há mais de dez anos, o direito à revisão está decaído, salvo se houver causa de suspensão ou interrupção do prazo. Para os benefícios ainda dentro do decênio, a revisão pode ser requerida administrativamente ao INSS ou judicialmente. O tema foi tratado com maior profundidade na seção 10.9, à qual remetemos para os detalhes operacionais do cômputo de atividades concomitantes.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Tema 1070/STJ — Soma dos salários de contribuição de atividades concomitantes</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Processos paradigma: REsp 1.870.793/RS e REsp 1.870.815/RS | 1ª Seção | Rel. Min. Sérgio Kukina | Julgado em 11/05/2022 | Trânsito em julgado: 13/02/2023</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Tese vinculante: "Após o advento da Lei 9.876/99, e para fins de cálculo do benefício de aposentadoria, no caso do exercício de atividades concomitantes pelo segurado, o salário-de-contribuição deverá ser composto da soma de todas as contribuições previdenciárias por ele vertidas ao sistema, respeitado o teto previdenciário."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Impacto prático: segurados com múltiplos vínculos simultâneos aposentados após novembro/1999 podem requerer revisão da RMI para que as contribuições sejam somadas, em vez de calculadas proporcionalmente pelo antigo art. 32. A revisão submete-se ao prazo decadencial de 10 anos. Para o procedimento revisional (instrução, CNIS e cálculo de diferenças), v. Capítulo 17, seção 17.8.1.</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16.11 Revisão da vida toda — Tema 1.102/STF</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chamada "revisão da vida toda" (Ibrahim, 2025; Savaris, 2023) envolve a possibilidade de o segurado optar, para fins de cálculo do salário de benefício, pela regra permanente do art. 29, I e II, da Lei 8.213/91 (que considera os salários de contribuição de todo o período contributivo, inclusive anteriores a julho de 1994), em vez da regra de transição do art. 3º da Lei 9.876/1999 (que limita o PBC aos salários de contribuição a partir de julho de 1994 e descarta os 20% menores). Para a análise detalhada da cronologia processual do Tema 1.102/STF — julgamento original de dezembro de 2022, reversão em embargos infringentes de novembro de 2025, modulação de efeitos e rejeição, em maio de 2026, da proposta de ampliação da modulação —, v. Capítulo 17, seção 17.3.</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Situação vigente e impacto no cálculo.</w:t>
      </w:r>
      <w:r>
        <w:rPr>
          <w:rFonts w:ascii="EB Garamond" w:hAnsi="EB Garamond" w:cs="EB Garamond"/>
          <w:b w:val="0"/>
          <w:i w:val="0"/>
          <w:color w:val="201B16"/>
          <w:sz w:val="21"/>
          <w:lang w:val="pt-BR" w:bidi="ar-SA"/>
          <w:kern w:val="16"/>
          <w14:ligatures w14:val="standardContextual"/>
        </w:rPr>
        <w:t xml:space="preserve"> A tese firmada em 26/11/2025 é de que a revisão da vida toda é indevida, após a declaração de constitucionalidade e cogência do art. 3º da Lei 9.876/1999 nas ADIs 2.110 e 2.111 (j. 21/03/2024). A modulação protege beneficiários com decisão judicial proferida até 5 de abril de 2024 (irrepetibilidade dos valores pagos e inexigibilidade de sucumbência). A proposta de ampliar essa modulação para além de 05/04/2024 foi rejeitada pelo Plenário em 15/05/2026, de modo que a modulação permanece limitada às decisões proferidas até 05/04/2024.</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Tema 1.102/STF — Revisão da Vida Toda: tese revertida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Processo: RE 1.276.977/RS | Plenário | Rel. P/ acórdão Min. Alexandre de Moraes (julgamento original) e Min. Nunes Marques (embargos)</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Cronologia: (a) 01/12/2022, procedência por 6×5, após retificação de placar; (b) 26/11/2025, reversão em embargos com efeitos infringentes; (c) 15/05/2026 — novos embargos de declaração rejeitados em plenário virtual (retirado o destaque do Min. Fachin), com derrota da proposta de ampliação da modulação e manutenção da revogação.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Tese vigente (nov/2025): "É indevida a aplicação da revisão da vida toda após a declaração de constitucionalidade do art. 3º da Lei 9.876/1999 pelo STF nas ADIs 2.110/DF e 2.111/DF, com eficácia vinculante e erga omnes."</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Modulação: (a) irrepetibilidade de valores pagos sob decisão judicial até 05/04/2024; (b) inexigibilidade de sucumbência para ações anteriores a 05/04/2024. A proposta de ampliar a modulação para além de 05/04/2024 foi rejeitada pelo Plenário em 15/05/2026.</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M</w:t>
      </w:r>
    </w:p>
    <w:p>
      <w:pPr>
        <w:spacing w:before="0" w:after="70" w:line="259" w:lineRule="auto"/>
        <w:jc w:val="both"/>
      </w:pPr>
      <w:r>
        <w:rPr>
          <w:rFonts w:ascii="EB Garamond" w:hAnsi="EB Garamond" w:cs="EB Garamond"/>
          <w:b/>
          <w:i w:val="0"/>
          <w:color w:val="201B16"/>
          <w:sz w:val="21"/>
          <w:lang w:val="pt-BR" w:bidi="ar-SA"/>
          <w:kern w:val="16"/>
          <w14:ligatures w14:val="standardContextual"/>
        </w:rPr>
        <w:t>ecânica de cálculo.</w:t>
      </w:r>
      <w:r>
        <w:rPr>
          <w:rFonts w:ascii="EB Garamond" w:hAnsi="EB Garamond" w:cs="EB Garamond"/>
          <w:b w:val="0"/>
          <w:i w:val="0"/>
          <w:color w:val="201B16"/>
          <w:sz w:val="21"/>
          <w:lang w:val="pt-BR" w:bidi="ar-SA"/>
          <w:kern w:val="16"/>
          <w14:ligatures w14:val="standardContextual"/>
        </w:rPr>
        <w:t xml:space="preserve"> Embora a revisão da vida toda tenha sido declarada indevida, a compreensão de sua mecânica permanece relevante: a modulação protege beneficiários que já obtiveram o recálculo, e a distinção entre as duas regras é pressuposto para a conferência desses benefícios. Na regra de transição (art. 3º, Lei 9.876/1999), o PBC compreende os salários de contribuição a partir de julho de 1994, e o SB corresponde à média dos 80% maiores. Na regra permanente (art. 29, I e II), o PBC abrange todo o período contributivo, inclusive antes de julho de 1994. Para segurados com salários elevados anteriores a 1994 — funcionários de estatais, bancários, executivos —, a regra permanente elevava a média. Para a maioria dos segurados, contudo, a inclusão de salários anteriores a 1994 reduzia a média, pois os valores nominais eram baixos e a reconstrução dos índices de correção para períodos hiperinflacionários é imprecisa.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Status atual da revisão da vida toda (atualizado até maio/2026)</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 xml:space="preserve">A revisão da vida toda foi declarada </w:t>
            </w:r>
            <w:r>
              <w:rPr>
                <w:rFonts w:ascii="EB Garamond" w:hAnsi="EB Garamond" w:cs="EB Garamond"/>
                <w:b/>
                <w:i w:val="0"/>
                <w:color w:val="201B16"/>
                <w:sz w:val="19"/>
                <w:lang w:val="pt-BR" w:bidi="ar-SA"/>
                <w:kern w:val="16"/>
                <w14:ligatures w14:val="standardContextual"/>
              </w:rPr>
              <w:t>indevida</w:t>
            </w:r>
            <w:r>
              <w:rPr>
                <w:rFonts w:ascii="EB Garamond" w:hAnsi="EB Garamond" w:cs="EB Garamond"/>
                <w:b w:val="0"/>
                <w:i w:val="0"/>
                <w:color w:val="201B16"/>
                <w:sz w:val="19"/>
                <w:lang w:val="pt-BR" w:bidi="ar-SA"/>
                <w:kern w:val="16"/>
                <w14:ligatures w14:val="standardContextual"/>
              </w:rPr>
              <w:t xml:space="preserve"> pelo STF em 26/11/2025. Novos requerimentos administrativos ou judiciais com esse objeto não devem prosperar. As consequências práticas são: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Ações pendentes de julgamento: devem ser julgadas improcedentes, com base na tese vinculante do Tema 1.102.</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(b) Ações com decisão favorável transitada em julgado antes de 05/04/2024: protegidas pela modulação. Os valores já recebidos são irrepetíveis.</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(c) Ações com decisão favorável transitada em julgado após 05/04/2024: não alcançadas pela modulação — o STF rejeitou, em 15/05/2026, a proposta de ampliá-la para além de 05/04/2024.</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(d) Ações ajuizadas entre 16/12/2019 e 05/04/2024 ainda sem decisão transitada em julgado: não são alcançadas pela modulação — que se limita às decisões transitadas até 05/04/2024 —, uma vez que o STF rejeitou, em 15/05/2026, a proposta de ampliá-la. Devem ser julgadas improcedentes quanto ao mérito da revisão.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tema será revisitado no Capítulo 17 sob o prisma processual (ação rescisória, modulação e coisa julgada).</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16.12 Prática: simulação de cálculo e memória de cálculo nos JEFs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magistrado dos Juizados Especiais Federais lida diariamente com valores de benefícios previdenciários, seja para conferir a RMI apurada pelo INSS, para liquidar sentenças ou para verificar se o valor da causa se enquadra na competência dos JEFs (atualmente 60 salários-mínimos, ou R$ 97.260,00). A familiaridade com a mecânica do cálculo previdenciário não é mero conhecimento teórico: é ferramenta de trabalho indispensável para a prestação jurisdicional efetiva. Esta seção apresenta a estrutura da memória de cálculo, duas simulações completas e orientações práticas para a conferência dos cálculos nos autos.</w:t>
      </w:r>
    </w:p>
    <w:p>
      <w:pPr>
        <w:spacing w:before="260" w:after="80" w:line="240" w:lineRule="auto"/>
        <w:jc w:val="left"/>
      </w:pPr>
      <w:r>
        <w:rPr>
          <w:rFonts w:ascii="EB Garamond" w:hAnsi="EB Garamond" w:cs="EB Garamond"/>
          <w:b/>
          <w:i w:val="0"/>
          <w:color w:val="3A3128"/>
          <w:sz w:val="25"/>
          <w:lang w:val="pt-BR" w:bidi="ar-SA"/>
          <w:kern w:val="16"/>
          <w14:ligatures w14:val="standardContextual"/>
        </w:rPr>
        <w:t>16.12.1 Memória de cálculo em RPV: estrutura e elementos obrigatórios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memória de cálculo apresentada nas requisições de pequeno valor (RPV) e nos precatórios deve permitir ao magistrado e às partes a verificação integral dos valores apurados. Uma memória de cálculo bem estruturada segue a sequência lógica do cálculo previdenciário, organizada em etapas encadeadas.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primeira etapa consiste na identificação dos salários de contribuição (SC) do período básico de cálculo, extraídos do Cadastro Nacional de Informações Sociais (CNIS) ou de documentos comprobatórios juntados aos autos (CTPS, carnês de contribuição, fichas financeiras). Cada SC é identificado pela competência (mês/ano) e pelo valor nominal.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segunda etapa compreende a atualização monetária de cada SC pelo INPC, do mês de competência até o mês anterior à DIB (ou até a data determinada pelo juízo para o cálculo). Os fatores de atualização devem corresponder à tabela oficial do INSS vigente no mês de referência. O resultado dessa etapa é a relação de SC atualizados.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terceira etapa é a apuração do salário de benefício (SB), que consiste na média aritmética dos SC atualizados. No regime pré-EC 103, toma-se a média dos 80% maiores; no regime pós-EC 103, a média de todos os SC, com a possibilidade de exclusão prevista no art. 26, § 6º, EC 103.</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quarta etapa envolve a aplicação do fator previdenciário (quando cabível) e do coeficiente de cálculo correspondente à espécie de benefício, produzindo a RMI. Para benefícios pós-EC 103, o coeficiente de 60% + 2% por ano excedente (ou percentual diverso, conforme a espécie) incide diretamente sobre o SB. Para benefícios pré-EC 103, a RMI resulta da multiplicação do SB pelo fator previdenciário (quando aplicável) e pelo coeficiente da espécie.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quinta etapa é o cálculo das parcelas vencidas (diferenças mensais entre o valor devido e o valor efetivamente pago pelo INSS, mês a mês, desde a DIB fixada na sentença até a data do cálculo ou da implantação do benefício correto). A sexta etapa aplica a correção monetária e os juros sobre cada parcela vencida, observada a regra vigente para o respectivo período (SELIC a partir da EC 113/2021; regras do Tema 905/STJ para períodos anteriores, conforme Capítulo 23). A sétima etapa deduz eventuais descontos (valores já pagos, tutela antecipada cumprida, contribuições previdenciárias e imposto de renda retido na fonte, honorários), produzindo o valor líquido da RPV.</w:t>
      </w:r>
    </w:p>
    <w:p>
      <w:pPr>
        <w:spacing w:before="260" w:after="80" w:line="240" w:lineRule="auto"/>
        <w:jc w:val="left"/>
      </w:pPr>
      <w:r>
        <w:rPr>
          <w:rFonts w:ascii="EB Garamond" w:hAnsi="EB Garamond" w:cs="EB Garamond"/>
          <w:b/>
          <w:i w:val="0"/>
          <w:color w:val="3A3128"/>
          <w:sz w:val="25"/>
          <w:lang w:val="pt-BR" w:bidi="ar-SA"/>
          <w:kern w:val="16"/>
          <w14:ligatures w14:val="standardContextual"/>
        </w:rPr>
        <w:t>16.12.2 Simulação 1: aposentadoria programada pós-EC 103</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presentamos o cálculo completo para um caso hipotético que sintetiza as regras vigentes.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Dados do segurado.</w:t>
      </w:r>
      <w:r>
        <w:rPr>
          <w:rFonts w:ascii="EB Garamond" w:hAnsi="EB Garamond" w:cs="EB Garamond"/>
          <w:b w:val="0"/>
          <w:i w:val="0"/>
          <w:color w:val="201B16"/>
          <w:sz w:val="21"/>
          <w:lang w:val="pt-BR" w:bidi="ar-SA"/>
          <w:kern w:val="16"/>
          <w14:ligatures w14:val="standardContextual"/>
        </w:rPr>
        <w:t xml:space="preserve"> João, sexo masculino, 65 anos de idade, 25 anos de tempo de contribuição, filiado ao RGPS como empregado. DIB em janeiro de 2026. Média aritmética simples de todos os salários de contribuição atualizados (regime pós-EC 103, 100% dos SC): R$ 3.200,00.</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Etapa 1 — Salário de benefício.</w:t>
      </w:r>
      <w:r>
        <w:rPr>
          <w:rFonts w:ascii="EB Garamond" w:hAnsi="EB Garamond" w:cs="EB Garamond"/>
          <w:b w:val="0"/>
          <w:i w:val="0"/>
          <w:color w:val="201B16"/>
          <w:sz w:val="21"/>
          <w:lang w:val="pt-BR" w:bidi="ar-SA"/>
          <w:kern w:val="16"/>
          <w14:ligatures w14:val="standardContextual"/>
        </w:rPr>
        <w:t xml:space="preserve"> No regime pós-EC 103, o SB corresponde à média aritmética simples de todos os SC desde julho de 1994, atualizados pelo INPC. Considerando que a média já está apurada em R$ 3.200,00, esse é o SB.</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Etapa 2 — Coeficiente de cálculo.</w:t>
      </w:r>
      <w:r>
        <w:rPr>
          <w:rFonts w:ascii="EB Garamond" w:hAnsi="EB Garamond" w:cs="EB Garamond"/>
          <w:b w:val="0"/>
          <w:i w:val="0"/>
          <w:color w:val="201B16"/>
          <w:sz w:val="21"/>
          <w:lang w:val="pt-BR" w:bidi="ar-SA"/>
          <w:kern w:val="16"/>
          <w14:ligatures w14:val="standardContextual"/>
        </w:rPr>
        <w:t xml:space="preserve"> A aposentadoria programada pós-EC 103 segue o art. 26, § 2º, da EC 103: 60% do SB, acrescidos de 2% para cada ano de contribuição que exceda 20 anos (homem). João tem 25 anos de contribuição; o excedente sobre 20 anos é 5 anos. O coeficiente é: 60% + (2% × 5) = 70%.</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Etapa 3 — RMI.</w:t>
      </w:r>
      <w:r>
        <w:rPr>
          <w:rFonts w:ascii="EB Garamond" w:hAnsi="EB Garamond" w:cs="EB Garamond"/>
          <w:b w:val="0"/>
          <w:i w:val="0"/>
          <w:color w:val="201B16"/>
          <w:sz w:val="21"/>
          <w:lang w:val="pt-BR" w:bidi="ar-SA"/>
          <w:kern w:val="16"/>
          <w14:ligatures w14:val="standardContextual"/>
        </w:rPr>
        <w:t xml:space="preserve"> RMI = SB × coeficiente = R$ 3.200,00 × 70% = R$ 2.240,00.</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Etapa 4 — Verificação do piso e do teto.</w:t>
      </w:r>
      <w:r>
        <w:rPr>
          <w:rFonts w:ascii="EB Garamond" w:hAnsi="EB Garamond" w:cs="EB Garamond"/>
          <w:b w:val="0"/>
          <w:i w:val="0"/>
          <w:color w:val="201B16"/>
          <w:sz w:val="21"/>
          <w:lang w:val="pt-BR" w:bidi="ar-SA"/>
          <w:kern w:val="16"/>
          <w14:ligatures w14:val="standardContextual"/>
        </w:rPr>
        <w:t xml:space="preserve"> O piso constitucional é o salário-mínimo vigente na DIB (R$ 1.621,00 em 2026). A RMI de R$ 2.240,00 supera o piso. O teto é R$ 8.475,55; a RMI está abaixo. Não há ajuste.</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Etapa 5 — Parcelas vencidas (hipótese de concessão judicial).</w:t>
      </w:r>
      <w:r>
        <w:rPr>
          <w:rFonts w:ascii="EB Garamond" w:hAnsi="EB Garamond" w:cs="EB Garamond"/>
          <w:b w:val="0"/>
          <w:i w:val="0"/>
          <w:color w:val="201B16"/>
          <w:sz w:val="21"/>
          <w:lang w:val="pt-BR" w:bidi="ar-SA"/>
          <w:kern w:val="16"/>
          <w14:ligatures w14:val="standardContextual"/>
        </w:rPr>
        <w:t xml:space="preserve"> Suponhamos que João requereu administrativamente em janeiro de 2026 e o INSS indeferiu; a sentença, proferida em agosto de 2026, concedeu o benefício com DIB em janeiro de 2026. As parcelas vencidas compreendem as diferenças mensais de janeiro a agosto de 2026, totalizando 8 prestações de R$ 2.240,00, ou R$ 17.920,00 em valores nominais. Sobre cada parcela incide correção pela SELIC desde o respectivo vencimento. O valor final, após aplicação da SELIC, será apurado conforme a tabela do CJF vigente na data da conta.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Etapa 6 — Enquadramento na competência dos JEFs.</w:t>
      </w:r>
      <w:r>
        <w:rPr>
          <w:rFonts w:ascii="EB Garamond" w:hAnsi="EB Garamond" w:cs="EB Garamond"/>
          <w:b w:val="0"/>
          <w:i w:val="0"/>
          <w:color w:val="201B16"/>
          <w:sz w:val="21"/>
          <w:lang w:val="pt-BR" w:bidi="ar-SA"/>
          <w:kern w:val="16"/>
          <w14:ligatures w14:val="standardContextual"/>
        </w:rPr>
        <w:t xml:space="preserve"> O valor bruto das parcelas vencidas (R$ 17.920,00 nominais, antes da SELIC) está dentro do limite de 60 SM (R$ 97.260,00), confirmando a competência dos JEFs.</w:t>
      </w:r>
    </w:p>
    <w:p>
      <w:pPr>
        <w:spacing w:before="260" w:after="80" w:line="240" w:lineRule="auto"/>
        <w:jc w:val="left"/>
      </w:pPr>
      <w:r>
        <w:rPr>
          <w:rFonts w:ascii="EB Garamond" w:hAnsi="EB Garamond" w:cs="EB Garamond"/>
          <w:b/>
          <w:i w:val="0"/>
          <w:color w:val="3A3128"/>
          <w:sz w:val="25"/>
          <w:lang w:val="pt-BR" w:bidi="ar-SA"/>
          <w:kern w:val="16"/>
          <w14:ligatures w14:val="standardContextual"/>
        </w:rPr>
        <w:t>16.12.3 Simulação 2: aposentadoria por incapacidade permanente — acidentária versus não acidentária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distinção entre a aposentadoria por incapacidade permanente de origem comum e a de origem acidentária produz impacto dramático no valor do benefício após a EC 103/2019, acentuado pela constitucionalidade do coeficiente de 60%+2% declarada no Tema 1.300/STF.</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Dados da segurada.</w:t>
      </w:r>
      <w:r>
        <w:rPr>
          <w:rFonts w:ascii="EB Garamond" w:hAnsi="EB Garamond" w:cs="EB Garamond"/>
          <w:b w:val="0"/>
          <w:i w:val="0"/>
          <w:color w:val="201B16"/>
          <w:sz w:val="21"/>
          <w:lang w:val="pt-BR" w:bidi="ar-SA"/>
          <w:kern w:val="16"/>
          <w14:ligatures w14:val="standardContextual"/>
        </w:rPr>
        <w:t xml:space="preserve"> Maria, sexo feminino, 50 anos de idade, 18 anos de tempo de contribuição. Salário de benefício apurado: R$ 4.000,00. Duas hipóteses de causa da incapacidade.</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Hipótese A — Incapacidade de origem comum (doença degenerativa).</w:t>
      </w:r>
      <w:r>
        <w:rPr>
          <w:rFonts w:ascii="EB Garamond" w:hAnsi="EB Garamond" w:cs="EB Garamond"/>
          <w:b w:val="0"/>
          <w:i w:val="0"/>
          <w:color w:val="201B16"/>
          <w:sz w:val="21"/>
          <w:lang w:val="pt-BR" w:bidi="ar-SA"/>
          <w:kern w:val="16"/>
          <w14:ligatures w14:val="standardContextual"/>
        </w:rPr>
        <w:t xml:space="preserve"> O coeficiente segue o art. 26, §§ 2º e 3º, I, da EC 103: 60% + 2% por ano que exceda 15 anos (mulher). Maria tem 18 anos; o excedente sobre 15 é 3 anos. Coeficiente: 60% + (2% × 3) = 66%. RMI = R$ 4.000,00 × 66% = R$ 2.640,00.</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Em 18 de dezembro de 2025, o STF concluiu o julgamento do Tema 1.300 (RE 1.469.150, Rel. Min. Luís Roberto Barroso), declarando, por 6 votos a 4, a constitucionalidade do coeficiente de 60%+2% para a aposentadoria por incapacidade permanente não acidentária. A Corte entendeu que a diferenciação entre incapacidade acidentária e não acidentária não viola o princípio da isonomia, pois o risco social coberto é distinto: o acidente de trabalho ou doença ocupacional decorre de condições laborais, justificando proteção mais ampla.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Hipótese B — Incapacidade de origem acidentária (acidente de trabalho).</w:t>
      </w:r>
      <w:r>
        <w:rPr>
          <w:rFonts w:ascii="EB Garamond" w:hAnsi="EB Garamond" w:cs="EB Garamond"/>
          <w:b w:val="0"/>
          <w:i w:val="0"/>
          <w:color w:val="201B16"/>
          <w:sz w:val="21"/>
          <w:lang w:val="pt-BR" w:bidi="ar-SA"/>
          <w:kern w:val="16"/>
          <w14:ligatures w14:val="standardContextual"/>
        </w:rPr>
        <w:t xml:space="preserve"> O art. 26, § 3º, II, EC 103, estabelece coeficiente de 100% do SB para a aposentadoria por incapacidade permanente decorrente de acidente de trabalho, doença profissional ou doença do trabalho. RMI = R$ 4.000,00 × 100% = R$ 4.000,00.</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Comparação.</w:t>
      </w:r>
      <w:r>
        <w:rPr>
          <w:rFonts w:ascii="EB Garamond" w:hAnsi="EB Garamond" w:cs="EB Garamond"/>
          <w:b w:val="0"/>
          <w:i w:val="0"/>
          <w:color w:val="201B16"/>
          <w:sz w:val="21"/>
          <w:lang w:val="pt-BR" w:bidi="ar-SA"/>
          <w:kern w:val="16"/>
          <w14:ligatures w14:val="standardContextual"/>
        </w:rPr>
        <w:t xml:space="preserve"> A diferença entre as duas hipóteses é de R$ 1.360,00 por mês (R$ 4.000,00 – R$ 2.640,00), o que representa R$ 16.320,00 por ano. Ao longo de uma expectativa de vida de mais 26,6 anos (projeção para mulher de 50 anos com base na tábua IBGE 2024, cuja expectativa geral é de 76,6 anos), a diferença acumulada, em valores nominais, ultrapassa R$ 430.000,00. Essa magnitude evidencia a importância da correta caracterização do nexo causal com o trabalho, questão que muitas vezes chega ao magistrado dos JEFs por meio de perícia médica.</w:t>
      </w:r>
    </w:p>
    <w:p>
      <w:pPr>
        <w:spacing w:before="260" w:after="80" w:line="240" w:lineRule="auto"/>
        <w:jc w:val="left"/>
      </w:pPr>
      <w:r>
        <w:rPr>
          <w:rFonts w:ascii="EB Garamond" w:hAnsi="EB Garamond" w:cs="EB Garamond"/>
          <w:b/>
          <w:i w:val="0"/>
          <w:color w:val="3A3128"/>
          <w:sz w:val="25"/>
          <w:lang w:val="pt-BR" w:bidi="ar-SA"/>
          <w:kern w:val="16"/>
          <w14:ligatures w14:val="standardContextual"/>
        </w:rPr>
        <w:t>16.12.4 Dicas para o magistrado: conferência de cálculo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conferência dos cálculos apresentados pelo INSS ou pelos peritos judiciais exige do magistrado atenção a pontos específicos, cujo conhecimento evita homologação de valores incorretos e reduz a necessidade de impugnações e embargos à execução.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Sistemas do INSS.</w:t>
      </w:r>
      <w:r>
        <w:rPr>
          <w:rFonts w:ascii="EB Garamond" w:hAnsi="EB Garamond" w:cs="EB Garamond"/>
          <w:b w:val="0"/>
          <w:i w:val="0"/>
          <w:color w:val="201B16"/>
          <w:sz w:val="21"/>
          <w:lang w:val="pt-BR" w:bidi="ar-SA"/>
          <w:kern w:val="16"/>
          <w14:ligatures w14:val="standardContextual"/>
        </w:rPr>
        <w:t xml:space="preserve"> Dois sistemas são particularmente úteis para a conferência da RMI: o CONBAS (Consulta de Benefícios e Análise de Situação), que apresenta os dados do benefício, incluindo o valor da RMI, o coeficiente aplicado e a memória de cálculo administrativa; e o HISCREWEB (Histórico de Créditos), que exibe o histórico de pagamentos, permitindo verificar a evolução do valor do benefício, os reajustes aplicados e eventuais descontos. O acesso a esses sistemas pelos magistrados dos JEFs é viabilizado por convênio entre o Conselho da Justiça Federal e o INSS.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Erros administrativos mais frequentes.</w:t>
      </w:r>
      <w:r>
        <w:rPr>
          <w:rFonts w:ascii="EB Garamond" w:hAnsi="EB Garamond" w:cs="EB Garamond"/>
          <w:b w:val="0"/>
          <w:i w:val="0"/>
          <w:color w:val="201B16"/>
          <w:sz w:val="21"/>
          <w:lang w:val="pt-BR" w:bidi="ar-SA"/>
          <w:kern w:val="16"/>
          <w14:ligatures w14:val="standardContextual"/>
        </w:rPr>
        <w:t xml:space="preserve"> A experiência contenciosa revela padrões recorrentes de erro no cálculo administrativo do INSS. O primeiro deles é a utilização de salários de contribuição incorretos, seja pela ausência de vínculos no CNIS (empresa que não prestou informação), pela duplicidade de registros ou pelo não cômputo de remunerações variáveis (horas extras, adicionais). O segundo é a aplicação do coeficiente incorreto, especialmente em benefícios por incapacidade nos quais o INSS não reconhece a origem acidentária e aplica 60%+2% quando deveria aplicar 100%. O terceiro é o erro na data do PBC, quando o INSS utiliza data diversa da DER reafirmada (Tema 995/STJ) ou ignora períodos de contribuição comprovados por documentos não inseridos no CNIS. O quarto é a não aplicação da exclusão de contribuições prejudiciais (art. 26, § 6º, EC 103), que pode beneficiar o segurado mas não é aplicada de ofício pela administração.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Determinação de recálculo na sentença.</w:t>
      </w:r>
      <w:r>
        <w:rPr>
          <w:rFonts w:ascii="EB Garamond" w:hAnsi="EB Garamond" w:cs="EB Garamond"/>
          <w:b w:val="0"/>
          <w:i w:val="0"/>
          <w:color w:val="201B16"/>
          <w:sz w:val="21"/>
          <w:lang w:val="pt-BR" w:bidi="ar-SA"/>
          <w:kern w:val="16"/>
          <w14:ligatures w14:val="standardContextual"/>
        </w:rPr>
        <w:t xml:space="preserve"> Ao constatar erro no cálculo, o magistrado deve especificar, no dispositivo da sentença, os parâmetros do recálculo: (a) o PBC correto (com indicação da regra aplicável e dos períodos a serem considerados); (b) o coeficiente de cálculo (com o fundamento legal); (c) a aplicação ou não do fator previdenciário (com indicação da tabela IBGE a ser utilizada, quando cabível); (d) a DIB (original ou reafirmada); (e) os critérios de correção monetária das parcelas vencidas (SELIC pós-EC 113/2021). A especificação desses parâmetros reduz controvérsias na fase de cumprimento de sentença e dispensa intimação do INSS para apresentação de cálculos frequentemente contestados.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Checklist de conferência de cálculo para o magistrado dos JEFs</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Ao examinar a RMI apurada pelo INSS ou a memória de cálculo apresentada nos autos, verificar:</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Os salários de contribuição utilizados conferem com o CNIS e com os documentos dos autos? Há vínculos ou remunerações não computados?</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(b) O PBC está correto para a regra aplicável (80% maiores pré-EC 103 ou 100% pós-EC 103)? A DIB utilizada é a correta (DER original ou reafirmada)?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(c) Os fatores de atualização monetária dos SC correspondem à tabela oficial do INSS para o mês de referência do cálculo?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(d) O coeficiente de cálculo está correto para a espécie de benefício e o tempo de contribuição do segurado? Em benefícios por incapacidade, o nexo acidentário foi considerado?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(e) O fator previdenciário foi aplicado apenas quando obrigatório (direito adquirido pré-EC 103, pedágio 50%)? A tabela IBGE utilizada é a vigente na DER?</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(f) O teto do RGPS foi observado (R$ 8.475,55 em 2026)? O piso de 1 SM (R$ 1.621,00) foi respeitado?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(g) Para segurados com atividades concomitantes, os salários de contribuição foram somados (Tema 1070/STJ)?</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(h) A exclusão de contribuições prejudiciais (art. 26, § 6º, EC 103) foi considerada, quando aplicável?</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(i) Na liquidação, a SELIC está sendo aplicada corretamente sobre as parcelas vencidas pós-EC 113/2021? Para parcelas anteriores, os critérios do Tema 905/STJ foram observados?</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16.13 Síntese e quadros práticos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sistema de cálculo dos benefícios do RGPS, embora fundado em operações aritméticas simples, adquire complexidade pela sobreposição de regimes temporais e pela diversidade de coeficientes por espécie. Os quadros a seguir consolidam as informações essenciais para consulta rápida na prática forense.</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5F3EF" w:val="clear"/>
            <w:tcBorders>
              <w:top w:val="single" w:sz="7" w:space="0" w:color="A09882"/>
              <w:bottom w:val="single" w:sz="7" w:space="0" w:color="A09882"/>
              <w:right w:val="single" w:sz="7" w:space="0" w:color="A09882"/>
              <w:left w:val="single" w:sz="24" w:space="0" w:color="6B6256"/>
            </w:tcBorders>
          </w:tcPr>
          <w:p>
            <w:pPr>
              <w:spacing w:before="0" w:after="60" w:line="240" w:lineRule="auto"/>
              <w:jc w:val="left"/>
            </w:pPr>
            <w:r>
              <w:rPr>
                <w:rFonts w:ascii="Noto Sans" w:hAnsi="Noto Sans" w:cs="Noto Sans"/>
                <w:b/>
                <w:i w:val="0"/>
                <w:caps/>
                <w:color w:val="6B6256"/>
                <w:sz w:val="16"/>
                <w:lang w:val="pt-BR" w:bidi="ar-SA"/>
                <w:kern w:val="16"/>
                <w14:ligatures w14:val="standardContextual"/>
              </w:rPr>
              <w:t>QUADRO</w:t>
            </w:r>
          </w:p>
          <w:p>
            <w:pPr>
              <w:spacing w:before="0" w:after="60" w:line="247" w:lineRule="auto"/>
              <w:jc w:val="both"/>
            </w:pPr>
            <w:r>
              <w:rPr>
                <w:rFonts w:ascii="EB Garamond" w:hAnsi="EB Garamond" w:cs="EB Garamond"/>
                <w:b/>
                <w:i w:val="0"/>
                <w:color w:val="201B16"/>
                <w:sz w:val="19"/>
                <w:lang w:val="pt-BR" w:bidi="ar-SA"/>
                <w:kern w:val="16"/>
                <w14:ligatures w14:val="standardContextual"/>
              </w:rPr>
              <w:t>Quadro 16.4 — PBC por Regime</w:t>
            </w:r>
          </w:p>
          <w:tbl>
            <w:tblPr>
              <w:tblW w:type="auto" w:w="0"/>
              <w:jc w:val="center"/>
              <w:tblLook w:firstColumn="1" w:firstRow="1" w:lastColumn="0" w:lastRow="0" w:noHBand="0" w:noVBand="1" w:val="04A0"/>
              <w:tblW w:w="5000" w:type="pct"/>
            </w:tblPr>
            <w:tblGrid>
              <w:gridCol w:w="1587"/>
              <w:gridCol w:w="1587"/>
              <w:gridCol w:w="1587"/>
              <w:gridCol w:w="1587"/>
            </w:tblGrid>
            <w:tr>
              <w:trPr>
                <w:tblHeader/>
              </w:trPr>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Regime</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Base do cálculo</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Regra</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Fundamento</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Pré-Lei 9.876/1999</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36 últimos SC</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Média dos 36 últimos SC, corrigidos monetariamente</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29, Lei 8.213/91 (redação original)</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Lei 9.876/1999 até EC 103 (nov/1999 a nov/2019)</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SC desde jul/1994</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Média dos 80% maiores SC</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29, I e II, Lei 8.213/91 (redação Lei 9.876/99)</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Pós-EC 103 (a partir de 13/11/2019)</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SC desde jul/1994</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Média de 100% dos SC</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26, EC 103/2019</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Pós-EC 103 com exclusão (art. 26, §6º)</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SC desde jul/1994</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Média de 100%, excluídas contribuições que reduzam o SB, mantido o TC mínimo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26, §6º, EC 103/2019</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Divisor mínimo (Lei 14.331/2022)</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SC desde jul/1994</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Divisor não inferior a 108 meses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29, §10, Lei 8.213/91 (Lei 14.331/2022)</w:t>
                  </w:r>
                </w:p>
              </w:tc>
            </w:tr>
          </w:tbl>
          <w:p/>
          <w:p>
            <w:pPr>
              <w:spacing w:before="0" w:after="0" w:line="240" w:lineRule="auto"/>
            </w:pP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5F3EF" w:val="clear"/>
            <w:tcBorders>
              <w:top w:val="single" w:sz="7" w:space="0" w:color="A09882"/>
              <w:bottom w:val="single" w:sz="7" w:space="0" w:color="A09882"/>
              <w:right w:val="single" w:sz="7" w:space="0" w:color="A09882"/>
              <w:left w:val="single" w:sz="24" w:space="0" w:color="6B6256"/>
            </w:tcBorders>
          </w:tcPr>
          <w:p>
            <w:pPr>
              <w:spacing w:before="0" w:after="60" w:line="240" w:lineRule="auto"/>
              <w:jc w:val="left"/>
            </w:pPr>
            <w:r>
              <w:rPr>
                <w:rFonts w:ascii="Noto Sans" w:hAnsi="Noto Sans" w:cs="Noto Sans"/>
                <w:b/>
                <w:i w:val="0"/>
                <w:caps/>
                <w:color w:val="6B6256"/>
                <w:sz w:val="16"/>
                <w:lang w:val="pt-BR" w:bidi="ar-SA"/>
                <w:kern w:val="16"/>
                <w14:ligatures w14:val="standardContextual"/>
              </w:rPr>
              <w:t>QUADRO</w:t>
            </w:r>
          </w:p>
          <w:p>
            <w:pPr>
              <w:spacing w:before="0" w:after="60" w:line="247" w:lineRule="auto"/>
              <w:jc w:val="both"/>
            </w:pPr>
            <w:r>
              <w:rPr>
                <w:rFonts w:ascii="EB Garamond" w:hAnsi="EB Garamond" w:cs="EB Garamond"/>
                <w:b/>
                <w:i w:val="0"/>
                <w:color w:val="201B16"/>
                <w:sz w:val="19"/>
                <w:lang w:val="pt-BR" w:bidi="ar-SA"/>
                <w:kern w:val="16"/>
                <w14:ligatures w14:val="standardContextual"/>
              </w:rPr>
              <w:t>Quadro 16.5 — Fator Previdenciário: Quando Se Aplica</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Situação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Aplica fator?</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Fundamento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Aposentadoria por tempo de contribuição (direito adquirido pré-EC 103)</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Obrigatório (salvo regra 85/95)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29, I, Lei 8.213/91</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Regra de transição, pedágio 50% (art. 17, EC 103)</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Obrigatório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17, caput, EC 103</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Aposentadoria por idade (direito adquirido pré-EC 103)</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Opcional (aplica-se se mais vantajoso)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7º, Lei 9.876/1999</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Aposentadoria programada (regra definitiva EC 103)</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 se aplica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26, EC 103 (coeficiente próprio substitui o fator)</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Regras de transição, pedágio 100%, pontos, idade mínima progressiva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 se aplica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Arts. 15, 16, 18, 19, 20, EC 103</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Aposentadoria por incapacidade permanente</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 se aplica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26, §3º, EC 103</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Aposentadoria especial</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 se aplica (pós-EC 103)</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26, §2º, EC 103</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Aposentadoria da PcD (LC 142/2013)</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 se aplica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22, EC 103 c/c art. 8º, LC 142/2013</w:t>
                  </w:r>
                </w:p>
              </w:tc>
            </w:tr>
          </w:tbl>
          <w:p/>
          <w:p>
            <w:pPr>
              <w:spacing w:before="0" w:after="0" w:line="240" w:lineRule="auto"/>
            </w:pP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5F3EF" w:val="clear"/>
            <w:tcBorders>
              <w:top w:val="single" w:sz="7" w:space="0" w:color="A09882"/>
              <w:bottom w:val="single" w:sz="7" w:space="0" w:color="A09882"/>
              <w:right w:val="single" w:sz="7" w:space="0" w:color="A09882"/>
              <w:left w:val="single" w:sz="24" w:space="0" w:color="6B6256"/>
            </w:tcBorders>
          </w:tcPr>
          <w:p>
            <w:pPr>
              <w:spacing w:before="0" w:after="60" w:line="240" w:lineRule="auto"/>
              <w:jc w:val="left"/>
            </w:pPr>
            <w:r>
              <w:rPr>
                <w:rFonts w:ascii="Noto Sans" w:hAnsi="Noto Sans" w:cs="Noto Sans"/>
                <w:b/>
                <w:i w:val="0"/>
                <w:caps/>
                <w:color w:val="6B6256"/>
                <w:sz w:val="16"/>
                <w:lang w:val="pt-BR" w:bidi="ar-SA"/>
                <w:kern w:val="16"/>
                <w14:ligatures w14:val="standardContextual"/>
              </w:rPr>
              <w:t>QUADRO</w:t>
            </w:r>
          </w:p>
          <w:p>
            <w:pPr>
              <w:spacing w:before="0" w:after="60" w:line="247" w:lineRule="auto"/>
              <w:jc w:val="both"/>
            </w:pPr>
            <w:r>
              <w:rPr>
                <w:rFonts w:ascii="EB Garamond" w:hAnsi="EB Garamond" w:cs="EB Garamond"/>
                <w:b/>
                <w:i w:val="0"/>
                <w:color w:val="201B16"/>
                <w:sz w:val="19"/>
                <w:lang w:val="pt-BR" w:bidi="ar-SA"/>
                <w:kern w:val="16"/>
                <w14:ligatures w14:val="standardContextual"/>
              </w:rPr>
              <w:t>Quadro 16.6 — Coeficiente de Cálculo por Espécie de Benefício (Pós-EC 103)</w:t>
            </w:r>
          </w:p>
          <w:tbl>
            <w:tblPr>
              <w:tblW w:type="auto" w:w="0"/>
              <w:jc w:val="center"/>
              <w:tblLook w:firstColumn="1" w:firstRow="1" w:lastColumn="0" w:lastRow="0" w:noHBand="0" w:noVBand="1" w:val="04A0"/>
              <w:tblW w:w="5000" w:type="pct"/>
            </w:tblPr>
            <w:tblGrid>
              <w:gridCol w:w="1587"/>
              <w:gridCol w:w="1587"/>
              <w:gridCol w:w="1587"/>
              <w:gridCol w:w="1587"/>
            </w:tblGrid>
            <w:tr>
              <w:trPr>
                <w:tblHeader/>
              </w:trPr>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Benefício</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Coeficiente</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Base de cálculo (SB)</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Fundamento</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Aposentadoria programada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60% + 2% por ano acima de 20H/15M</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Média 100% dos SC</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26, §2º, EC 103</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Aposentadoria por incapacidade permanente (comum)</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60% + 2% por ano acima de 20H/15M</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Média 100% dos SC</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26, § 2º, III, EC 103</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Aposentadoria por incapacidade permanente (acidentária)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100%</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Média 100% dos SC</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26, §3º, II, EC 103</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Aposentadoria especial</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60% + 2% por ano acima de 20H/15M</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Média 100% dos SC</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26, §2º, EC 103</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Aposentadoria PcD (LC 142/2013)</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100%</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Média 100% dos SC (sem fator)</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22, EC 103</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Aposentadoria do professor</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60% + 2% por ano acima de 25H/20M</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Média 100% dos SC</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26, §5º, EC 103</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Auxílio por incapacidade temporária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91% do SB</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Média 100% dos SC</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61, Lei 8.213/91</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Auxílio-acidente</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50% do SB</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SB que originou o aux. Incap. Temporária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86, §1º, Lei 8.213/91</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Pensão por morte</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50% + 10%/dep. (até 100%) sobre o valor da aposentadoria (SB × coeficiente)</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Aposent. Que recebia ou a que teria direito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23, EC 103</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Auxílio-reclusão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Valor fixo de 1 SM (R$ 1.621,00 em 2026)</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27, §2º, EC 103</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Salário-maternidade (empregada)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Remuneração integral</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Última remuneração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72, Lei 8.213/91</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Salário-maternidade (CI/facultativa)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1/12 da soma dos 12 últimos SC</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SC dos últimos 12 meses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73, III, Lei 8.213/91</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Salário-família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Cota fixa por filho (até 14 anos ou inválido)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66, Lei 8.213/91</w:t>
                  </w:r>
                </w:p>
              </w:tc>
            </w:tr>
          </w:tbl>
          <w:p/>
          <w:p>
            <w:pPr>
              <w:spacing w:before="0" w:after="0" w:line="240" w:lineRule="auto"/>
            </w:pP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5F3EF" w:val="clear"/>
            <w:tcBorders>
              <w:top w:val="single" w:sz="7" w:space="0" w:color="A09882"/>
              <w:bottom w:val="single" w:sz="7" w:space="0" w:color="A09882"/>
              <w:right w:val="single" w:sz="7" w:space="0" w:color="A09882"/>
              <w:left w:val="single" w:sz="24" w:space="0" w:color="6B6256"/>
            </w:tcBorders>
          </w:tcPr>
          <w:p>
            <w:pPr>
              <w:spacing w:before="0" w:after="60" w:line="240" w:lineRule="auto"/>
              <w:jc w:val="left"/>
            </w:pPr>
            <w:r>
              <w:rPr>
                <w:rFonts w:ascii="Noto Sans" w:hAnsi="Noto Sans" w:cs="Noto Sans"/>
                <w:b/>
                <w:i w:val="0"/>
                <w:caps/>
                <w:color w:val="6B6256"/>
                <w:sz w:val="16"/>
                <w:lang w:val="pt-BR" w:bidi="ar-SA"/>
                <w:kern w:val="16"/>
                <w14:ligatures w14:val="standardContextual"/>
              </w:rPr>
              <w:t>QUADRO</w:t>
            </w:r>
          </w:p>
          <w:p>
            <w:pPr>
              <w:spacing w:before="0" w:after="60" w:line="247" w:lineRule="auto"/>
              <w:jc w:val="both"/>
            </w:pPr>
            <w:r>
              <w:rPr>
                <w:rFonts w:ascii="EB Garamond" w:hAnsi="EB Garamond" w:cs="EB Garamond"/>
                <w:b/>
                <w:i w:val="0"/>
                <w:color w:val="201B16"/>
                <w:sz w:val="19"/>
                <w:lang w:val="pt-BR" w:bidi="ar-SA"/>
                <w:kern w:val="16"/>
                <w14:ligatures w14:val="standardContextual"/>
              </w:rPr>
              <w:t>Quadro 16.7 — Cronologia dos Tetos do RGPS (1991–2026)</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Período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Teto (R$)</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Fundamento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05/04/1991</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Cr$ 170.000,00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Lei 8.213/91 (art. 29, §2º)</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01/01/1999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R$ 1.200,00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14 do ADCT (EC 20/1998)</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01/06/2002</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R$ 1.430,00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Portaria MPAS 525/2002</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01/01/2004</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R$ 2.400,00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EC 41/2003</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01/01/2006</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R$ 2.801,56</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Portaria MPS 119/2006</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01/01/2008</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R$ 3.038,99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Portaria MPS 77/2008</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01/01/2010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R$ 3.416,54</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Portaria MPS 350/2009</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01/01/2012</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R$ 3.916,20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Portaria MPS/MF 02/2012</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01/01/2014</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R$ 4.390,24</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Portaria MPS/MF 19/2014</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01/01/2016</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R$ 5.189,82</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Portaria MPS/MF 01/2016</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01/01/2018</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R$ 5.645,80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Portaria MF 15/2018</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01/01/2020</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R$ 6.101,06</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Portaria SEPRT 3.659/2020</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01/01/2021</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R$ 6.433,57</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Portaria SEPRT 477/2021</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01/01/2022</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R$ 7.087,22</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Portaria MTP 12/2022</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01/01/2023</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R$ 7.507,49</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Portaria MPS/MF 26/2023</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01/01/2024</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R$ 7.786,02</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Portaria MPS/MF 2/2024</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01/01/2025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R$ 8.157,41</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Portaria MPS/MF 6/2025</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01/01/2026</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R$ 8.475,55</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Portaria MPS/MF 13/2026 (INPC 3,90%)</w:t>
                  </w:r>
                </w:p>
              </w:tc>
            </w:tr>
          </w:tbl>
          <w:p/>
          <w:p>
            <w:pPr>
              <w:spacing w:before="0" w:after="0" w:line="240" w:lineRule="auto"/>
            </w:pP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5F3EF" w:val="clear"/>
            <w:tcBorders>
              <w:top w:val="single" w:sz="7" w:space="0" w:color="A09882"/>
              <w:bottom w:val="single" w:sz="7" w:space="0" w:color="A09882"/>
              <w:right w:val="single" w:sz="7" w:space="0" w:color="A09882"/>
              <w:left w:val="single" w:sz="24" w:space="0" w:color="6B6256"/>
            </w:tcBorders>
          </w:tcPr>
          <w:p>
            <w:pPr>
              <w:spacing w:before="0" w:after="60" w:line="240" w:lineRule="auto"/>
              <w:jc w:val="left"/>
            </w:pPr>
            <w:r>
              <w:rPr>
                <w:rFonts w:ascii="Noto Sans" w:hAnsi="Noto Sans" w:cs="Noto Sans"/>
                <w:b/>
                <w:i w:val="0"/>
                <w:caps/>
                <w:color w:val="6B6256"/>
                <w:sz w:val="16"/>
                <w:lang w:val="pt-BR" w:bidi="ar-SA"/>
                <w:kern w:val="16"/>
                <w14:ligatures w14:val="standardContextual"/>
              </w:rPr>
              <w:t>QUADRO</w:t>
            </w:r>
          </w:p>
          <w:p>
            <w:pPr>
              <w:spacing w:before="0" w:after="60" w:line="247" w:lineRule="auto"/>
              <w:jc w:val="both"/>
            </w:pPr>
            <w:r>
              <w:rPr>
                <w:rFonts w:ascii="EB Garamond" w:hAnsi="EB Garamond" w:cs="EB Garamond"/>
                <w:b/>
                <w:i w:val="0"/>
                <w:color w:val="201B16"/>
                <w:sz w:val="19"/>
                <w:lang w:val="pt-BR" w:bidi="ar-SA"/>
                <w:kern w:val="16"/>
                <w14:ligatures w14:val="standardContextual"/>
              </w:rPr>
              <w:t>Quadro 16.8 — Checklist de Conferência de Cálculo para o Magistrado</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Item</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Verificação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Fonte/Sistema</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 SC no CNIS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Todos os vínculos e remunerações estão registrados? Há períodos sem informação?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CNIS / PLENUS</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2. PBC adequado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Regra correta aplicada conforme a DIB (80% maiores ou 100%)? Divisor mínimo de 108 observado?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29, Lei 8.213/91; Lei 14.331/2022</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3. Atualização dos SC</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Fatores de correção pelo INPC correspondem à tabela oficial do mês de referência?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Tabela INSS (Portaria mensal)</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4. SB correto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Média aritmética calculada sobre a base correta? Exclusão do art. 26, §6º, EC 103, foi considerada?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Memória de cálculo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5. Coeficiente correto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Percentual corresponde à espécie de benefício e ao TC apurado? Nexo acidentário reconhecido (quando cabível)?</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26, EC 103</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6. Fator previdenciário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Aplicado apenas quando obrigatório? Tabela IBGE vigente na DER utilizada?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Lei 9.876/1999; IBGE</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7. Teto respeitado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RMI não excede R$ 8.475,55 (2026)? SB limitado ao teto antes da aplicação do coeficiente?</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Portaria MPS/MF 13/2026</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8. Piso respeitado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RMI não inferior a R$ 1.621,00 (1 SM 2026)? Exceções verificadas (auxílio-acidente)?</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201, §2º, CF</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9. Concomitantes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SC de atividades simultâneas somados (Tema 1070/STJ)? Teto observado na soma?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32, Lei 8.213/91</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10. Parcelas vencidas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Período correto (DIB até implantação)? SELIC aplicada (pós-EC 113/2021)? Descontos lançados?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EC 113/2021; Tema 905/STJ</w:t>
                  </w:r>
                </w:p>
              </w:tc>
            </w:tr>
          </w:tbl>
          <w:p/>
          <w:p>
            <w:pPr>
              <w:spacing w:before="0" w:after="0" w:line="240" w:lineRule="auto"/>
            </w:pPr>
          </w:p>
        </w:tc>
      </w:tr>
    </w:tbl>
    <w:p>
      <w:pPr>
        <w:spacing w:before="0" w:after="80" w:line="240" w:lineRule="auto"/>
      </w:pPr>
    </w:p>
    <w:p>
      <w:pPr>
        <w:sectPr>
          <w:headerReference w:type="default" r:id="rId165"/>
          <w:headerReference w:type="even" r:id="rId166"/>
          <w:footerReference w:type="default" r:id="rId167"/>
          <w:footerReference w:type="even" r:id="rId168"/>
          <w:headerReference w:type="first" r:id="rId169"/>
          <w:footerReference w:type="first" r:id="rId170"/>
          <w:pgSz w:w="8391" w:h="11906"/>
          <w:pgMar w:top="935" w:right="879" w:bottom="964" w:left="1162" w:header="454" w:footer="425" w:gutter="0" w:mirrorMargins="1"/>
          <w:cols w:space="720"/>
          <w:titlePg/>
          <w:docGrid w:linePitch="360"/>
        </w:sectPr>
      </w:pPr>
    </w:p>
    <w:p>
      <w:pPr>
        <w:spacing w:before="240" w:after="80" w:line="240" w:lineRule="auto"/>
        <w:jc w:val="center"/>
        <w:keepNext/>
      </w:pPr>
      <w:r>
        <w:rPr>
          <w:rFonts w:ascii="Noto Sans" w:hAnsi="Noto Sans" w:cs="Noto Sans"/>
          <w:b/>
          <w:i w:val="0"/>
          <w:caps/>
          <w:color w:val="8A6A2A"/>
          <w:sz w:val="19"/>
          <w:lang w:val="pt-BR" w:bidi="ar-SA"/>
          <w:kern w:val="16"/>
          <w14:ligatures w14:val="standardContextual"/>
        </w:rPr>
        <w:t>CAPÍTULO 17</w:t>
      </w:r>
    </w:p>
    <w:p>
      <w:pPr>
        <w:pStyle w:val="Heading2"/>
        <w:spacing w:before="0" w:after="160" w:line="240" w:lineRule="auto"/>
        <w:jc w:val="center"/>
        <w:keepNext/>
      </w:pPr>
      <w:r>
        <w:rPr>
          <w:rFonts w:ascii="EB Garamond" w:hAnsi="EB Garamond" w:cs="EB Garamond"/>
          <w:b/>
          <w:i w:val="0"/>
          <w:caps/>
          <w:color w:val="2F2923"/>
          <w:sz w:val="40"/>
          <w:lang w:val="pt-BR" w:bidi="ar-SA"/>
          <w:kern w:val="16"/>
          <w14:ligatures w14:val="standardContextual"/>
        </w:rPr>
        <w:t>Revisão de Benefícios Previdenciários</w:t>
      </w:r>
    </w:p>
    <w:p>
      <w:pPr>
        <w:spacing w:before="0" w:after="240" w:line="240" w:lineRule="auto"/>
        <w:jc w:val="center"/>
      </w:pPr>
      <w:r>
        <w:rPr>
          <w:rFonts w:ascii="EB Garamond" w:hAnsi="EB Garamond" w:cs="EB Garamond"/>
          <w:b w:val="0"/>
          <w:i w:val="0"/>
          <w:color w:val="B78B37"/>
          <w:sz w:val="18"/>
          <w:lang w:val="pt-BR" w:bidi="ar-SA"/>
          <w:kern w:val="16"/>
          <w14:ligatures w14:val="standardContextual"/>
        </w:rPr>
        <w:t>━━━━  ◆  ━━━━</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Introdução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 ações revisionais nos JEFs submetem-se a regime jurídico próprio: prazo decadencial distinto (art. 103, Lei 8.213/91), prova predominantemente documental e complexidade calculatória que exige domínio da mecânica do salário de benefício e da renda mensal inicial. Diferem, em natureza, das ações de concessão, de restabelecimento e de manutenção de benefícios. A revisão parte de benefício já concedido para questionar os parâmetros que compuseram o cálculo da RMI ou a aplicação das regras de reajustamento. Essa distinção produz consequências processuais relevantes: a revisão submete-se ao prazo decadencial de dez anos, ao passo que o restabelecimento, por envolver cessação ilícita, não se subordina a esse prazo.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Entendemos que o perfil das ações revisionais nos JEFs é marcado pela complexidade calculatória e pela necessidade de prova documental robusta. São demandas que exigem do magistrado familiaridade com a mecânica do salário de benefício, com os diferentes períodos básicos de cálculo e com a evolução normativa dos critérios de apuração da renda mensal inicial — matéria tratada no Capítulo 16. Exigem, também, do advogado previdenciarista, capacidade de produzir memórias de cálculo comparativas que demonstrem, com números, a diferença entre a RMI efetivamente implantada pelo INSS e a RMI que resultaria da aplicação correta das normas. Sem esse cotejo numérico, a ação revisional carece de densidade probatória.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As causas que ensejam revisão podem ser agrupadas em quatro categorias. A primeira é o erro administrativo: o INSS aplicou incorretamente as normas vigentes na data de concessão, seja por equívoco no cômputo dos salários de contribuição, na identificação do período básico de cálculo, no coeficiente de cálculo ou na incidência do fator previdenciário. A segunda é a mudança jurisprudencial: tribunais superiores firmam entendimento mais favorável ao segurado sobre a interpretação de dispositivos que regem o cálculo, como ocorreu com a revisão das atividades concomitantes (Tema 1070/STJ) e, em sentido reverso, com a revisão da vida toda (Tema 1102/STF). A terceira é a alteração legislativa superveniente que repercute sobre benefícios já concedidos, como as ECs 20/1998 e 41/2003 que elevaram o teto do RGPS. A quarta é a inclusão de tempo de contribuição ou de serviço não computado na concessão original: períodos rurais, atividades especiais não reconhecidas, contribuições vertidas em atividades concomitantes que não foram consideradas.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Sustentamos que o capítulo deve servir como guia funcional. As regras de cálculo foram analisadas nos Capítulos 10 e 16; a dogmática da decadência e da prescrição pertence ao Capítulo 21. Aqui, para cada tese revisional, identificamos o regime de decadência aplicável, o procedimento adequado, os documentos necessários, as particularidades probatórias e as questões processuais que o magistrado dos JEFs enfrenta na rotina forense. As teses tratadas são: decadência decenal aplicada (17.2); vida toda após a reversão (17.3); teto — ECs 20/1998 e 41/2003 (17.4); Buraco Negro (17.5); art. 29, II — divisor mínimo (17.6); melhor DIB e reafirmação da DER (17.7); e demais teses relevantes (17.8).</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Nota sobre os valores monetários de 2026</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Os valores em reais empregados ao longo deste capítulo tomam por base o salário-mínimo de R$ 1.621,00 e, por consequência, o limite de alçada do JEF de R$ 97.260,00 (60 salários-mínimos), parâmetros projetados para 2026. Como o salário-mínimo é reajustado anualmente, esses montantes — e quaisquer cálculos deles derivados — devem ser conferidos com o valor do salário-mínimo vigente na data de leitura. Para evitar repetição, essa ressalva fica aqui registrada de uma vez e vale para todas as cifras de 2026 mencionadas adiante.</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17.2 Decadência decenal aplicada às teses revisionais</w:t>
      </w:r>
    </w:p>
    <w:p>
      <w:pPr>
        <w:spacing w:before="260" w:after="80" w:line="240" w:lineRule="auto"/>
        <w:jc w:val="left"/>
      </w:pPr>
      <w:r>
        <w:rPr>
          <w:rFonts w:ascii="EB Garamond" w:hAnsi="EB Garamond" w:cs="EB Garamond"/>
          <w:b/>
          <w:i w:val="0"/>
          <w:color w:val="3A3128"/>
          <w:sz w:val="25"/>
          <w:lang w:val="pt-BR" w:bidi="ar-SA"/>
          <w:kern w:val="16"/>
          <w14:ligatures w14:val="standardContextual"/>
        </w:rPr>
        <w:t>17.2.1 Art. 103, caput, Lei 8.213/91 — regra geral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103 da Lei 8.213/91 fixa o prazo decadencial de dez anos para a revisão do ato de concessão do benefício previdenciário. A redação vigente, conferida pela Lei 10.839/2004 (conversão da MP 138/2003), conta o prazo do dia primeiro do mês seguinte ao do recebimento da primeira prestação ou, quando for o caso, do dia em que o segurado tomar conhecimento da decisão indeferitória definitiva no âmbito administrativo. A incidência desse prazo sobre as ações revisionais é o primeiro ponto que o magistrado deve examinar ao receber a petição inicial, pois a decadência legal deve ser conhecida de ofício pelo juiz (art. 210 do Código Civil), com resolução do mérito por decadência nos termos do art. 487, II, do CPC.</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prazo decadencial sofreu quatro marcos legislativos: a redação original da Lei 8.213/91 não previa decadência; a Lei 9.528/1997 (conversão da MP 1.523/1996, que foi reeditada diversas vezes antes da conversão) introduziu prazo de dez anos; a Lei 9.711/1998 reduziu-o para cinco anos; e a Lei 10.839/2004 retornou ao prazo decenal, com reabertura a partir da vigência da MP 138/2003 (19/11/2003). Para a evolução legislativa completa do art. 103 e o debate sobre a constitucionalidade do prazo, v. Capítulo 21. Savaris (2023, p. 215) sublinha que a reabertura do prazo constituiu reconhecimento legislativo de que o prazo quinquenal era insuficiente para assegurar a proteção do segurado.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termo inicial do prazo merece atenção prática. A lei o fixa no primeiro dia do mês seguinte ao recebimento da primeira prestação. Esse marco pressupõe que o segurado, ao receber o primeiro pagamento, já dispõe das condições para verificar a regularidade do cálculo. Na realidade dos JEFs, porém, muitos segurados somente tomam conhecimento do erro de cálculo anos depois, seja por terem contratado advogado especializado, seja por comparação com colegas em situação semelhante. A discrepância entre o termo inicial legal e a efetiva possibilidade de conhecimento do erro alimenta o debate sobre a constitucionalidade da decadência previdenciária — questão aprofundada no Capítulo 21.</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Dois pontos operacionais devem ser fixados. Primeiro: o prazo de dez anos atinge o direito de revisão do ato de concessão, e não o direito ao benefício em si. O segurado que deixa transcorrer o decênio sem questionar o cálculo perde o direito de postular a revisão da RMI, mas não perde o benefício. Segundo: a decadência atinge apenas a pretensão de modificar os elementos do ato de concessão (salário de benefício, coeficiente, fator previdenciário, tempo de contribuição computado). Pretensões que não se confundem com a revisão do ato de concessão, como o pedido de readequação ao teto constitucional, seguem regime diverso, como veremos adiante.</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Decadência do ato de concessão × prescrição das parcelas</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 xml:space="preserve">São institutos distintos com consequências práticas diversas. A </w:t>
            </w:r>
            <w:r>
              <w:rPr>
                <w:rFonts w:ascii="EB Garamond" w:hAnsi="EB Garamond" w:cs="EB Garamond"/>
                <w:b/>
                <w:i w:val="0"/>
                <w:color w:val="201B16"/>
                <w:sz w:val="19"/>
                <w:lang w:val="pt-BR" w:bidi="ar-SA"/>
                <w:kern w:val="16"/>
                <w14:ligatures w14:val="standardContextual"/>
              </w:rPr>
              <w:t>decadência</w:t>
            </w:r>
            <w:r>
              <w:rPr>
                <w:rFonts w:ascii="EB Garamond" w:hAnsi="EB Garamond" w:cs="EB Garamond"/>
                <w:b w:val="0"/>
                <w:i w:val="0"/>
                <w:color w:val="201B16"/>
                <w:sz w:val="19"/>
                <w:lang w:val="pt-BR" w:bidi="ar-SA"/>
                <w:kern w:val="16"/>
                <w14:ligatures w14:val="standardContextual"/>
              </w:rPr>
              <w:t xml:space="preserve"> (art. 103, caput, Lei 8.213/91) atinge o direito potestativo de revisar o ato de concessão do benefício. Prazo: 10 anos, contados do primeiro dia do mês seguinte ao recebimento da primeira prestação. Esgotado o prazo, o segurado não pode mais questionar os elementos que compuseram a RMI (salário de benefício, coeficiente, fator previdenciário).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 xml:space="preserve">A </w:t>
            </w:r>
            <w:r>
              <w:rPr>
                <w:rFonts w:ascii="EB Garamond" w:hAnsi="EB Garamond" w:cs="EB Garamond"/>
                <w:b/>
                <w:i w:val="0"/>
                <w:color w:val="201B16"/>
                <w:sz w:val="19"/>
                <w:lang w:val="pt-BR" w:bidi="ar-SA"/>
                <w:kern w:val="16"/>
                <w14:ligatures w14:val="standardContextual"/>
              </w:rPr>
              <w:t>prescrição</w:t>
            </w:r>
            <w:r>
              <w:rPr>
                <w:rFonts w:ascii="EB Garamond" w:hAnsi="EB Garamond" w:cs="EB Garamond"/>
                <w:b w:val="0"/>
                <w:i w:val="0"/>
                <w:color w:val="201B16"/>
                <w:sz w:val="19"/>
                <w:lang w:val="pt-BR" w:bidi="ar-SA"/>
                <w:kern w:val="16"/>
                <w14:ligatures w14:val="standardContextual"/>
              </w:rPr>
              <w:t xml:space="preserve"> (art. 103, parágrafo único, Lei 8.213/91) atinge as parcelas vencidas e não pagas. Prazo: 5 anos, contados retroativamente da data do ajuizamento da ação. Opera sobre as diferenças devidas, não sobre o direito à revisão em si.</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Na prática, o segurado que ajuíza ação revisional dentro do prazo decadencial receberá as diferenças dos últimos cinco anos (contados da citação do INSS, que retroage à data do ajuizamento). Já o segurado que perde o prazo decadencial não receberá diferença alguma, ainda que as parcelas mais recentes estejam dentro do quinquênio prescricional: se o direito de revisar decaiu, não há diferenças a cobrar.</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17.2.2 Situações que escapam à decadência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incidência do prazo decenal não é universal. O ordenamento e a jurisprudência consolidaram hipóteses em que a decadência do art. 103 não se aplica, e o magistrado dos JEFs precisa identificá-las para evitar a extinção prematura de ações revisionais viáveis.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primeira hipótese é a do benefício não concedido. Quando o INSS indefere o requerimento administrativo, não há ato de concessão a revisar. A pretensão é de concessão, não de revisão, e se sujeita apenas à prescrição quinquenal das parcelas.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segunda hipótese envolve o fundo de direito. Pretensões que dizem respeito ao próprio direito à prestação, e não à forma como o benefício foi calculado, não se submetem à decadência. A revisão do Buraco Negro (art. 144, Lei 8.213/91) é o exemplo mais significativo: trata-se do direito ao recálculo de benefícios concedidos entre outubro de 1988 e abril de 1991 conforme as regras da Lei 8.213/91, direito que constitui o próprio fundo da relação jurídica previdenciária. A posição do STJ é pacífica: a prescrição, nessas relações de trato sucessivo, atinge apenas as prestações vencidas antes do quinquênio anterior à propositura da ação (Súmula 85/STJ).</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A terceira hipótese — que aqui registramos justamente para afastar equívoco recorrente — diz respeito às questões que o INSS não apreciou no ato administrativo de concessão. Poder-se-ia supor que, não tendo havido apreciação, a decadência não correria. Não é o que decidiu o STJ. O </w:t>
      </w:r>
      <w:r>
        <w:rPr>
          <w:rFonts w:ascii="EB Garamond" w:hAnsi="EB Garamond" w:cs="EB Garamond"/>
          <w:b/>
          <w:i w:val="0"/>
          <w:color w:val="201B16"/>
          <w:sz w:val="21"/>
          <w:lang w:val="pt-BR" w:bidi="ar-SA"/>
          <w:kern w:val="16"/>
          <w14:ligatures w14:val="standardContextual"/>
        </w:rPr>
        <w:t>Tema 975</w:t>
      </w:r>
      <w:r>
        <w:rPr>
          <w:rFonts w:ascii="EB Garamond" w:hAnsi="EB Garamond" w:cs="EB Garamond"/>
          <w:b w:val="0"/>
          <w:i w:val="0"/>
          <w:color w:val="201B16"/>
          <w:sz w:val="21"/>
          <w:lang w:val="pt-BR" w:bidi="ar-SA"/>
          <w:kern w:val="16"/>
          <w14:ligatures w14:val="standardContextual"/>
        </w:rPr>
        <w:t xml:space="preserve">, fixado em dezembro de 2019, assentou exatamente o oposto: </w:t>
      </w:r>
      <w:r>
        <w:rPr>
          <w:rFonts w:ascii="EB Garamond" w:hAnsi="EB Garamond" w:cs="EB Garamond"/>
          <w:b w:val="0"/>
          <w:i/>
          <w:color w:val="201B16"/>
          <w:sz w:val="21"/>
          <w:lang w:val="pt-BR" w:bidi="ar-SA"/>
          <w:kern w:val="16"/>
          <w14:ligatures w14:val="standardContextual"/>
        </w:rPr>
        <w:t>aplica-se</w:t>
      </w:r>
      <w:r>
        <w:rPr>
          <w:rFonts w:ascii="EB Garamond" w:hAnsi="EB Garamond" w:cs="EB Garamond"/>
          <w:b w:val="0"/>
          <w:i w:val="0"/>
          <w:color w:val="201B16"/>
          <w:sz w:val="21"/>
          <w:lang w:val="pt-BR" w:bidi="ar-SA"/>
          <w:kern w:val="16"/>
          <w14:ligatures w14:val="standardContextual"/>
        </w:rPr>
        <w:t xml:space="preserve"> o prazo decadencial de dez anos do art. 103 mesmo às hipóteses em que a questão controvertida não foi apreciada no ato administrativo de concessão. O Tema 975 deve ser lido em conjunto com o </w:t>
      </w:r>
      <w:r>
        <w:rPr>
          <w:rFonts w:ascii="EB Garamond" w:hAnsi="EB Garamond" w:cs="EB Garamond"/>
          <w:b/>
          <w:i w:val="0"/>
          <w:color w:val="201B16"/>
          <w:sz w:val="21"/>
          <w:lang w:val="pt-BR" w:bidi="ar-SA"/>
          <w:kern w:val="16"/>
          <w14:ligatures w14:val="standardContextual"/>
        </w:rPr>
        <w:t>Tema 966</w:t>
      </w:r>
      <w:r>
        <w:rPr>
          <w:rFonts w:ascii="EB Garamond" w:hAnsi="EB Garamond" w:cs="EB Garamond"/>
          <w:b w:val="0"/>
          <w:i w:val="0"/>
          <w:color w:val="201B16"/>
          <w:sz w:val="21"/>
          <w:lang w:val="pt-BR" w:bidi="ar-SA"/>
          <w:kern w:val="16"/>
          <w14:ligatures w14:val="standardContextual"/>
        </w:rPr>
        <w:t>, que confirmou a incidência da decadência para o reconhecimento do direito adquirido ao benefício mais vantajoso. As duas teses, conjugadas, não criam exceção à decadência — ao contrário, delimitam o seu alcance de forma ampla. A distinção entre elas é operacionalmente decisiva e merece análise separada.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quarta hipótese abrange os fatos supervenientes ao ato de concessão. Quando uma alteração legislativa posterior à concessão repercute sobre o valor do benefício — como a elevação do teto por emenda constitucional —, o segurado não está exercendo pretensão revisional do ato originário, mas sim pretensão decorrente de fato novo. A decadência não pode atingir um direito que sequer existia na data da concessão.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Temas 966 e 975/STJ — Duas faces da decadência nas ações revisionais</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No Tema 966 (REsp 1.631.021/RS, leading case, e REsp 1.612.818/RS, 1ª Seção, Rel. Min. Mauro Campbell Marques, julgados em 13/02/2019, acórdão publicado em 13/03/2019) e no Tema 975 (REsp 1.648.336/RS, leading case, e REsp 1.644.191/RS, 1ª Seção, Rel. Min. Herman Benjamin, julgados em 11/12/2019, acórdão publicado em 04/08/2020), o STJ fixou duas teses que, conjugadas, delimitam de forma ampla o alcance da decadência. Convém registrar que as duas teses foram firmadas em momentos distintos — o Tema 966 quase um ano antes do Tema 975 —, e que ambas são anteriores à EC 103/2019: tratam, portanto, da decadência sob a sistemática de cálculo pré-reforma, sem interpretar a Reforma da Previdência.</w:t>
            </w:r>
          </w:p>
          <w:p>
            <w:pPr>
              <w:spacing w:before="0" w:after="60" w:line="247" w:lineRule="auto"/>
              <w:jc w:val="both"/>
            </w:pPr>
            <w:r>
              <w:rPr>
                <w:rFonts w:ascii="EB Garamond" w:hAnsi="EB Garamond" w:cs="EB Garamond"/>
                <w:b/>
                <w:i w:val="0"/>
                <w:color w:val="201B16"/>
                <w:sz w:val="19"/>
                <w:lang w:val="pt-BR" w:bidi="ar-SA"/>
                <w:kern w:val="16"/>
                <w14:ligatures w14:val="standardContextual"/>
              </w:rPr>
              <w:t>Tema 966 — incide a decadência sobre a escolha do benefício mais vantajoso:</w:t>
            </w:r>
            <w:r>
              <w:rPr>
                <w:rFonts w:ascii="EB Garamond" w:hAnsi="EB Garamond" w:cs="EB Garamond"/>
                <w:b w:val="0"/>
                <w:i w:val="0"/>
                <w:color w:val="201B16"/>
                <w:sz w:val="19"/>
                <w:lang w:val="pt-BR" w:bidi="ar-SA"/>
                <w:kern w:val="16"/>
                <w14:ligatures w14:val="standardContextual"/>
              </w:rPr>
              <w:t xml:space="preserve"> "Incide o prazo decadencial previsto no caput do artigo 103 da Lei 8.213/1991 para reconhecimento do direito adquirido ao benefício previdenciário mais vantajoso." Se o segurado pretende que o INSS deveria ter concedido o benefício por regra de cálculo diversa (mais vantajosa), o prazo decadencial incide.</w:t>
            </w:r>
          </w:p>
          <w:p>
            <w:pPr>
              <w:spacing w:before="0" w:after="60" w:line="247" w:lineRule="auto"/>
              <w:jc w:val="both"/>
            </w:pPr>
            <w:r>
              <w:rPr>
                <w:rFonts w:ascii="EB Garamond" w:hAnsi="EB Garamond" w:cs="EB Garamond"/>
                <w:b/>
                <w:i w:val="0"/>
                <w:color w:val="201B16"/>
                <w:sz w:val="19"/>
                <w:lang w:val="pt-BR" w:bidi="ar-SA"/>
                <w:kern w:val="16"/>
                <w14:ligatures w14:val="standardContextual"/>
              </w:rPr>
              <w:t>Tema 975 — aplica-se a decadência mesmo às questões não apreciadas no ato de concessão:</w:t>
            </w:r>
            <w:r>
              <w:rPr>
                <w:rFonts w:ascii="EB Garamond" w:hAnsi="EB Garamond" w:cs="EB Garamond"/>
                <w:b w:val="0"/>
                <w:i w:val="0"/>
                <w:color w:val="201B16"/>
                <w:sz w:val="19"/>
                <w:lang w:val="pt-BR" w:bidi="ar-SA"/>
                <w:kern w:val="16"/>
                <w14:ligatures w14:val="standardContextual"/>
              </w:rPr>
              <w:t xml:space="preserve"> "Aplica-se o prazo decadencial de dez anos estabelecido no art. 103, caput, da Lei 8.213/1991 às hipóteses em que a questão controvertida não foi apreciada no ato administrativo de análise de concessão de benefício previdenciário." Ou seja, ainda que o INSS, ao conceder o benefício, não tenha apreciado determinada questão, a decadência decenal corre normalmente sobre o direito de revisão relativo a esse ponto.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distinção prática: o Tema 966 trata da pretensão de obter benefício por regra de cálculo mais vantajosa (direito adquirido); o Tema 975 esclarece que a falta de apreciação administrativa de uma questão não impede a fluência do prazo decadencial. Nenhuma das duas teses cria exceção à decadência. O equívoco a evitar é supor que o cálculo das atividades concomitantes (art. 32, Lei 8.213/91) escapa ao prazo só porque o INSS dispunha dos dados no CNIS e não aplicou de ofício a soma dos salários de contribuição: pelo Tema 975, a decadência decenal alcança também essa pretensão revisional, contada da concessão.</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17.2.3 Quadro funcional: decadência por tese revisional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aplicação do regime de decadência varia conforme a natureza da tese revisional invocada. O quadro abaixo sintetiza, para cada tese tratada neste capítulo, a incidência ou não da decadência decenal e o fundamento correspondente.</w:t>
      </w:r>
    </w:p>
    <w:tbl>
      <w:tblPr>
        <w:tblW w:type="auto" w:w="0"/>
        <w:jc w:val="center"/>
        <w:tblLook w:firstColumn="1" w:firstRow="1" w:lastColumn="0" w:lastRow="0" w:noHBand="0" w:noVBand="1" w:val="04A0"/>
        <w:tblW w:w="5000" w:type="pct"/>
      </w:tblPr>
      <w:tblGrid>
        <w:gridCol w:w="1587"/>
        <w:gridCol w:w="1587"/>
        <w:gridCol w:w="1587"/>
        <w:gridCol w:w="1587"/>
      </w:tblGrid>
      <w:tr>
        <w:trPr>
          <w:tblHeader/>
        </w:trPr>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Tese revisional</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Decadência aplicável?</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Fundamento</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40" w:after="40" w:line="240" w:lineRule="auto"/>
              <w:jc w:val="center"/>
            </w:pPr>
            <w:r>
              <w:rPr>
                <w:rFonts w:ascii="EB Garamond" w:hAnsi="EB Garamond" w:cs="EB Garamond"/>
                <w:b/>
                <w:i w:val="0"/>
                <w:color w:val="2F2923"/>
                <w:sz w:val="18"/>
                <w:lang w:val="pt-BR" w:bidi="ar-SA"/>
                <w:kern w:val="16"/>
                <w14:ligatures w14:val="standardContextual"/>
              </w:rPr>
              <w:t>Termo inicial</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Revisão da vida toda (Tema 1102/STF)</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Sim (10 anos da DIB)</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Opção por regra de cálculo: integra o ato de concessão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1º dia do mês seguinte à primeira prestação</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Revisão do teto (ECs 20/1998 e 41/2003)</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 em regra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Readequação decorre de fato superveniente (EC), não do ato de concessão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Prescrição quinquenal das parcelas, apenas</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Revisão do Buraco Negro (art. 144)</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Fundo de direito — trato sucessivo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Prescrição quinquenal das parcelas</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Revisão do art. 29, II (divisor mínimo)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Sim (10 anos da DIB), conforme Tema 975</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Decadência incide mesmo que o INSS não tenha apreciado a questão de ofício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1º dia do mês seguinte à primeira prestação</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Atividades concomitantes (Tema 1070/STJ)</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Sim (10 anos da DIB), conforme Tema 975</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Decadência incide ainda que o INSS dispusesse dos dados no CNIS e não aplicasse a regra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1º dia do mês seguinte à primeira prestação</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Reafirmação da DER (Tema 995/STJ)</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Não se aplica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Trata-se de concessão com DER reafirmada, não de revisão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Benefício mais vantajoso (Tema 966)</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Sim (10 anos da DIB), conforme Tema 966</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O STJ reconheceu que a escolha da regra integra o ato de concessão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8"/>
                <w:lang w:val="pt-BR" w:bidi="ar-SA"/>
                <w:kern w:val="16"/>
                <w14:ligatures w14:val="standardContextual"/>
              </w:rPr>
              <w:t>1º dia do mês seguinte à primeira prestação</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17.2.4 Impacto prático nos JEFs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N</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 rotina dos JEFs, a análise da decadência é questão preliminar em toda ação revisional. O magistrado deve observar, desde o despacho inicial, se a contestação do INSS alega decadência e se essa alegação é procedente à luz da tese específica invocada. Na nossa experiência, a contestação padronizada do INSS alega decadência de forma genérica, sem distinguir entre as hipóteses de incidência e as exceções. Cabe ao juiz aplicar o quadro funcional acima para verificar se a tese concreta se submete ou não ao prazo decenal.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Quando a decadência é reconhecida, a consequência processual é a resolução do mérito com rejeição do pedido (art. 487, II, CPC). A sentença que reconhece a decadência produz coisa julgada material, impedindo a renovação do pedido revisional.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Quando a decadência é afastada, o magistrado prossegue para a análise do mérito. Deve ainda atentar para a prescrição quinquenal das parcelas (art. 103, parágrafo único), que limita o alcance financeiro da condenação: o segurado receberá apenas as diferenças dos últimos cinco anos, contados retroativamente da citação válida do INSS.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tendência é de redução progressiva das ações revisionais, em função do próprio prazo decadencial. As teses de maior impacto — vida toda, teto, art. 29, II — já ultrapassaram ou estão prestes a ultrapassar o decênio para os benefícios mais antigos. A exceção são as teses que escapam à decadência (Buraco Negro, teto como fato superveniente), que permanecem viáveis independentemente do tempo, embora com volume cada vez menor.</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17.3 Revisão da vida toda — dimensão processual pós-reversão</w:t>
      </w:r>
    </w:p>
    <w:p>
      <w:pPr>
        <w:spacing w:before="260" w:after="80" w:line="240" w:lineRule="auto"/>
        <w:jc w:val="left"/>
      </w:pPr>
      <w:r>
        <w:rPr>
          <w:rFonts w:ascii="EB Garamond" w:hAnsi="EB Garamond" w:cs="EB Garamond"/>
          <w:b/>
          <w:i w:val="0"/>
          <w:color w:val="3A3128"/>
          <w:sz w:val="25"/>
          <w:lang w:val="pt-BR" w:bidi="ar-SA"/>
          <w:kern w:val="16"/>
          <w14:ligatures w14:val="standardContextual"/>
        </w:rPr>
        <w:t>17.3.1 Cronologia do Tema 1102/STF</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trajetória do Tema 1102 no STF é um dos episódios mais turbulentos da jurisprudência previdenciária. A cronologia completa e a mecânica de cálculo foram analisadas nas seções 10.11.3 e 16.11, respectivamente. Aqui nos concentramos na dimensão processual.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RE 1.276.977/RS foi julgado pelo Plenário em 1º de dezembro de 2022. A maioria — seis votos a cinco, após retificação de voto do Min. Nunes Marques — reconheceu o direito do segurado de optar pela regra de cálculo permanente do art. 29, I e II, da Lei 8.213/91, afastando a aplicação obrigatória da regra de transição do art. 3º da Lei 9.876/1999 quando a regra definitiva fosse mais favorável. O julgamento gerou enorme demanda nos JEFs: milhares de ações foram ajuizadas entre dezembro de 2022 e meados de 2024, e muitos beneficiários obtiveram decisões favoráveis, inclusive com trânsito em julgado e implementação da revisão.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quadro começou a mudar em março de 2024, quando o STF concluiu o julgamento das ADIs 2.110 e 2.111, declarando a constitucionalidade e a cogência do art. 3º da Lei 9.876/1999. Em 26 de novembro de 2025, o Plenário apreciou os embargos de declaração opostos pelo INSS e, por maioria, acolheu-os com efeito infringente, revertendo integralmente o entendimento anterior. A nova tese vinculante: "O segurado que se enquadra na regra de transição do art. 3º da Lei 9.876/1999 não pode optar pela regra definitiva do art. 29, I e II, da Lei 8.213/1991." O acórdão foi publicado no DJe em 29 de abril de 2026.</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modulação dos efeitos acompanhou a reversão: (a) os valores recebidos em decorrência de decisões judiciais, definitivas ou provisórias, proferidas até 5 de abril de 2024 são irrepetíveis; (b) os autores cujas ações estavam pendentes até essa data ficam isentos de condenação em honorários advocatícios e custas processuais.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Ainda no primeiro semestre de 2026, o Ministro Luiz Edson Fachin chegou a requerer destaque para apreciação em plenário físico dos novos embargos de declaração, nos quais se discutia a proposta do Ministro Toffoli de ampliar a modulação. O destaque foi posteriormente retirado e, em 15/05/2026, o Plenário Virtual rejeitou os embargos, derrotada a proposta de ampliação e mantida a modulação fixada em 26/11/2025. A cronologia completa consta do Quadro 17.2, na seção 17.13.</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Nota editorial sobre os marcos posteriores ao fechamento desta edição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tese-base aqui sustentada — a superação da revisão da vida toda — está consolidada desde o julgamento das ADIs 2.110 e 2.111 (2024), que reconheceram a constitucionalidade e a cogência do art. 3º da Lei 9.876/1999. É esse o fundamento estável da exposição.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Os marcos processuais subsequentes (acolhimento dos embargos com efeito infringente em 26/11/2025; publicação do acórdão em 29/04/2026; rejeição de novos embargos em 15/05/2026) refletem o estado do processo no encerramento desta edição (junho de 2026) e são descritos com a precisão de datas, votação e composição apenas para situar o leitor no encadeamento dos atos. Recomendamos que, na data de leitura, o estágio processual mais recente do RE 1.276.977/RS (Tema 1102) seja verificado diretamente no sítio do STF, sobretudo quanto a eventuais embargos pendentes e ao alcance final da modulação. A descrição desses atos não deve ser lida como atestado de trânsito em julgado definitivo da reversão.</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17.3.2 Impacto nos processos em curso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reversão do Tema 1102 atinge diretamente os processos em trâmite nos JEFs. Os impactos variam conforme o estágio processual.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as ações ainda não julgadas em primeiro grau, a consequência é a improcedência obrigatória. A tese vinculante deve ser aplicada pelo magistrado independentemente de provocação, por força do art. 927, III, do CPC. Não há margem para distinguishing: a tese é categórica. Muitas dessas ações estavam sobrestadas, e agora podem ser sentenciadas em lote, com fundamentação padronizada.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as ações com sentença de procedência não transitada em julgado, a sentença deve ser reformada em sede recursal. A Turma Recursal, ao receber recurso do INSS, deve dar provimento para julgar improcedente o pedido. O art. 1.040, III, do CPC, aplicável por analogia, determina o julgamento em conformidade com o paradigma vinculante.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Há um grupo especial que merece atenção: processos nos quais a sentença de procedência já havia transitado em julgado e o beneficiário já vinha recebendo a RMI revisada. O impacto da reversão sobre esses processos é objeto da seção seguinte.</w:t>
      </w:r>
    </w:p>
    <w:p>
      <w:pPr>
        <w:spacing w:before="260" w:after="80" w:line="240" w:lineRule="auto"/>
        <w:jc w:val="left"/>
      </w:pPr>
      <w:r>
        <w:rPr>
          <w:rFonts w:ascii="EB Garamond" w:hAnsi="EB Garamond" w:cs="EB Garamond"/>
          <w:b/>
          <w:i w:val="0"/>
          <w:color w:val="3A3128"/>
          <w:sz w:val="25"/>
          <w:lang w:val="pt-BR" w:bidi="ar-SA"/>
          <w:kern w:val="16"/>
          <w14:ligatures w14:val="standardContextual"/>
        </w:rPr>
        <w:t>17.3.3 Impacto nos processos transitados em julgado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questão mais delicada diz respeito aos processos transitados em julgado nos quais a revisão da vida toda já havia sido implementada. São situações em que o segurado obteve decisão favorável, transitada em julgado, e o INSS implantou a nova RMI. Em muitos casos, as diferenças retroativas já foram pagas por RPV.</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modulação oferece proteção parcial. Os valores recebidos em decorrência de decisões proferidas até 5 de abril de 2024 são irrepetíveis. Essa irrepetibilidade abrange tanto as diferenças pagas por RPV quanto os valores mensais majorados recebidos até aquela data. A natureza alimentar dos benefícios previdenciários e o princípio da boa-fé sustentam a irrepetibilidade.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decisões proferidas após 5 de abril de 2024, a situação é diversa. A modulação não as protege, e o INSS pode postular a cessação da RMI majorada. Surge a questão da ação rescisória e do art. 525, §§ 12 a 15, do CPC, que permitem a impugnação ao cumprimento de sentença quando o título se fundar em norma considerada inconstitucional pelo STF ou em interpretação incompatível com a Constituição. A nosso ver, a reversão do Tema 1102 não declarou inconstitucional a norma invocada pelo segurado; declarou constitucional a norma que o segurado pretendia afastar (art. 3º da Lei 9.876/1999). A aplicabilidade do art. 525, §12, a essa hipótese é discutível. A impugnação do art. 525 não se presta a desconstituir títulos fundados em interpretação posteriormente superada. A matéria permanece em aberto.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Quanto à ação rescisória, o prazo é de dois anos contados do trânsito em julgado da decisão individual (art. 975, CPC). Para ações transitadas há mais de dois anos, a rescisória está preclusa.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Riscos para segurados que já implementaram a revisão da vida toda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 xml:space="preserve">(a) </w:t>
            </w:r>
            <w:r>
              <w:rPr>
                <w:rFonts w:ascii="EB Garamond" w:hAnsi="EB Garamond" w:cs="EB Garamond"/>
                <w:b/>
                <w:i w:val="0"/>
                <w:color w:val="201B16"/>
                <w:sz w:val="19"/>
                <w:lang w:val="pt-BR" w:bidi="ar-SA"/>
                <w:kern w:val="16"/>
                <w14:ligatures w14:val="standardContextual"/>
              </w:rPr>
              <w:t>Valores recebidos até 05/04/2024:</w:t>
            </w:r>
            <w:r>
              <w:rPr>
                <w:rFonts w:ascii="EB Garamond" w:hAnsi="EB Garamond" w:cs="EB Garamond"/>
                <w:b w:val="0"/>
                <w:i w:val="0"/>
                <w:color w:val="201B16"/>
                <w:sz w:val="19"/>
                <w:lang w:val="pt-BR" w:bidi="ar-SA"/>
                <w:kern w:val="16"/>
                <w14:ligatures w14:val="standardContextual"/>
              </w:rPr>
              <w:t xml:space="preserve"> irrepetíveis por força da modulação. O INSS não pode exigir devolução.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 xml:space="preserve">(b) </w:t>
            </w:r>
            <w:r>
              <w:rPr>
                <w:rFonts w:ascii="EB Garamond" w:hAnsi="EB Garamond" w:cs="EB Garamond"/>
                <w:b/>
                <w:i w:val="0"/>
                <w:color w:val="201B16"/>
                <w:sz w:val="19"/>
                <w:lang w:val="pt-BR" w:bidi="ar-SA"/>
                <w:kern w:val="16"/>
                <w14:ligatures w14:val="standardContextual"/>
              </w:rPr>
              <w:t>RMI majorada mantida após 05/04/2024:</w:t>
            </w:r>
            <w:r>
              <w:rPr>
                <w:rFonts w:ascii="EB Garamond" w:hAnsi="EB Garamond" w:cs="EB Garamond"/>
                <w:b w:val="0"/>
                <w:i w:val="0"/>
                <w:color w:val="201B16"/>
                <w:sz w:val="19"/>
                <w:lang w:val="pt-BR" w:bidi="ar-SA"/>
                <w:kern w:val="16"/>
                <w14:ligatures w14:val="standardContextual"/>
              </w:rPr>
              <w:t xml:space="preserve"> o INSS pode requerer a cessação da RMI revisada e o retorno ao patamar anterior. A via processual (impugnação ao cumprimento de sentença, ação rescisória, simples requerimento administrativo) é controversa.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 xml:space="preserve">(c) </w:t>
            </w:r>
            <w:r>
              <w:rPr>
                <w:rFonts w:ascii="EB Garamond" w:hAnsi="EB Garamond" w:cs="EB Garamond"/>
                <w:b/>
                <w:i w:val="0"/>
                <w:color w:val="201B16"/>
                <w:sz w:val="19"/>
                <w:lang w:val="pt-BR" w:bidi="ar-SA"/>
                <w:kern w:val="16"/>
                <w14:ligatures w14:val="standardContextual"/>
              </w:rPr>
              <w:t>Diferenças pagas por RPV após 05/04/2024:</w:t>
            </w:r>
            <w:r>
              <w:rPr>
                <w:rFonts w:ascii="EB Garamond" w:hAnsi="EB Garamond" w:cs="EB Garamond"/>
                <w:b w:val="0"/>
                <w:i w:val="0"/>
                <w:color w:val="201B16"/>
                <w:sz w:val="19"/>
                <w:lang w:val="pt-BR" w:bidi="ar-SA"/>
                <w:kern w:val="16"/>
                <w14:ligatures w14:val="standardContextual"/>
              </w:rPr>
              <w:t xml:space="preserve"> podem ser objeto de cobrança pelo INSS, salvo se a ampliação da modulação (pendente de julgamento em plenário físico) estender a proteção.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 xml:space="preserve">(d) </w:t>
            </w:r>
            <w:r>
              <w:rPr>
                <w:rFonts w:ascii="EB Garamond" w:hAnsi="EB Garamond" w:cs="EB Garamond"/>
                <w:b/>
                <w:i w:val="0"/>
                <w:color w:val="201B16"/>
                <w:sz w:val="19"/>
                <w:lang w:val="pt-BR" w:bidi="ar-SA"/>
                <w:kern w:val="16"/>
                <w14:ligatures w14:val="standardContextual"/>
              </w:rPr>
              <w:t>Ações transitadas em julgado antes de 05/04/2024 com RMI já revisada:</w:t>
            </w:r>
            <w:r>
              <w:rPr>
                <w:rFonts w:ascii="EB Garamond" w:hAnsi="EB Garamond" w:cs="EB Garamond"/>
                <w:b w:val="0"/>
                <w:i w:val="0"/>
                <w:color w:val="201B16"/>
                <w:sz w:val="19"/>
                <w:lang w:val="pt-BR" w:bidi="ar-SA"/>
                <w:kern w:val="16"/>
                <w14:ligatures w14:val="standardContextual"/>
              </w:rPr>
              <w:t xml:space="preserve"> a coisa julgada protege o segurado. O INSS precisaria de ação rescisória (prazo de 2 anos do trânsito) ou de impugnação ao cumprimento de sentença (art. 525, §12, CPC), ambas com obstáculos processuais significativos.</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magistrado deve analisar a data do trânsito em julgado, a data da modulação (05/04/2024) e o alcance da tese fixada nos embargos.</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17.3.4 Prática do magistrado no JEF</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magistrado que ainda possui ações de revisão da vida toda em acervo deve adotar postura objetiva. As ações sobrestadas e pendentes de julgamento devem ser sentenciadas pela improcedência, com fundamento no Tema 1102/STF (embargos de 26/11/2025).</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sentenças em lote, a fundamentação pode ser padronizada. Quanto à sucumbência, a modulação isenta os autores de honorários, custas e perícias quando a ação foi ajuizada antes de 5 de abril de 2024. Para ações posteriores, aplica-se o regime ordinário, com a ressalva de que o beneficiário da gratuidade tem a exigibilidade suspensa (art. 98, §3º, CPC).</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Como sentenciar ações de revisão da vida toda (estado em junho/2026)</w:t>
            </w:r>
          </w:p>
          <w:p>
            <w:pPr>
              <w:spacing w:before="0" w:after="60" w:line="247" w:lineRule="auto"/>
              <w:jc w:val="both"/>
            </w:pPr>
            <w:r>
              <w:rPr>
                <w:rFonts w:ascii="EB Garamond" w:hAnsi="EB Garamond" w:cs="EB Garamond"/>
                <w:b/>
                <w:i w:val="0"/>
                <w:color w:val="201B16"/>
                <w:sz w:val="19"/>
                <w:lang w:val="pt-BR" w:bidi="ar-SA"/>
                <w:kern w:val="16"/>
                <w14:ligatures w14:val="standardContextual"/>
              </w:rPr>
              <w:t>1. Ações ajuizadas antes de 05/04/2024 (ainda pendentes):</w:t>
            </w:r>
            <w:r>
              <w:rPr>
                <w:rFonts w:ascii="EB Garamond" w:hAnsi="EB Garamond" w:cs="EB Garamond"/>
                <w:b w:val="0"/>
                <w:i w:val="0"/>
                <w:color w:val="201B16"/>
                <w:sz w:val="19"/>
                <w:lang w:val="pt-BR" w:bidi="ar-SA"/>
                <w:kern w:val="16"/>
                <w14:ligatures w14:val="standardContextual"/>
              </w:rPr>
              <w:t xml:space="preserve"> - Julgar improcedente com base no Tema 1102/STF (embargos de declaração de 26/11/2025). - Sem condenação em honorários, custas e perícias contábeis (modulação). - Se houver tutela antecipada vigente: revogar, mas declarar a irrepetibilidade dos valores recebidos até 05/04/2024. - Fundamentação sugerida: transcrever a tese vinculante e o fundamento da ADI 2.111 (cogência do art. 3º da Lei 9.876/1999).</w:t>
            </w:r>
          </w:p>
          <w:p>
            <w:pPr>
              <w:spacing w:before="0" w:after="60" w:line="247" w:lineRule="auto"/>
              <w:jc w:val="both"/>
            </w:pPr>
            <w:r>
              <w:rPr>
                <w:rFonts w:ascii="EB Garamond" w:hAnsi="EB Garamond" w:cs="EB Garamond"/>
                <w:b/>
                <w:i w:val="0"/>
                <w:color w:val="201B16"/>
                <w:sz w:val="19"/>
                <w:lang w:val="pt-BR" w:bidi="ar-SA"/>
                <w:kern w:val="16"/>
                <w14:ligatures w14:val="standardContextual"/>
              </w:rPr>
              <w:t>2. Ações ajuizadas após 05/04/2024:</w:t>
            </w:r>
            <w:r>
              <w:rPr>
                <w:rFonts w:ascii="EB Garamond" w:hAnsi="EB Garamond" w:cs="EB Garamond"/>
                <w:b w:val="0"/>
                <w:i w:val="0"/>
                <w:color w:val="201B16"/>
                <w:sz w:val="19"/>
                <w:lang w:val="pt-BR" w:bidi="ar-SA"/>
                <w:kern w:val="16"/>
                <w14:ligatures w14:val="standardContextual"/>
              </w:rPr>
              <w:t xml:space="preserve"> - Julgar improcedente com base no Tema 1102/STF. - Condenação em honorários pelo regime ordinário (art. 85, CPC), observada a gratuidade (art. 98, §3º, CPC). - Não há proteção da modulação.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3. Processos com tutela antecipada e cumprimento provisório:</w:t>
            </w:r>
            <w:r>
              <w:rPr>
                <w:rFonts w:ascii="EB Garamond" w:hAnsi="EB Garamond" w:cs="EB Garamond"/>
                <w:b w:val="0"/>
                <w:i w:val="0"/>
                <w:color w:val="201B16"/>
                <w:sz w:val="19"/>
                <w:lang w:val="pt-BR" w:bidi="ar-SA"/>
                <w:kern w:val="16"/>
                <w14:ligatures w14:val="standardContextual"/>
              </w:rPr>
              <w:t xml:space="preserve"> - Revogar a tutela antecipada. - Valores recebidos pelo segurado até 05/04/2024: irrepetíveis. - Valores recebidos após 05/04/2024: o INSS pode cobrar a restituição (a proposta de ampliar a modulação para alcançá-los foi rejeitada em 15/05/2026). - Recomendação: definido o alcance da modulação com a rejeição dos novos embargos em 15/05/2026, a irrepetibilidade restringe-se aos valores recebidos até 05/04/2024; os posteriores podem ser objeto de cobrança, ressalvada a análise da coisa julgada individual em cada caso.</w:t>
            </w:r>
          </w:p>
          <w:p>
            <w:pPr>
              <w:spacing w:before="0" w:after="60" w:line="247" w:lineRule="auto"/>
              <w:jc w:val="both"/>
            </w:pPr>
            <w:r>
              <w:rPr>
                <w:rFonts w:ascii="EB Garamond" w:hAnsi="EB Garamond" w:cs="EB Garamond"/>
                <w:b/>
                <w:i w:val="0"/>
                <w:color w:val="201B16"/>
                <w:sz w:val="19"/>
                <w:lang w:val="pt-BR" w:bidi="ar-SA"/>
                <w:kern w:val="16"/>
                <w14:ligatures w14:val="standardContextual"/>
              </w:rPr>
              <w:t>4. Modelo sintético de dispositivo:</w:t>
            </w:r>
            <w:r>
              <w:rPr>
                <w:rFonts w:ascii="EB Garamond" w:hAnsi="EB Garamond" w:cs="EB Garamond"/>
                <w:b w:val="0"/>
                <w:i w:val="0"/>
                <w:color w:val="201B16"/>
                <w:sz w:val="19"/>
                <w:lang w:val="pt-BR" w:bidi="ar-SA"/>
                <w:kern w:val="16"/>
                <w14:ligatures w14:val="standardContextual"/>
              </w:rPr>
              <w:t xml:space="preserve"> v. §17.12.3, Modelo 4 (improcedência por reversão da vida toda), infra.</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17.3.5 Lições para o futuro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episódio da vida toda expõe um risco sistêmico na prática dos JEFs: a volatilidade das teses de repercussão geral do STF. Entre dezembro de 2022 e novembro de 2025, milhares de ações foram ajuizadas, instruídas e julgadas com base em precedente que, ao final, foi revertido. Segurados investiram em custas e honorários; advogados estruturaram escritórios em torno da demanda; magistrados dedicaram horas à instrução de processos que foram declarados improcedentes.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lição prática, a nosso ver, é a cautela com o cumprimento provisório em teses ainda não definitivamente consolidadas. A concessão de tutela antecipada fundada em repercussão geral deve considerar o risco de reversão, especialmente quando há embargos de declaração pendentes ou sinais de mudança de composição na Corte.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Outro aprendizado: a interface entre ADI e recurso extraordinário com repercussão geral. O STF manteve, durante mais de um ano (dezembro de 2022 a março de 2024), dois entendimentos potencialmente contraditórios sobre a mesma matéria. A contradição foi resolvida em favor das ADIs, o que sugere que, quando houver ADI pendente sobre matéria objeto de tema repetitivo, o magistrado deve ponderar o risco de que a decisão da ADI repercuta sobre o tema.</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17.4 Revisão do teto — ECs 20/1998 e 41/2003</w:t>
      </w:r>
    </w:p>
    <w:p>
      <w:pPr>
        <w:spacing w:before="260" w:after="80" w:line="240" w:lineRule="auto"/>
        <w:jc w:val="left"/>
      </w:pPr>
      <w:r>
        <w:rPr>
          <w:rFonts w:ascii="EB Garamond" w:hAnsi="EB Garamond" w:cs="EB Garamond"/>
          <w:b/>
          <w:i w:val="0"/>
          <w:color w:val="3A3128"/>
          <w:sz w:val="25"/>
          <w:lang w:val="pt-BR" w:bidi="ar-SA"/>
          <w:kern w:val="16"/>
          <w14:ligatures w14:val="standardContextual"/>
        </w:rPr>
        <w:t>17.4.1 RE 564.354 / Tema 76 — tese e alcance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revisão do teto é uma das teses revisionais de maior longevidade nos JEFs. Para a mecânica de cálculo e exemplos numéricos, v. Seção 16.7.3. Aqui nos concentramos no procedimento, na prova e nas questões processuais.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O STF, no RE 564.354 (Tema 76, Rel. Min. Cármen Lúcia, Plenário, 08/09/2010), reconheceu que os segurados cujo salário de benefício havia sido limitado pelo teto vigente na data da concessão têm direito à readequação quando o teto é elevado por emenda constitucional. As ECs 20/1998 e 41/2003 elevaram o teto do RGPS. Quanto à EC 20/1998, convém distinguir dois valores que não se confundem: (i) o </w:t>
      </w:r>
      <w:r>
        <w:rPr>
          <w:rFonts w:ascii="EB Garamond" w:hAnsi="EB Garamond" w:cs="EB Garamond"/>
          <w:b/>
          <w:i w:val="0"/>
          <w:color w:val="201B16"/>
          <w:sz w:val="21"/>
          <w:lang w:val="pt-BR" w:bidi="ar-SA"/>
          <w:kern w:val="16"/>
          <w14:ligatures w14:val="standardContextual"/>
        </w:rPr>
        <w:t>teto nominal</w:t>
      </w:r>
      <w:r>
        <w:rPr>
          <w:rFonts w:ascii="EB Garamond" w:hAnsi="EB Garamond" w:cs="EB Garamond"/>
          <w:b w:val="0"/>
          <w:i w:val="0"/>
          <w:color w:val="201B16"/>
          <w:sz w:val="21"/>
          <w:lang w:val="pt-BR" w:bidi="ar-SA"/>
          <w:kern w:val="16"/>
          <w14:ligatures w14:val="standardContextual"/>
        </w:rPr>
        <w:t xml:space="preserve"> de R$ 1.200,00, fixado diretamente pelo art. 14 da própria EC — e não por portaria —, com vigência a partir de dezembro de 1998; e (ii) o </w:t>
      </w:r>
      <w:r>
        <w:rPr>
          <w:rFonts w:ascii="EB Garamond" w:hAnsi="EB Garamond" w:cs="EB Garamond"/>
          <w:b/>
          <w:i w:val="0"/>
          <w:color w:val="201B16"/>
          <w:sz w:val="21"/>
          <w:lang w:val="pt-BR" w:bidi="ar-SA"/>
          <w:kern w:val="16"/>
          <w14:ligatures w14:val="standardContextual"/>
        </w:rPr>
        <w:t>teto operante</w:t>
      </w:r>
      <w:r>
        <w:rPr>
          <w:rFonts w:ascii="EB Garamond" w:hAnsi="EB Garamond" w:cs="EB Garamond"/>
          <w:b w:val="0"/>
          <w:i w:val="0"/>
          <w:color w:val="201B16"/>
          <w:sz w:val="21"/>
          <w:lang w:val="pt-BR" w:bidi="ar-SA"/>
          <w:kern w:val="16"/>
          <w14:ligatures w14:val="standardContextual"/>
        </w:rPr>
        <w:t xml:space="preserve"> em junho de 1999, já reajustado pelos mesmos índices aplicados aos benefícios em manutenção, e que, por força desse reajuste, situava-se em patamar superior àquele R$ 1.200,00 nominais. É esse teto reajustado, e não o valor nominal originário, que delimita a readequação a partir de junho de 1999. Já o teto de R$ 2.400,00 foi veiculado pela Portaria Interministerial MPS/MF 19/2004, com efeitos a partir de maio de 2004. A elevação superou o reajuste ordinário dos benefícios, de modo que segurados cujo salário de benefício original (sem limitação) ultrapassava o teto antigo passaram a ter direito a benefício mais elevado. O fundamento: o teto opera como limite externo à RMI; ampliado o limite, o benefício se expande até o novo patamar, respeitado o salário de benefício originalmente apurado.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alcance da tese não se resolve por um corte único, porque houve duas readequações sucessivas do teto, cada qual com seu marco temporal próprio. A primeira decorreu da EC 20/1998, cujo limite nominal (R$ 1.200,00, art. 14 da própria EC) operou a partir de junho de 1999, já com o reajuste ordinário aplicado aos benefícios à época; a segunda, da EC 41/2003, regulamentada pela Portaria Interministerial MPS/MF 19/2004, com efeitos a partir de maio de 2004 (R$ 2.400,00). Em consequência, o universo de benefícios atingidos varia conforme o teto invocado: a readequação pela EC 20/1998 aproveita aos benefícios concedidos antes de junho de 1999 cujo salário de benefício (sem limitação) superava o teto então vigente; a readequação pela EC 41/2003 aproveita aos benefícios concedidos antes de maio de 2004 que, mesmo após o primeiro reposicionamento, permaneciam represados pelo teto. Há, portanto, dois cortes — junho de 1999 e maio de 2004 —, e não um único limite em 2004. Para qualquer desses benefícios, presente a limitação na concessão, o segurado tem direito à readequação ao(s) novo(s) teto(s) na medida do salário de benefício originalmente apurado.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readequação não altera os elementos que compuseram o salário de benefício (salários de contribuição, PBC, coeficiente, fator previdenciário). O que muda é apenas o limite que incide sobre a RMI. Essa distinção tem consequência direta sobre a decadência: como a readequação decorre de fato superveniente, a tese predominante é de que a decadência do art. 103 não se aplica. A prescrição, por sua vez, atinge apenas as parcelas vencidas antes do quinquênio anterior à propositura da ação (Súmula 85/STJ).</w:t>
      </w:r>
    </w:p>
    <w:p>
      <w:pPr>
        <w:spacing w:before="260" w:after="80" w:line="240" w:lineRule="auto"/>
        <w:jc w:val="left"/>
      </w:pPr>
      <w:r>
        <w:rPr>
          <w:rFonts w:ascii="EB Garamond" w:hAnsi="EB Garamond" w:cs="EB Garamond"/>
          <w:b/>
          <w:i w:val="0"/>
          <w:color w:val="3A3128"/>
          <w:sz w:val="25"/>
          <w:lang w:val="pt-BR" w:bidi="ar-SA"/>
          <w:kern w:val="16"/>
          <w14:ligatures w14:val="standardContextual"/>
        </w:rPr>
        <w:t>17.4.2 Procedimento da revisão do teto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instrução depende da demonstração de que o salário de benefício, na data da concessão, era superior ao teto então vigente. O dado consta, em regra, no processo administrativo de concessão original, e pode ser extraído dos seguintes documentos: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A </w:t>
      </w:r>
      <w:r>
        <w:rPr>
          <w:rFonts w:ascii="EB Garamond" w:hAnsi="EB Garamond" w:cs="EB Garamond"/>
          <w:b/>
          <w:i w:val="0"/>
          <w:color w:val="201B16"/>
          <w:sz w:val="21"/>
          <w:lang w:val="pt-BR" w:bidi="ar-SA"/>
          <w:kern w:val="16"/>
          <w14:ligatures w14:val="standardContextual"/>
        </w:rPr>
        <w:t>carta de concessão</w:t>
      </w:r>
      <w:r>
        <w:rPr>
          <w:rFonts w:ascii="EB Garamond" w:hAnsi="EB Garamond" w:cs="EB Garamond"/>
          <w:b w:val="0"/>
          <w:i w:val="0"/>
          <w:color w:val="201B16"/>
          <w:sz w:val="21"/>
          <w:lang w:val="pt-BR" w:bidi="ar-SA"/>
          <w:kern w:val="16"/>
          <w14:ligatures w14:val="standardContextual"/>
        </w:rPr>
        <w:t xml:space="preserve"> informa a RMI e o teto aplicado, mas nem sempre registra o salário de benefício sem limitação. O </w:t>
      </w:r>
      <w:r>
        <w:rPr>
          <w:rFonts w:ascii="EB Garamond" w:hAnsi="EB Garamond" w:cs="EB Garamond"/>
          <w:b/>
          <w:i w:val="0"/>
          <w:color w:val="201B16"/>
          <w:sz w:val="21"/>
          <w:lang w:val="pt-BR" w:bidi="ar-SA"/>
          <w:kern w:val="16"/>
          <w14:ligatures w14:val="standardContextual"/>
        </w:rPr>
        <w:t>CONBAS</w:t>
      </w:r>
      <w:r>
        <w:rPr>
          <w:rFonts w:ascii="EB Garamond" w:hAnsi="EB Garamond" w:cs="EB Garamond"/>
          <w:b w:val="0"/>
          <w:i w:val="0"/>
          <w:color w:val="201B16"/>
          <w:sz w:val="21"/>
          <w:lang w:val="pt-BR" w:bidi="ar-SA"/>
          <w:kern w:val="16"/>
          <w14:ligatures w14:val="standardContextual"/>
        </w:rPr>
        <w:t xml:space="preserve"> é o documento mais relevante: apresenta os salários de contribuição, o salário de benefício apurado e a incidência do teto. O </w:t>
      </w:r>
      <w:r>
        <w:rPr>
          <w:rFonts w:ascii="EB Garamond" w:hAnsi="EB Garamond" w:cs="EB Garamond"/>
          <w:b/>
          <w:i w:val="0"/>
          <w:color w:val="201B16"/>
          <w:sz w:val="21"/>
          <w:lang w:val="pt-BR" w:bidi="ar-SA"/>
          <w:kern w:val="16"/>
          <w14:ligatures w14:val="standardContextual"/>
        </w:rPr>
        <w:t>HISCREWEB</w:t>
      </w:r>
      <w:r>
        <w:rPr>
          <w:rFonts w:ascii="EB Garamond" w:hAnsi="EB Garamond" w:cs="EB Garamond"/>
          <w:b w:val="0"/>
          <w:i w:val="0"/>
          <w:color w:val="201B16"/>
          <w:sz w:val="21"/>
          <w:lang w:val="pt-BR" w:bidi="ar-SA"/>
          <w:kern w:val="16"/>
          <w14:ligatures w14:val="standardContextual"/>
        </w:rPr>
        <w:t xml:space="preserve"> registra os valores pagos mensalmente desde a concessão.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magistrado deve, como primeira providência, determinar ao INSS a juntada do CONBAS e do HISCREWEB (art. 11, Lei 10.259/2001). Com o CONBAS em mãos, o procedimento de verificação segue a sequência: (a) identificar o salário de benefício sem limitação; (b) verificar se era superior ao teto na concessão; (c) aplicar reajustes anuais ao SB sem limitação; (d) verificar em que momento o SB reajustado ultrapassa o novo teto das ECs; (e) calcular as diferenças mensais.</w:t>
      </w:r>
    </w:p>
    <w:p>
      <w:pPr>
        <w:spacing w:before="260" w:after="80" w:line="240" w:lineRule="auto"/>
        <w:jc w:val="left"/>
      </w:pPr>
      <w:r>
        <w:rPr>
          <w:rFonts w:ascii="EB Garamond" w:hAnsi="EB Garamond" w:cs="EB Garamond"/>
          <w:b/>
          <w:i w:val="0"/>
          <w:color w:val="3A3128"/>
          <w:sz w:val="25"/>
          <w:lang w:val="pt-BR" w:bidi="ar-SA"/>
          <w:kern w:val="16"/>
          <w14:ligatures w14:val="standardContextual"/>
        </w:rPr>
        <w:t>17.4.3 Prescrição e atualidade da tese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revisão do teto não se submete à decadência (v. Seção 17.2.3). A prescrição quinquenal das parcelas, contudo, se aplica: o segurado que ajuíza ação em 2026 receberá apenas as diferenças dos últimos cinco anos.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atualidade da tese merece reflexão. Os benefícios atingidos foram concedidos entre 1991 e 2003. Em 2026, completam entre 23 e 35 anos de manutenção. Os segurados, que tinham entre 50 e 65 anos na concessão, hoje têm entre 73 e 100 anos. O volume de novas ações é decrescente, e a tese caminha para a obsolescência prática. Pensionistas de segurados falecidos podem ainda postular a revisão do benefício originário que serviu de base para a pensão, ampliando o universo de potenciais beneficiários.</w:t>
      </w:r>
    </w:p>
    <w:p>
      <w:pPr>
        <w:spacing w:before="260" w:after="80" w:line="240" w:lineRule="auto"/>
        <w:jc w:val="left"/>
      </w:pPr>
      <w:r>
        <w:rPr>
          <w:rFonts w:ascii="EB Garamond" w:hAnsi="EB Garamond" w:cs="EB Garamond"/>
          <w:b/>
          <w:i w:val="0"/>
          <w:color w:val="3A3128"/>
          <w:sz w:val="25"/>
          <w:lang w:val="pt-BR" w:bidi="ar-SA"/>
          <w:kern w:val="16"/>
          <w14:ligatures w14:val="standardContextual"/>
        </w:rPr>
        <w:t>17.4.4 Cálculo de diferenças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P</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ara o cálculo detalhado do impacto financeiro da revisão do teto, v. Capítulo 16, seção 16.7.3. A liquidação segue, no essencial, as sete etapas descritas adiante para a sentença revisional (seção 17.11.2) — recálculo, projeção de reajustes, apuração da diferença mensal, prescrição quinquenal, correção e juros, dedução de pagamentos e verificação do limite de RPV —, com três particularidades próprias do teto que não convém repetir em forma de novo checklist, mas registrar em prosa.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A primeira é o ponto de partida: parte-se do salário de benefício apurado na concessão </w:t>
      </w:r>
      <w:r>
        <w:rPr>
          <w:rFonts w:ascii="EB Garamond" w:hAnsi="EB Garamond" w:cs="EB Garamond"/>
          <w:b w:val="0"/>
          <w:i/>
          <w:color w:val="201B16"/>
          <w:sz w:val="21"/>
          <w:lang w:val="pt-BR" w:bidi="ar-SA"/>
          <w:kern w:val="16"/>
          <w14:ligatures w14:val="standardContextual"/>
        </w:rPr>
        <w:t>sem</w:t>
      </w:r>
      <w:r>
        <w:rPr>
          <w:rFonts w:ascii="EB Garamond" w:hAnsi="EB Garamond" w:cs="EB Garamond"/>
          <w:b w:val="0"/>
          <w:i w:val="0"/>
          <w:color w:val="201B16"/>
          <w:sz w:val="21"/>
          <w:lang w:val="pt-BR" w:bidi="ar-SA"/>
          <w:kern w:val="16"/>
          <w14:ligatures w14:val="standardContextual"/>
        </w:rPr>
        <w:t xml:space="preserve"> a limitação ao teto (fonte: CONBAS), e a revisão só é cabível se esse SB superava o teto então vigente. A segunda diz respeito à mecânica do reposicionamento: a RMI revisada percorre os reajustes anuais (INPC) mês a mês, mas permanece limitada, em cada competência, ao teto vigente — inclusive aos novos tetos das ECs 20/1998 e 41/2003 —, de modo que a diferença só aflora a partir do momento em que o SB reajustado deixa de ser represado pelo teto majorado. A terceira é o regime de correção e juros, idêntico ao das demais condenações: IPCA-E para as condenações judiciais, com juros de mora, até nov/2021 (Tema 810/STF, reservado o INPC ao reajuste do benefício em manutenção); SELIC de dez/2021 a ago/2025; e IPCA + 2% a.a. A partir da EC 136/2025, observada a pendência da ADI 7873 (v. Seção 17.11.3). Apurado o total corrigido, verifica-se o enquadramento no limite de RPV (60 SM = R$ 97.260,00 em 2026; v. A nota da seção 17.1).</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efeito cascata dos reajustes merece atenção especial. A readequação ao teto na data da EC não se limita àquele mês: o benefício readequado passa a receber os reajustes subsequentes sobre a base majorada, produzindo diferenças cumulativas ao longo dos anos.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17.5 Revisão do buraco negro</w:t>
      </w:r>
    </w:p>
    <w:p>
      <w:pPr>
        <w:spacing w:before="260" w:after="80" w:line="240" w:lineRule="auto"/>
        <w:jc w:val="left"/>
      </w:pPr>
      <w:r>
        <w:rPr>
          <w:rFonts w:ascii="EB Garamond" w:hAnsi="EB Garamond" w:cs="EB Garamond"/>
          <w:b/>
          <w:i w:val="0"/>
          <w:color w:val="3A3128"/>
          <w:sz w:val="25"/>
          <w:lang w:val="pt-BR" w:bidi="ar-SA"/>
          <w:kern w:val="16"/>
          <w14:ligatures w14:val="standardContextual"/>
        </w:rPr>
        <w:t>17.5.1 Art. 144, Lei 8.213/91 — conceito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 benefícios do Buraco Negro (outubro/1988 a abril/1991) foram calculados pela Consolidação das Leis da Previdência Social (CLPS, Decreto 89.312/1984) porque a Lei 8.213/91 ainda não vigorava. O art. 144 determinou o recálculo conforme as novas regras, assegurando ao segurado o cálculo mais favorável. A revisão pode abranger o salário de benefício, o coeficiente de cálculo e a inclusão de períodos contributivos que a legislação anterior desconsiderava.</w:t>
      </w:r>
    </w:p>
    <w:p>
      <w:pPr>
        <w:spacing w:before="260" w:after="80" w:line="240" w:lineRule="auto"/>
        <w:jc w:val="left"/>
      </w:pPr>
      <w:r>
        <w:rPr>
          <w:rFonts w:ascii="EB Garamond" w:hAnsi="EB Garamond" w:cs="EB Garamond"/>
          <w:b/>
          <w:i w:val="0"/>
          <w:color w:val="3A3128"/>
          <w:sz w:val="25"/>
          <w:lang w:val="pt-BR" w:bidi="ar-SA"/>
          <w:kern w:val="16"/>
          <w14:ligatures w14:val="standardContextual"/>
        </w:rPr>
        <w:t>17.5.2 Espécies de revisão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 revisões do Buraco Negro comportam três modalidades. A primeira é a revisão do valor do salário de benefício: pela CLPS, o SB era calculado com base nos últimos 36 salários de contribuição; a Lei 8.213/91 ampliou o PBC e alterou a sistemática de correção. A segunda é a revisão do coeficiente: a CLPS estabelecia percentuais diferenciados para a RMI; a Lei 8.213/91 os alterou, e o impacto varia por espécie de benefício. A terceira é a inclusão de períodos contributivos não computados na concessão original (atividade rural, serviço militar), que passaram a ser computáveis pela Lei 8.213/91.</w:t>
      </w:r>
    </w:p>
    <w:p>
      <w:pPr>
        <w:spacing w:before="260" w:after="80" w:line="240" w:lineRule="auto"/>
        <w:jc w:val="left"/>
      </w:pPr>
      <w:r>
        <w:rPr>
          <w:rFonts w:ascii="EB Garamond" w:hAnsi="EB Garamond" w:cs="EB Garamond"/>
          <w:b/>
          <w:i w:val="0"/>
          <w:color w:val="3A3128"/>
          <w:sz w:val="25"/>
          <w:lang w:val="pt-BR" w:bidi="ar-SA"/>
          <w:kern w:val="16"/>
          <w14:ligatures w14:val="standardContextual"/>
        </w:rPr>
        <w:t>17.5.3 Inaplicabilidade da decadência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revisão do Buraco Negro não se submete ao prazo decadencial do art. 103. Dois fundamentos convergem para essa conclusão. O primeiro: o art. 144 veicula direito ao recálculo que constitui o próprio fundo da relação jurídica previdenciária, e não revisão do ato de concessão. O segundo: o caráter de trato sucessivo da relação. A diferença entre o valor pago e o valor devido renova-se a cada prestação mensal. A prescrição atinge apenas as prestações vencidas antes do quinquênio anterior à propositura da ação (Súmula 85/STJ).</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A revisão do Buraco Negro não está sujeita à decadência decenal</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art. 144 da Lei 8.213/91 assegura o direito ao recálculo dos benefícios concedidos entre 05/10/1988 e 05/04/1991. Esse direito: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Constitui o fundo de direito da relação previdenciária, e não mera revisão do ato administrativo de concessão;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(b) Gera relação de trato sucessivo, em que a diferença se renova mensalmente (Súmula 85/STJ);</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(c) Não se enquadra na hipótese do art. 103, caput.</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prescrição quinquenal atinge apenas as parcelas vencidas. O segurado (ou pensionista) pode, a qualquer tempo, postular a revisão do Buraco Negro. Receberá, contudo, apenas as diferenças dos últimos cinco anos.</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17.5.4 Viabilidade atual (junho/2026)</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viabilidade prática é limitada por fator biológico incontornável. Os segurados que se aposentaram entre 1988 e 1991 tinham, em regra, entre 55 e 65 anos. Em 2026, teriam entre 90 e 103 anos. A mortalidade natural reduziu drasticamente o universo de beneficiários.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tese não está inteiramente extinta, contudo. Dois grupos subsistem. O primeiro são os sobreviventes, cada vez mais raros. O segundo — quantitativamente mais relevante — são os pensionistas: cônjuges, companheiros e filhos que recebem pensão por morte derivada de benefício calculado no período do Buraco Negro. Se o benefício de origem foi calculado incorretamente, a pensão dele derivada também está subavaliada.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dos JEFs, essas ações aparecem esporadicamente, quase sempre ajuizadas por pensionistas. O magistrado deve estar preparado para as peculiaridades probatórias: documentos antigos (décadas de 1980 e 1990), processos administrativos extraviados, reconstituição difícil dos salários de contribuição anteriores a 1994.</w:t>
      </w:r>
    </w:p>
    <w:p>
      <w:pPr>
        <w:spacing w:before="260" w:after="80" w:line="240" w:lineRule="auto"/>
        <w:jc w:val="left"/>
      </w:pPr>
      <w:r>
        <w:rPr>
          <w:rFonts w:ascii="EB Garamond" w:hAnsi="EB Garamond" w:cs="EB Garamond"/>
          <w:b/>
          <w:i w:val="0"/>
          <w:color w:val="3A3128"/>
          <w:sz w:val="25"/>
          <w:lang w:val="pt-BR" w:bidi="ar-SA"/>
          <w:kern w:val="16"/>
          <w14:ligatures w14:val="standardContextual"/>
        </w:rPr>
        <w:t>17.5.5 Procedimento e prova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w:t>
      </w:r>
      <w:r>
        <w:rPr>
          <w:rFonts w:ascii="EB Garamond" w:hAnsi="EB Garamond" w:cs="EB Garamond"/>
          <w:b/>
          <w:i w:val="0"/>
          <w:color w:val="201B16"/>
          <w:sz w:val="21"/>
          <w:lang w:val="pt-BR" w:bidi="ar-SA"/>
          <w:kern w:val="16"/>
          <w14:ligatures w14:val="standardContextual"/>
        </w:rPr>
        <w:t>processo administrativo de concessão original</w:t>
      </w:r>
      <w:r>
        <w:rPr>
          <w:rFonts w:ascii="EB Garamond" w:hAnsi="EB Garamond" w:cs="EB Garamond"/>
          <w:b w:val="0"/>
          <w:i w:val="0"/>
          <w:color w:val="201B16"/>
          <w:sz w:val="21"/>
          <w:lang w:val="pt-BR" w:bidi="ar-SA"/>
          <w:kern w:val="16"/>
          <w14:ligatures w14:val="standardContextual"/>
        </w:rPr>
        <w:t xml:space="preserve"> é a peça central: contém a memória de cálculo pela CLPS, os salários de contribuição utilizados, o coeficiente aplicado e a RMI apurada. Sua obtenção pode ser difícil para benefícios com mais de 35 anos. O </w:t>
      </w:r>
      <w:r>
        <w:rPr>
          <w:rFonts w:ascii="EB Garamond" w:hAnsi="EB Garamond" w:cs="EB Garamond"/>
          <w:b/>
          <w:i w:val="0"/>
          <w:color w:val="201B16"/>
          <w:sz w:val="21"/>
          <w:lang w:val="pt-BR" w:bidi="ar-SA"/>
          <w:kern w:val="16"/>
          <w14:ligatures w14:val="standardContextual"/>
        </w:rPr>
        <w:t>CNIS</w:t>
      </w:r>
      <w:r>
        <w:rPr>
          <w:rFonts w:ascii="EB Garamond" w:hAnsi="EB Garamond" w:cs="EB Garamond"/>
          <w:b w:val="0"/>
          <w:i w:val="0"/>
          <w:color w:val="201B16"/>
          <w:sz w:val="21"/>
          <w:lang w:val="pt-BR" w:bidi="ar-SA"/>
          <w:kern w:val="16"/>
          <w14:ligatures w14:val="standardContextual"/>
        </w:rPr>
        <w:t xml:space="preserve"> é útil, mas apresenta limitações para períodos anteriores a 1982. A </w:t>
      </w:r>
      <w:r>
        <w:rPr>
          <w:rFonts w:ascii="EB Garamond" w:hAnsi="EB Garamond" w:cs="EB Garamond"/>
          <w:b/>
          <w:i w:val="0"/>
          <w:color w:val="201B16"/>
          <w:sz w:val="21"/>
          <w:lang w:val="pt-BR" w:bidi="ar-SA"/>
          <w:kern w:val="16"/>
          <w14:ligatures w14:val="standardContextual"/>
        </w:rPr>
        <w:t>carta de concessão</w:t>
      </w:r>
      <w:r>
        <w:rPr>
          <w:rFonts w:ascii="EB Garamond" w:hAnsi="EB Garamond" w:cs="EB Garamond"/>
          <w:b w:val="0"/>
          <w:i w:val="0"/>
          <w:color w:val="201B16"/>
          <w:sz w:val="21"/>
          <w:lang w:val="pt-BR" w:bidi="ar-SA"/>
          <w:kern w:val="16"/>
          <w14:ligatures w14:val="standardContextual"/>
        </w:rPr>
        <w:t xml:space="preserve"> informa a RMI e a DIB.</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5F3EF" w:val="clear"/>
            <w:tcBorders>
              <w:top w:val="single" w:sz="7" w:space="0" w:color="A09882"/>
              <w:bottom w:val="single" w:sz="7" w:space="0" w:color="A09882"/>
              <w:right w:val="single" w:sz="7" w:space="0" w:color="A09882"/>
              <w:left w:val="single" w:sz="24" w:space="0" w:color="6B6256"/>
            </w:tcBorders>
          </w:tcPr>
          <w:p>
            <w:pPr>
              <w:spacing w:before="0" w:after="60" w:line="240" w:lineRule="auto"/>
              <w:jc w:val="left"/>
            </w:pPr>
            <w:r>
              <w:rPr>
                <w:rFonts w:ascii="Noto Sans" w:hAnsi="Noto Sans" w:cs="Noto Sans"/>
                <w:b/>
                <w:i w:val="0"/>
                <w:caps/>
                <w:color w:val="6B6256"/>
                <w:sz w:val="16"/>
                <w:lang w:val="pt-BR" w:bidi="ar-SA"/>
                <w:kern w:val="16"/>
                <w14:ligatures w14:val="standardContextual"/>
              </w:rPr>
              <w:t>QUADRO</w:t>
            </w:r>
          </w:p>
          <w:p>
            <w:pPr>
              <w:spacing w:before="0" w:after="60" w:line="247" w:lineRule="auto"/>
              <w:jc w:val="both"/>
            </w:pPr>
            <w:r>
              <w:rPr>
                <w:rFonts w:ascii="EB Garamond" w:hAnsi="EB Garamond" w:cs="EB Garamond"/>
                <w:b/>
                <w:i w:val="0"/>
                <w:color w:val="201B16"/>
                <w:sz w:val="19"/>
                <w:lang w:val="pt-BR" w:bidi="ar-SA"/>
                <w:kern w:val="16"/>
                <w14:ligatures w14:val="standardContextual"/>
              </w:rPr>
              <w:t>Comparativo: cálculo pela CLPS × cálculo pela Lei 8.213/91</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Elemento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CLPS (Decreto 89.312/1984)</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Lei 8.213/91</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Período básico de cálculo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Últimos 36 salários de contribuição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Maiores SC correspondentes a 80% do período contributivo (regra original, antes da EC 103)</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Correção dos SC</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ORTN/OTN/BTN (índices da época)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INPC (art. 29, §3º)</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Coeficiente de cálculo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Variável por espécie; aposentadoria por tempo de serviço integral (homem): 80% + 3% por ano excedente a 30 anos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Variável por espécie; aposentadoria por tempo de serviço integral (homem): 70% aos 30 anos + 6% por ano excedente, até 100% (art. 53, II, redação original)</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Teto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Menor dos tetos regulamentares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Teto do RGPS (único)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Piso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90% do SM (aposentadorias)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SM integral (art. 201, §2º, CF)</w:t>
                  </w:r>
                </w:p>
              </w:tc>
            </w:tr>
          </w:tbl>
          <w:p/>
          <w:p>
            <w:pPr>
              <w:spacing w:before="0" w:after="0" w:line="240" w:lineRule="auto"/>
            </w:pP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magistrado deve estar disposto a determinar diligências complementares ao INSS (requisição do processo de concessão, microfichas, consulta a bases históricas) e a aceitar reconstituição por meios indiretos quando a documentação original não puder ser recuperada. A perícia contábil, embora rara nos JEFs, pode ser necessária em casos de maior complexidade.</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17.6 Revisão do art. 29, II — divisor mínimo</w:t>
      </w:r>
    </w:p>
    <w:p>
      <w:pPr>
        <w:spacing w:before="260" w:after="80" w:line="240" w:lineRule="auto"/>
        <w:jc w:val="left"/>
      </w:pPr>
      <w:r>
        <w:rPr>
          <w:rFonts w:ascii="EB Garamond" w:hAnsi="EB Garamond" w:cs="EB Garamond"/>
          <w:b/>
          <w:i w:val="0"/>
          <w:color w:val="3A3128"/>
          <w:sz w:val="25"/>
          <w:lang w:val="pt-BR" w:bidi="ar-SA"/>
          <w:kern w:val="16"/>
          <w14:ligatures w14:val="standardContextual"/>
        </w:rPr>
        <w:t>17.6.1 A controvérsia do divisor mínimo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revisão do art. 29, II, da Lei 8.213/91 versa sobre a correta aplicação do divisor na apuração da média aritmética dos salários de contribuição. Para a análise da mecânica do PBC e do divisor mínimo, v. Seção 16.3. Aqui tratamos do procedimento revisional.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controvérsia surgiu com a redação dada pela Lei 9.876/1999 ao art. 29, II. O art. 3º, §2º, da Lei 9.876/1999 previu, para a regra de transição, um divisor mínimo correspondente a 60% do período decorrido entre julho de 1994 e a DIB. Na prática, o INSS aplicava o divisor mínimo tanto à regra de transição quanto à regra definitiva, o que poderia prejudicar segurados com períodos contributivos irregulares. A discussão girava em torno da extensão indevida de uma regra criada especificamente para a transição.</w:t>
      </w:r>
    </w:p>
    <w:p>
      <w:pPr>
        <w:spacing w:before="260" w:after="80" w:line="240" w:lineRule="auto"/>
        <w:jc w:val="left"/>
      </w:pPr>
      <w:r>
        <w:rPr>
          <w:rFonts w:ascii="EB Garamond" w:hAnsi="EB Garamond" w:cs="EB Garamond"/>
          <w:b/>
          <w:i w:val="0"/>
          <w:color w:val="3A3128"/>
          <w:sz w:val="25"/>
          <w:lang w:val="pt-BR" w:bidi="ar-SA"/>
          <w:kern w:val="16"/>
          <w14:ligatures w14:val="standardContextual"/>
        </w:rPr>
        <w:t>17.6.2 Memorando-Circular Conjunto n. 21/DIRBEN/PFE/INSS e ACP IEPREV</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reconhecimento administrativo veio por meio do Memorando-Circular Conjunto n. 21/DIRBEN/PFE/INSS, de 15/04/2010. O INSS admitiu que havia aplicado o divisor mínimo de forma indevida a benefícios calculados pela regra definitiva do art. 29, II, comprometendo-se à revisão administrativa.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escopo abrangia, em princípio, os benefícios por incapacidade concedidos entre 29/11/1999 e aproximadamente 2009. A ACP movida pelo IEPREV (processo 0002320-59.2012.4.03.6183/SP, ajuizada perante a Justiça Federal em São Paulo) buscou ampliar o alcance da revisão para além desse universo, postulando eficácia nacional da tutela coletiva.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alcance subjetivo e territorial da coisa julgada nessa ACP, contudo, não é dado pacífico e o magistrado deve manejá-lo com cautela. A redação do art. 16 da Lei 7.347/85 limita a eficácia da coisa julgada coletiva aos limites da competência territorial do órgão prolator — restrição cuja constitucionalidade e cujo alcance foram longamente debatidos no STF e no STJ, com oscilações sobre a possibilidade de eficácia erga omnes nacional. Por isso, ao invocar-se a ACP do IEPREV como fundamento de mérito ou de afastamento do interesse de agir, convém aferir, no caso concreto, o teor do dispositivo e o estágio (eventual trânsito em julgado) da decisão coletiva, em vez de pressupor extensão nacional automática.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dos JEFs, a existência da revisão administrativa — e, conforme o caso, da tutela coletiva — gera questão sobre o interesse de agir individual. A jurisprudência tem admitido o interesse quando o INSS não procedeu à revisão em prazo razoável, ou quando não demonstrada a abrangência do segurado pela coisa julgada coletiva.</w:t>
      </w:r>
    </w:p>
    <w:p>
      <w:pPr>
        <w:spacing w:before="260" w:after="80" w:line="240" w:lineRule="auto"/>
        <w:jc w:val="left"/>
      </w:pPr>
      <w:r>
        <w:rPr>
          <w:rFonts w:ascii="EB Garamond" w:hAnsi="EB Garamond" w:cs="EB Garamond"/>
          <w:b/>
          <w:i w:val="0"/>
          <w:color w:val="3A3128"/>
          <w:sz w:val="25"/>
          <w:lang w:val="pt-BR" w:bidi="ar-SA"/>
          <w:kern w:val="16"/>
          <w14:ligatures w14:val="standardContextual"/>
        </w:rPr>
        <w:t>17.6.3 Lei 14.331/2022 — art. 135-A, divisor mínimo de 108</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Lei 14.331, de 4 de maio de 2022 (vigência em 05/05/2022), inseriu o art. 135-A na Lei 8.213/91, estabelecendo divisor mínimo de 108 contribuições. A norma encerrou a possibilidade do chamado "milagre da contribuição única." A lei ressalvou três hipóteses: aposentadoria por incapacidade permanente, aposentadoria da pessoa com deficiência e segurado especial.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Lei 14.331/2022 — Divisor mínimo de 108 contribuições</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partir de 05/05/2022, o cálculo do salário de benefício observa divisor mínimo de 108 contribuições (art. 135-A, Lei 8.213/91).</w:t>
            </w:r>
          </w:p>
          <w:p>
            <w:pPr>
              <w:spacing w:before="0" w:after="60" w:line="247" w:lineRule="auto"/>
              <w:jc w:val="both"/>
            </w:pPr>
            <w:r>
              <w:rPr>
                <w:rFonts w:ascii="EB Garamond" w:hAnsi="EB Garamond" w:cs="EB Garamond"/>
                <w:b/>
                <w:i w:val="0"/>
                <w:color w:val="201B16"/>
                <w:sz w:val="19"/>
                <w:lang w:val="pt-BR" w:bidi="ar-SA"/>
                <w:kern w:val="16"/>
                <w14:ligatures w14:val="standardContextual"/>
              </w:rPr>
              <w:t>Exceções:</w:t>
            </w:r>
            <w:r>
              <w:rPr>
                <w:rFonts w:ascii="EB Garamond" w:hAnsi="EB Garamond" w:cs="EB Garamond"/>
                <w:b w:val="0"/>
                <w:i w:val="0"/>
                <w:color w:val="201B16"/>
                <w:sz w:val="19"/>
                <w:lang w:val="pt-BR" w:bidi="ar-SA"/>
                <w:kern w:val="16"/>
                <w14:ligatures w14:val="standardContextual"/>
              </w:rPr>
              <w:t xml:space="preserve"> Aposentadoria por incapacidade permanente, aposentadoria da pessoa com deficiência e segurado especial.</w:t>
            </w:r>
          </w:p>
          <w:p>
            <w:pPr>
              <w:spacing w:before="0" w:after="60" w:line="247" w:lineRule="auto"/>
              <w:jc w:val="both"/>
            </w:pPr>
            <w:r>
              <w:rPr>
                <w:rFonts w:ascii="EB Garamond" w:hAnsi="EB Garamond" w:cs="EB Garamond"/>
                <w:b/>
                <w:i w:val="0"/>
                <w:color w:val="201B16"/>
                <w:sz w:val="19"/>
                <w:lang w:val="pt-BR" w:bidi="ar-SA"/>
                <w:kern w:val="16"/>
                <w14:ligatures w14:val="standardContextual"/>
              </w:rPr>
              <w:t>Impacto na revisão:</w:t>
            </w:r>
            <w:r>
              <w:rPr>
                <w:rFonts w:ascii="EB Garamond" w:hAnsi="EB Garamond" w:cs="EB Garamond"/>
                <w:b w:val="0"/>
                <w:i w:val="0"/>
                <w:color w:val="201B16"/>
                <w:sz w:val="19"/>
                <w:lang w:val="pt-BR" w:bidi="ar-SA"/>
                <w:kern w:val="16"/>
                <w14:ligatures w14:val="standardContextual"/>
              </w:rPr>
              <w:t xml:space="preserve"> A Lei 14.331/2022 não se aplica a benefícios concedidos antes de 05/05/2022. A revisão do art. 29, II, permanece regida pelas regras anteriores para esses benefícios.</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17.6.4 Escopo atual e prática no JEF</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universo de benefícios elegíveis abrange os concedidos entre 29/11/1999 e aproximadamente 2009. Em junho de 2026, a maioria já ultrapassou o prazo decadencial. E, na linha do Tema 975/STJ, o prazo decenal incide ainda que o INSS não tenha apreciado a questão do divisor no ato de concessão: a falta de apreciação administrativa não suspende a decadência, de modo que o transcurso do decênio, a partir da DIB, inviabiliza a revisão.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Como identificar se um benefício é elegível para a revisão do art. 29, II</w:t>
            </w:r>
          </w:p>
          <w:p>
            <w:pPr>
              <w:spacing w:before="0" w:after="60" w:line="247" w:lineRule="auto"/>
              <w:jc w:val="both"/>
            </w:pPr>
            <w:r>
              <w:rPr>
                <w:rFonts w:ascii="EB Garamond" w:hAnsi="EB Garamond" w:cs="EB Garamond"/>
                <w:b/>
                <w:i w:val="0"/>
                <w:color w:val="201B16"/>
                <w:sz w:val="19"/>
                <w:lang w:val="pt-BR" w:bidi="ar-SA"/>
                <w:kern w:val="16"/>
                <w14:ligatures w14:val="standardContextual"/>
              </w:rPr>
              <w:t>Passo 1:</w:t>
            </w:r>
            <w:r>
              <w:rPr>
                <w:rFonts w:ascii="EB Garamond" w:hAnsi="EB Garamond" w:cs="EB Garamond"/>
                <w:b w:val="0"/>
                <w:i w:val="0"/>
                <w:color w:val="201B16"/>
                <w:sz w:val="19"/>
                <w:lang w:val="pt-BR" w:bidi="ar-SA"/>
                <w:kern w:val="16"/>
                <w14:ligatures w14:val="standardContextual"/>
              </w:rPr>
              <w:t xml:space="preserve"> Verificar a DIB. Se posterior a 2009, o benefício provavelmente já foi calculado com o divisor correto. Se anterior a 29/11/1999, a Lei 9.876/1999 não se aplica.</w:t>
            </w:r>
          </w:p>
          <w:p>
            <w:pPr>
              <w:spacing w:before="0" w:after="60" w:line="247" w:lineRule="auto"/>
              <w:jc w:val="both"/>
            </w:pPr>
            <w:r>
              <w:rPr>
                <w:rFonts w:ascii="EB Garamond" w:hAnsi="EB Garamond" w:cs="EB Garamond"/>
                <w:b/>
                <w:i w:val="0"/>
                <w:color w:val="201B16"/>
                <w:sz w:val="19"/>
                <w:lang w:val="pt-BR" w:bidi="ar-SA"/>
                <w:kern w:val="16"/>
                <w14:ligatures w14:val="standardContextual"/>
              </w:rPr>
              <w:t>Passo 2:</w:t>
            </w:r>
            <w:r>
              <w:rPr>
                <w:rFonts w:ascii="EB Garamond" w:hAnsi="EB Garamond" w:cs="EB Garamond"/>
                <w:b w:val="0"/>
                <w:i w:val="0"/>
                <w:color w:val="201B16"/>
                <w:sz w:val="19"/>
                <w:lang w:val="pt-BR" w:bidi="ar-SA"/>
                <w:kern w:val="16"/>
                <w14:ligatures w14:val="standardContextual"/>
              </w:rPr>
              <w:t xml:space="preserve"> Verificar a espécie. A revisão é mais frequente em benefícios por incapacidade, concedidos a segurados com poucos meses de contribuição no PBC.</w:t>
            </w:r>
          </w:p>
          <w:p>
            <w:pPr>
              <w:spacing w:before="0" w:after="60" w:line="247" w:lineRule="auto"/>
              <w:jc w:val="both"/>
            </w:pPr>
            <w:r>
              <w:rPr>
                <w:rFonts w:ascii="EB Garamond" w:hAnsi="EB Garamond" w:cs="EB Garamond"/>
                <w:b/>
                <w:i w:val="0"/>
                <w:color w:val="201B16"/>
                <w:sz w:val="19"/>
                <w:lang w:val="pt-BR" w:bidi="ar-SA"/>
                <w:kern w:val="16"/>
                <w14:ligatures w14:val="standardContextual"/>
              </w:rPr>
              <w:t>Passo 3:</w:t>
            </w:r>
            <w:r>
              <w:rPr>
                <w:rFonts w:ascii="EB Garamond" w:hAnsi="EB Garamond" w:cs="EB Garamond"/>
                <w:b w:val="0"/>
                <w:i w:val="0"/>
                <w:color w:val="201B16"/>
                <w:sz w:val="19"/>
                <w:lang w:val="pt-BR" w:bidi="ar-SA"/>
                <w:kern w:val="16"/>
                <w14:ligatures w14:val="standardContextual"/>
              </w:rPr>
              <w:t xml:space="preserve"> Obter o CONBAS e identificar o divisor utilizado. Comparar com o divisor correto.</w:t>
            </w:r>
          </w:p>
          <w:p>
            <w:pPr>
              <w:spacing w:before="0" w:after="60" w:line="247" w:lineRule="auto"/>
              <w:jc w:val="both"/>
            </w:pPr>
            <w:r>
              <w:rPr>
                <w:rFonts w:ascii="EB Garamond" w:hAnsi="EB Garamond" w:cs="EB Garamond"/>
                <w:b/>
                <w:i w:val="0"/>
                <w:color w:val="201B16"/>
                <w:sz w:val="19"/>
                <w:lang w:val="pt-BR" w:bidi="ar-SA"/>
                <w:kern w:val="16"/>
                <w14:ligatures w14:val="standardContextual"/>
              </w:rPr>
              <w:t>Passo 4:</w:t>
            </w:r>
            <w:r>
              <w:rPr>
                <w:rFonts w:ascii="EB Garamond" w:hAnsi="EB Garamond" w:cs="EB Garamond"/>
                <w:b w:val="0"/>
                <w:i w:val="0"/>
                <w:color w:val="201B16"/>
                <w:sz w:val="19"/>
                <w:lang w:val="pt-BR" w:bidi="ar-SA"/>
                <w:kern w:val="16"/>
                <w14:ligatures w14:val="standardContextual"/>
              </w:rPr>
              <w:t xml:space="preserve"> Verificar a decadência. Se a DIB é anterior a mais de 10 anos, a revisão está, em regra, decaída — e, à luz do Tema 975/STJ, a decadência incide mesmo que o INSS não tenha apreciado a questão do divisor no ato de concessão.</w:t>
            </w:r>
          </w:p>
          <w:p>
            <w:pPr>
              <w:spacing w:before="0" w:after="60" w:line="247" w:lineRule="auto"/>
              <w:jc w:val="both"/>
            </w:pPr>
            <w:r>
              <w:rPr>
                <w:rFonts w:ascii="EB Garamond" w:hAnsi="EB Garamond" w:cs="EB Garamond"/>
                <w:b/>
                <w:i w:val="0"/>
                <w:color w:val="201B16"/>
                <w:sz w:val="19"/>
                <w:lang w:val="pt-BR" w:bidi="ar-SA"/>
                <w:kern w:val="16"/>
                <w14:ligatures w14:val="standardContextual"/>
              </w:rPr>
              <w:t>Passo 5:</w:t>
            </w:r>
            <w:r>
              <w:rPr>
                <w:rFonts w:ascii="EB Garamond" w:hAnsi="EB Garamond" w:cs="EB Garamond"/>
                <w:b w:val="0"/>
                <w:i w:val="0"/>
                <w:color w:val="201B16"/>
                <w:sz w:val="19"/>
                <w:lang w:val="pt-BR" w:bidi="ar-SA"/>
                <w:kern w:val="16"/>
                <w14:ligatures w14:val="standardContextual"/>
              </w:rPr>
              <w:t xml:space="preserve"> Verificar se o benefício já foi revisado administrativamente (Memorando-Circular Conjunto n. 21/DIRBEN/PFE/INSS ou ACP IEPREV). Se já foi, não há interesse de agir (salvo revisão administrativa insuficiente).</w:t>
            </w:r>
          </w:p>
          <w:p>
            <w:pPr>
              <w:spacing w:before="0" w:after="60" w:line="247" w:lineRule="auto"/>
              <w:jc w:val="both"/>
            </w:pPr>
            <w:r>
              <w:rPr>
                <w:rFonts w:ascii="EB Garamond" w:hAnsi="EB Garamond" w:cs="EB Garamond"/>
                <w:b/>
                <w:i w:val="0"/>
                <w:color w:val="201B16"/>
                <w:sz w:val="19"/>
                <w:lang w:val="pt-BR" w:bidi="ar-SA"/>
                <w:kern w:val="16"/>
                <w14:ligatures w14:val="standardContextual"/>
              </w:rPr>
              <w:t>Passo 6:</w:t>
            </w:r>
            <w:r>
              <w:rPr>
                <w:rFonts w:ascii="EB Garamond" w:hAnsi="EB Garamond" w:cs="EB Garamond"/>
                <w:b w:val="0"/>
                <w:i w:val="0"/>
                <w:color w:val="201B16"/>
                <w:sz w:val="19"/>
                <w:lang w:val="pt-BR" w:bidi="ar-SA"/>
                <w:kern w:val="16"/>
                <w14:ligatures w14:val="standardContextual"/>
              </w:rPr>
              <w:t xml:space="preserve"> Calcular a diferença. Apurar o SB com o divisor correto e comparar com o efetivamente utilizado.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17.7 Revisão da melhor DIB e reafirmação da DER</w:t>
      </w:r>
    </w:p>
    <w:p>
      <w:pPr>
        <w:spacing w:before="260" w:after="80" w:line="240" w:lineRule="auto"/>
        <w:jc w:val="left"/>
      </w:pPr>
      <w:r>
        <w:rPr>
          <w:rFonts w:ascii="EB Garamond" w:hAnsi="EB Garamond" w:cs="EB Garamond"/>
          <w:b/>
          <w:i w:val="0"/>
          <w:color w:val="3A3128"/>
          <w:sz w:val="25"/>
          <w:lang w:val="pt-BR" w:bidi="ar-SA"/>
          <w:kern w:val="16"/>
          <w14:ligatures w14:val="standardContextual"/>
        </w:rPr>
        <w:t>17.7.1 Direito ao benefício mais vantajoso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segurado que preenche requisitos para mais de uma regra de aposentadoria tem direito ao benefício mais vantajoso — princípio positivado pelo art. 26, §2º, da EC 103/2019. Para a análise substantiva, v. Seção 10.12.</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dimensão revisional surge quando o INSS concede o benefício por regra que não é a mais vantajosa. Na nossa experiência, o sistema informatizado do INSS calcula o benefício pela regra que primeiro identifica como satisfeita, sem necessariamente comparar todas as regras aplicáveis. Essa revisão submete-se ao prazo decadencial de dez anos (Tema 966/STJ).</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Convém precisar a relação entre os dois fundamentos, porque eles operam em planos temporais distintos. O art. 26, §2º, da EC 103/2019 é norma positivada que assegura, na sistemática pós-reforma, a aplicação da regra mais vantajosa entre as cabíveis. O Tema 966/STJ, por sua vez, é precedente anterior à EC 103, firmado sob a sistemática de cálculo pré-reforma, e cuida especificamente da incidência da decadência sobre a pretensão de obter o benefício mais vantajoso (direito adquirido). O Tema 966 não interpreta a EC 103: o que dele se extrai, e se reaproveita aqui, é a tese de que o prazo decadencial de dez anos alcança a pretensão de revisar a escolha da regra de cálculo, conclusão que permanece útil sob qualquer das sistemáticas.</w:t>
      </w:r>
    </w:p>
    <w:p>
      <w:pPr>
        <w:spacing w:before="260" w:after="80" w:line="240" w:lineRule="auto"/>
        <w:jc w:val="left"/>
      </w:pPr>
      <w:r>
        <w:rPr>
          <w:rFonts w:ascii="EB Garamond" w:hAnsi="EB Garamond" w:cs="EB Garamond"/>
          <w:b/>
          <w:i w:val="0"/>
          <w:color w:val="3A3128"/>
          <w:sz w:val="25"/>
          <w:lang w:val="pt-BR" w:bidi="ar-SA"/>
          <w:kern w:val="16"/>
          <w14:ligatures w14:val="standardContextual"/>
        </w:rPr>
        <w:t>17.7.2 Reafirmação da DER — Tema 995/STJ: dimensão processual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reafirmação da DER permite ao magistrado considerar fatos supervenientes ao requerimento administrativo para fins de concessão (v. Cap. 10, seção 10.8.2 para a tese substantiva). A tese vinculante do Tema 995/STJ (REsp 1.727.063/SP e REsp 1.727.064/SP, 1ª Seção, Rel. Min. Mauro Campbell Marques, julgado em 23/10/2019, DJe 02/12/2019) admite a reafirmação para o momento em que implementados os requisitos, inclusive entre o ajuizamento e a decisão.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do JEF, a reafirmação é invocada em duas situações. Na primeira, o segurado ajuíza ação antes de preencher todos os requisitos e, durante o processo, completa idade ou carência. Na segunda, durante a instrução, verifica-se que os requisitos somente foram preenchidos em data posterior ao requerimento. O juiz, aplicando o Tema 995 e o art. 493 do CPC (fatos supervenientes), reafirma a DER.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procedimento exige que o advogado: (a) peticione nos autos, identificando a data de implementação; (b) junte CNIS atualizado; (c) requeira expressamente a reafirmação, com indicação da nova DIB.</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Os efeitos financeiros da reafirmação são objeto de controvérsia. A posição majoritária nos JEFs e na TNU: os efeitos retroagem à data da reafirmação (data de implementação), e não ao requerimento administrativo original. Savaris (2023, p. 328) sustenta a retroação ao requerimento, pois o segurado demonstrou a intenção de obter o benefício desde aquele momento. Entendemos que a posição majoritária, embora pragmática, penaliza o segurado que teve a diligência de formular requerimento tempestivo.</w:t>
      </w:r>
    </w:p>
    <w:p>
      <w:pPr>
        <w:spacing w:before="260" w:after="80" w:line="240" w:lineRule="auto"/>
        <w:jc w:val="left"/>
      </w:pPr>
      <w:r>
        <w:rPr>
          <w:rFonts w:ascii="EB Garamond" w:hAnsi="EB Garamond" w:cs="EB Garamond"/>
          <w:b/>
          <w:i w:val="0"/>
          <w:color w:val="3A3128"/>
          <w:sz w:val="25"/>
          <w:lang w:val="pt-BR" w:bidi="ar-SA"/>
          <w:kern w:val="16"/>
          <w14:ligatures w14:val="standardContextual"/>
        </w:rPr>
        <w:t>17.7.3 Questões processuais nos JEFs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primeira questão: pode o magistrado reafirmar a DER de ofício? A tendência é admitir a reafirmação quando o CNIS evidencie, de forma clara, que os requisitos foram implementados em data posterior ao requerimento (art. 493, CPC). Recomendamos, porém, que o magistrado intime o autor para manifestação e o INSS para contraditório (art. 10, CPC).</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segunda: a possibilidade de pedido subsidiário. O advogado pode formular pedido de concessão na DER original e, subsidiariamente, com DER reafirmada. Essa formulação é recomendável e evita nova ação caso a pretensão principal seja improcedente.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terceira: tutela provisória. O caráter alimentar do benefício e a demora do processo nos JEFs justificam a antecipação, especialmente para segurados idosos ou em vulnerabilidade.</w:t>
      </w:r>
    </w:p>
    <w:p>
      <w:pPr>
        <w:spacing w:before="260" w:after="80" w:line="240" w:lineRule="auto"/>
        <w:jc w:val="left"/>
      </w:pPr>
      <w:r>
        <w:rPr>
          <w:rFonts w:ascii="EB Garamond" w:hAnsi="EB Garamond" w:cs="EB Garamond"/>
          <w:b/>
          <w:i w:val="0"/>
          <w:color w:val="3A3128"/>
          <w:sz w:val="25"/>
          <w:lang w:val="pt-BR" w:bidi="ar-SA"/>
          <w:kern w:val="16"/>
          <w14:ligatures w14:val="standardContextual"/>
        </w:rPr>
        <w:t>17.7.4 Melhor DIB — revisão para retroação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S</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ituação diversa da reafirmação é a revisão da DIB para retroação: o segurado já obteve o benefício, mas sustenta que preenchia os requisitos em data anterior à DIB fixada pelo INSS. O prazo decadencial de dez anos se aplica, contado da concessão efetiva.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Fluxo decisório do magistrado: reafirmação da DER e melhor DIB no JEF</w:t>
            </w:r>
          </w:p>
          <w:p>
            <w:pPr>
              <w:spacing w:before="0" w:after="60" w:line="247" w:lineRule="auto"/>
              <w:jc w:val="both"/>
            </w:pPr>
            <w:r>
              <w:rPr>
                <w:rFonts w:ascii="EB Garamond" w:hAnsi="EB Garamond" w:cs="EB Garamond"/>
                <w:b/>
                <w:i w:val="0"/>
                <w:color w:val="201B16"/>
                <w:sz w:val="19"/>
                <w:lang w:val="pt-BR" w:bidi="ar-SA"/>
                <w:kern w:val="16"/>
                <w14:ligatures w14:val="standardContextual"/>
              </w:rPr>
              <w:t>Reafirmação da DER (deslocamento para frente):</w:t>
            </w:r>
            <w:r>
              <w:rPr>
                <w:rFonts w:ascii="EB Garamond" w:hAnsi="EB Garamond" w:cs="EB Garamond"/>
                <w:b w:val="0"/>
                <w:i w:val="0"/>
                <w:color w:val="201B16"/>
                <w:sz w:val="19"/>
                <w:lang w:val="pt-BR" w:bidi="ar-SA"/>
                <w:kern w:val="16"/>
                <w14:ligatures w14:val="standardContextual"/>
              </w:rPr>
              <w:t xml:space="preserve"> 1. Verificar se os requisitos estavam preenchidos na DER original. Se sim, conceder com DIB na DER. 2. Se os requisitos não estavam preenchidos na DER, verificar no CNIS se foram implementados entre o ajuizamento e a sentença. 3. Havendo pedido expresso de reafirmação (ou possibilidade de aplicação do art. 493, CPC), intimar o autor e o INSS para contraditório. 4. Reafirmar a DER para a data em que o último requisito foi implementado. Fixar DIB nessa data. 5. Efeitos financeiros: a partir da DIB reafirmada. Sem retroação ao requerimento administrativo (posição majoritária).</w:t>
            </w:r>
          </w:p>
          <w:p>
            <w:pPr>
              <w:spacing w:before="0" w:after="60" w:line="247" w:lineRule="auto"/>
              <w:jc w:val="both"/>
            </w:pPr>
            <w:r>
              <w:rPr>
                <w:rFonts w:ascii="EB Garamond" w:hAnsi="EB Garamond" w:cs="EB Garamond"/>
                <w:b/>
                <w:i w:val="0"/>
                <w:color w:val="201B16"/>
                <w:sz w:val="19"/>
                <w:lang w:val="pt-BR" w:bidi="ar-SA"/>
                <w:kern w:val="16"/>
                <w14:ligatures w14:val="standardContextual"/>
              </w:rPr>
              <w:t>Revisão da melhor DIB (deslocamento para trás):</w:t>
            </w:r>
            <w:r>
              <w:rPr>
                <w:rFonts w:ascii="EB Garamond" w:hAnsi="EB Garamond" w:cs="EB Garamond"/>
                <w:b w:val="0"/>
                <w:i w:val="0"/>
                <w:color w:val="201B16"/>
                <w:sz w:val="19"/>
                <w:lang w:val="pt-BR" w:bidi="ar-SA"/>
                <w:kern w:val="16"/>
                <w14:ligatures w14:val="standardContextual"/>
              </w:rPr>
              <w:t xml:space="preserve"> 1. Verificar se o segurado demonstra que os requisitos estavam preenchidos em data anterior à DIB fixada pelo INSS. 2. Analisar a decadência: 10 anos contados da DIB efetiva. 3. Se cabível, fixar nova DIB na data mais remota em que os requisitos estavam preenchidos. 4. Condenar o INSS ao pagamento das diferenças, observada a prescrição quinquenal.</w:t>
            </w:r>
          </w:p>
          <w:p>
            <w:pPr>
              <w:spacing w:before="0" w:after="60" w:line="247" w:lineRule="auto"/>
              <w:jc w:val="both"/>
            </w:pPr>
            <w:r>
              <w:rPr>
                <w:rFonts w:ascii="EB Garamond" w:hAnsi="EB Garamond" w:cs="EB Garamond"/>
                <w:b/>
                <w:i w:val="0"/>
                <w:color w:val="201B16"/>
                <w:sz w:val="19"/>
                <w:lang w:val="pt-BR" w:bidi="ar-SA"/>
                <w:kern w:val="16"/>
                <w14:ligatures w14:val="standardContextual"/>
              </w:rPr>
              <w:t>Pedido subsidiário (recomendável):</w:t>
            </w:r>
            <w:r>
              <w:rPr>
                <w:rFonts w:ascii="EB Garamond" w:hAnsi="EB Garamond" w:cs="EB Garamond"/>
                <w:b w:val="0"/>
                <w:i w:val="0"/>
                <w:color w:val="201B16"/>
                <w:sz w:val="19"/>
                <w:lang w:val="pt-BR" w:bidi="ar-SA"/>
                <w:kern w:val="16"/>
                <w14:ligatures w14:val="standardContextual"/>
              </w:rPr>
              <w:t xml:space="preserve"> - Pedido principal: concessão com DIB na DER original. - Pedido subsidiário: concessão com DER reafirmada para a data de implementação dos requisitos.</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17.8 Outras teses revisionais relevantes</w:t>
      </w:r>
    </w:p>
    <w:p>
      <w:pPr>
        <w:spacing w:before="260" w:after="80" w:line="240" w:lineRule="auto"/>
        <w:jc w:val="left"/>
      </w:pPr>
      <w:r>
        <w:rPr>
          <w:rFonts w:ascii="EB Garamond" w:hAnsi="EB Garamond" w:cs="EB Garamond"/>
          <w:b/>
          <w:i w:val="0"/>
          <w:color w:val="3A3128"/>
          <w:sz w:val="25"/>
          <w:lang w:val="pt-BR" w:bidi="ar-SA"/>
          <w:kern w:val="16"/>
          <w14:ligatures w14:val="standardContextual"/>
        </w:rPr>
        <w:t>17.8.1 Revisão de atividades concomitantes — Tema 1070/STJ</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revisão das atividades concomitantes é, entre as teses examinadas neste capítulo, a que mantém maior vitalidade nos JEFs em junho de 2026. A tese vinculante do Tema 1070/STJ e a mecânica de cálculo são analisadas na seção 16.10. Aqui, o enfoque é exclusivamente revisional: decadência, procedimento de instrução e operacionalização nos JEFs.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fundamento é direto: até a fixação da tese pelo STJ (REsp 1.870.793/RS e REsp 1.870.815/RS, 1ª Seção, Rel. Min. Sérgio Kukina, julgado em 11/05/2022, trânsito em 13/02/2023), o INSS aplicava o art. 32 da Lei 8.213/91 em sua literalidade, calculando o salário de benefício de forma proporcional. O STJ fixou que, para benefícios concedidos a partir de 29/11/1999 (vigência da Lei 9.876/1999), o salário de benefício deve ser calculado com base na soma de todos os salários de contribuição das atividades exercidas. O corte temporal é deliberado e tem consequência prática direta: para os benefícios anteriores a essa vigência, subsiste a sistemática proporcional do art. 32 da Lei 8.213/91 em sua redação original (regra de transição), de modo que a tese revisional do Tema 1070 não alcança, indistintamente, toda concomitância anterior a 29/11/1999 — sob pena de leitura equivocada de que qualquer benefício do regime pré-Lei 9.876/99 seria igualmente revisável pela soma integral.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decadência merece exame cuidadoso. A revisão submete-se ao prazo de dez anos do art. 103. Para benefícios concedidos em 1999 ou 2000, o prazo expirou entre 2009 e 2010. Convém afastar um equívoco frequente: o Tema 975/STJ assentou que a decadência incide ainda que o INSS dispusesse de todos os dados no CNIS para aplicar a regra correta e não o tenha feito — a falta de apreciação administrativa da questão não impede a fluência do prazo. Não há, portanto, exceção a explorar nesse ponto: o decurso do decênio, contado da DIB, inviabiliza a revisão das atividades concomitantes.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procedimento exige a demonstração de que o segurado exercia duas ou mais atividades na data do requerimento e de que o INSS aplicou a fórmula proporcional. O CNIS é a prova principal (registra vínculos simultâneos e salários). O CONBAS permite verificar se o INSS usou a fórmula proporcional. A memória de cálculo comparativa deve demonstrar a diferença entre RMI proporcional e RMI pela soma integral.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impacto financeiro pode ser expressivo, especialmente para segurados que exerciam uma atividade com salário próximo ao teto e outra com salário modesto — cenário em que a fórmula proporcional do art. 32 reduzia substancialmente o salário de benefício.</w:t>
      </w:r>
    </w:p>
    <w:p>
      <w:pPr>
        <w:spacing w:before="260" w:after="80" w:line="240" w:lineRule="auto"/>
        <w:jc w:val="left"/>
      </w:pPr>
      <w:r>
        <w:rPr>
          <w:rFonts w:ascii="EB Garamond" w:hAnsi="EB Garamond" w:cs="EB Garamond"/>
          <w:b/>
          <w:i w:val="0"/>
          <w:color w:val="3A3128"/>
          <w:sz w:val="25"/>
          <w:lang w:val="pt-BR" w:bidi="ar-SA"/>
          <w:kern w:val="16"/>
          <w14:ligatures w14:val="standardContextual"/>
        </w:rPr>
        <w:t>17.8.2 Revisão por inclusão de tempo especial não reconhecido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S</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egurados que exerceram atividades insalubres, perigosas ou penosas podem ter direito a tempo especial não reconhecido na concessão (v. Cap. 8 para a matéria substantiva). O impacto pode ser quantitativo (aumento do tempo de contribuição, elevação do coeficiente) ou qualitativo (alteração da espécie do benefício, de aposentadoria por tempo de contribuição para aposentadoria especial).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decadência segue a regra geral de dez anos. Mesmo que o segurado tenha apresentado PPP, LTCAT ou formulários DSS-8030/SB-40 no requerimento administrativo e o INSS não os tenha apreciado, a decadência incide — o Tema 975/STJ esclarece que a ausência de apreciação administrativa da questão não impede a fluência do prazo decenal, contado da concessão.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instrução probatória é o ponto mais complexo. Para períodos anteriores a 28/04/1995 (vigência da Lei 9.032/1995), o enquadramento pode ser por categoria profissional. Para períodos posteriores, exige-se comprovação da exposição efetiva.</w:t>
      </w:r>
    </w:p>
    <w:p>
      <w:pPr>
        <w:spacing w:before="260" w:after="80" w:line="240" w:lineRule="auto"/>
        <w:jc w:val="left"/>
      </w:pPr>
      <w:r>
        <w:rPr>
          <w:rFonts w:ascii="EB Garamond" w:hAnsi="EB Garamond" w:cs="EB Garamond"/>
          <w:b/>
          <w:i w:val="0"/>
          <w:color w:val="3A3128"/>
          <w:sz w:val="25"/>
          <w:lang w:val="pt-BR" w:bidi="ar-SA"/>
          <w:kern w:val="16"/>
          <w14:ligatures w14:val="standardContextual"/>
        </w:rPr>
        <w:t>17.8.3 Revisão por inclusão de tempo rural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inclusão de tempo rural não computado na concessão segue regime probatório próprio (v. Cap. 9). O cenário típico: segurado urbano que, antes de migrar para a cidade, exerceu atividade rural não computada. A prova exige início de prova material corroborado por testemunhal (Súmula 149/STJ).</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decadência decenal também aqui incide na forma do Tema 975/STJ: ainda que o INSS dispusesse de dados no sistema (inscrição como segurado especial) e não tenha apreciado a questão, o prazo corre da concessão. Soma-se a isso a precariedade do registro de atividade rural no CNIS para períodos anteriores a 1991, que torna o tema, na prática, ainda menos relevante do que na revisão de atividades concomitantes.</w:t>
      </w:r>
    </w:p>
    <w:p>
      <w:pPr>
        <w:spacing w:before="260" w:after="80" w:line="240" w:lineRule="auto"/>
        <w:jc w:val="left"/>
      </w:pPr>
      <w:r>
        <w:rPr>
          <w:rFonts w:ascii="EB Garamond" w:hAnsi="EB Garamond" w:cs="EB Garamond"/>
          <w:b/>
          <w:i w:val="0"/>
          <w:color w:val="3A3128"/>
          <w:sz w:val="25"/>
          <w:lang w:val="pt-BR" w:bidi="ar-SA"/>
          <w:kern w:val="16"/>
          <w14:ligatures w14:val="standardContextual"/>
        </w:rPr>
        <w:t>17.8.4 Desaposentação — tese encerrada (Tema 503/STF)</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desaposentação foi encerrada pelo STF no RE 661.256 (Tema 503, Rel. Orig. Min. Roberto Barroso, Red. P/ acórdão Min. Dias Toffoli, Plenário, 26/10/2016). A tese: "No âmbito do RGPS, somente lei pode criar benefícios e vantagens previdenciárias, não havendo, por ora, previsão legal do direito à 'desaposentação', sendo constitucional a regra do art. 18, §2º, da Lei 8.213/91."</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Registramos a desaposentação pela relevância histórica. Entre 2008 e 2016, foi uma das teses mais litigadas nos JEFs. O STJ chegou a admiti-la em repetitivo (REsp 1.334.488/SC, Tema 563, Rel. Min. Herman Benjamin, 1ª Seção, j. 08/05/2013). A reversão pelo STF encerrou a controvérsia. O magistrado deve indeferir liminarmente eventuais petições iniciais que postulem desaposentação (art. 332, III, CPC).</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17.9 Procedimento da ação revisional no JEF</w:t>
      </w:r>
    </w:p>
    <w:p>
      <w:pPr>
        <w:spacing w:before="260" w:after="80" w:line="240" w:lineRule="auto"/>
        <w:jc w:val="left"/>
      </w:pPr>
      <w:r>
        <w:rPr>
          <w:rFonts w:ascii="EB Garamond" w:hAnsi="EB Garamond" w:cs="EB Garamond"/>
          <w:b/>
          <w:i w:val="0"/>
          <w:color w:val="3A3128"/>
          <w:sz w:val="25"/>
          <w:lang w:val="pt-BR" w:bidi="ar-SA"/>
          <w:kern w:val="16"/>
          <w14:ligatures w14:val="standardContextual"/>
        </w:rPr>
        <w:t>17.9.1 Competência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competência dos JEFs é fixada pelo art. 3º, caput, da Lei 10.259/2001: causas de competência da Justiça Federal até sessenta salários-mínimos. Em junho de 2026, esse limite corresponde a R$ 97.260,00 (60 × R$ 1.621,00; v. A nota sobre valores monetários de 2026, na seção 17.1).</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valor da causa na ação revisional é composto pela soma das diferenças vencidas (prescrição quinquenal) e das doze parcelas vincendas (art. 292, §§1º e 2º, CPC). Quando o valor ultrapassa o limite, o autor pode renunciar ao excedente (art. 3º, §3º, Lei 10.259/2001). A renúncia é irrevogável: o segurado abre mão do valor que excede sessenta SM e não poderá cobrá-lo posteriormente. Onde instalada Vara do Juizado Especial, a competência é absoluta (art. 3º, caput, da Lei 10.259/2001; STJ, CC 127.506/SC).</w:t>
      </w:r>
    </w:p>
    <w:p>
      <w:pPr>
        <w:spacing w:before="260" w:after="80" w:line="240" w:lineRule="auto"/>
        <w:jc w:val="left"/>
      </w:pPr>
      <w:r>
        <w:rPr>
          <w:rFonts w:ascii="EB Garamond" w:hAnsi="EB Garamond" w:cs="EB Garamond"/>
          <w:b/>
          <w:i w:val="0"/>
          <w:color w:val="3A3128"/>
          <w:sz w:val="25"/>
          <w:lang w:val="pt-BR" w:bidi="ar-SA"/>
          <w:kern w:val="16"/>
          <w14:ligatures w14:val="standardContextual"/>
        </w:rPr>
        <w:t>17.9.2 Petição inicial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petição inicial pode ser apresentada de forma simplificada (art. 14, Lei 9.099/95). A complexidade técnica das ações revisionais, porém, exige petição escrita com fundamentação adequada.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Checklist da petição inicial — Ação revisional no JEF</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1. Qualificação completa do autor (nome, CPF, NIT/PIS, endereço, telefone, e-mail).</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2. Número do benefício (NB), espécie e data de início do benefício (DIB).</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3. Identificação da tese revisional (nome, tema repetitivo, dispositivo legal).</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4. Narrativa do erro de cálculo, o que o INSS fez e o que deveria ter feito.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5. Memória de cálculo comparativa (RMI paga × RMI pretendida).</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6. Valor da causa (diferenças vencidas + 12 vincendas). Se exceder 60 SM: renúncia ao excedente.</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7. Análise da decadência, demonstrar que a ação está dentro do prazo ou indicar a exceção aplicável.</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8. Documentos obrigatórios: carta de concessão; CNIS atualizado; CONBAS (se disponível); processo administrativo (se disponível).</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9. Pedido de tutela antecipada (se cabível): caráter alimentar, verossimilhança, tese repetitiva.</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10. Pedido de produção de provas: requisição ao INSS de CONBAS, HISCREWEB e INFBEN (art. 11, Lei 10.259/2001).</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17.9.3 Prova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instrução probatória na ação revisional é predominantemente documental. Os documentos estruturantes: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O </w:t>
      </w:r>
      <w:r>
        <w:rPr>
          <w:rFonts w:ascii="EB Garamond" w:hAnsi="EB Garamond" w:cs="EB Garamond"/>
          <w:b/>
          <w:i w:val="0"/>
          <w:color w:val="201B16"/>
          <w:sz w:val="21"/>
          <w:lang w:val="pt-BR" w:bidi="ar-SA"/>
          <w:kern w:val="16"/>
          <w14:ligatures w14:val="standardContextual"/>
        </w:rPr>
        <w:t>CNIS</w:t>
      </w:r>
      <w:r>
        <w:rPr>
          <w:rFonts w:ascii="EB Garamond" w:hAnsi="EB Garamond" w:cs="EB Garamond"/>
          <w:b w:val="0"/>
          <w:i w:val="0"/>
          <w:color w:val="201B16"/>
          <w:sz w:val="21"/>
          <w:lang w:val="pt-BR" w:bidi="ar-SA"/>
          <w:kern w:val="16"/>
          <w14:ligatures w14:val="standardContextual"/>
        </w:rPr>
        <w:t xml:space="preserve"> registra vínculos, salários de contribuição e competências. Para a revisão, permite identificar períodos contributivos, salários que deveriam compor o cálculo e eventuais vínculos concomitantes. O </w:t>
      </w:r>
      <w:r>
        <w:rPr>
          <w:rFonts w:ascii="EB Garamond" w:hAnsi="EB Garamond" w:cs="EB Garamond"/>
          <w:b/>
          <w:i w:val="0"/>
          <w:color w:val="201B16"/>
          <w:sz w:val="21"/>
          <w:lang w:val="pt-BR" w:bidi="ar-SA"/>
          <w:kern w:val="16"/>
          <w14:ligatures w14:val="standardContextual"/>
        </w:rPr>
        <w:t>CONBAS</w:t>
      </w:r>
      <w:r>
        <w:rPr>
          <w:rFonts w:ascii="EB Garamond" w:hAnsi="EB Garamond" w:cs="EB Garamond"/>
          <w:b w:val="0"/>
          <w:i w:val="0"/>
          <w:color w:val="201B16"/>
          <w:sz w:val="21"/>
          <w:lang w:val="pt-BR" w:bidi="ar-SA"/>
          <w:kern w:val="16"/>
          <w14:ligatures w14:val="standardContextual"/>
        </w:rPr>
        <w:t xml:space="preserve"> revela a mecânica interna do cálculo: salários selecionados, PBC, divisor, SB apurado, incidência do teto. O </w:t>
      </w:r>
      <w:r>
        <w:rPr>
          <w:rFonts w:ascii="EB Garamond" w:hAnsi="EB Garamond" w:cs="EB Garamond"/>
          <w:b/>
          <w:i w:val="0"/>
          <w:color w:val="201B16"/>
          <w:sz w:val="21"/>
          <w:lang w:val="pt-BR" w:bidi="ar-SA"/>
          <w:kern w:val="16"/>
          <w14:ligatures w14:val="standardContextual"/>
        </w:rPr>
        <w:t>HISCREWEB</w:t>
      </w:r>
      <w:r>
        <w:rPr>
          <w:rFonts w:ascii="EB Garamond" w:hAnsi="EB Garamond" w:cs="EB Garamond"/>
          <w:b w:val="0"/>
          <w:i w:val="0"/>
          <w:color w:val="201B16"/>
          <w:sz w:val="21"/>
          <w:lang w:val="pt-BR" w:bidi="ar-SA"/>
          <w:kern w:val="16"/>
          <w14:ligatures w14:val="standardContextual"/>
        </w:rPr>
        <w:t xml:space="preserve"> registra valores efetivamente pagos em cada competência. O </w:t>
      </w:r>
      <w:r>
        <w:rPr>
          <w:rFonts w:ascii="EB Garamond" w:hAnsi="EB Garamond" w:cs="EB Garamond"/>
          <w:b/>
          <w:i w:val="0"/>
          <w:color w:val="201B16"/>
          <w:sz w:val="21"/>
          <w:lang w:val="pt-BR" w:bidi="ar-SA"/>
          <w:kern w:val="16"/>
          <w14:ligatures w14:val="standardContextual"/>
        </w:rPr>
        <w:t>INFBEN</w:t>
      </w:r>
      <w:r>
        <w:rPr>
          <w:rFonts w:ascii="EB Garamond" w:hAnsi="EB Garamond" w:cs="EB Garamond"/>
          <w:b w:val="0"/>
          <w:i w:val="0"/>
          <w:color w:val="201B16"/>
          <w:sz w:val="21"/>
          <w:lang w:val="pt-BR" w:bidi="ar-SA"/>
          <w:kern w:val="16"/>
          <w14:ligatures w14:val="standardContextual"/>
        </w:rPr>
        <w:t xml:space="preserve"> apresenta dados cadastrais e financeiros atualizados.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art. 11 da Lei 10.259/2001 autoriza a requisição desses documentos. O prazo ao INSS é, em regra, de trinta dias.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Documentos para instrução revisional — Onde encontrar</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 </w:t>
            </w:r>
            <w:r>
              <w:rPr>
                <w:rFonts w:ascii="EB Garamond" w:hAnsi="EB Garamond" w:cs="EB Garamond"/>
                <w:b/>
                <w:i w:val="0"/>
                <w:color w:val="201B16"/>
                <w:sz w:val="19"/>
                <w:lang w:val="pt-BR" w:bidi="ar-SA"/>
                <w:kern w:val="16"/>
                <w14:ligatures w14:val="standardContextual"/>
              </w:rPr>
              <w:t>CONBAS:</w:t>
            </w:r>
            <w:r>
              <w:rPr>
                <w:rFonts w:ascii="EB Garamond" w:hAnsi="EB Garamond" w:cs="EB Garamond"/>
                <w:b w:val="0"/>
                <w:i w:val="0"/>
                <w:color w:val="201B16"/>
                <w:sz w:val="19"/>
                <w:lang w:val="pt-BR" w:bidi="ar-SA"/>
                <w:kern w:val="16"/>
                <w14:ligatures w14:val="standardContextual"/>
              </w:rPr>
              <w:t xml:space="preserve"> Determinação judicial ao INSS (art. 11, Lei 10.259/2001). Sistema PRISMA/SABI. Não disponível no Meu INSS.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 </w:t>
            </w:r>
            <w:r>
              <w:rPr>
                <w:rFonts w:ascii="EB Garamond" w:hAnsi="EB Garamond" w:cs="EB Garamond"/>
                <w:b/>
                <w:i w:val="0"/>
                <w:color w:val="201B16"/>
                <w:sz w:val="19"/>
                <w:lang w:val="pt-BR" w:bidi="ar-SA"/>
                <w:kern w:val="16"/>
                <w14:ligatures w14:val="standardContextual"/>
              </w:rPr>
              <w:t>HISCREWEB:</w:t>
            </w:r>
            <w:r>
              <w:rPr>
                <w:rFonts w:ascii="EB Garamond" w:hAnsi="EB Garamond" w:cs="EB Garamond"/>
                <w:b w:val="0"/>
                <w:i w:val="0"/>
                <w:color w:val="201B16"/>
                <w:sz w:val="19"/>
                <w:lang w:val="pt-BR" w:bidi="ar-SA"/>
                <w:kern w:val="16"/>
                <w14:ligatures w14:val="standardContextual"/>
              </w:rPr>
              <w:t xml:space="preserve"> Mesmo procedimento. Registra pagamentos mensais desde a concessão.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 </w:t>
            </w:r>
            <w:r>
              <w:rPr>
                <w:rFonts w:ascii="EB Garamond" w:hAnsi="EB Garamond" w:cs="EB Garamond"/>
                <w:b/>
                <w:i w:val="0"/>
                <w:color w:val="201B16"/>
                <w:sz w:val="19"/>
                <w:lang w:val="pt-BR" w:bidi="ar-SA"/>
                <w:kern w:val="16"/>
                <w14:ligatures w14:val="standardContextual"/>
              </w:rPr>
              <w:t>INFBEN:</w:t>
            </w:r>
            <w:r>
              <w:rPr>
                <w:rFonts w:ascii="EB Garamond" w:hAnsi="EB Garamond" w:cs="EB Garamond"/>
                <w:b w:val="0"/>
                <w:i w:val="0"/>
                <w:color w:val="201B16"/>
                <w:sz w:val="19"/>
                <w:lang w:val="pt-BR" w:bidi="ar-SA"/>
                <w:kern w:val="16"/>
                <w14:ligatures w14:val="standardContextual"/>
              </w:rPr>
              <w:t xml:space="preserve"> Disponível pelo Meu INSS ("Extrato de Pagamento" ou "Carta de Concessão").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 </w:t>
            </w:r>
            <w:r>
              <w:rPr>
                <w:rFonts w:ascii="EB Garamond" w:hAnsi="EB Garamond" w:cs="EB Garamond"/>
                <w:b/>
                <w:i w:val="0"/>
                <w:color w:val="201B16"/>
                <w:sz w:val="19"/>
                <w:lang w:val="pt-BR" w:bidi="ar-SA"/>
                <w:kern w:val="16"/>
                <w14:ligatures w14:val="standardContextual"/>
              </w:rPr>
              <w:t>CNIS:</w:t>
            </w:r>
            <w:r>
              <w:rPr>
                <w:rFonts w:ascii="EB Garamond" w:hAnsi="EB Garamond" w:cs="EB Garamond"/>
                <w:b w:val="0"/>
                <w:i w:val="0"/>
                <w:color w:val="201B16"/>
                <w:sz w:val="19"/>
                <w:lang w:val="pt-BR" w:bidi="ar-SA"/>
                <w:kern w:val="16"/>
                <w14:ligatures w14:val="standardContextual"/>
              </w:rPr>
              <w:t xml:space="preserve"> Disponível pelo Meu INSS ("Extrato Previdenciário/CNIS") ou em agência.</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 xml:space="preserve">• </w:t>
            </w:r>
            <w:r>
              <w:rPr>
                <w:rFonts w:ascii="EB Garamond" w:hAnsi="EB Garamond" w:cs="EB Garamond"/>
                <w:b/>
                <w:i w:val="0"/>
                <w:color w:val="201B16"/>
                <w:sz w:val="19"/>
                <w:lang w:val="pt-BR" w:bidi="ar-SA"/>
                <w:kern w:val="16"/>
                <w14:ligatures w14:val="standardContextual"/>
              </w:rPr>
              <w:t>Processo administrativo (PA):</w:t>
            </w:r>
            <w:r>
              <w:rPr>
                <w:rFonts w:ascii="EB Garamond" w:hAnsi="EB Garamond" w:cs="EB Garamond"/>
                <w:b w:val="0"/>
                <w:i w:val="0"/>
                <w:color w:val="201B16"/>
                <w:sz w:val="19"/>
                <w:lang w:val="pt-BR" w:bidi="ar-SA"/>
                <w:kern w:val="16"/>
                <w14:ligatures w14:val="standardContextual"/>
              </w:rPr>
              <w:t xml:space="preserve"> Meu INSS ("Meus Processos") ou determinação judicial. Prazos longos para benefícios antigos.</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perícia contábil é excepcional nos JEFs, mas pode ser necessária quando a contadoria judicial não dispõe de recursos para a conferência. Nos JEFs de maior porte, a contadoria realiza a conferência. Nos de menor porte, o juiz pode designar perito ad hoc (art. 12, Lei 10.259/2001).</w:t>
      </w:r>
    </w:p>
    <w:p>
      <w:pPr>
        <w:spacing w:before="260" w:after="80" w:line="240" w:lineRule="auto"/>
        <w:jc w:val="left"/>
      </w:pPr>
      <w:r>
        <w:rPr>
          <w:rFonts w:ascii="EB Garamond" w:hAnsi="EB Garamond" w:cs="EB Garamond"/>
          <w:b/>
          <w:i w:val="0"/>
          <w:color w:val="3A3128"/>
          <w:sz w:val="25"/>
          <w:lang w:val="pt-BR" w:bidi="ar-SA"/>
          <w:kern w:val="16"/>
          <w14:ligatures w14:val="standardContextual"/>
        </w:rPr>
        <w:t>17.9.4 Interesse de agir — prévio requerimento administrativo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exigência de prévio requerimento foi firmada pelo Tema 350/STF (RE 631.240, 03/09/2014). Para ações revisionais, a posição predominante é de que o prévio requerimento não é exigível quando a tese é de natureza exclusivamente jurídica — revisão do teto, atividades concomitantes, vida toda. A justificativa: o INSS não acolheria a pretensão administrativamente antes da fixação da tese pelo tribunal superior.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exceção: quando a revisão depende de análise de fatos (atividade especial não reconhecida, tempo rural não comprovado administrativamente), o prévio requerimento pode ser exigido. Mesmo nesses casos, a jurisprudência mitiga a exigência quando o INSS demonstra, na contestação, sua posição contrária.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Prévio requerimento administrativo nas ações revisionais</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Posição predominante nos JEFs: NÃO é exigível para ações fundadas em tese exclusivamente jurídica (teto, concomitantes, vida toda).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EXCEÇÃO: Revisões que dependem de análise de fatos (tempo especial ou rural não apresentado ao INSS) podem exigir prévio requerimento, salvo se o INSS já demonstrou posição contrária.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Na dúvida, o advogado deve formular requerimento administrativo antes do ajuizamento. Isso evita a extinção por falta de interesse de agir e serve como marco interruptivo da decadência.</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17.9.5 Prescrição quinquenal das parcelas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prescrição atinge as parcelas vencidas (art. 103, parágrafo único, Lei 8.213/91). Prazo: cinco anos, retroativos ao ajuizamento. A citação válida retroage à propositura (art. 240, §1º, CPC). A prescrição não atinge o fundo de direito: superada a decadência, o segurado tem direito à revisão da RMI, com implantação do novo valor para o futuro. As diferenças pretéritas ficam limitadas ao quinquênio.</w:t>
      </w:r>
    </w:p>
    <w:p>
      <w:pPr>
        <w:spacing w:before="260" w:after="80" w:line="240" w:lineRule="auto"/>
        <w:jc w:val="left"/>
      </w:pPr>
      <w:r>
        <w:rPr>
          <w:rFonts w:ascii="EB Garamond" w:hAnsi="EB Garamond" w:cs="EB Garamond"/>
          <w:b/>
          <w:i w:val="0"/>
          <w:color w:val="3A3128"/>
          <w:sz w:val="25"/>
          <w:lang w:val="pt-BR" w:bidi="ar-SA"/>
          <w:kern w:val="16"/>
          <w14:ligatures w14:val="standardContextual"/>
        </w:rPr>
        <w:t>17.9.6 Tutela antecipada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tutela antecipada é instrumento relevante nas ações revisionais fundadas em precedente vinculante. O art. 311, II, do CPC prevê a tutela de evidência quando houver tese firmada em julgamento de casos repetitivos e prova documental. Ações fundadas no Tema 1070/STJ (concomitantes) ou no Tema 76/STF (teto) são candidatas naturais.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a concessão é menos frequente do que nas ações de concessão: o segurado já recebe benefício, e a diferença de valor, em regra, não afeta a subsistência imediata. Quando a diferença é expressiva e o segurado demonstra vulnerabilidade, a urgência se configura. O caráter alimentar justifica a antecipação em revisões de grande impacto.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tutela pode ter dois objetos: (a) implantação imediata da RMI revisada (obrigação de fazer); (b) pagamento de diferenças retroativas (excepcional e mais arriscado). O episódio da vida toda ofereceu lição eloquente sobre a reversibilidade: milhares de tutelas concedidas e, após a reversão do Tema 1102, retorno ao patamar anterior. Para teses ainda não definitivamente consolidadas, a cautela é recomendável (art. 300, §3º, CPC).</w:t>
      </w:r>
    </w:p>
    <w:p>
      <w:pPr>
        <w:spacing w:before="260" w:after="80" w:line="240" w:lineRule="auto"/>
        <w:jc w:val="left"/>
      </w:pPr>
      <w:r>
        <w:rPr>
          <w:rFonts w:ascii="EB Garamond" w:hAnsi="EB Garamond" w:cs="EB Garamond"/>
          <w:b/>
          <w:i w:val="0"/>
          <w:color w:val="3A3128"/>
          <w:sz w:val="25"/>
          <w:lang w:val="pt-BR" w:bidi="ar-SA"/>
          <w:kern w:val="16"/>
          <w14:ligatures w14:val="standardContextual"/>
        </w:rPr>
        <w:t>17.9.7 Cumulação de pedidos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segurado pode cumular na mesma ação mais de uma tese revisional, desde que compatíveis e observado o limite de valor. Exemplos: (a) atividades concomitantes (Tema 1070) + inclusão de tempo especial; (b) teto (Tema 76) + art. 29, II; (c) melhor DIB e, subsidiariamente, atividades concomitantes.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valor da causa deve considerar o impacto conjunto. O magistrado deve atentar para o risco de que a cumulação transforme a causa em litígio incompatível com o rito simplificado do JEF.</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17.10 Querela nullitatis e ação rescisória nos JEFs</w:t>
      </w:r>
    </w:p>
    <w:p>
      <w:pPr>
        <w:spacing w:before="260" w:after="80" w:line="240" w:lineRule="auto"/>
        <w:jc w:val="left"/>
      </w:pPr>
      <w:r>
        <w:rPr>
          <w:rFonts w:ascii="EB Garamond" w:hAnsi="EB Garamond" w:cs="EB Garamond"/>
          <w:b/>
          <w:i w:val="0"/>
          <w:color w:val="3A3128"/>
          <w:sz w:val="25"/>
          <w:lang w:val="pt-BR" w:bidi="ar-SA"/>
          <w:kern w:val="16"/>
          <w14:ligatures w14:val="standardContextual"/>
        </w:rPr>
        <w:t>17.10.1 Querela nullitatis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querela nullitatis declara a inexistência ou nulidade absoluta de sentença proferida com vício transrescisório — vício que não é sanado pelo trânsito em julgado nem se submete ao prazo da rescisória. As hipóteses clássicas: falta de citação (ou citação nula) e incompetência absoluta do juízo prolator.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O STJ, no REsp 2.095.463/PR (Rel. Min. Nancy Andrighi, 3ª Turma, 18/03/2025) — precedente firmado em matéria cível, cuja </w:t>
      </w:r>
      <w:r>
        <w:rPr>
          <w:rFonts w:ascii="EB Garamond" w:hAnsi="EB Garamond" w:cs="EB Garamond"/>
          <w:b w:val="0"/>
          <w:i/>
          <w:color w:val="201B16"/>
          <w:sz w:val="21"/>
          <w:lang w:val="pt-BR" w:bidi="ar-SA"/>
          <w:kern w:val="16"/>
          <w14:ligatures w14:val="standardContextual"/>
        </w:rPr>
        <w:t>ratio</w:t>
      </w:r>
      <w:r>
        <w:rPr>
          <w:rFonts w:ascii="EB Garamond" w:hAnsi="EB Garamond" w:cs="EB Garamond"/>
          <w:b w:val="0"/>
          <w:i w:val="0"/>
          <w:color w:val="201B16"/>
          <w:sz w:val="21"/>
          <w:lang w:val="pt-BR" w:bidi="ar-SA"/>
          <w:kern w:val="16"/>
          <w14:ligatures w14:val="standardContextual"/>
        </w:rPr>
        <w:t xml:space="preserve"> processual se aplica por analogia ao processo previdenciário —, reafirmou que a querela nullitatis é pretensão, e não procedimento específico. A consequência: pode ser formulada como questão incidental ou prejudicial em qualquer processo, sem necessidade de ação autônoma. Para os JEFs, o segurado condenado por sentença sem citação válida pode, por petição nos autos, requerer a declaração de inexistência e a renovação do processo.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STJ — REsp 2.095.463/PR: Querela nullitatis como pretensão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Processo: REsp 2.095.463/PR | 3ª Turma | Rel. Min. Nancy Andrighi | 18/03/2025 | DJe 21/03/2025</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Tese: A querela nullitatis é pretensão, e não procedimento. Pode ser formulada como questão incidental ou prejudicial.</w:t>
            </w:r>
          </w:p>
          <w:p>
            <w:pPr>
              <w:spacing w:before="0" w:after="60" w:line="247" w:lineRule="auto"/>
              <w:jc w:val="both"/>
            </w:pPr>
            <w:r>
              <w:rPr>
                <w:rFonts w:ascii="EB Garamond" w:hAnsi="EB Garamond" w:cs="EB Garamond"/>
                <w:b/>
                <w:i w:val="0"/>
                <w:color w:val="201B16"/>
                <w:sz w:val="19"/>
                <w:lang w:val="pt-BR" w:bidi="ar-SA"/>
                <w:kern w:val="16"/>
                <w14:ligatures w14:val="standardContextual"/>
              </w:rPr>
              <w:t>Meios admitidos:</w:t>
            </w:r>
            <w:r>
              <w:rPr>
                <w:rFonts w:ascii="EB Garamond" w:hAnsi="EB Garamond" w:cs="EB Garamond"/>
                <w:b w:val="0"/>
                <w:i w:val="0"/>
                <w:color w:val="201B16"/>
                <w:sz w:val="19"/>
                <w:lang w:val="pt-BR" w:bidi="ar-SA"/>
                <w:kern w:val="16"/>
                <w14:ligatures w14:val="standardContextual"/>
              </w:rPr>
              <w:t xml:space="preserve"> Cumprimento de sentença, ação civil pública, mandado de segurança, petição simples nos autos.</w:t>
            </w:r>
          </w:p>
          <w:p>
            <w:pPr>
              <w:spacing w:before="0" w:after="60" w:line="247" w:lineRule="auto"/>
              <w:jc w:val="both"/>
            </w:pPr>
            <w:r>
              <w:rPr>
                <w:rFonts w:ascii="EB Garamond" w:hAnsi="EB Garamond" w:cs="EB Garamond"/>
                <w:b/>
                <w:i w:val="0"/>
                <w:color w:val="201B16"/>
                <w:sz w:val="19"/>
                <w:lang w:val="pt-BR" w:bidi="ar-SA"/>
                <w:kern w:val="16"/>
                <w14:ligatures w14:val="standardContextual"/>
              </w:rPr>
              <w:t>Prazo:</w:t>
            </w:r>
            <w:r>
              <w:rPr>
                <w:rFonts w:ascii="EB Garamond" w:hAnsi="EB Garamond" w:cs="EB Garamond"/>
                <w:b w:val="0"/>
                <w:i w:val="0"/>
                <w:color w:val="201B16"/>
                <w:sz w:val="19"/>
                <w:lang w:val="pt-BR" w:bidi="ar-SA"/>
                <w:kern w:val="16"/>
                <w14:ligatures w14:val="standardContextual"/>
              </w:rPr>
              <w:t xml:space="preserve"> Imprescritível — a sentença inexistente não transita em julgado.</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17.10.2 Ação rescisória nos JEFs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possibilidade de rescisória nos JEFs vem se consolidando pela admissibilidade. O art. 59 da Lei 9.099/95 veda a rescisória nos juizados estaduais. A Lei 10.259/2001, que instituiu os JEFs, não reproduziu essa vedação.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posição majoritária: a rescisória é admissível nos JEFs, por dois fundamentos. O silêncio da Lei 10.259/2001 é eloquente — se o legislador desejasse a vedação, teria reproduzido o art. 59. A natureza do direito previdenciário exige mecanismo de desconstituição da coisa julgada para evitar situações incompatíveis com a legalidade.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competência é da Turma Recursal, por simetria. As hipóteses seguem o art. 966 do CPC. O prazo é de dois anos (art. 975, CPC).</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Ação rescisória nos JEFs — pontos de atenção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1. A Lei 10.259/2001 NÃO veda a rescisória nos JEFs.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2. Posição majoritária: rescisória é admissível.</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3. Competência: Turma Recursal (não TRF).</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4. Hipóteses: art. 966 do CPC.</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5. Prazo: 2 anos do trânsito em julgado (art. 975, CPC).</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6. Nem todas as Turmas Recursais possuem regimento interno para o processamento da rescisória.</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17.10.3 Aplicação prática: rescisória por tese superveniente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cruzamento entre rescisória e tese superveniente do STF é a questão mais sensível. O art. 525, §§12 a 15, do CPC permite a impugnação ao cumprimento de sentença quando o título se fundar em norma considerada inconstitucional ou em interpretação incompatível com a Constituição. Esse mecanismo pode ser mais eficiente do que a rescisória.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aplicação à vida toda ilustra o problema. A impugnação do art. 525, §12, se limita à declaração de inconstitucionalidade da norma, e não de constitucionalidade da norma que o segurado pretendia afastar. Lazzari e Castro (2025) admitem a impugnação quando há incompatibilidade entre o título e a tese vinculante posterior. A nosso ver, a questão depende da qualificação que o STF conferiu à reversão do Tema 1102. A modulação dos efeitos reduz o interesse prático do INSS em rescindir as sentenças mais antigas: valores recebidos até 05/04/2024 são irrepetíveis.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17.11 Execução de sentença revisional</w:t>
      </w:r>
    </w:p>
    <w:p>
      <w:pPr>
        <w:spacing w:before="260" w:after="80" w:line="240" w:lineRule="auto"/>
        <w:jc w:val="left"/>
      </w:pPr>
      <w:r>
        <w:rPr>
          <w:rFonts w:ascii="EB Garamond" w:hAnsi="EB Garamond" w:cs="EB Garamond"/>
          <w:b/>
          <w:i w:val="0"/>
          <w:color w:val="3A3128"/>
          <w:sz w:val="25"/>
          <w:lang w:val="pt-BR" w:bidi="ar-SA"/>
          <w:kern w:val="16"/>
          <w14:ligatures w14:val="standardContextual"/>
        </w:rPr>
        <w:t>17.11.1 Liquidação por cálculos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sentença revisional nos JEFs é, em regra, ilíquida: reconhece o direito, fixa a regra de cálculo e condena o INSS ao pagamento das diferenças, sem quantificá-las. A liquidação pode ser realizada de três formas: (a) memória de cálculo apresentada pelo autor; (b) remessa à contadoria judicial do JEF; (c) excepcionalmente, nomeação de perito contábil (art. 509, §3º, CPC).</w:t>
      </w:r>
    </w:p>
    <w:p>
      <w:pPr>
        <w:spacing w:before="260" w:after="80" w:line="240" w:lineRule="auto"/>
        <w:jc w:val="left"/>
      </w:pPr>
      <w:r>
        <w:rPr>
          <w:rFonts w:ascii="EB Garamond" w:hAnsi="EB Garamond" w:cs="EB Garamond"/>
          <w:b/>
          <w:i w:val="0"/>
          <w:color w:val="3A3128"/>
          <w:sz w:val="25"/>
          <w:lang w:val="pt-BR" w:bidi="ar-SA"/>
          <w:kern w:val="16"/>
          <w14:ligatures w14:val="standardContextual"/>
        </w:rPr>
        <w:t>17.11.2 Cálculo de diferenças passo a passo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Sete etapas da liquidação de sentença revisional</w:t>
            </w:r>
          </w:p>
          <w:p>
            <w:pPr>
              <w:spacing w:before="0" w:after="60" w:line="247" w:lineRule="auto"/>
              <w:jc w:val="both"/>
            </w:pPr>
            <w:r>
              <w:rPr>
                <w:rFonts w:ascii="EB Garamond" w:hAnsi="EB Garamond" w:cs="EB Garamond"/>
                <w:b/>
                <w:i w:val="0"/>
                <w:color w:val="201B16"/>
                <w:sz w:val="19"/>
                <w:lang w:val="pt-BR" w:bidi="ar-SA"/>
                <w:kern w:val="16"/>
                <w14:ligatures w14:val="standardContextual"/>
              </w:rPr>
              <w:t>Etapa 1 — Recalcular o SB e a RMI:</w:t>
            </w:r>
            <w:r>
              <w:rPr>
                <w:rFonts w:ascii="EB Garamond" w:hAnsi="EB Garamond" w:cs="EB Garamond"/>
                <w:b w:val="0"/>
                <w:i w:val="0"/>
                <w:color w:val="201B16"/>
                <w:sz w:val="19"/>
                <w:lang w:val="pt-BR" w:bidi="ar-SA"/>
                <w:kern w:val="16"/>
                <w14:ligatures w14:val="standardContextual"/>
              </w:rPr>
              <w:t xml:space="preserve"> Aplicar a regra fixada na sentença aos dados do CONBAS e do CNIS. Apurar o novo SB, aplicar o coeficiente e obter a nova RMI na data da concessão.</w:t>
            </w:r>
          </w:p>
          <w:p>
            <w:pPr>
              <w:spacing w:before="0" w:after="60" w:line="247" w:lineRule="auto"/>
              <w:jc w:val="both"/>
            </w:pPr>
            <w:r>
              <w:rPr>
                <w:rFonts w:ascii="EB Garamond" w:hAnsi="EB Garamond" w:cs="EB Garamond"/>
                <w:b/>
                <w:i w:val="0"/>
                <w:color w:val="201B16"/>
                <w:sz w:val="19"/>
                <w:lang w:val="pt-BR" w:bidi="ar-SA"/>
                <w:kern w:val="16"/>
                <w14:ligatures w14:val="standardContextual"/>
              </w:rPr>
              <w:t>Etapa 2 — Projetar os reajustes anuais:</w:t>
            </w:r>
            <w:r>
              <w:rPr>
                <w:rFonts w:ascii="EB Garamond" w:hAnsi="EB Garamond" w:cs="EB Garamond"/>
                <w:b w:val="0"/>
                <w:i w:val="0"/>
                <w:color w:val="201B16"/>
                <w:sz w:val="19"/>
                <w:lang w:val="pt-BR" w:bidi="ar-SA"/>
                <w:kern w:val="16"/>
                <w14:ligatures w14:val="standardContextual"/>
              </w:rPr>
              <w:t xml:space="preserve"> Aplicar, desde a concessão até a data-base, os mesmos índices de reajuste utilizados pelo INSS (INPC, conforme portarias anuais). A RMI revisada percorre a mesma cadeia de reajustes que incidiu sobre a RMI original.</w:t>
            </w:r>
          </w:p>
          <w:p>
            <w:pPr>
              <w:spacing w:before="0" w:after="60" w:line="247" w:lineRule="auto"/>
              <w:jc w:val="both"/>
            </w:pPr>
            <w:r>
              <w:rPr>
                <w:rFonts w:ascii="EB Garamond" w:hAnsi="EB Garamond" w:cs="EB Garamond"/>
                <w:b/>
                <w:i w:val="0"/>
                <w:color w:val="201B16"/>
                <w:sz w:val="19"/>
                <w:lang w:val="pt-BR" w:bidi="ar-SA"/>
                <w:kern w:val="16"/>
                <w14:ligatures w14:val="standardContextual"/>
              </w:rPr>
              <w:t>Etapa 3 — Apurar a diferença mensal:</w:t>
            </w:r>
            <w:r>
              <w:rPr>
                <w:rFonts w:ascii="EB Garamond" w:hAnsi="EB Garamond" w:cs="EB Garamond"/>
                <w:b w:val="0"/>
                <w:i w:val="0"/>
                <w:color w:val="201B16"/>
                <w:sz w:val="19"/>
                <w:lang w:val="pt-BR" w:bidi="ar-SA"/>
                <w:kern w:val="16"/>
                <w14:ligatures w14:val="standardContextual"/>
              </w:rPr>
              <w:t xml:space="preserve"> Para cada competência, subtrair a RMI efetivamente paga (HISCREWEB) da RMI revisada.</w:t>
            </w:r>
          </w:p>
          <w:p>
            <w:pPr>
              <w:spacing w:before="0" w:after="60" w:line="247" w:lineRule="auto"/>
              <w:jc w:val="both"/>
            </w:pPr>
            <w:r>
              <w:rPr>
                <w:rFonts w:ascii="EB Garamond" w:hAnsi="EB Garamond" w:cs="EB Garamond"/>
                <w:b/>
                <w:i w:val="0"/>
                <w:color w:val="201B16"/>
                <w:sz w:val="19"/>
                <w:lang w:val="pt-BR" w:bidi="ar-SA"/>
                <w:kern w:val="16"/>
                <w14:ligatures w14:val="standardContextual"/>
              </w:rPr>
              <w:t>Etapa 4 — Aplicar a prescrição quinquenal:</w:t>
            </w:r>
            <w:r>
              <w:rPr>
                <w:rFonts w:ascii="EB Garamond" w:hAnsi="EB Garamond" w:cs="EB Garamond"/>
                <w:b w:val="0"/>
                <w:i w:val="0"/>
                <w:color w:val="201B16"/>
                <w:sz w:val="19"/>
                <w:lang w:val="pt-BR" w:bidi="ar-SA"/>
                <w:kern w:val="16"/>
                <w14:ligatures w14:val="standardContextual"/>
              </w:rPr>
              <w:t xml:space="preserve"> Excluir as diferenças anteriores ao quinquênio que precede o ajuizamento.</w:t>
            </w:r>
          </w:p>
          <w:p>
            <w:pPr>
              <w:spacing w:before="0" w:after="60" w:line="247" w:lineRule="auto"/>
              <w:jc w:val="both"/>
            </w:pPr>
            <w:r>
              <w:rPr>
                <w:rFonts w:ascii="EB Garamond" w:hAnsi="EB Garamond" w:cs="EB Garamond"/>
                <w:b/>
                <w:i w:val="0"/>
                <w:color w:val="201B16"/>
                <w:sz w:val="19"/>
                <w:lang w:val="pt-BR" w:bidi="ar-SA"/>
                <w:kern w:val="16"/>
                <w14:ligatures w14:val="standardContextual"/>
              </w:rPr>
              <w:t>Etapa 5 — Aplicar correção monetária e juros:</w:t>
            </w:r>
            <w:r>
              <w:rPr>
                <w:rFonts w:ascii="EB Garamond" w:hAnsi="EB Garamond" w:cs="EB Garamond"/>
                <w:b w:val="0"/>
                <w:i w:val="0"/>
                <w:color w:val="201B16"/>
                <w:sz w:val="19"/>
                <w:lang w:val="pt-BR" w:bidi="ar-SA"/>
                <w:kern w:val="16"/>
                <w14:ligatures w14:val="standardContextual"/>
              </w:rPr>
              <w:t xml:space="preserve"> Conforme o regime vigente em cada período (v. Seção 17.11.3).</w:t>
            </w:r>
          </w:p>
          <w:p>
            <w:pPr>
              <w:spacing w:before="0" w:after="60" w:line="247" w:lineRule="auto"/>
              <w:jc w:val="both"/>
            </w:pPr>
            <w:r>
              <w:rPr>
                <w:rFonts w:ascii="EB Garamond" w:hAnsi="EB Garamond" w:cs="EB Garamond"/>
                <w:b/>
                <w:i w:val="0"/>
                <w:color w:val="201B16"/>
                <w:sz w:val="19"/>
                <w:lang w:val="pt-BR" w:bidi="ar-SA"/>
                <w:kern w:val="16"/>
                <w14:ligatures w14:val="standardContextual"/>
              </w:rPr>
              <w:t>Etapa 6 — Deduzir valores já pagos:</w:t>
            </w:r>
            <w:r>
              <w:rPr>
                <w:rFonts w:ascii="EB Garamond" w:hAnsi="EB Garamond" w:cs="EB Garamond"/>
                <w:b w:val="0"/>
                <w:i w:val="0"/>
                <w:color w:val="201B16"/>
                <w:sz w:val="19"/>
                <w:lang w:val="pt-BR" w:bidi="ar-SA"/>
                <w:kern w:val="16"/>
                <w14:ligatures w14:val="standardContextual"/>
              </w:rPr>
              <w:t xml:space="preserve"> Se o INSS efetuou pagamentos parciais (revisão administrativa, RPV anterior), descontar para evitar enriquecimento sem causa.</w:t>
            </w:r>
          </w:p>
          <w:p>
            <w:pPr>
              <w:spacing w:before="0" w:after="60" w:line="247" w:lineRule="auto"/>
              <w:jc w:val="both"/>
            </w:pPr>
            <w:r>
              <w:rPr>
                <w:rFonts w:ascii="EB Garamond" w:hAnsi="EB Garamond" w:cs="EB Garamond"/>
                <w:b/>
                <w:i w:val="0"/>
                <w:color w:val="201B16"/>
                <w:sz w:val="19"/>
                <w:lang w:val="pt-BR" w:bidi="ar-SA"/>
                <w:kern w:val="16"/>
                <w14:ligatures w14:val="standardContextual"/>
              </w:rPr>
              <w:t>Etapa 7 — Apurar o valor total e verificar RPV:</w:t>
            </w:r>
            <w:r>
              <w:rPr>
                <w:rFonts w:ascii="EB Garamond" w:hAnsi="EB Garamond" w:cs="EB Garamond"/>
                <w:b w:val="0"/>
                <w:i w:val="0"/>
                <w:color w:val="201B16"/>
                <w:sz w:val="19"/>
                <w:lang w:val="pt-BR" w:bidi="ar-SA"/>
                <w:kern w:val="16"/>
                <w14:ligatures w14:val="standardContextual"/>
              </w:rPr>
              <w:t xml:space="preserve"> Se o valor líquido não exceder 60 SM (R$ 97.260,00 em 2026; v. Nota na seção 17.1), pagamento por RPV. Se exceder, precatório, salvo renúncia ao excedente.</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17.11.3 Correção monetária e juros — três regimes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atualização dos valores devidos seguiu três regimes distintos, e o magistrado deve aplicar cada um ao período correspondente.</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Regime 1 — Pré-EC 113/2021 (até novembro de 2021).</w:t>
      </w:r>
      <w:r>
        <w:rPr>
          <w:rFonts w:ascii="EB Garamond" w:hAnsi="EB Garamond" w:cs="EB Garamond"/>
          <w:b w:val="0"/>
          <w:i w:val="0"/>
          <w:color w:val="201B16"/>
          <w:sz w:val="21"/>
          <w:lang w:val="pt-BR" w:bidi="ar-SA"/>
          <w:kern w:val="16"/>
          <w14:ligatures w14:val="standardContextual"/>
        </w:rPr>
        <w:t xml:space="preserve"> Correção monetária pelo IPCA-E (Tema 810/STF, RE 870.947). Para a fase de liquidação/execução das condenações judiciais, o IPCA-E substituiu a TR. O reajuste do benefício em manutenção segue o INPC (art. 41-A, Lei 8.213/91) — distinção relevante para o cálculo de diferenças. Juros de mora: 0,5% a.m. (pré-Lei 11.960/2009) ou percentual da caderneta de poupança (pós-Lei 11.960/2009).</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Regime 2 — EC 113/2021 (dezembro de 2021 a agosto de 2025).</w:t>
      </w:r>
      <w:r>
        <w:rPr>
          <w:rFonts w:ascii="EB Garamond" w:hAnsi="EB Garamond" w:cs="EB Garamond"/>
          <w:b w:val="0"/>
          <w:i w:val="0"/>
          <w:color w:val="201B16"/>
          <w:sz w:val="21"/>
          <w:lang w:val="pt-BR" w:bidi="ar-SA"/>
          <w:kern w:val="16"/>
          <w14:ligatures w14:val="standardContextual"/>
        </w:rPr>
        <w:t xml:space="preserve"> A SELIC como índice único de atualização, englobando correção e juros. A mudança simplificou o cálculo.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Regime 3 — EC 136/2025 (a partir de setembro de 2025).</w:t>
      </w:r>
      <w:r>
        <w:rPr>
          <w:rFonts w:ascii="EB Garamond" w:hAnsi="EB Garamond" w:cs="EB Garamond"/>
          <w:b w:val="0"/>
          <w:i w:val="0"/>
          <w:color w:val="201B16"/>
          <w:sz w:val="21"/>
          <w:lang w:val="pt-BR" w:bidi="ar-SA"/>
          <w:kern w:val="16"/>
          <w14:ligatures w14:val="standardContextual"/>
        </w:rPr>
        <w:t xml:space="preserve"> IPCA acrescido de juros simples de 2% ao ano, com teto: a soma não pode exceder a SELIC acumulada no mesmo período. Uma ressalva metodológica é indispensável aqui: o IPCA é índice de </w:t>
      </w:r>
      <w:r>
        <w:rPr>
          <w:rFonts w:ascii="EB Garamond" w:hAnsi="EB Garamond" w:cs="EB Garamond"/>
          <w:b/>
          <w:i w:val="0"/>
          <w:color w:val="201B16"/>
          <w:sz w:val="21"/>
          <w:lang w:val="pt-BR" w:bidi="ar-SA"/>
          <w:kern w:val="16"/>
          <w14:ligatures w14:val="standardContextual"/>
        </w:rPr>
        <w:t>correção monetária</w:t>
      </w:r>
      <w:r>
        <w:rPr>
          <w:rFonts w:ascii="EB Garamond" w:hAnsi="EB Garamond" w:cs="EB Garamond"/>
          <w:b w:val="0"/>
          <w:i w:val="0"/>
          <w:color w:val="201B16"/>
          <w:sz w:val="21"/>
          <w:lang w:val="pt-BR" w:bidi="ar-SA"/>
          <w:kern w:val="16"/>
          <w14:ligatures w14:val="standardContextual"/>
        </w:rPr>
        <w:t xml:space="preserve"> (recompõe a inflação do período, capitalizando-se sobre a base atualizada), ao passo que os 2% a.a. São </w:t>
      </w:r>
      <w:r>
        <w:rPr>
          <w:rFonts w:ascii="EB Garamond" w:hAnsi="EB Garamond" w:cs="EB Garamond"/>
          <w:b/>
          <w:i w:val="0"/>
          <w:color w:val="201B16"/>
          <w:sz w:val="21"/>
          <w:lang w:val="pt-BR" w:bidi="ar-SA"/>
          <w:kern w:val="16"/>
          <w14:ligatures w14:val="standardContextual"/>
        </w:rPr>
        <w:t>juros simples</w:t>
      </w:r>
      <w:r>
        <w:rPr>
          <w:rFonts w:ascii="EB Garamond" w:hAnsi="EB Garamond" w:cs="EB Garamond"/>
          <w:b w:val="0"/>
          <w:i w:val="0"/>
          <w:color w:val="201B16"/>
          <w:sz w:val="21"/>
          <w:lang w:val="pt-BR" w:bidi="ar-SA"/>
          <w:kern w:val="16"/>
          <w14:ligatures w14:val="standardContextual"/>
        </w:rPr>
        <w:t xml:space="preserve"> (incidem linearmente sobre o valor, sem capitalização). As duas grandezas, por operarem mecânicas distintas, não se somam de forma aritmeticamente direta; a expressão "IPCA + 2%" é uma síntese da composição, e não uma taxa única a ser aplicada em bloco. O resultado efetivo dependerá, em cada execução, do IPCA acumulado e da taxa SELIC vigentes no período de apuração. A título ilustrativo, em cenário de SELIC elevada (a SELIC esteve em patamar próximo a 14,5% a.a. Em meados de 2026), a remuneração resultante do regime da EC 136 tende a situar-se bem abaixo da que vigorava sob a SELIC plena, ficando, em regra, aquém do teto e dispensando o seu acionamento. Na prática, o credor previdenciário passa a receber atualização sensivelmente inferior à do regime anterior.</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5F3EF" w:val="clear"/>
            <w:tcBorders>
              <w:top w:val="single" w:sz="7" w:space="0" w:color="A09882"/>
              <w:bottom w:val="single" w:sz="7" w:space="0" w:color="A09882"/>
              <w:right w:val="single" w:sz="7" w:space="0" w:color="A09882"/>
              <w:left w:val="single" w:sz="24" w:space="0" w:color="6B6256"/>
            </w:tcBorders>
          </w:tcPr>
          <w:p>
            <w:pPr>
              <w:spacing w:before="0" w:after="60" w:line="240" w:lineRule="auto"/>
              <w:jc w:val="left"/>
            </w:pPr>
            <w:r>
              <w:rPr>
                <w:rFonts w:ascii="Noto Sans" w:hAnsi="Noto Sans" w:cs="Noto Sans"/>
                <w:b/>
                <w:i w:val="0"/>
                <w:caps/>
                <w:color w:val="6B6256"/>
                <w:sz w:val="16"/>
                <w:lang w:val="pt-BR" w:bidi="ar-SA"/>
                <w:kern w:val="16"/>
                <w14:ligatures w14:val="standardContextual"/>
              </w:rPr>
              <w:t>QUADRO</w:t>
            </w:r>
          </w:p>
          <w:p>
            <w:pPr>
              <w:spacing w:before="0" w:after="60" w:line="247" w:lineRule="auto"/>
              <w:jc w:val="both"/>
            </w:pPr>
            <w:r>
              <w:rPr>
                <w:rFonts w:ascii="EB Garamond" w:hAnsi="EB Garamond" w:cs="EB Garamond"/>
                <w:b/>
                <w:i w:val="0"/>
                <w:color w:val="201B16"/>
                <w:sz w:val="19"/>
                <w:lang w:val="pt-BR" w:bidi="ar-SA"/>
                <w:kern w:val="16"/>
                <w14:ligatures w14:val="standardContextual"/>
              </w:rPr>
              <w:t>Três regimes de correção monetária e juros nas condenações previdenciárias</w:t>
            </w:r>
          </w:p>
          <w:tbl>
            <w:tblPr>
              <w:tblW w:type="auto" w:w="0"/>
              <w:jc w:val="center"/>
              <w:tblLook w:firstColumn="1" w:firstRow="1" w:lastColumn="0" w:lastRow="0" w:noHBand="0" w:noVBand="1" w:val="04A0"/>
              <w:tblW w:w="5000" w:type="pct"/>
            </w:tblPr>
            <w:tblGrid>
              <w:gridCol w:w="1270"/>
              <w:gridCol w:w="1270"/>
              <w:gridCol w:w="1270"/>
              <w:gridCol w:w="1270"/>
              <w:gridCol w:w="1270"/>
            </w:tblGrid>
            <w:tr>
              <w:trPr>
                <w:tblHeader/>
              </w:trPr>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Período</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Regime</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Correção monetária</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Juros de mora</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Resultado prático (estimado, junho/2026)</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Até nov/2021</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Pré-EC 113</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IPCA-E (condenações judiciais) / INPC (manutenção do benefício)</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0,5% a.m. Ou poupança</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Variável conforme período</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Dez/2021 a ago/2025</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EC 113/2021</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SELIC (índice único, engloba correção + juros)</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Englobados na SELIC</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Acompanha a SELIC vigente em cada mês do período (taxa de dois dígitos na maior parte do intervalo)</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 partir de set/2025</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EC 136/2025</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IPCA + 2% a.a. (juros simples), teto SELIC</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Englobados (IPCA + 2%)</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 depender do IPCA e da SELIC vigentes; em regra, bem abaixo do regime SELIC</w:t>
                  </w:r>
                </w:p>
              </w:tc>
            </w:tr>
          </w:tbl>
          <w:p/>
          <w:p>
            <w:pPr>
              <w:spacing w:before="0" w:after="0" w:line="240" w:lineRule="auto"/>
            </w:pP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color w:val="201B16"/>
          <w:sz w:val="21"/>
          <w:lang w:val="pt-BR" w:bidi="ar-SA"/>
          <w:kern w:val="16"/>
          <w14:ligatures w14:val="standardContextual"/>
        </w:rPr>
        <w:t>s percentuais indicados são meramente referenciais e dependem dos índices efetivamente apurados em cada período; IPCA (correção monetária) e os 2% a.a. (juros simples) não compõem taxa única somável de forma direta.</w:t>
      </w:r>
    </w:p>
    <w:p>
      <w:pPr>
        <w:spacing w:before="260" w:after="80" w:line="240" w:lineRule="auto"/>
        <w:jc w:val="left"/>
      </w:pPr>
      <w:r>
        <w:rPr>
          <w:rFonts w:ascii="EB Garamond" w:hAnsi="EB Garamond" w:cs="EB Garamond"/>
          <w:b/>
          <w:i w:val="0"/>
          <w:color w:val="3A3128"/>
          <w:sz w:val="25"/>
          <w:lang w:val="pt-BR" w:bidi="ar-SA"/>
          <w:kern w:val="16"/>
          <w14:ligatures w14:val="standardContextual"/>
        </w:rPr>
        <w:t>17.11.4 ADI 7873 — constitucionalidade da EC 136/2025</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EC 136/2025 é objeto da ADI 7873, ajuizada pela OAB, com relatoria do Min. Luiz Fux. Até junho de 2026, o STF não concedeu cautelar, e a EC 136 está em vigor. O magistrado deve aplicar o regime da EC 136 aos precatórios e RPVs expedidos a partir de setembro de 2025, ressalvando a possibilidade de alteração em caso de acolhimento da ADI.</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EC 136/2025 — Impacto nos valores das ações revisionais</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EC 136/2025 reduziu a remuneração dos créditos judiciais previdenciários. Antes (EC 113), a atualização seguia a SELIC integral; agora, segue o IPCA acrescido de juros simples de 2% a.a., limitada à SELIC do período. Em cenário de SELIC elevada, a diferença a favor do regime anterior é expressiva — a depender, em cada caso, da SELIC e do IPCA vigentes no período de apuração (lembrando que IPCA e os 2% obedecem a metodologias distintas e não compõem taxa única aplicável em bloco).</w:t>
            </w:r>
          </w:p>
          <w:p>
            <w:pPr>
              <w:spacing w:before="0" w:after="60" w:line="247" w:lineRule="auto"/>
              <w:jc w:val="both"/>
            </w:pPr>
            <w:r>
              <w:rPr>
                <w:rFonts w:ascii="EB Garamond" w:hAnsi="EB Garamond" w:cs="EB Garamond"/>
                <w:b/>
                <w:i w:val="0"/>
                <w:color w:val="201B16"/>
                <w:sz w:val="19"/>
                <w:lang w:val="pt-BR" w:bidi="ar-SA"/>
                <w:kern w:val="16"/>
                <w14:ligatures w14:val="standardContextual"/>
              </w:rPr>
              <w:t>Para o segurado:</w:t>
            </w:r>
            <w:r>
              <w:rPr>
                <w:rFonts w:ascii="EB Garamond" w:hAnsi="EB Garamond" w:cs="EB Garamond"/>
                <w:b w:val="0"/>
                <w:i w:val="0"/>
                <w:color w:val="201B16"/>
                <w:sz w:val="19"/>
                <w:lang w:val="pt-BR" w:bidi="ar-SA"/>
                <w:kern w:val="16"/>
                <w14:ligatures w14:val="standardContextual"/>
              </w:rPr>
              <w:t xml:space="preserve"> perda de valor real enquanto aguarda pagamento.</w:t>
            </w:r>
          </w:p>
          <w:p>
            <w:pPr>
              <w:spacing w:before="0" w:after="60" w:line="247" w:lineRule="auto"/>
              <w:jc w:val="both"/>
            </w:pPr>
            <w:r>
              <w:rPr>
                <w:rFonts w:ascii="EB Garamond" w:hAnsi="EB Garamond" w:cs="EB Garamond"/>
                <w:b/>
                <w:i w:val="0"/>
                <w:color w:val="201B16"/>
                <w:sz w:val="19"/>
                <w:lang w:val="pt-BR" w:bidi="ar-SA"/>
                <w:kern w:val="16"/>
                <w14:ligatures w14:val="standardContextual"/>
              </w:rPr>
              <w:t>Para o advogado:</w:t>
            </w:r>
            <w:r>
              <w:rPr>
                <w:rFonts w:ascii="EB Garamond" w:hAnsi="EB Garamond" w:cs="EB Garamond"/>
                <w:b w:val="0"/>
                <w:i w:val="0"/>
                <w:color w:val="201B16"/>
                <w:sz w:val="19"/>
                <w:lang w:val="pt-BR" w:bidi="ar-SA"/>
                <w:kern w:val="16"/>
                <w14:ligatures w14:val="standardContextual"/>
              </w:rPr>
              <w:t xml:space="preserve"> memória de cálculo deve aplicar três regimes distintos. Erros na transição entre regimes são causa frequente de impugnação.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Para o magistrado:</w:t>
            </w:r>
            <w:r>
              <w:rPr>
                <w:rFonts w:ascii="EB Garamond" w:hAnsi="EB Garamond" w:cs="EB Garamond"/>
                <w:b w:val="0"/>
                <w:i w:val="0"/>
                <w:color w:val="201B16"/>
                <w:sz w:val="19"/>
                <w:lang w:val="pt-BR" w:bidi="ar-SA"/>
                <w:kern w:val="16"/>
                <w14:ligatures w14:val="standardContextual"/>
              </w:rPr>
              <w:t xml:space="preserve"> a pendência da ADI 7873 não suspende a aplicação da EC 136.</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17.11.5 RPV e precatório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S</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e o valor total, por beneficiário, não excede 60 SM (R$ 97.260,00 em 2026; v. Nota na seção 17.1), pagamento por RPV (prazo de sessenta dias, na literalidade do art. 17 da Lei 10.259/2001). Se excede, precatório. O autor pode renunciar ao excedente para enquadrar em RPV — renúncia irrevogável.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Os honorários advocatícios, quando devidos, são requisitados em separado, em nome do advogado (art. 85, §14, CPC). A contribuição previdenciária incidente sobre as diferenças deve ser descontada antes da expedição da RPV.</w:t>
      </w:r>
    </w:p>
    <w:p>
      <w:pPr>
        <w:spacing w:before="260" w:after="80" w:line="240" w:lineRule="auto"/>
        <w:jc w:val="left"/>
      </w:pPr>
      <w:r>
        <w:rPr>
          <w:rFonts w:ascii="EB Garamond" w:hAnsi="EB Garamond" w:cs="EB Garamond"/>
          <w:b/>
          <w:i w:val="0"/>
          <w:color w:val="3A3128"/>
          <w:sz w:val="25"/>
          <w:lang w:val="pt-BR" w:bidi="ar-SA"/>
          <w:kern w:val="16"/>
          <w14:ligatures w14:val="standardContextual"/>
        </w:rPr>
        <w:t>17.11.6 Obrigação de fazer</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sentença revisional contém, em regra, obrigação de fazer: implantação da nova RMI. Essa obrigação é autônoma em relação ao crédito pecuniário. A sentença deve conter: (a) determinação de implantação, com indicação do valor ou da regra de cálculo; (b) prazo para cumprimento (usualmente trinta dias, sob pena de multa diária); (c) ressalva de observância do teto e dos reajustes posteriores. O INSS pode alegar dificuldades sistêmicas para alterar benefícios antigos; o magistrado deve fixar prazo razoável e multa cominatória proporcional.</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17.12 Prática: fluxo completo da ação revisional no JEF</w:t>
      </w:r>
    </w:p>
    <w:p>
      <w:pPr>
        <w:spacing w:before="260" w:after="80" w:line="240" w:lineRule="auto"/>
        <w:jc w:val="left"/>
      </w:pPr>
      <w:r>
        <w:rPr>
          <w:rFonts w:ascii="EB Garamond" w:hAnsi="EB Garamond" w:cs="EB Garamond"/>
          <w:b/>
          <w:i w:val="0"/>
          <w:color w:val="3A3128"/>
          <w:sz w:val="25"/>
          <w:lang w:val="pt-BR" w:bidi="ar-SA"/>
          <w:kern w:val="16"/>
          <w14:ligatures w14:val="standardContextual"/>
        </w:rPr>
        <w:t>17.12.1 Checklist do advogado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E</w:t>
      </w:r>
    </w:p>
    <w:p>
      <w:pPr>
        <w:spacing w:before="0" w:after="70" w:line="259" w:lineRule="auto"/>
        <w:jc w:val="both"/>
      </w:pPr>
      <w:r>
        <w:rPr>
          <w:rFonts w:ascii="EB Garamond" w:hAnsi="EB Garamond" w:cs="EB Garamond"/>
          <w:b/>
          <w:i w:val="0"/>
          <w:color w:val="201B16"/>
          <w:sz w:val="21"/>
          <w:lang w:val="pt-BR" w:bidi="ar-SA"/>
          <w:kern w:val="16"/>
          <w14:ligatures w14:val="standardContextual"/>
        </w:rPr>
        <w:t>tapa 1 — Identificar a tese.</w:t>
      </w:r>
      <w:r>
        <w:rPr>
          <w:rFonts w:ascii="EB Garamond" w:hAnsi="EB Garamond" w:cs="EB Garamond"/>
          <w:b w:val="0"/>
          <w:i w:val="0"/>
          <w:color w:val="201B16"/>
          <w:sz w:val="21"/>
          <w:lang w:val="pt-BR" w:bidi="ar-SA"/>
          <w:kern w:val="16"/>
          <w14:ligatures w14:val="standardContextual"/>
        </w:rPr>
        <w:t xml:space="preserve"> Analisar carta de concessão, CNIS e, se possível, CONBAS. Verificar se a tese é fundada em precedente vinculante.</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Etapa 2 — Verificar a decadência.</w:t>
      </w:r>
      <w:r>
        <w:rPr>
          <w:rFonts w:ascii="EB Garamond" w:hAnsi="EB Garamond" w:cs="EB Garamond"/>
          <w:b w:val="0"/>
          <w:i w:val="0"/>
          <w:color w:val="201B16"/>
          <w:sz w:val="21"/>
          <w:lang w:val="pt-BR" w:bidi="ar-SA"/>
          <w:kern w:val="16"/>
          <w14:ligatures w14:val="standardContextual"/>
        </w:rPr>
        <w:t xml:space="preserve"> DIB + 10 anos. Se expirou, verificar se a tese escapa à decadência (fato superveniente, fundo de direito). Atenção: a falta de apreciação administrativa da questão não afasta o prazo (Tema 975/STJ). Passo eliminatório.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Etapa 3 — Obter documentação.</w:t>
      </w:r>
      <w:r>
        <w:rPr>
          <w:rFonts w:ascii="EB Garamond" w:hAnsi="EB Garamond" w:cs="EB Garamond"/>
          <w:b w:val="0"/>
          <w:i w:val="0"/>
          <w:color w:val="201B16"/>
          <w:sz w:val="21"/>
          <w:lang w:val="pt-BR" w:bidi="ar-SA"/>
          <w:kern w:val="16"/>
          <w14:ligatures w14:val="standardContextual"/>
        </w:rPr>
        <w:t xml:space="preserve"> CNIS atualizado, carta de concessão, CONBAS, HISCREWEB. Prova de atividade especial ou rural, se for o caso.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Etapa 4 — Elaborar memória de cálculo comparativa.</w:t>
      </w:r>
      <w:r>
        <w:rPr>
          <w:rFonts w:ascii="EB Garamond" w:hAnsi="EB Garamond" w:cs="EB Garamond"/>
          <w:b w:val="0"/>
          <w:i w:val="0"/>
          <w:color w:val="201B16"/>
          <w:sz w:val="21"/>
          <w:lang w:val="pt-BR" w:bidi="ar-SA"/>
          <w:kern w:val="16"/>
          <w14:ligatures w14:val="standardContextual"/>
        </w:rPr>
        <w:t xml:space="preserve"> RMI revisada × RMI paga. Diferença mensal × 12 vincendas + diferenças vencidas (5 anos).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Etapa 5 — Calcular valor da causa e competência.</w:t>
      </w:r>
      <w:r>
        <w:rPr>
          <w:rFonts w:ascii="EB Garamond" w:hAnsi="EB Garamond" w:cs="EB Garamond"/>
          <w:b w:val="0"/>
          <w:i w:val="0"/>
          <w:color w:val="201B16"/>
          <w:sz w:val="21"/>
          <w:lang w:val="pt-BR" w:bidi="ar-SA"/>
          <w:kern w:val="16"/>
          <w14:ligatures w14:val="standardContextual"/>
        </w:rPr>
        <w:t xml:space="preserve"> Até 60 SM = JEF. Acima = avaliar renúncia ao excedente.</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Etapa 6 — Verificar prescrição quinquenal.</w:t>
      </w:r>
      <w:r>
        <w:rPr>
          <w:rFonts w:ascii="EB Garamond" w:hAnsi="EB Garamond" w:cs="EB Garamond"/>
          <w:b w:val="0"/>
          <w:i w:val="0"/>
          <w:color w:val="201B16"/>
          <w:sz w:val="21"/>
          <w:lang w:val="pt-BR" w:bidi="ar-SA"/>
          <w:kern w:val="16"/>
          <w14:ligatures w14:val="standardContextual"/>
        </w:rPr>
        <w:t xml:space="preserve"> Apenas diferenças dos últimos 5 anos.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Etapa 7 — Redigir a petição inicial.</w:t>
      </w:r>
      <w:r>
        <w:rPr>
          <w:rFonts w:ascii="EB Garamond" w:hAnsi="EB Garamond" w:cs="EB Garamond"/>
          <w:b w:val="0"/>
          <w:i w:val="0"/>
          <w:color w:val="201B16"/>
          <w:sz w:val="21"/>
          <w:lang w:val="pt-BR" w:bidi="ar-SA"/>
          <w:kern w:val="16"/>
          <w14:ligatures w14:val="standardContextual"/>
        </w:rPr>
        <w:t xml:space="preserve"> Incluir todos os elementos do checklist da seção 17.9.2.</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Etapa 8 — Avaliar tutela antecipada.</w:t>
      </w:r>
      <w:r>
        <w:rPr>
          <w:rFonts w:ascii="EB Garamond" w:hAnsi="EB Garamond" w:cs="EB Garamond"/>
          <w:b w:val="0"/>
          <w:i w:val="0"/>
          <w:color w:val="201B16"/>
          <w:sz w:val="21"/>
          <w:lang w:val="pt-BR" w:bidi="ar-SA"/>
          <w:kern w:val="16"/>
          <w14:ligatures w14:val="standardContextual"/>
        </w:rPr>
        <w:t xml:space="preserve"> Tema repetitivo + prova documental = tutela de evidência (art. 311, II, CPC). Urgência = tutela de urgência (art. 300).</w:t>
      </w:r>
    </w:p>
    <w:p>
      <w:pPr>
        <w:spacing w:before="260" w:after="80" w:line="240" w:lineRule="auto"/>
        <w:jc w:val="left"/>
      </w:pPr>
      <w:r>
        <w:rPr>
          <w:rFonts w:ascii="EB Garamond" w:hAnsi="EB Garamond" w:cs="EB Garamond"/>
          <w:b/>
          <w:i w:val="0"/>
          <w:color w:val="3A3128"/>
          <w:sz w:val="25"/>
          <w:lang w:val="pt-BR" w:bidi="ar-SA"/>
          <w:kern w:val="16"/>
          <w14:ligatures w14:val="standardContextual"/>
        </w:rPr>
        <w:t>17.12.2 Checklist do magistrado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F</w:t>
      </w:r>
    </w:p>
    <w:p>
      <w:pPr>
        <w:spacing w:before="0" w:after="70" w:line="259" w:lineRule="auto"/>
        <w:jc w:val="both"/>
      </w:pPr>
      <w:r>
        <w:rPr>
          <w:rFonts w:ascii="EB Garamond" w:hAnsi="EB Garamond" w:cs="EB Garamond"/>
          <w:b/>
          <w:i w:val="0"/>
          <w:color w:val="201B16"/>
          <w:sz w:val="21"/>
          <w:lang w:val="pt-BR" w:bidi="ar-SA"/>
          <w:kern w:val="16"/>
          <w14:ligatures w14:val="standardContextual"/>
        </w:rPr>
        <w:t>ase postulatória.</w:t>
      </w:r>
      <w:r>
        <w:rPr>
          <w:rFonts w:ascii="EB Garamond" w:hAnsi="EB Garamond" w:cs="EB Garamond"/>
          <w:b w:val="0"/>
          <w:i w:val="0"/>
          <w:color w:val="201B16"/>
          <w:sz w:val="21"/>
          <w:lang w:val="pt-BR" w:bidi="ar-SA"/>
          <w:kern w:val="16"/>
          <w14:ligatures w14:val="standardContextual"/>
        </w:rPr>
        <w:t xml:space="preserve"> (a) Competência: valor ≤ 60 SM? Renúncia, se necessário? (b) PI: tese identificada? Demonstração indiciária do erro? Memória de cálculo? (c) Decadência de ofício: se manifestamente atingida, extinguir com resolução do mérito (art. 487, II, CPC). (d) Citar INSS e determinar juntada de CONBAS/HISCREWEB (art. 11, Lei 10.259/2001).</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Fase instrutória.</w:t>
      </w:r>
      <w:r>
        <w:rPr>
          <w:rFonts w:ascii="EB Garamond" w:hAnsi="EB Garamond" w:cs="EB Garamond"/>
          <w:b w:val="0"/>
          <w:i w:val="0"/>
          <w:color w:val="201B16"/>
          <w:sz w:val="21"/>
          <w:lang w:val="pt-BR" w:bidi="ar-SA"/>
          <w:kern w:val="16"/>
          <w14:ligatures w14:val="standardContextual"/>
        </w:rPr>
        <w:t xml:space="preserve"> (a) Contestação: decadência genérica ou fundamentada? Impugnação específica do cálculo? (b) Remessa à contadoria, se necessário. (c) Provas adicionais (CNIS complementar, PA, testemunhal).</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Julgamento.</w:t>
      </w:r>
      <w:r>
        <w:rPr>
          <w:rFonts w:ascii="EB Garamond" w:hAnsi="EB Garamond" w:cs="EB Garamond"/>
          <w:b w:val="0"/>
          <w:i w:val="0"/>
          <w:color w:val="201B16"/>
          <w:sz w:val="21"/>
          <w:lang w:val="pt-BR" w:bidi="ar-SA"/>
          <w:kern w:val="16"/>
          <w14:ligatures w14:val="standardContextual"/>
        </w:rPr>
        <w:t xml:space="preserve"> (a) Enfrentar decadência antes do mérito. (b) Fixar regra de cálculo (sentença ilíquida). (c) Determinar implantação da RMI revisada. (d) Condenar o INSS às diferenças (prescrição quinquenal). (e) Correção e juros conforme o regime vigente em cada período.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Liquidação e execução.</w:t>
      </w:r>
      <w:r>
        <w:rPr>
          <w:rFonts w:ascii="EB Garamond" w:hAnsi="EB Garamond" w:cs="EB Garamond"/>
          <w:b w:val="0"/>
          <w:i w:val="0"/>
          <w:color w:val="201B16"/>
          <w:sz w:val="21"/>
          <w:lang w:val="pt-BR" w:bidi="ar-SA"/>
          <w:kern w:val="16"/>
          <w14:ligatures w14:val="standardContextual"/>
        </w:rPr>
        <w:t xml:space="preserve"> (a) Receber memória de cálculo ou remeter à contadoria. (b) Intimar INSS para impugnação. (c) Homologar cálculos. (d) Expedir RPV ou precatório. (e) Verificar implantação da RMI.</w:t>
      </w:r>
    </w:p>
    <w:p>
      <w:pPr>
        <w:spacing w:before="260" w:after="80" w:line="240" w:lineRule="auto"/>
        <w:jc w:val="left"/>
      </w:pPr>
      <w:r>
        <w:rPr>
          <w:rFonts w:ascii="EB Garamond" w:hAnsi="EB Garamond" w:cs="EB Garamond"/>
          <w:b/>
          <w:i w:val="0"/>
          <w:color w:val="3A3128"/>
          <w:sz w:val="25"/>
          <w:lang w:val="pt-BR" w:bidi="ar-SA"/>
          <w:kern w:val="16"/>
          <w14:ligatures w14:val="standardContextual"/>
        </w:rPr>
        <w:t>17.12.3 Modelos de dispositivo sentencial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Modelo 1 — Procedência total (revisão com implantação e diferenças)</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"Ante o exposto, julgo PROCEDENTE o pedido para: (a) condenar o INSS a revisar o benefício nº [NB], espécie [XX], recalculando o salário de benefício mediante [descrever a regra: soma integral dos salários de contribuição das atividades concomitantes / readequação ao teto das ECs 20/1998 e 41/2003 / inclusão do tempo especial/rural de [período]], com fixação de nova RMI a partir da DIB; (b) condenar o INSS ao pagamento das diferenças entre a RMI revisada e a RMI efetivamente paga, observada a prescrição quinquenal das parcelas anteriores a [data — 5 anos antes do ajuizamento]; (c) determinar ao INSS a implantação da nova RMI no prazo de 30 (trinta) dias, sob pena de multa diária de R$ 100,00, limitada a R$ 10.000,00; (d) correção monetária e juros conforme os regimes do IPCA-E + juros (até nov/2021), SELIC (dez/2021 a ago/2025) e IPCA + 2% a.a. (a partir de set/2025, EC 136/2025). Sem custas. Sem honorários advocatícios (art. 55, Lei 9.099/95). Sentença sujeita a recurso inominado. Publique-se."</w:t>
            </w:r>
          </w:p>
          <w:p>
            <w:pPr>
              <w:spacing w:before="0" w:after="60" w:line="247" w:lineRule="auto"/>
              <w:jc w:val="both"/>
            </w:pPr>
            <w:r>
              <w:rPr>
                <w:rFonts w:ascii="EB Garamond" w:hAnsi="EB Garamond" w:cs="EB Garamond"/>
                <w:b/>
                <w:i w:val="0"/>
                <w:color w:val="201B16"/>
                <w:sz w:val="19"/>
                <w:lang w:val="pt-BR" w:bidi="ar-SA"/>
                <w:kern w:val="16"/>
                <w14:ligatures w14:val="standardContextual"/>
              </w:rPr>
              <w:t>Modelo 2 — Procedência parcial (revisão com decadência parcial)</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"Ante o exposto, julgo PARCIALMENTE PROCEDENTE o pedido para: (a) reconhecer a decadência do direito de revisão quanto ao(s) parâmetro(s) [especificar], cujo prazo decenal expirou em [data]; (b) acolher o pedido quanto ao(s) parâmetro(s) [especificar], não atingido(s) pela decadência por se tratar de [fato superveniente à concessão / fundo de direito de trato sucessivo]; (c) condenar o INSS ao recálculo e ao pagamento das diferenças, observada a prescrição quinquenal; (d) determinar a implantação no prazo de 30 dias, sob pena de multa. Correção monetária e juros nos termos acima. Publique-se."</w:t>
            </w:r>
          </w:p>
          <w:p>
            <w:pPr>
              <w:spacing w:before="0" w:after="60" w:line="247" w:lineRule="auto"/>
              <w:jc w:val="both"/>
            </w:pPr>
            <w:r>
              <w:rPr>
                <w:rFonts w:ascii="EB Garamond" w:hAnsi="EB Garamond" w:cs="EB Garamond"/>
                <w:b/>
                <w:i w:val="0"/>
                <w:color w:val="201B16"/>
                <w:sz w:val="19"/>
                <w:lang w:val="pt-BR" w:bidi="ar-SA"/>
                <w:kern w:val="16"/>
                <w14:ligatures w14:val="standardContextual"/>
              </w:rPr>
              <w:t>Modelo 3 — Improcedência por decadência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"Ante o exposto, reconheço a decadência do direito de revisão do benefício nº [NB] (art. 103, caput, Lei 8.213/91) e julgo IMPROCEDENTE o pedido. O benefício foi concedido em [data da DIB], e o prazo decenal expirou em [data]. O caso não se enquadra nas hipóteses de não incidência da decadência (fato superveniente ou fundo de direito), pois [fundamentar], registrando-se que a falta de apreciação administrativa da questão não obsta o prazo (Tema 975/STJ). Sem custas. Sem honorários (art. 55, Lei 9.099/95). Publique-se."</w:t>
            </w:r>
          </w:p>
          <w:p>
            <w:pPr>
              <w:spacing w:before="0" w:after="60" w:line="247" w:lineRule="auto"/>
              <w:jc w:val="both"/>
            </w:pPr>
            <w:r>
              <w:rPr>
                <w:rFonts w:ascii="EB Garamond" w:hAnsi="EB Garamond" w:cs="EB Garamond"/>
                <w:b/>
                <w:i w:val="0"/>
                <w:color w:val="201B16"/>
                <w:sz w:val="19"/>
                <w:lang w:val="pt-BR" w:bidi="ar-SA"/>
                <w:kern w:val="16"/>
                <w14:ligatures w14:val="standardContextual"/>
              </w:rPr>
              <w:t>Modelo 4 — Improcedência por reversão da vida toda (Tema 1102)</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"Ante o exposto, julgo IMPROCEDENTE o pedido de revisão da vida toda, com fundamento na tese firmada pelo STF nos embargos de declaração do RE 1.276.977/RS (Tema 1.102): 'O segurado que se enquadra na regra de transição do art. 3º da Lei 9.876/1999 não pode optar pela regra definitiva do art. 29, I e II, da Lei 8.213/1991.' [Se ação ajuizada antes de 05/04/2024:] Sem condenação em honorários, custas e perícias, nos termos da modulação fixada pelo STF. [Se ação ajuizada após 05/04/2024:] Condeno a parte autora em honorários advocatícios de 10% sobre o valor atualizado da causa, com exigibilidade suspensa nos termos do art. 98, §3º, do CPC. Publique-se."</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17.12.4 Erros comuns a evitar</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prática revisional está sujeita a erros recorrentes. Identificamos os mais frequentes: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Erro 1 — Não verificar a decadência antes do ajuizamento.</w:t>
      </w:r>
      <w:r>
        <w:rPr>
          <w:rFonts w:ascii="EB Garamond" w:hAnsi="EB Garamond" w:cs="EB Garamond"/>
          <w:b w:val="0"/>
          <w:i w:val="0"/>
          <w:color w:val="201B16"/>
          <w:sz w:val="21"/>
          <w:lang w:val="pt-BR" w:bidi="ar-SA"/>
          <w:kern w:val="16"/>
          <w14:ligatures w14:val="standardContextual"/>
        </w:rPr>
        <w:t xml:space="preserve"> A verificação é o primeiro passo do checklist e deve ser eliminatória.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Erro 2 — Confundir decadência com prescrição.</w:t>
      </w:r>
      <w:r>
        <w:rPr>
          <w:rFonts w:ascii="EB Garamond" w:hAnsi="EB Garamond" w:cs="EB Garamond"/>
          <w:b w:val="0"/>
          <w:i w:val="0"/>
          <w:color w:val="201B16"/>
          <w:sz w:val="21"/>
          <w:lang w:val="pt-BR" w:bidi="ar-SA"/>
          <w:kern w:val="16"/>
          <w14:ligatures w14:val="standardContextual"/>
        </w:rPr>
        <w:t xml:space="preserve"> A decadência atinge o direito de revisar; a prescrição atinge as parcelas. O advogado que argumenta apenas contra a prescrição quando o INSS alega decadência perde o objeto da controvérsia. O magistrado que reconhece a prescrição quando deveria reconhecer a decadência comete erro técnico.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Erro 3 — Não apresentar memória de cálculo.</w:t>
      </w:r>
      <w:r>
        <w:rPr>
          <w:rFonts w:ascii="EB Garamond" w:hAnsi="EB Garamond" w:cs="EB Garamond"/>
          <w:b w:val="0"/>
          <w:i w:val="0"/>
          <w:color w:val="201B16"/>
          <w:sz w:val="21"/>
          <w:lang w:val="pt-BR" w:bidi="ar-SA"/>
          <w:kern w:val="16"/>
          <w14:ligatures w14:val="standardContextual"/>
        </w:rPr>
        <w:t xml:space="preserve"> A ação revisional sem demonstração numérica é ação sem substância. O magistrado não pode avaliar o impacto financeiro, e o INSS contesta genericamente.</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Erro 4 — Ignorar a modulação do Tema 1102.</w:t>
      </w:r>
      <w:r>
        <w:rPr>
          <w:rFonts w:ascii="EB Garamond" w:hAnsi="EB Garamond" w:cs="EB Garamond"/>
          <w:b w:val="0"/>
          <w:i w:val="0"/>
          <w:color w:val="201B16"/>
          <w:sz w:val="21"/>
          <w:lang w:val="pt-BR" w:bidi="ar-SA"/>
          <w:kern w:val="16"/>
          <w14:ligatures w14:val="standardContextual"/>
        </w:rPr>
        <w:t xml:space="preserve"> Nas ações de vida toda, o magistrado que aplica a improcedência sem observar a modulação (isenção de honorários para ações anteriores a 05/04/2024) prejudica o segurado.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Erro 5 — Aplicar regime de correção incorreto.</w:t>
      </w:r>
      <w:r>
        <w:rPr>
          <w:rFonts w:ascii="EB Garamond" w:hAnsi="EB Garamond" w:cs="EB Garamond"/>
          <w:b w:val="0"/>
          <w:i w:val="0"/>
          <w:color w:val="201B16"/>
          <w:sz w:val="21"/>
          <w:lang w:val="pt-BR" w:bidi="ar-SA"/>
          <w:kern w:val="16"/>
          <w14:ligatures w14:val="standardContextual"/>
        </w:rPr>
        <w:t xml:space="preserve"> SELIC para o período posterior a setembro de 2025 (quando deveria ser IPCA + 2%) ou IPCA-E para dezembro de 2021 a agosto de 2025 (quando deveria ser SELIC) gera impugnação e atrasa a liquidação.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Erro 6 — Não determinar a implantação da RMI revisada.</w:t>
      </w:r>
      <w:r>
        <w:rPr>
          <w:rFonts w:ascii="EB Garamond" w:hAnsi="EB Garamond" w:cs="EB Garamond"/>
          <w:b w:val="0"/>
          <w:i w:val="0"/>
          <w:color w:val="201B16"/>
          <w:sz w:val="21"/>
          <w:lang w:val="pt-BR" w:bidi="ar-SA"/>
          <w:kern w:val="16"/>
          <w14:ligatures w14:val="standardContextual"/>
        </w:rPr>
        <w:t xml:space="preserve"> A sentença que condena o INSS às diferenças sem determinar a implantação da nova RMI deixa o segurado desprotegido para o futuro.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Erro 7 — Não observar o limite de RPV.</w:t>
      </w:r>
      <w:r>
        <w:rPr>
          <w:rFonts w:ascii="EB Garamond" w:hAnsi="EB Garamond" w:cs="EB Garamond"/>
          <w:b w:val="0"/>
          <w:i w:val="0"/>
          <w:color w:val="201B16"/>
          <w:sz w:val="21"/>
          <w:lang w:val="pt-BR" w:bidi="ar-SA"/>
          <w:kern w:val="16"/>
          <w14:ligatures w14:val="standardContextual"/>
        </w:rPr>
        <w:t xml:space="preserve"> O cálculo que ultrapassa 60 SM sem renúncia ao excedente gera precatório, com prazo muito mais longo.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17.13 Síntese e quadros práticos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 quadros abaixo consolidam, em formato de consulta rápida, as informações distribuídas ao longo do capítulo.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5F3EF" w:val="clear"/>
            <w:tcBorders>
              <w:top w:val="single" w:sz="7" w:space="0" w:color="A09882"/>
              <w:bottom w:val="single" w:sz="7" w:space="0" w:color="A09882"/>
              <w:right w:val="single" w:sz="7" w:space="0" w:color="A09882"/>
              <w:left w:val="single" w:sz="24" w:space="0" w:color="6B6256"/>
            </w:tcBorders>
          </w:tcPr>
          <w:p>
            <w:pPr>
              <w:spacing w:before="0" w:after="60" w:line="240" w:lineRule="auto"/>
              <w:jc w:val="left"/>
            </w:pPr>
            <w:r>
              <w:rPr>
                <w:rFonts w:ascii="Noto Sans" w:hAnsi="Noto Sans" w:cs="Noto Sans"/>
                <w:b/>
                <w:i w:val="0"/>
                <w:caps/>
                <w:color w:val="6B6256"/>
                <w:sz w:val="16"/>
                <w:lang w:val="pt-BR" w:bidi="ar-SA"/>
                <w:kern w:val="16"/>
                <w14:ligatures w14:val="standardContextual"/>
              </w:rPr>
              <w:t>QUADRO</w:t>
            </w:r>
          </w:p>
          <w:p>
            <w:pPr>
              <w:spacing w:before="0" w:after="60" w:line="247" w:lineRule="auto"/>
              <w:jc w:val="both"/>
            </w:pPr>
            <w:r>
              <w:rPr>
                <w:rFonts w:ascii="EB Garamond" w:hAnsi="EB Garamond" w:cs="EB Garamond"/>
                <w:b/>
                <w:i w:val="0"/>
                <w:color w:val="201B16"/>
                <w:sz w:val="19"/>
                <w:lang w:val="pt-BR" w:bidi="ar-SA"/>
                <w:kern w:val="16"/>
                <w14:ligatures w14:val="standardContextual"/>
              </w:rPr>
              <w:t>Quadro 17.1 — Mapa das teses revisionais</w:t>
            </w:r>
          </w:p>
          <w:tbl>
            <w:tblPr>
              <w:tblW w:type="auto" w:w="0"/>
              <w:jc w:val="center"/>
              <w:tblLook w:firstColumn="1" w:firstRow="1" w:lastColumn="0" w:lastRow="0" w:noHBand="0" w:noVBand="1" w:val="04A0"/>
              <w:tblW w:w="5000" w:type="pct"/>
            </w:tblPr>
            <w:tblGrid>
              <w:gridCol w:w="1270"/>
              <w:gridCol w:w="1270"/>
              <w:gridCol w:w="1270"/>
              <w:gridCol w:w="1270"/>
              <w:gridCol w:w="1270"/>
            </w:tblGrid>
            <w:tr>
              <w:trPr>
                <w:tblHeader/>
              </w:trPr>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Tese</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Fundamento legal</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Tema repetitivo</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Decadência</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Viabilidade 2026</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Vida toda</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29 × art. 3º, Lei 9.876/99</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Tema 1102/STF</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10 anos (DIB)</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Encerrada (reversão nov/2025)</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Teto (ECs 20/98 e 41/03)</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14, EC 20; art. 5º, EC 41</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Tema 76/STF</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 se aplica</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Viável, volume decrescente</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Buraco Negro</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144, Lei 8.213/91</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 se aplica</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Residual (biológico)</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29, II (divisor)</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29, II, Lei 8.213/91</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10 anos (DIB), inclusive Tema 975</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Limitada</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Atividades concomitantes</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29 × art. 32, Lei 8.213/91</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Tema 1070/STJ</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10 anos (DIB), inclusive Tema 975</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Principal tese ativa</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Tempo especial</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Arts. 57-58, Lei 8.213/91</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Diversos</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10 anos (DIB), inclusive Tema 975</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Viável</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Tempo rural</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55, §3º, Lei 8.213/91</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10 anos (DIB), inclusive Tema 975</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Viável</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Desaposentação</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Tema 503/STF</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Encerrada (2016)</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Melhor DIB</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26, §2º, EC 103/2019</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Tema 966/STJ</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10 anos (DIB)</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Viável</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Reafirmação da DER</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29 + art. 493 CPC</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Tema 995/STJ</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Não se aplica</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Viável</w:t>
                  </w:r>
                </w:p>
              </w:tc>
            </w:tr>
          </w:tbl>
          <w:p/>
          <w:p>
            <w:pPr>
              <w:spacing w:before="0" w:after="0" w:line="240" w:lineRule="auto"/>
            </w:pPr>
          </w:p>
          <w:p>
            <w:pPr>
              <w:spacing w:before="0" w:after="60" w:line="247" w:lineRule="auto"/>
              <w:jc w:val="both"/>
            </w:pPr>
            <w:r>
              <w:rPr>
                <w:rFonts w:ascii="EB Garamond" w:hAnsi="EB Garamond" w:cs="EB Garamond"/>
                <w:b w:val="0"/>
                <w:i/>
                <w:color w:val="201B16"/>
                <w:sz w:val="19"/>
                <w:lang w:val="pt-BR" w:bidi="ar-SA"/>
                <w:kern w:val="16"/>
                <w14:ligatures w14:val="standardContextual"/>
              </w:rPr>
              <w:t>Quanto à Melhor DIB, o fundamento positivado (art. 26, §2º, EC 103/2019) e o precedente do Tema 966/STJ operam em planos temporais distintos: o Tema 966 é anterior à EC 103 e trata da decadência sobre o direito adquirido ao benefício mais vantajoso sob a sistemática pré-reforma, não interpretando a EC 103 (v. Seção 17.7.1).</w:t>
            </w: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5F3EF" w:val="clear"/>
            <w:tcBorders>
              <w:top w:val="single" w:sz="7" w:space="0" w:color="A09882"/>
              <w:bottom w:val="single" w:sz="7" w:space="0" w:color="A09882"/>
              <w:right w:val="single" w:sz="7" w:space="0" w:color="A09882"/>
              <w:left w:val="single" w:sz="24" w:space="0" w:color="6B6256"/>
            </w:tcBorders>
          </w:tcPr>
          <w:p>
            <w:pPr>
              <w:spacing w:before="0" w:after="60" w:line="240" w:lineRule="auto"/>
              <w:jc w:val="left"/>
            </w:pPr>
            <w:r>
              <w:rPr>
                <w:rFonts w:ascii="Noto Sans" w:hAnsi="Noto Sans" w:cs="Noto Sans"/>
                <w:b/>
                <w:i w:val="0"/>
                <w:caps/>
                <w:color w:val="6B6256"/>
                <w:sz w:val="16"/>
                <w:lang w:val="pt-BR" w:bidi="ar-SA"/>
                <w:kern w:val="16"/>
                <w14:ligatures w14:val="standardContextual"/>
              </w:rPr>
              <w:t>QUADRO</w:t>
            </w:r>
          </w:p>
          <w:p>
            <w:pPr>
              <w:spacing w:before="0" w:after="60" w:line="247" w:lineRule="auto"/>
              <w:jc w:val="both"/>
            </w:pPr>
            <w:r>
              <w:rPr>
                <w:rFonts w:ascii="EB Garamond" w:hAnsi="EB Garamond" w:cs="EB Garamond"/>
                <w:b/>
                <w:i w:val="0"/>
                <w:color w:val="201B16"/>
                <w:sz w:val="19"/>
                <w:lang w:val="pt-BR" w:bidi="ar-SA"/>
                <w:kern w:val="16"/>
                <w14:ligatures w14:val="standardContextual"/>
              </w:rPr>
              <w:t>Quadro 17.2 — Cronologia do Tema 1102/STF (Revisão da Vida Toda)</w:t>
            </w:r>
          </w:p>
          <w:tbl>
            <w:tblPr>
              <w:tblW w:type="auto" w:w="0"/>
              <w:jc w:val="center"/>
              <w:tblLook w:firstColumn="1" w:firstRow="1" w:lastColumn="0" w:lastRow="0" w:noHBand="0" w:noVBand="1" w:val="04A0"/>
              <w:tblW w:w="5000" w:type="pct"/>
            </w:tblPr>
            <w:tblGrid>
              <w:gridCol w:w="3175"/>
              <w:gridCol w:w="3175"/>
            </w:tblGrid>
            <w:tr>
              <w:trPr>
                <w:tblHeader/>
              </w:trPr>
              <w:tc>
                <w:tcPr>
                  <w:tcW w:type="dxa" w:w="3175"/>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Data</w:t>
                  </w:r>
                </w:p>
              </w:tc>
              <w:tc>
                <w:tcPr>
                  <w:tcW w:type="dxa" w:w="3175"/>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Evento</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01/12/2022</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Plenário julga procedente o RE 1.276.977 (6×5, após retificação de voto do Min. Nunes Marques). Tese: segurado pode optar pela regra definitiva.</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21/03/2024</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ADIs 2.110 e 2.111 julgadas — art. 3º da Lei 9.876/99 é constitucional e cogente.</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05/04/2024</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Publicação do acórdão das ADIs 2.110 e 2.111. Marco temporal da modulação.</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26/11/2025</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Embargos de declaração acolhidos com efeito infringente. Reversão integral.</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29/04/2026</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Publicação no DJe do acórdão dos embargos (reversão).</w:t>
                  </w:r>
                </w:p>
              </w:tc>
            </w:tr>
            <w:tr>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15/05/2026</w:t>
                  </w:r>
                </w:p>
              </w:tc>
              <w:tc>
                <w:tcPr>
                  <w:tcW w:type="dxa" w:w="3175"/>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Novos embargos sobre ampliação da modulação rejeitados (Plenário Virtual); retirado o destaque do Min. Fachin. Modulação mantida sem ampliação.</w:t>
                  </w:r>
                </w:p>
              </w:tc>
            </w:tr>
          </w:tbl>
          <w:p/>
          <w:p>
            <w:pPr>
              <w:spacing w:before="0" w:after="0" w:line="240" w:lineRule="auto"/>
            </w:pPr>
          </w:p>
          <w:p>
            <w:pPr>
              <w:spacing w:before="0" w:after="60" w:line="247" w:lineRule="auto"/>
              <w:jc w:val="both"/>
            </w:pPr>
            <w:r>
              <w:rPr>
                <w:rFonts w:ascii="EB Garamond" w:hAnsi="EB Garamond" w:cs="EB Garamond"/>
                <w:b w:val="0"/>
                <w:i/>
                <w:color w:val="201B16"/>
                <w:sz w:val="19"/>
                <w:lang w:val="pt-BR" w:bidi="ar-SA"/>
                <w:kern w:val="16"/>
                <w14:ligatures w14:val="standardContextual"/>
              </w:rPr>
              <w:t>O fundamento estável deste quadro são as ADIs 2.110 e 2.111 (constitucionalidade e cogência do art. 3º da Lei 9.876/1999, 2024). Os marcos de 2025-2026 (acolhimento dos embargos, publicação do acórdão e rejeição dos novos embargos) retratam o estado processual no fechamento da edição e estão sujeitos a alteração; confira-se o andamento atual do RE 1.276.977/RS no sítio do STF na data de leitura. V. Nota editorial na seção 17.3.1.</w:t>
            </w: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5F3EF" w:val="clear"/>
            <w:tcBorders>
              <w:top w:val="single" w:sz="7" w:space="0" w:color="A09882"/>
              <w:bottom w:val="single" w:sz="7" w:space="0" w:color="A09882"/>
              <w:right w:val="single" w:sz="7" w:space="0" w:color="A09882"/>
              <w:left w:val="single" w:sz="24" w:space="0" w:color="6B6256"/>
            </w:tcBorders>
          </w:tcPr>
          <w:p>
            <w:pPr>
              <w:spacing w:before="0" w:after="60" w:line="240" w:lineRule="auto"/>
              <w:jc w:val="left"/>
            </w:pPr>
            <w:r>
              <w:rPr>
                <w:rFonts w:ascii="Noto Sans" w:hAnsi="Noto Sans" w:cs="Noto Sans"/>
                <w:b/>
                <w:i w:val="0"/>
                <w:caps/>
                <w:color w:val="6B6256"/>
                <w:sz w:val="16"/>
                <w:lang w:val="pt-BR" w:bidi="ar-SA"/>
                <w:kern w:val="16"/>
                <w14:ligatures w14:val="standardContextual"/>
              </w:rPr>
              <w:t>QUADRO</w:t>
            </w:r>
          </w:p>
          <w:p>
            <w:pPr>
              <w:spacing w:before="0" w:after="60" w:line="247" w:lineRule="auto"/>
              <w:jc w:val="both"/>
            </w:pPr>
            <w:r>
              <w:rPr>
                <w:rFonts w:ascii="EB Garamond" w:hAnsi="EB Garamond" w:cs="EB Garamond"/>
                <w:b/>
                <w:i w:val="0"/>
                <w:color w:val="201B16"/>
                <w:sz w:val="19"/>
                <w:lang w:val="pt-BR" w:bidi="ar-SA"/>
                <w:kern w:val="16"/>
                <w14:ligatures w14:val="standardContextual"/>
              </w:rPr>
              <w:t>Quadro 17.3 — Regimes de correção monetária e juros</w:t>
            </w:r>
          </w:p>
          <w:tbl>
            <w:tblPr>
              <w:tblW w:type="auto" w:w="0"/>
              <w:jc w:val="center"/>
              <w:tblLook w:firstColumn="1" w:firstRow="1" w:lastColumn="0" w:lastRow="0" w:noHBand="0" w:noVBand="1" w:val="04A0"/>
              <w:tblW w:w="5000" w:type="pct"/>
            </w:tblPr>
            <w:tblGrid>
              <w:gridCol w:w="1270"/>
              <w:gridCol w:w="1270"/>
              <w:gridCol w:w="1270"/>
              <w:gridCol w:w="1270"/>
              <w:gridCol w:w="1270"/>
            </w:tblGrid>
            <w:tr>
              <w:trPr>
                <w:tblHeader/>
              </w:trPr>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Período</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Base normativa</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Índice de correção</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Juros de mora</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Observações</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Até nov/2021</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Tema 810/STF (RE 870.947)</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IPCA-E (condenações judiciais) / INPC (manutenção)</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0,5% a.m. (pré-Lei 11.960) ou poupança (pós-Lei 11.960)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Aplicação dual (correção + juros separados)</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Dez/2021 a ago/2025</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EC 113/2021, art. 3º</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SELIC (índice único)</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Englobados na SELIC</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Correção e juros em índice único</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 partir de set/2025</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EC 136/2025, art. 100, §12, CF</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IPCA + 2% a.a. (juros simples)</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Englobados</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Teto: soma não pode exceder a SELIC. ADI 7873 pendente.</w:t>
                  </w:r>
                </w:p>
              </w:tc>
            </w:tr>
          </w:tbl>
          <w:p/>
          <w:p>
            <w:pPr>
              <w:spacing w:before="0" w:after="0" w:line="240" w:lineRule="auto"/>
            </w:pPr>
          </w:p>
        </w:tc>
      </w:tr>
    </w:tbl>
    <w:p>
      <w:pPr>
        <w:spacing w:before="0" w:after="80" w:line="240" w:lineRule="auto"/>
      </w:pPr>
    </w:p>
    <w:p>
      <w:pPr>
        <w:sectPr>
          <w:headerReference w:type="default" r:id="rId171"/>
          <w:headerReference w:type="even" r:id="rId172"/>
          <w:footerReference w:type="default" r:id="rId173"/>
          <w:footerReference w:type="even" r:id="rId174"/>
          <w:headerReference w:type="first" r:id="rId175"/>
          <w:footerReference w:type="first" r:id="rId176"/>
          <w:pgSz w:w="8391" w:h="11906"/>
          <w:pgMar w:top="935" w:right="879" w:bottom="964" w:left="1162" w:header="454" w:footer="425" w:gutter="0" w:mirrorMargins="1"/>
          <w:cols w:space="720"/>
          <w:titlePg/>
          <w:docGrid w:linePitch="360"/>
        </w:sectPr>
      </w:pPr>
    </w:p>
    <w:p>
      <w:pPr>
        <w:spacing w:before="240" w:after="80" w:line="240" w:lineRule="auto"/>
        <w:jc w:val="center"/>
        <w:keepNext/>
      </w:pPr>
      <w:r>
        <w:rPr>
          <w:rFonts w:ascii="Noto Sans" w:hAnsi="Noto Sans" w:cs="Noto Sans"/>
          <w:b/>
          <w:i w:val="0"/>
          <w:caps/>
          <w:color w:val="8A6A2A"/>
          <w:sz w:val="19"/>
          <w:lang w:val="pt-BR" w:bidi="ar-SA"/>
          <w:kern w:val="16"/>
          <w14:ligatures w14:val="standardContextual"/>
        </w:rPr>
        <w:t>CAPÍTULO 18</w:t>
      </w:r>
    </w:p>
    <w:p>
      <w:pPr>
        <w:pStyle w:val="Heading2"/>
        <w:spacing w:before="0" w:after="160" w:line="240" w:lineRule="auto"/>
        <w:jc w:val="center"/>
        <w:keepNext/>
      </w:pPr>
      <w:r>
        <w:rPr>
          <w:rFonts w:ascii="EB Garamond" w:hAnsi="EB Garamond" w:cs="EB Garamond"/>
          <w:b/>
          <w:i w:val="0"/>
          <w:caps/>
          <w:color w:val="2F2923"/>
          <w:sz w:val="40"/>
          <w:lang w:val="pt-BR" w:bidi="ar-SA"/>
          <w:kern w:val="16"/>
          <w14:ligatures w14:val="standardContextual"/>
        </w:rPr>
        <w:t>Benefício de Prestação Continuada (LOAS/BPC)</w:t>
      </w:r>
    </w:p>
    <w:p>
      <w:pPr>
        <w:spacing w:before="0" w:after="240" w:line="240" w:lineRule="auto"/>
        <w:jc w:val="center"/>
      </w:pPr>
      <w:r>
        <w:rPr>
          <w:rFonts w:ascii="EB Garamond" w:hAnsi="EB Garamond" w:cs="EB Garamond"/>
          <w:b w:val="0"/>
          <w:i w:val="0"/>
          <w:color w:val="B78B37"/>
          <w:sz w:val="18"/>
          <w:lang w:val="pt-BR" w:bidi="ar-SA"/>
          <w:kern w:val="16"/>
          <w14:ligatures w14:val="standardContextual"/>
        </w:rPr>
        <w:t>━━━━  ◆  ━━━━</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Benefício de Prestação Continuada (BPC), previsto no art. 203, inciso V, da Constituição Federal e regulamentado pela Lei n. 8.742, de 7 de dezembro de 1993 (Lei Orgânica da Assistência Social — LOAS), ocupa posição singular no sistema de proteção social brasileiro. Embora vinculado operacionalmente ao INSS, que o concede e mantém, o BPC não integra o regime previdenciário contributivo. Sua natureza é assistencial: destina-se a garantir um salário-mínimo mensal à pessoa com deficiência e ao idoso que comprovem não possuir meios de prover a própria manutenção nem de tê-la provida por sua família. A distinção entre assistência social e previdência social, que estrutura a seguridade social brasileira desde a Constituição de 1988, reflete-se em cada aspecto do BPC, desde a dispensabilidade de contribuições prévias até o regime probatório nos Juizados Especiais Federais.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BPC constitui, na prática forense dos JEFs, um dos benefícios mais demandados. A combinação de requisitos subjetivos (deficiência ou idade avançada) e objetivos (miserabilidade) gera volume expressivo de controvérsias que envolvem avaliação pericial, análise socioeconômica e interpretação de critérios legais cuja constitucionalidade foi questionada e redefinida pelo Supremo Tribunal Federal. O exame desse benefício exige do magistrado e do advogado domínio simultâneo de direito constitucional, legislação assistencial, jurisprudência consolidada e técnicas de instrução processual adaptadas à realidade dos requerentes, em geral pessoas em situação de extrema vulnerabilidade social.</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18.1 Fundamento constitucional e natureza jurídica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Constituição de 1988 organizou a seguridade social em três pilares: saúde (art. 196), previdência social (art. 201) e assistência social (art. 203). Enquanto a previdência social opera sob regime contributivo e de filiação obrigatória, a assistência social é prestada a quem dela necessitar, independentemente de contribuição (art. 203, caput). O BPC encontra fundamento direto no art. 203, inciso V, que assegura "a garantia de um salário mínimo de benefício mensal à pessoa portadora de deficiência e ao idoso que comprovem não possuir meios de prover à própria manutenção ou de tê-la provida por sua família, conforme dispuser a lei".</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expressão "pessoa portadora de deficiência", utilizada no texto constitucional, foi superada pela Convenção sobre os Direitos das Pessoas com Deficiência (Decreto n. 6.949/2009, com status de emenda constitucional) e pelo Estatuto da Pessoa com Deficiência (Lei n. 13.146/2015), que adotam "pessoa com deficiência". A manutenção da expressão original é obrigatória na citação do dispositivo constitucional, mas a terminologia atualizada é empregada ao longo de toda esta obra.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Essa localização constitucional produz consequências jurídicas relevantes. A primeira é a dispensabilidade de contribuições: o BPC não exige filiação prévia ao RGPS, período de carência ou qualidade de segurado. Trata-se de prestação devida pelo Estado a qualquer pessoa que preencha os requisitos constitucionais, independentemente de ter exercido atividade remunerada ou recolhido contribuições previdenciárias ao longo da vida. A segunda consequência é o valor fixo: o BPC corresponde sempre a um salário-mínimo, sem possibilidade de majoração por tempo de contribuição, fator previdenciário ou qualquer outro critério atuarial. A terceira é a intransmissibilidade por morte: o BPC é personalíssimo e se extingue com o falecimento do beneficiário, não gerando direito à pensão por morte para dependentes.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natureza assistencial do BPC não o torna benefício de menor dignidade jurídica. O art. 203, inciso V, veicula direito fundamental social de aplicação direta, e não mera norma programática. O Supremo Tribunal Federal reconheceu, em diversas oportunidades, a eficácia plena do dispositivo constitucional, vedando interpretações restritivas que esvaziem seu conteúdo. A assistência social, nos termos do art. 194 da Constituição, integra a seguridade social ao lado da previdência e da saúde, compartilhando os mesmos princípios de universalidade da cobertura, seletividade e distributividade na prestação dos benefícios.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BPC tampouco se confunde com programas de transferência de renda de natureza infraconstitucional, como o Bolsa Família (reinstituído pela Lei n. 14.601/2023). Enquanto os programas de transferência de renda são criados e extintos por decisão legislativa ordinária, o BPC tem sede constitucional e somente poderia ser suprimido por emenda constitucional, com os limites impostos pelo art. 60, § 4º, da Constituição (cláusulas pétreas). Há debate doutrinário sobre se o BPC constitui cláusula pétrea em si, na medida em que concretiza o princípio da dignidade da pessoa humana (art. 1º, III) e os objetivos fundamentais da República de erradicar a pobreza e reduzir as desigualdades sociais (art. 3º, III). Entendemos que, embora a supressão integral do BPC seja vedada pelo núcleo intangível da Constituição, a alteração de seus critérios e parâmetros permanece no âmbito da conformação legislativa, desde que preservado o conteúdo essencial do direito à assistência social.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BPC não gera direito a abono anual (13º salário). A Lei n. 8.742/93 não prevê o pagamento de parcela adicional ao beneficiário, diferentemente do que ocorre com os benefícios previdenciários (art. 40 da Lei n. 8.213/91). A ausência de 13º salário é consequência direta da natureza assistencial: o abono anual é prestação previdenciária prevista no art. 40 da Lei n. 8.213/91, inaplicável a benefícios assistenciais. Advogados devem atentar para essa diferença ao calcular os valores devidos em ações de concessão ou restabelecimento do BPC.</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18.2 Evolução legislativa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proteção assistencial a idosos e pessoas com deficiência em situação de vulnerabilidade não é inovação da Constituição de 1988, embora esta tenha inaugurado o modelo atual. A renda mensal vitalícia (RMV), instituída pela Lei n. 6.179/1974, já assegurava meio salário-mínimo a maiores de 70 anos ou inválidos, sem exigência de contribuição. A RMV, porém, era restrita a quem tivesse exercido atividade abrangida pelo RGPS, configurando benefício de natureza híbrida entre assistência e previdência.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Constituição de 1988 rompeu com esse modelo ao criar o BPC como direito de natureza puramente assistencial, desvinculado de qualquer vínculo previdenciário anterior. A regulamentação, entretanto, demorou cinco anos. A Lei n. 8.742/93 (LOAS) disciplinou o BPC em seus arts. 20 e 21, estabelecendo os requisitos para concessão e fixando o critério de miserabilidade em renda per capita familiar inferior a um quarto do salário-mínimo. O benefício somente começou a ser efetivamente concedido em 1º de janeiro de 1996, após regulamentação por decreto.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art. 20 da LOAS, em sua redação original, definia pessoa com deficiência como "aquela incapacitada para a vida independente e para o trabalho". Essa definição, de caráter estritamente biomédico, foi objeto de intensa crítica doutrinária e jurisprudencial. A Súmula 29 da TNU (anterior à alteração legislativa) já havia expandido a interpretação, consignando que a "condição de incapacidade para a vida independente" não deveria ser interpretada como impossibilidade de exercer atos básicos da vida diária, mas como limitação que impede a inserção social e laborativa em condições de igualdade.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Lei n. 12.435/2011 promoveu alterações significativas na LOAS, redefinindo o conceito de pessoa com deficiência para fins do BPC. O novo art. 20, § 2º, passou a considerar pessoa com deficiência "aquela que tem impedimento de longo prazo de natureza física, mental, intelectual ou sensorial, o qual, em interação com uma ou mais barreiras, pode obstruir sua participação plena e efetiva na sociedade em igualdade de condições com as demais pessoas". Essa definição, alinhada à Convenção Internacional sobre os Direitos das Pessoas com Deficiência (Decreto n. 6.949/2009, com status de emenda constitucional), superou o modelo biomédico e adotou o modelo social de deficiência, que analisa a limitação funcional do indivíduo em interação com as barreiras ambientais e sociais.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Lei n. 13.146/2015 (Estatuto da Pessoa com Deficiência) reforçou essa transição conceitual, reproduzindo a definição convencional em seu art. 2º. A convergência conceitual entre a LOAS, a CDPD e o Estatuto consolidou o modelo biopsicossocial como paradigma obrigatório para a avaliação da deficiência no âmbito do BPC. A evolução do conceito de deficiência no direito brasileiro, desde a CDPD até a Lei n. 13.146/2015, é analisada no Capítulo 6 deste livro; aqui, examinamos apenas as alterações legislativas específicas do BPC (LOAS, Lei n. 14.176/2021).</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Marco intermediário relevante foi a Lei n. 13.982, de 2 de abril de 2020. Editada no enfrentamento da pandemia de COVID-19, ela acresceu ao art. 20 da LOAS os §§ 11, 14 e 15: o § 11 abriu caminho para a ampliação do critério de renda mediante outros elementos probatórios da miserabilidade; o § 14 fixou o rol de parcelas excluídas do cálculo da renda mensal bruta familiar (examinado em detalhe na seção 18.11); e o § 15 vedou o cômputo, na renda familiar, do BPC já concedido a outro membro idoso ou com deficiência. Embora concebidas em contexto emergencial, essas inovações consolidaram-se em caráter permanente no regime do benefício, servindo de base normativa às alterações subsequentes.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Lei n. 14.176, de 22 de junho de 2021, representou alteração legislativa de grande impacto. Dentre suas inovações, destacam-se: (a) a criação do art. 20-B na LOAS, que autorizou o Poder Executivo a ampliar o critério de renda per capita para até meio salário-mínimo, condicionado a regulamentação que considere fatores de vulnerabilidade (grau de deficiência, dependência de terceiros, gastos com medicamentos e tratamentos); (b) a previsão de avaliação biopsicossocial unificada para fins do BPC; (c) a revisão dos critérios de composição do grupo familiar para fins de aferição da renda; e (d) a consolidação e o aperfeiçoamento do regime de exclusões de renda introduzido pela Lei n. 13.982/2020.</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Legislação ainda mais recente trouxe novas modificações. A Lei n. 15.077/2024 e a Lei n. 15.226/2025 alteraram dispositivos da LOAS relativos ao procedimento de concessão e revisão do BPC. O Decreto n. 12.686/2025 regulamentou aspectos procedimentais da avaliação biopsicossocial. A Portaria MDS/MPS/INSS n. 33/2025 disciplinou o procedimento de reavaliação biopsicossocial do BPC. Essa intensa produção normativa reflete a centralidade do BPC na política de proteção social brasileira e a permanente tensão entre a universalização do direito assistencial e as restrições fiscais que condicionam sua expansão.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18.3 Distinção entre benefício assistencial e previdenciário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distinção entre o BPC e os benefícios previdenciários repercute em múltiplos aspectos da prática forense e merece exame detalhado. Embora operacionalmente administrados pela mesma autarquia (INSS), assistência social e previdência social obedecem a lógicas distintas.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benefício previdenciário pressupõe filiação ao RGPS, recolhimento de contribuições (salvo exceções expressas, como a aposentadoria do segurado especial) e cumprimento de período de carência. O BPC prescinde de todos esses elementos. O requerente do BPC pode jamais ter exercido atividade remunerada, jamais ter recolhido qualquer contribuição previdenciária e, ainda assim, fazer jus ao benefício, desde que preencha os requisitos constitucionais de deficiência ou idade avançada cumulados com miserabilidade.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valor do benefício previdenciário é calculado com base no salário de contribuição do segurado, podendo variar entre o piso (salário-mínimo) e o teto do RGPS. O BPC corresponde invariavelmente a um salário-mínimo, sem qualquer indexação ao histórico contributivo do beneficiário. Esse aspecto produz consequência prática significativa: segurados que possuem direito simultaneamente a benefício previdenciário e ao BPC devem avaliar qual prestação é mais vantajosa, sendo vedada a acumulação.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benefício previdenciário gera direito a abono anual (13º salário) e, em caso de falecimento do segurado, pode converter-se em pensão por morte para os dependentes. O BPC, por sua natureza assistencial e personalíssima, não gera nenhum desses efeitos. A morte do beneficiário extingue o BPC, sem que se transmita aos familiares qualquer parcela.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Na prática dos JEFs, a distinção entre BPC e benefícios previdenciários por incapacidade manifesta-se com frequência no pedido alternativo. É comum que a petição inicial formule pedido principal de aposentadoria por incapacidade permanente (ou auxílio por incapacidade temporária) e, subsidiariamente, pedido de concessão do BPC, quando o requerente demonstra deficiência associada a miserabilidade. A fungibilidade entre essas pretensões é admitida pela jurisprudência (TNU Tema 217), conforme examinaremos na seção 18.21. A estratégia é especialmente relevante quando o segurado não preenche os requisitos previdenciários (carência, qualidade de segurado), mas atende aos pressupostos assistenciais.</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competência para o processamento e julgamento das ações envolvendo o BPC é da Justiça Federal, com delegação de competência ao juízo estadual nos termos do art. 109, § 3º, da Constituição Federal, quando a comarca não for sede de vara federal. Nos JEFs, a competência é plena, desde que o valor da causa não exceda 60 salários-mínimos. Diferentemente dos benefícios previdenciários por acidente do trabalho (competência da Justiça Estadual), o BPC é processado perante a Justiça Federal porque o INSS figura como réu na condição de autarquia federal gestora do benefício, ainda que a assistência social seja matéria de competência comum (art. 23, II, CF/88).</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18.4 Requisitos para concessão: visão geral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concessão do BPC exige o preenchimento cumulativo de dois requisitos: (a) requisito subjetivo, consistente na condição de pessoa idosa (65 anos ou mais) ou pessoa com deficiência (impedimento de longo prazo); e (b) requisito objetivo, consistente na hipossuficiência econômica do requerente e de seu grupo familiar (renda per capita inferior ao limite legal). A ausência de qualquer desses requisitos impede a concessão do benefício.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art. 20 da LOAS, com as alterações promovidas pelas Leis n. 12.435/2011, n. 12.470/2011, n. 13.146/2015 e n. 14.176/2021, disciplina os requisitos de forma detalhada. A interpretação desses requisitos, contudo, não se esgota na literalidade da lei: a jurisprudência do STF, do STJ e da TNU construiu camada densa de entendimentos que, em muitos pontos, supera a rigidez dos critérios legais para garantir a efetividade do direito constitucional à assistência social.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nacionalidade brasileira não constitui requisito do BPC. O STF, no julgamento do RE 587.970/SP (Tema 173 da repercussão geral, DJe 22/09/2017), fixou que os estrangeiros residentes no País são beneficiários da assistência social prevista no art. 203, V, da Constituição Federal, uma vez preenchidos os requisitos constitucionais e legais. O fundamento da decisão repousa na universalidade da seguridade social e na dignidade da pessoa humana, que não admitem distinção de nacionalidade para fins de proteção contra a vulnerabilidade extrema. Esse entendimento vinculante afasta qualquer recusa do INSS baseada exclusivamente na condição de estrangeiro do requerente.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residência no território nacional é requisito implícito, derivado da própria natureza do sistema de assistência social brasileiro. O BPC destina-se a pessoas que vivem em solo brasileiro e se encontram submetidas às condições socioeconômicas do país. Brasileiros residentes no exterior não fazem jus ao benefício, pois não se encontram sob a jurisdição do sistema de assistência social nacional.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Examinaremos cada requisito separadamente nas seções seguintes, dedicando atenção especial aos pontos de tensão entre a norma legal e a interpretação judicial, e às consequências práticas dessa tensão nos JEFs.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18.5 Requisito subjetivo: pessoa idosa (65 anos ou mais)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idade mínima para o BPC ao idoso é de 65 anos, tanto para homens quanto para mulheres. Esse patamar, consolidado pelo art. 34 do Estatuto do Idoso (Lei n. 10.741/2003), superou o critério anterior de 67 anos e, antes dele, o de 70 anos. A redução decorreu do cronograma escalonado previsto no próprio art. 38 da LOAS (Lei n. 8.742/1993), que fixou o patamar inicial de 70 anos e, em sua redação dada pela Lei n. 9.720/1998, antecipou a redução para 67 anos. Não se tratou, portanto, de patamar criado isoladamente pela Lei n. 9.720/1998, mas da implementação de etapa do cronograma legal de redução etária, posteriormente concluído pelo Estatuto do Idoso ao estabelecer os 65 anos. A evolução reflete a progressiva ampliação do acesso ao benefício assistencial, em consonância com o envelhecimento populacional brasileiro e o reconhecimento de que a vulnerabilidade da pessoa idosa não deve ser condicionada a idades excessivamente elevadas.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fixação de critério etário único para homens e mulheres, no âmbito do BPC, contrasta com a diferenciação etária da aposentadoria voluntária (65 anos para homens, 62 para mulheres, nos termos do art. 201, § 7º, I, da CF/88, com redação da EC 103/2019). Essa diferença decorre da natureza distinta dos benefícios: a aposentadoria pressupõe contribuição e vincula-se ao histórico laboral, que justifica a diferenciação em razão da dupla jornada feminina; o BPC é prestação assistencial fundada exclusivamente na vulnerabilidade, cujo critério etário foi fixado pelo legislador infraconstitucional sem distinção de gênero.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comprovação da idade é feita por documento de identidade, certidão de nascimento ou qualquer documento idôneo. Na prática dos JEFs, a questão raramente gera controvérsia, salvo em hipóteses de registro civil tardio ou inexistente, comuns em regiões rurais. Nesses casos, admite-se a comprovação por prova testemunhal e documental indireta, aplicando-se por analogia a jurisprudência sobre retificação de idade em benefícios previdenciários.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BPC ao idoso dispensa qualquer avaliação de deficiência. A mera comprovação da idade (65 anos ou mais) e da miserabilidade é suficiente para a concessão. A pessoa idosa que também seja pessoa com deficiência pode requerer o BPC por qualquer dos fundamentos (idade ou deficiência), devendo-se verificar qual é mais vantajoso para fins de manutenção do benefício e de eventual acumulação com auxílio-inclusão, que se restringe ao BPC por deficiência.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art. 34, parágrafo único, do Estatuto do Idoso (Lei n. 10.741/2003) dispunha que o benefício de BPC já concedido a qualquer membro idoso da família não seria computado para fins de cálculo da renda per capita familiar na concessão de novo BPC a outro idoso do mesmo grupo familiar. Essa regra criava tratamento diferenciado: enquanto o BPC de idoso era excluído do cálculo, o BPC de pessoa com deficiência do mesmo grupo familiar continuava sendo computado. O STF, no julgamento do RE 580.963 (Tema 312 da repercussão geral), declarou a inconstitucionalidade do parágrafo único do art. 34 do Estatuto do Idoso por entender que a distinção entre idosos e pessoas com deficiência violava o princípio da isonomia. A questão foi superada no plano legislativo pelas alterações do art. 20 da LOAS — introduzidas pela Lei n. 13.982/2020 (§§ 14 e 15) e consolidadas pela Lei n. 14.176/2021 —, que determinaram a exclusão, do cálculo da renda per capita, de qualquer benefício assistencial ou previdenciário de até um salário-mínimo recebido por membro idoso ou com deficiência do grupo familiar.</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18.6 Requisito subjetivo: pessoa com deficiência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conceito de deficiência para fins do BPC sofreu profunda transformação nas últimas décadas, migrando de um modelo estritamente biomédico para o modelo biopsicossocial. A redação original do art. 20, § 2º, da LOAS definia como pessoa com deficiência "aquela incapacitada para a vida independente e para o trabalho". Essa definição, que exigia incapacidade total e absoluta, foi progressivamente superada pela jurisprudência e, depois, pela própria legislação.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Convenção Internacional sobre os Direitos das Pessoas com Deficiência (CDPD), aprovada pelo Decreto Legislativo n. 186/2008 e promulgada pelo Decreto n. 6.949/2009, possui status de emenda constitucional nos termos do art. 5º, § 3º, da Constituição Federal. Seu art. 1º define que "pessoas com deficiência são aquelas que têm impedimentos de longo prazo de natureza física, mental, intelectual ou sensorial, os quais, em interação com diversas barreiras, podem obstruir sua participação plena e efetiva na sociedade em igualdades de condições com as demais pessoas". Essa definição, de hierarquia constitucional, vincula a interpretação de toda a legislação infraconstitucional sobre a matéria.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Lei n. 12.435/2011 adequou o art. 20, § 2º, da LOAS à CDPD, definindo pessoa com deficiência como "aquela que tem impedimento de longo prazo de natureza física, mental, intelectual ou sensorial, o qual, em interação com uma ou mais barreiras, pode obstruir sua participação plena e efetiva na sociedade em igualdade de condições com as demais pessoas". A convergência entre a LOAS, a CDPD e o Estatuto da Pessoa com Deficiência (Lei n. 13.146/2015) consolidou o paradigma biopsicossocial como marco conceitual obrigatório.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nova definição legal exige três elementos cumulativos: (i) impedimento de longo prazo; (ii) de natureza física, mental, intelectual ou sensorial; (iii) que, em interação com barreiras, obstrua a participação plena e efetiva na sociedade em igualdade de condições. A análise da deficiência para fins do BPC deixou de ser exclusivamente médica (existe ou não limitação funcional?) e passou a incorporar dimensões sociais, ambientais e contextuais (as barreiras do ambiente impedem a participação social da pessoa?).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TNU, Súmula 29</w:t>
            </w:r>
            <w:r>
              <w:rPr>
                <w:rFonts w:ascii="EB Garamond" w:hAnsi="EB Garamond" w:cs="EB Garamond"/>
                <w:b w:val="0"/>
                <w:i w:val="0"/>
                <w:color w:val="201B16"/>
                <w:sz w:val="19"/>
                <w:lang w:val="pt-BR" w:bidi="ar-SA"/>
                <w:kern w:val="16"/>
                <w14:ligatures w14:val="standardContextual"/>
              </w:rPr>
              <w:t>: "Para os efeitos do art. 20, § 2º, da Lei n. 8.742, de 1993, incapacidade para a vida independente não é só aquela que impede as atividades mais elementares da pessoa, mas também a que impossibilita de prover ao próprio sustento." Embora anterior à mudança legislativa, a Súmula 29 representou o primeiro passo da jurisprudência na superação do modelo biomédico puro. O entendimento de que a incapacidade para a vida independente abrange a impossibilidade de inserção social e laborativa antecipou, no plano jurisprudencial, a transição conceitual que a Lei n. 12.435/2011 viria a positivar.</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adoção do modelo biopsicossocial não significa que qualquer limitação funcional configure deficiência para fins do BPC. O impedimento deve ser de longo prazo (examinado na seção 18.8) e deve, em interação com as barreiras concretas que cercam o requerente, obstruir efetivamente sua participação social. Uma pessoa com limitação física leve que disponha de ambiente acessível, apoio familiar adequado e oportunidades de inclusão pode não preencher o requisito, ao passo que uma pessoa com a mesma limitação, inserida em contexto de barreiras arquitetônicas, estigma social e ausência de serviços, poderá preenchê-lo. A avaliação é contextual e individualizada, o que torna a perícia biopsicossocial ferramenta central na instrução das ações de BPC nos JEFs.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18.7 Avaliação da deficiência: modelo biopsicossocial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avaliação da deficiência para fins do BPC deve observar o modelo biopsicossocial, conforme determinam o art. 20, § 6º, da LOAS e o art. 2º, § 1º, da Lei n. 13.146/2015 (Estatuto da Pessoa com Deficiência). Esse modelo, fundamentado na Classificação Internacional de Funcionalidade, Incapacidade e Saúde (CIF), da Organização Mundial da Saúde (OMS), analisa a deficiência a partir da interação entre as limitações funcionais do indivíduo e as barreiras impostas pelo ambiente.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CIF organiza a análise em cinco dimensões: funções do corpo, estruturas do corpo, atividades e participação, fatores ambientais e fatores pessoais. Para o procedimento pericial geral em benefícios por incapacidade com base no modelo biopsicossocial, remetemos ao Capítulo 6 deste livro. Aqui, destacamos as especificidades da perícia para o BPC.</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esfera administrativa, o INSS utiliza, desde 2009, instrumento próprio que combina perícia médica com avaliação do serviço social. No âmbito judicial, a perícia para o BPC deve ser mais abrangente do que a perícia destinada a benefícios por incapacidade: não basta verificar se existe doença ou limitação funcional, mas se essa limitação, no contexto de vida do requerente, obstrui sua participação social plena. É imprescindível que os quesitos formulados pelo juízo contemplem não apenas aspectos clínicos, mas também a avaliação funcional e contextual.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Na formulação de quesitos para perícia judicial em ações de BPC, recomendamos incluir, além dos quesitos médicos tradicionais (diagnóstico, CID-10, tratamento): (a) qual o grau de limitação funcional do periciando para atividades da vida diária (alimentação, higiene, locomoção, comunicação)?; (b) a limitação impede ou restringe a inserção no mercado de trabalho, considerando escolaridade, qualificação profissional e faixa etária?; (c) a limitação tende a perdurar por prazo igual ou superior a dois anos?; (d) existem barreiras (ambientais, sociais, atitudinais) que agravam o impacto da limitação?; (e) o periciando necessita de assistência permanente ou intermitente de outra pessoa para atividades essenciais? Esses quesitos orientam o perito a produzir laudo compatível com o modelo biopsicossocial e fornecem ao juiz elementos para decisão fundamentada.</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Conselho Nacional de Justiça (CNJ) avançou na padronização da avaliação biopsicossocial em processos judiciais. A Resolução CNJ n. 630, de 29 de julho de 2025, instituiu o Instrumento Unificado de Avaliação Biopsicossocial no sistema SisPerJud, com obrigatoriedade prevista a partir de 2 de março de 2026 para todos os pedidos judiciais de BPC de pessoa com deficiência. O instrumento fundamenta-se na CIF/OMS e estrutura a avaliação em três domínios: (a) funções e estruturas do corpo; (b) atividades e participação; (c) fatores ambientais. A padronização reduz a subjetividade inerente ao modelo anterior, em que cada perito aplicava critérios próprios de avaliação funcional, e promove isonomia entre requerentes de diferentes regiões. Como se trata de marco prospectivo, condicionado à efetiva implantação do sistema e a eventual regulamentação complementar, recomendamos ao leitor verificar, na data de leitura, se a obrigatoriedade do Instrumento Unificado/SisPerJud entrou efetivamente em vigor na data indicada ou foi objeto de prorrogação.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Lei n. 14.176/2021 previu, em seu art. 2º-A, a instituição de instrumento de avaliação biopsicossocial unificado para a aferição da deficiência em todo o sistema de proteção social, não apenas para o BPC. A regulamentação desse instrumento, a cargo do Poder Executivo, envolve a definição de domínios de avaliação, escalas de funcionalidade e protocolos de aplicação. A Portaria MDS/MPS/INSS n. 33/2025 disciplinou aspectos procedimentais da reavaliação biopsicossocial do BPC, estabelecendo cronograma e critérios para a revisão periódica dos benefícios ativos.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18.8 Impedimento de longo prazo: critérios e controvérsias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20, § 2º, da LOAS exige que o impedimento seja "de longo prazo". O § 10 do mesmo artigo, incluído pela Lei n. 12.470/2011, define impedimento de longo prazo como "aquele que produza efeitos pelo prazo mínimo de 2 (dois) anos". Esse critério temporal distingue a deficiência para fins do BPC das limitações transitórias, que podem dar ensejo a benefícios previdenciários por incapacidade (auxílio por incapacidade temporária), mas não ao benefício assistencial.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prazo de dois anos é aferido pela prognose médica. Não se exige que o impedimento já perdure por dois anos no momento do requerimento: basta que, segundo avaliação médica qualificada, a limitação funcional tenda a perdurar por esse período. Uma pessoa que sofreu acidente grave há três meses, com prognóstico de sequelas permanentes ou de recuperação superior a dois anos, preenche o requisito temporal desde o momento da consolidação do diagnóstico. Por outro lado, uma fratura simples com previsão de recuperação em seis meses não configura impedimento de longo prazo, ainda que, no momento da avaliação, o requerente esteja completamente incapacitado.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jurisprudência da TNU fixou o prazo de dois anos como parâmetro objetivo, afastando avaliações imprecisas sobre a duração do impedimento. Em casos limítrofes, quando a prognose é incerta ou a evolução da condição depende de fatores imprevisíveis, prevalece a orientação de que a dúvida deve ser resolvida em favor do requerente, aplicando-se o princípio in dubio pro misero. Essa orientação é especialmente relevante para condições crônicas com evolução variável, como transtornos mentais, doenças autoimunes e síndromes neurológicas degenerativas.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distinção entre impedimento de longo prazo e incapacidade temporária é fonte de controvérsias nos JEFs, especialmente em casos de doenças crônicas com episódios agudos (esquizofrenia, epilepsia, lúpus, HIV). O fato de a pessoa apresentar períodos de melhora clínica não afasta o impedimento de longo prazo, desde que a condição subjacente persista e continue gerando barreiras à participação social. O perito deve ser instado a distinguir entre a evolução clínica da doença (que pode apresentar remissões e exacerbações) e a permanência do impedimento funcional (que, nas doenças crônicas, tende a manter-se mesmo nos períodos de estabilidade clínica).</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critério temporal de dois anos não é absoluto. Há condições que, pela sua natureza, dispensam a demonstração de prognose temporal: deficiências congênitas, amputações, cegueira irreversível e outras situações em que a irreversibilidade é evidente dispensam a aferição do prazo mínimo, pois configuram impedimento permanente. A exigência do prazo de dois anos dirige-se sobretudo a condições adquiridas cuja evolução comporta incerteza.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interação entre o impedimento de longo prazo e a faixa etária do requerente merece consideração. Em crianças e adolescentes, condições que poderiam ser transitórias em adultos podem configurar impedimento de longo prazo em razão do impacto no desenvolvimento. Um atraso no desenvolvimento neuropsicomotor que comprometa a aquisição de habilidades básicas nos primeiros anos de vida pode gerar impedimento funcional que persista ao longo de toda a infância, ainda que exista possibilidade teórica de melhora com estimulação adequada. A indisponibilidade de serviços de estimulação precoce na rede pública, frequente em municípios de pequeno porte, constitui barreira ambiental que agrava o impedimento e deve ser considerada na avaliação biopsicossocial.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Em idosos, o impedimento de longo prazo apresenta características próprias. A sobreposição de múltiplas condições crônicas (multimorbidade), cada qual com impacto funcional limitado, pode gerar impedimento combinado de gravidade significativa. Um idoso de 68 anos com artrose bilateral de joelhos (limitação motora moderada), diabetes insulinodependente (necessidade de controle rigoroso) e déficit auditivo (barreira comunicacional) pode não preencher os critérios de deficiência quando cada condição é avaliada isoladamente, mas a soma dos impedimentos gera restrição funcional global compatível com o conceito de deficiência para fins do BPC. O perito deve ser orientado a avaliar o efeito cumulativo das condições, e não cada condição de forma isolada.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Súmula 78 da TNU aborda situação específica no âmbito do HIV/AIDS: "Comprovado que o requerente de benefício é portador do vírus HIV, cabe ao julgador verificar as condições pessoais, sociais, econômicas e culturais, de forma a analisar a incapacidade em sentido amplo, em face da elevada estigmatização social da doença." Esse entendimento reconhece que o impedimento de longo prazo, em casos de HIV, não se mede apenas pela condição clínica (controlável, em muitos casos, por terapia antirretroviral), mas pela interação entre o diagnóstico e as barreiras sociais (estigma, discriminação no trabalho, exclusão social) que obstruem a participação plena do portador.</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18.9 Requisito objetivo: miserabilidade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requisito objetivo do BPC é a hipossuficiência econômica, designada pela doutrina e pela jurisprudência como "miserabilidade". O art. 20, § 3º, da LOAS, na redação da Lei n. 14.176/2021, assegura o benefício "a pessoa com deficiência ou a pessoa idosa com renda familiar mensal per capita igual ou inferior a 1/4 (um quarto) do salário-mínimo". A fórmula anterior, da Lei n. 12.435/2011, falava em renda "inferior" a 1/4; com a redação vigente, a família cuja renda per capita seja exatamente igual a esse patamar preenche o requisito. A Lei n. 14.176/2021, ao introduzir o art. 20-B, autorizou a ampliação desse critério para até 1/2 salário-mínimo, mediante regulamentação que considere fatores de vulnerabilidade.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miserabilidade deve ser aferida no momento do requerimento administrativo e, em caso de ação judicial, pode ser verificada também na data da citação ou da perícia social. A condição socioeconômica do requerente é dinâmica: alterações na composição familiar, no rendimento dos membros da família ou nas condições de saúde podem modificar o enquadramento. Essa dinamicidade impõe ao juiz atenção ao momento em que a prova foi produzida e à eventual superveniência de fatos relevantes.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conceito de miserabilidade não se reduz, contudo, à fórmula aritmética da renda per capita. Entendemos que o critério legal de 1/4 do salário-mínimo é parâmetro objetivo de presunção absoluta de miserabilidade: toda família com renda per capita inferior a esse patamar é presumida miserável, sem necessidade de prova adicional. A questão mais complexa, e que gerou a intervenção do STF, diz respeito à situação de famílias com renda per capita superior a 1/4 do salário-mínimo, mas que, por outras circunstâncias (gastos com medicamentos, tratamentos de saúde, condições de moradia), vivem em situação de vulnerabilidade equiparável à miserabilidade.</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18.10 Critério de renda per capita familiar</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cálculo da renda per capita familiar para fins do BPC exige a identificação de dois elementos: (a) o grupo familiar relevante; e (b) a renda total desse grupo. A divisão da renda total pelo número de membros do grupo familiar produz a renda per capita, que será confrontada com o limite legal (1/4 do salário-mínimo, atualmente R$ 405,25, considerando o salário-mínimo de R$ 1.621,00 vigente em 2026).</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art. 20, § 1º, da LOAS (com redação da Lei n. 12.435/2011) define família, para fins do BPC, como "o conjunto de pessoas que vivem sob o mesmo teto", composto pelo requerente, cônjuge ou companheiro, pais (e, na ausência de um deles, a madrasta ou o padrasto), irmãos solteiros, filhos e enteados solteiros e menores tutelados, desde que vivam sob o mesmo teto. A definição legal é restritiva se comparada ao conceito amplo de família adotado pelo Código Civil e pela jurisprudência de direito de família. Apenas coabitantes nas relações elencadas pela lei integram o grupo familiar para fins de cálculo da renda per capita.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coabitação é requisito essencial. Membros da família que residem em domicílio diferente do requerente não são computados no grupo familiar, nem sua renda é considerada no cálculo. Um filho casado que reside em outro município, por exemplo, não integra o grupo familiar do genitor idoso para fins do BPC, mesmo que contribua informalmente para o sustento. A obrigação alimentar prevista no Código Civil não se confunde com a composição do grupo familiar para o BPC: a lei assistencial adota critério objetivo de coabitação, e não o critério subjetivo da obrigação civil de alimentos.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composição do grupo familiar deve ser verificada por meio de estudo social, realizado preferencialmente por assistente social. No âmbito do INSS, o estudo social é realizado pelo servidor do serviço social da agência. No âmbito judicial, o juiz pode nomear assistente social como perito ou requisitar relatório socioeconômico ao serviço social da Justiça Federal. É recomendável que o estudo social contemple: (a) relação de todos os moradores do domicílio, com idades e grau de parentesco; (b) renda de cada morador, discriminando fontes (trabalho, benefícios, transferências); (c) condições de moradia (propriedade, aluguel, cessão, material da construção); (d) despesas fixas relevantes (medicamentos, tratamentos, aluguel, energia, água); (e) condições gerais de vida. Esses elementos permitem ao juiz avaliar não apenas o critério aritmético da renda per capita, mas a real condição de vulnerabilidade da família.</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exclusão de filhos casados ou que constituíram família própria, mesmo que residam no mesmo terreno (em casas separadas), é ponto sensível. A jurisprudência consolidou que a expressão "sob o mesmo teto" refere-se ao domicílio, e não ao terreno ou à propriedade. Famílias que residem em casas distintas, ainda que contíguas, no mesmo lote, constituem grupos familiares autônomos para fins do BPC, desde que cada unidade habitacional possua autonomia funcional (cozinha, banheiro, entrada independente).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questão do genro e da nora que residem no mesmo domicílio do requerente é frequente. O art. 20, § 1º, da LOAS, na redação da Lei 12.435/2011, enumera os integrantes da família: o requerente, o cônjuge ou companheiro, os pais (ou, na ausência de um deles, a madrasta ou o padrasto), os irmãos solteiros, os filhos e enteados solteiros e os menores tutelados, desde que vivam sob o mesmo teto. Genros, noras e filhos casados não figuram no rol, e a TNU firmou que o grupo familiar se define por interpretação restrita da lei (Tema 73, PEDILEF 2006.63.01.052381-5/SP, fixado para a redação original do dispositivo). Ficam, portanto, fora do grupo familiar, e sua renda não entra no cálculo da renda per capita, ainda que residam no mesmo imóvel e compartilhem despesas. O estudo social continua sendo o instrumento adequado para esclarecer a dinâmica familiar, mas não autoriza reintroduzir no cálculo, por via indireta, a renda de quem a lei exclui do grupo.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renda de membro do grupo familiar que não declara imposto de renda e exerce atividade informal gera dificuldade probatória na aferição da renda per capita. O INSS frequentemente utiliza dados do CNIS (Cadastro Nacional de Informações Sociais), da RAIS (Relação Anual de Informações Sociais) e do CadÚnico para verificar a renda da família. Contudo, essas bases de dados nem sempre refletem a situação real, especialmente em contextos de informalidade laboral. O juiz deve estar atento à possibilidade de sub-registro (que subestima a renda) e de sobre-registro (que imputa renda inexistente, como vínculos encerrados que permanecem no CNIS). A declaração do próprio requerente sobre a renda familiar, corroborada pelo estudo social e pelas circunstâncias visíveis de vida, é meio probatório legítimo que não pode ser descartado pela mera alegação de incompatibilidade com dados cadastrais desatualizados.</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18.11 Exclusões da renda per capita familiar</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determinação da renda per capita familiar para fins do BPC sofreu significativa evolução legislativa e jurisprudencial. Diversas parcelas que, em princípio, integrariam a renda familiar passaram a ser excluídas do cálculo, por força de lei ou de interpretação judicial.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regime de exclusões do art. 20 da LOAS prevê que o benefício de prestação continuada já concedido a membro do grupo familiar que seja pessoa com deficiência (ou idoso) não será computado, até o limite de um salário-mínimo, para fins de cálculo da renda per capita familiar. Essa exclusão — hoje positivada no art. 20, § 14, da LOAS, não se confundindo com a vedação de acumulação do § 4º, examinada na seção 18.20 — decorre da natureza do BPC: o benefício se destina a cobrir as necessidades específicas da pessoa com deficiência, e sua inclusão na renda familiar criaria círculo vicioso em que a concessão do BPC a um membro impediria a concessão a outro membro do mesmo grupo familiar que preenchesse os requisitos.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rol de exclusões da renda foi significativamente ampliado pela Lei n. 13.982, de 2 de abril de 2020. Editada no contexto do enfrentamento da pandemia de COVID-19, essa lei acrescentou ao art. 20 da LOAS os §§ 11, 14 e 15, inicialmente sob a roupagem de medida emergencial, mas com efeitos que se tornaram permanentes no regime do benefício. O art. 20, § 14, ali introduzido, tem um único comando: o benefício de prestação continuada ou o benefício previdenciário de até um salário-mínimo concedido a idoso acima de 65 anos ou a pessoa com deficiência não é computado, para a concessão do BPC a outro idoso ou pessoa com deficiência da mesma família, no cálculo da renda do § 3º. O rol mais amplo de valores não computados na renda mensal bruta familiar está no regulamento (Decreto n. 6.214/2007, art. 4º, § 2º), que exclui, entre outros, os benefícios e auxílios assistenciais de natureza eventual ou temporária, as rendas de natureza eventual ou sazonal, a remuneração da pessoa com deficiência na condição de aprendiz e os rendimentos de estágio supervisionado. A Lei n. 14.176/2021, posterior, não criou o § 14, mas consolidou e aperfeiçoou o regime de exclusões e a sistemática correlata (especialmente os critérios de composição do grupo familiar e a previsão do art. 20-B), conferindo-lhe contornos definitivos.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Decreto n. 12.534/2025, editado pelo Poder Executivo, introduziu controvérsia relevante ao alterar o Decreto n. 6.214/2007 para incluir o valor do Bolsa Família no cálculo da renda per capita para fins de BPC. A medida é contestada judicialmente em larga escala: juízes federais e o TRF da 3ª Região vêm afastando sua aplicação por entender que o decreto extrapola o poder regulamentar e inova contra a própria LOAS, cujo art. 20, § 14, inciso II, exclui expressamente os valores oriundos de programas sociais de transferência de renda do cálculo da renda familiar. A inclusão do Bolsa Família na conta da renda per capita, se mantida, poderá gerar cessação de milhares de BPCs ativos. Entendemos que a posição dos tribunais que afastam o decreto é correta: não pode o regulamento contrariar a lei que pretende regulamentar.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exclusão do § 14 merece atenção especial. Ao excluir do cálculo qualquer benefício previdenciário ou assistencial de até um salário-mínimo concedido a membro do grupo familiar idoso ou com deficiência, a lei superou a controvérsia que motivara a declaração de inconstitucionalidade do parágrafo único do art. 34 do Estatuto do Idoso pelo STF (RE 580.963). Antes da alteração legislativa, apenas o BPC de idoso era excluído (por força do art. 34 do Estatuto), gerando tratamento desigual em relação a pessoas com deficiência e a beneficiários de aposentadoria no valor mínimo. A regra do inciso V — introduzida pela Lei n. 13.982/2020 e mantida pela Lei n. 14.176/2021 — unificou o tratamento, excluindo do cálculo tanto o BPC quanto a aposentadoria de valor mínimo, desde que o titular seja idoso ou pessoa com deficiência.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STF, RE 580.963/PR, Tema 312 (repercussão geral, j. 18/04/2013, DJe 14/11/2013)</w:t>
            </w:r>
            <w:r>
              <w:rPr>
                <w:rFonts w:ascii="EB Garamond" w:hAnsi="EB Garamond" w:cs="EB Garamond"/>
                <w:b w:val="0"/>
                <w:i w:val="0"/>
                <w:color w:val="201B16"/>
                <w:sz w:val="19"/>
                <w:lang w:val="pt-BR" w:bidi="ar-SA"/>
                <w:kern w:val="16"/>
                <w14:ligatures w14:val="standardContextual"/>
              </w:rPr>
              <w:t>: O Supremo Tribunal Federal declarou a inconstitucionalidade, sem pronúncia de nulidade, do parágrafo único do art. 34 do Estatuto do Idoso, por violar o princípio da isonomia ao excluir do cálculo da renda per capita apenas o BPC de idoso, discriminando pessoas com deficiência na mesma situação. O julgamento determinou a extensão analógica da exclusão a todos os benefícios assistenciais e previdenciários de valor mínimo, independentemente da condição (idade ou deficiência) do titular. A Lei n. 14.176/2021, ao positivar essa extensão, conferiu segurança jurídica ao entendimento que já vigorava na prática dos JEFs.</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lém das exclusões legais, a jurisprudência reconhece a possibilidade de desconsiderar do cálculo da renda per capita parcelas que, embora formalmente integrem a renda familiar, não revelam capacidade econômica real. Gastos comprovados com medicamentos de uso contínuo, tratamentos médicos indispensáveis e fraldas geriátricas, por exemplo, podem ser abatidos da renda bruta para a aferição da miserabilidade, quando demonstrado que essas despesas são imprescindíveis e consomem parcela significativa da renda. Essa orientação, embora não positivada em lei, encontra respaldo na jurisprudência dos TRFs e da TNU como desdobramento do princípio da dignidade da pessoa humana e da efetividade do direito à assistência social.</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18.12 Relativização judicial do critério de 1/4 do salário-mínimo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questão da constitucionalidade do critério de renda de 1/4 do salário-mínimo para a aferição da miserabilidade percorreu longo caminho no STF, sendo um dos temas mais relevantes do direito assistencial brasileiro. A trajetória jurisprudencial revela a tensão entre a segurança jurídica proporcionada por critérios objetivos e a necessidade de justiça material na avaliação da vulnerabilidade social.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Em 1998, o STF julgou a ADI 1.232/DF, proposta pelo Procurador-Geral da República, e declarou constitucional o critério de 1/4 do salário-mínimo previsto no art. 20, § 3º, da LOAS. O entendimento, à época, foi de que o critério legal constituía parâmetro objetivo legítimo para a aferição da miserabilidade, sem que houvesse violação à Constituição. A decisão provocou reação de parte significativa da doutrina e da jurisprudência de primeiro grau, que considerou o critério excessivamente restritivo e incompatível com a realidade socioeconômica brasileira.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mudança de paradigma veio com o julgamento do RE 567.985/MT (Tema 27 da repercussão geral), em 18/04/2013, em que o STF declarou a inconstitucionalidade, sem pronúncia de nulidade, do art. 20, § 3º, da LOAS. Embora a relatoria originária coubesse ao Min. Marco Aurélio, prevaleceu o entendimento conduzido pelo Min. Gilmar Mendes, redator do acórdão, assentado na tese de que o critério de 1/4 do salário-mínimo sofreu "processo de inconstitucionalização": embora constitucional quando instituído, tornou-se defasado em face das mudanças socioeconômicas do país e da evolução dos programas de proteção social, que adotaram critérios de renda mais generosos (como o meio salário-mínimo do Bolsa Família).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STF, RE 567.985/MT (Tema 27, DJe 03/10/2013)</w:t>
            </w:r>
            <w:r>
              <w:rPr>
                <w:rFonts w:ascii="EB Garamond" w:hAnsi="EB Garamond" w:cs="EB Garamond"/>
                <w:b w:val="0"/>
                <w:i w:val="0"/>
                <w:color w:val="201B16"/>
                <w:sz w:val="19"/>
                <w:lang w:val="pt-BR" w:bidi="ar-SA"/>
                <w:kern w:val="16"/>
                <w14:ligatures w14:val="standardContextual"/>
              </w:rPr>
              <w:t>: "É inconstitucional o § 3º do artigo 20 da Lei 8.742/1993, que estabelece a renda familiar mensal per capita inferior a um quarto do salário mínimo como requisito obrigatório para concessão do benefício assistencial de prestação continuada previsto no artigo 203, V, da Constituição." A técnica adotada foi a da declaração de inconstitucionalidade parcial, sem pronúncia de nulidade. O STF reconheceu que o critério de 1/4 do salário-mínimo não é mais compatível com a Constituição como critério absoluto e exclusivo de miserabilidade, embora possa servir como parâmetro orientador. A decisão autorizou juízes e tribunais a considerar outros elementos probatórios para a aferição da vulnerabilidade econômica, superando a rigidez do critério legal. Na prática dos JEFs, o julgamento abriu caminho para a concessão do BPC a requerentes cuja renda per capita supera 1/4 do salário-mínimo, quando demonstrada, por outros meios, a condição de miserabilidade.</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técnica de decisão adotada pelo STF, a "declaração de inconstitucionalidade sem pronúncia de nulidade", merece nota. Ao invés de simplesmente anular o dispositivo legal (o que deixaria o sistema sem qualquer parâmetro objetivo), o STF manteve a norma em vigor, mas autorizou sua superação no caso concreto, quando outros elementos probatórios demonstrassem a miserabilidade. O resultado prático é que o critério de 1/4 do salário-mínimo continua operando como presunção absoluta de miserabilidade (toda renda per capita inferior a esse patamar gera direito ao BPC), mas deixou de funcionar como critério excludente (renda per capita superior a 1/4 não impede, por si só, a concessão).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18.13 STJ, Tema 185, e TNU, Tema 122: a natureza da presunção de miserabilidade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Superior Tribunal de Justiça, no julgamento do Tema 185 dos recursos repetitivos (REsp 1.112.557/MG, rel. Min. Napoleão Nunes Maia Filho, DJe 20/11/2009), firmou tese complementar ao entendimento do STF. O STJ fixou que "a limitação do valor da renda per capita familiar não deve ser considerada a única forma de se comprovar que a pessoa não possui outros meios para prover a própria manutenção ou de tê-la provida por sua família, pois é apenas um elemento objetivo para se aferir a necessidade, ou seja, presume-se absolutamente a miserabilidade quando comprovada a renda per capita inferior a 1/4 do salário mínimo".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entendimento do STJ antecedeu, cronologicamente, o julgamento do Tema 27 pelo STF (2013), mas é plenamente compatível com ele. Enquanto o STF declarou a inconstitucionalidade do critério como parâmetro exclusivo, o STJ fixou que o critério opera em mão única: abaixo de 1/4 do salário-mínimo a miserabilidade se presume de forma absoluta, e acima desse patamar ela pode ser demonstrada por outros meios de prova. A combinação dos dois entendimentos produz o seguinte quadro normativo: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renda per capita inferior a 1/4 do salário-mínimo gera presunção absoluta de miserabilidade: o benefício deve ser concedido, dispensando prova adicional de vulnerabilidade. A renda per capita entre 1/4 e 1/2 do salário-mínimo gera zona de análise individualizada: o juiz deve examinar as condições concretas de vida do requerente e de sua família, podendo conceder o BPC se demonstrada a miserabilidade por outros meios. A renda per capita superior a 1/2 do salário-mínimo, embora não impeça em tese a concessão, torna a demonstração da miserabilidade substancialmente mais difícil, exigindo prova robusta de circunstâncias excepcionais (gastos elevados com saúde, despesas com cuidador, condições de moradia precárias).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Convém advertir que os patamares de 1/4 e de 1/2 do salário-mínimo, na via judicial, funcionam como referências probatórias — graus de exigência da prova da vulnerabilidade —, e não como limites legais excludentes. Após o Tema 27 do STF (que afastou o critério de 1/4 SM como parâmetro exclusivo) e o Tema 185 do STJ (que admitiu a prova da miserabilidade por outros meios quando a renda supera 1/4 SM), inexiste teto rígido de 1/2 SM para a aferição judicial. A renda per capita superior a 1/2 do salário-mínimo não impede, por si só, a concessão: torna apenas mais exigente o ônus de demonstrar, por meios concretos, a real condição de vulnerabilidade. A gradação proposta tem, portanto, valor didático e orientador da instrução, sem operar como barreira normativa intransponível.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TNU, contudo, tem tese diversa quanto ao patamar inferior. No Tema 122 (PEDILEF 5000493-92.2014.4.04.7002/PR, rel. Juiz Federal Daniel Machado da Rocha, j. 14/04/2016), fixou que "o critério objetivo consubstanciado na exigência de renda familiar per capita inferior a ¼ do salário-mínimo gera uma presunção relativa de miserabilidade, que pode, portanto, ser afastada por outros elementos de prova". Convivem, assim, duas orientações: para o STJ, a renda inferior a 1/4 basta; para a TNU, ela pode ser infirmada por sinais concretos de capacidade econômica, como patrimônio incompatível ou auxílio familiar relevante. A posição que sustentamos neste capítulo coincide com a do STJ. Nos JEFs, porém, é a tese da TNU que orienta as Turmas Recursais, de modo que o advogado do requerente deve instruir o pedido com o estudo social mesmo quando a renda declarada é inferior a 1/4 do salário-mínimo, e o magistrado que afastar a presunção deve apontar os elementos de prova que a infirmam.</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Na prática dos JEFs, a aferição da miserabilidade quando a renda per capita supera 1/4 do salário-mínimo exige instrução probatória mais detalhada. O estudo socioeconômico, realizado por assistente social, constitui meio de prova preferencial para essa análise. O relatório deve contemplar não apenas a renda bruta da família, mas também: (a) despesas mensais fixas (aluguel, energia, água, gás, medicamentos); (b) gastos específicos com a pessoa idosa ou com deficiência (fraldas geriátricas, medicamentos de uso contínuo, transporte para tratamento, alimentação especial); (c) condições de moradia (precariedade, insalubridade, ausência de saneamento básico); (d) patrimônio (existência ou não de imóveis, veículos, poupança). A conjugação desses elementos permite ao juiz avaliar se a renda formalmente apurada reflete a real condição socioeconômica da família.</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Lei n. 14.176/2021, ao criar o art. 20-B da LOAS, buscou dar contornos normativos a essa zona intermediária. O dispositivo autoriza o Poder Executivo, por regulamento, a ampliar o critério de renda per capita para até 1/2 do salário-mínimo, desde que considerados cumulativamente fatores indicativos do grau de vulnerabilidade: grau da deficiência; dependência de terceiros para o desempenho de atividades básicas; comprometimento do orçamento com despesas médicas e correlatas; capacidade de o membro da família de gerar renda; e acesso a serviços de assistência social e saúde. A regulamentação ainda não foi integralmente implementada, gerando incerteza sobre o alcance prático do dispositivo.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18.14 Composição do grupo familiar: questões específicas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composição do grupo familiar para fins do BPC suscita questões práticas que merecem exame individualizado. O art. 20, § 1º, da LOAS define família para fins do BPC de forma específica e restritiva, abrangendo apenas as pessoas que vivem sob o mesmo teto e mantêm determinado grau de parentesco com o requerente.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pessoa com deficiência ou idosa que vive sozinha constitui grupo familiar de uma única pessoa. Nesse caso, apenas a renda própria é considerada no cálculo. A situação é comum entre idosos que vivem em moradias independentes após o falecimento do cônjuge e que não possuem renda além de eventual benefício previdenciário de valor mínimo. Se o benefício previdenciário for de até um salário-mínimo e o idoso for titular do benefício, a exclusão prevista no art. 20, § 14, V, da LOAS pode resultar em renda per capita zero, viabilizando a concessão do BPC.</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inclusão de netos, sobrinhos e outros parentes não mencionados expressamente no art. 20, § 1º, gera controvérsia. A norma é taxativa quanto aos vínculos familiares relevantes, o que, em princípio, excluiria do grupo familiar pessoas que, embora residam no mesmo domicílio, não se enquadram nas categorias legais. A jurisprudência, porém, tem admitido a inclusão de netos e sobrinhos menores sob guarda do requerente, por analogia com a figura do menor tutelado expressamente previsto na lei.</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pessoa com deficiência ou idosa que reside em instituição de longa permanência (ILPI) ou em abrigo público não perde o direito ao BPC. O art. 20, § 5º, da LOAS (incluído pela Lei n. 12.435/2011) estabelece que a condição de acolhimento institucional não prejudica o direito ao benefício. Nesse caso, o grupo familiar é o próprio requerente, e a renda per capita é calculada exclusivamente com base em sua renda pessoal.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pessoa presa em regime fechado não faz jus ao BPC durante o período de reclusão, por analogia com a suspensão de benefícios previdenciários prevista no art. 80 da Lei n. 8.213/91 e pela impossibilidade de aferição da miserabilidade no contexto prisional, onde o Estado provê alimentação, moradia e assistência básica. A jurisprudência, contudo, admite a concessão do BPC ao preso em regime semiaberto ou aberto que demonstre o preenchimento dos requisitos, especialmente quando a família do recluso vive em situação de vulnerabilidade e o BPC seria destinado ao sustento do grupo familiar no qual o preso retorna periodicamente. A questão é controversa e exige análise caso a caso.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18.15 Prova da miserabilidade nos JEFs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produção de prova da miserabilidade nos JEFs envolve um conjunto de instrumentos probatórios que se complementam. A prova documental, a prova testemunhal e o estudo socioeconômico compõem o quadro usual de instrução.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prova documental relevante inclui: comprovantes de renda dos membros do grupo familiar (contracheques, extratos bancários, declarações de imposto de renda); inscrição em programas sociais (CadÚnico, Bolsa Família); comprovantes de despesas com saúde (receitas médicas, notas fiscais de medicamentos, declarações de tratamento); comprovante de residência; certidão negativa de imóveis e veículos; e outros documentos que evidenciem a condição socioeconômica.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inscrição no Cadastro Único para Programas Sociais do Governo Federal (CadÚnico) constitui elemento probatório relevante, embora não seja requisito para a concessão judicial do BPC. No âmbito administrativo, o INSS exige a inscrição no CadÚnico como condição para o processamento do requerimento (art. 20, § 13, da LOAS, incluído pela Lei n. 14.176/2021). No âmbito judicial, a ausência de inscrição no CadÚnico não impede a concessão, desde que a miserabilidade seja demonstrada por outros meios.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estudo socioeconômico, realizado por assistente social, é o instrumento probatório mais completo para a aferição da miserabilidade. Diferentemente da prova documental (que retrata aspectos pontuais e formais da renda familiar) e da prova testemunhal (que depende da percepção de terceiros), o estudo social envolve visita domiciliar, entrevista com o requerente e seus familiares, e avaliação in loco das condições de vida. O assistente social é profissional habilitado para identificar situações de vulnerabilidade que escapam aos documentos e depoimentos.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Nos JEFs, o estudo social pode ser realizado pela equipe do serviço social da Justiça Federal, por perito assistente social nomeado pelo juízo ou, excepcionalmente, por equipe do Centro de Referência de Assistência Social (CRAS) do município. A escolha do meio depende da estrutura disponível em cada Seção Judiciária.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prova testemunhal, embora subsidiária, pode corroborar a condição de miserabilidade quando os documentos são insuficientes. Vizinhos, agentes comunitários de saúde e líderes comunitários podem prestar depoimentos sobre as condições de vida do requerente. Nos JEFs, a informalidade do procedimento (art. 2º da Lei n. 10.259/2001) favorece a coleta dessa prova em audiência concentrada.</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18.16 BPC ao idoso: especificidades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BPC ao idoso apresenta especificidades que o distinguem do BPC à pessoa com deficiência. A principal é a simplicidade dos requisitos subjetivos: basta a comprovação da idade (65 anos ou mais) e da miserabilidade. Não há avaliação pericial de condição funcional, não se exige impedimento de longo prazo e não se aplica o modelo biopsicossocial. A questão central, em regra, resume-se à aferição da renda per capita familiar.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Estatuto do Idoso (Lei n. 10.741/2003) trouxe disposições relevantes para o BPC do idoso. Além de fixar a idade mínima em 65 anos (art. 34, caput), o Estatuto previa, em seu parágrafo único, a exclusão do BPC de outro idoso do mesmo grupo familiar para fins de cálculo da renda per capita. Conforme examinado na seção 18.11, essa exclusão foi ampliada pela Lei n. 14.176/2021, que estendeu o benefício a todos os benefícios de até um salário-mínimo de membros idosos ou com deficiência.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concessão de mais de um BPC no mesmo grupo familiar é possível, desde que cada beneficiário preencha individualmente os requisitos. Um casal de idosos em situação de miserabilidade pode receber dois BPCs, cada um no valor de um salário-mínimo, desde que, aplicadas as exclusões legais, a renda per capita permaneça abaixo do limite. Na prática, se ambos são idosos e nenhum dos dois possui outra renda, a renda per capita é zero (pois o BPC de cada um é excluído do cálculo do outro), o que viabiliza a dupla concessão.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Na atuação forense, a concessão simultânea de BPC a dois membros do mesmo grupo familiar exige atenção ao momento da aferição. Se o primeiro BPC já está em manutenção e o segundo é requerido posteriormente, a verificação da renda per capita deve considerar a exclusão do BPC já concedido. O advogado deve requerer expressamente a aplicação do art. 20, § 14, V, da LOAS e, quando necessário, do entendimento do STF no RE 580.963 (Tema 312). Nos JEFs, é recomendável juntar comprovante de pagamento do BPC ao primeiro beneficiário e demonstrar que, aplicada a exclusão, a renda per capita do segundo requerente está abaixo do limite.</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BPC ao idoso não é cumulável com aposentadoria ou qualquer outro benefício previdenciário pago pelo RGPS, exceto assistência médica e pensão especial de natureza indenizatória, conforme a vedação de acumulação prevista no art. 20, § 4º, da LOAS (na redação da Lei n. 12.435/2011). A vedação de acumulação obriga o requerente a optar pelo benefício mais vantajoso. No cotidiano dos JEFs, a questão surge quando o idoso recebe aposentadoria no valor do salário-mínimo e pretende cumular com o BPC, o que é vedado pela lei. O BPC somente é cabível quando o idoso não recebe qualquer outro benefício previdenciário ou quando opta pela cessação do benefício previdenciário para receber o BPC.</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18.17 BPC à pessoa com deficiência: especificidades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BPC à pessoa com deficiência apresenta complexidade substancialmente maior do que o BPC ao idoso, em razão da necessidade de avaliação da deficiência segundo o modelo biopsicossocial. A conjugação dos requisitos de impedimento de longo prazo, interação com barreiras e miserabilidade exige instrução probatória multidisciplinar.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perícia judicial em ações de BPC para pessoa com deficiência deve ir além da constatação de doença ou limitação funcional. O perito deve ser instado a avaliar: (a) a existência de impedimento de natureza física, mental, intelectual ou sensorial; (b) a duração do impedimento (se igual ou superior a dois anos ou se permanente); (c) o impacto do impedimento nas atividades da vida diária e na participação social; (d) as barreiras ambientais e sociais que agravam o impedimento; (e) a necessidade de assistência de terceiros.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deficiência para fins do BPC não se confunde com incapacidade para o trabalho, embora as duas condições possam coexistir. Uma pessoa com deficiência pode ser plenamente capaz para determinadas atividades laborativas e, ainda assim, preencher os requisitos do BPC, se o impedimento de longo prazo, em interação com as barreiras, obstrui sua participação plena na sociedade. Inversamente, uma pessoa temporariamente incapacitada para o trabalho, mas sem impedimento de longo prazo, não preenche o requisito de deficiência para o BPC, embora possa ter direito a benefício previdenciário por incapacidade.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As crianças e adolescentes com deficiência fazem jus ao BPC independentemente de idade mínima. O impedimento de longo prazo em menores de 18 anos é avaliado com os mesmos critérios (natureza, duração, interação com barreiras), considerando-se, porém, que a avaliação funcional deve levar em conta os marcos de desenvolvimento próprios da faixa etária. Uma criança de cinco anos com atraso severo no desenvolvimento neuropsicomotor pode preencher o requisito de deficiência, se a limitação impede ou restringe significativamente sua participação nas atividades próprias da idade (brincar, frequentar escola, interagir com outras crianças).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cumulação entre BPC à pessoa com deficiência e benefícios previdenciários segue a regra geral de vedação. A pessoa com deficiência que recebe auxílio por incapacidade temporária, aposentadoria por incapacidade permanente ou qualquer outro benefício do RGPS não pode cumular com o BPC. A exceção é o auxílio-inclusão (examinado na seção 18.22), que foi criado justamente para permitir a transição do BPC para o trabalho formal.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deficiência mental e intelectual exige atenção especial na instrução das ações de BPC nos JEFs. Requerentes com transtornos mentais graves (esquizofrenia, transtorno bipolar, depressão severa), deficiência intelectual ou transtorno do espectro autista frequentemente enfrentam barreiras sociais mais intensas do que aquelas decorrentes de deficiências físicas visíveis. O estigma, a discriminação no mercado de trabalho, a dificuldade de acesso a tratamento adequado e a precariedade dos serviços de saúde mental no SUS são fatores que agravam a condição de vulnerabilidade. O perito deve ser expressamente instado a avaliar esses fatores contextuais, e o juiz deve considerá-los na fundamentação da decisão.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18.18 BPC e obrigação alimentar</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relação entre o BPC e a obrigação alimentar prevista nos arts. 1.694 a 1.710 do Código Civil é questão que merece exame por sua recorrência nos JEFs. O INSS, ao indeferir requerimentos de BPC, frequentemente argumenta que os familiares do requerente têm obrigação civil de prover seu sustento, e que a existência de parentes com capacidade econômica afasta a miserabilidade.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Esse argumento deve ser rejeitado com firmeza. A obrigação alimentar civil e o direito ao BPC operam em planos normativos distintos e independentes. O BPC é direito constitucional autônomo, fundado no art. 203, V, da Constituição, e não está condicionado à impossibilidade de obter alimentos dos familiares. O requerente não é obrigado a ajuizar ação de alimentos contra seus parentes como condição prévia ao BPC. A lei assistencial define o grupo familiar de forma objetiva (coabitantes com vínculos específicos) e não incorpora o conceito civilista de obrigação alimentar.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jurisprudência dos TRFs consolidou o entendimento de que a mera existência de parentes com capacidade econômica não afasta o direito ao BPC, quando o requerente preenche os requisitos legais. O fundamento é pragmático: condicionar o BPC à inexistência de parentes com recursos significaria, na prática, transferir ao particular a obrigação constitucional do Estado, criando requisito não previsto em lei. A pessoa idosa ou com deficiência que vive sozinha, sem receber auxílio efetivo de familiares, preenche o requisito de miserabilidade independentemente da situação econômica de filhos ou irmãos que residem em outro domicílio.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TRF da 4ª Região, jurisprudência consolidada</w:t>
            </w:r>
            <w:r>
              <w:rPr>
                <w:rFonts w:ascii="EB Garamond" w:hAnsi="EB Garamond" w:cs="EB Garamond"/>
                <w:b w:val="0"/>
                <w:i w:val="0"/>
                <w:color w:val="201B16"/>
                <w:sz w:val="19"/>
                <w:lang w:val="pt-BR" w:bidi="ar-SA"/>
                <w:kern w:val="16"/>
                <w14:ligatures w14:val="standardContextual"/>
              </w:rPr>
              <w:t>: "A obrigação alimentar dos parentes do idoso ou da pessoa com deficiência não constitui óbice à concessão do BPC. O direito assistencial é autônomo e não se condiciona à prévia exaustão dos meios de obtenção de alimentos na esfera civil." Esse entendimento, seguido pelos demais TRFs, afasta a tese do INSS de que os familiares devem ser acionados judicialmente antes da concessão do benefício assistencial. Em termos operacionais dos JEFs, a questão é relevante porque o INSS invoca a obrigação alimentar como fundamento de indeferimento administrativo, forçando o requerente a judicializar pretensão que poderia ser resolvida na esfera administrativa.</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questão também se coloca na perspectiva inversa: pode o INSS considerar a renda de parentes não coabitantes para negar o BPC? A resposta é negativa. O art. 20, § 1º, da LOAS é taxativo ao definir o grupo familiar como as pessoas que vivem sob o mesmo teto, nas relações de parentesco ali especificadas. A renda de parentes que residem em outro domicílio, ainda que contribuam informalmente para o sustento do requerente, não integra o cálculo da renda per capita. Entendemos que a solidariedade familiar privada, embora desejável, é insuficiente para fundamentar a exclusão do direito à proteção estatal: a ajuda de parentes pode cessar a qualquer momento, sem que o requerente tenha garantia jurídica de sua continuidade. O BPC existe justamente para assegurar proteção onde a rede de solidariedade privada é inexistente ou insuficiente.</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18.19 BPC ao estrangeiro residente no Brasil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extensão do BPC ao estrangeiro residente no Brasil foi objeto de controvérsia que chegou ao Supremo Tribunal Federal. O art. 203, inciso V, da Constituição Federal não restringe expressamente o direito à assistência social a brasileiros, utilizando a expressão genérica "pessoa portadora de deficiência" e "idoso". A LOAS, em sua redação original, também não continha restrição explícita a estrangeiros.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STF enfrentou a questão no julgamento do RE 587.970/SP (Tema 173 da repercussão geral, Plenário, DJe 22/09/2017), fixando a seguinte tese: "Os estrangeiros residentes no País são beneficiários da assistência social prevista no artigo 203, inciso V, da Constituição Federal, uma vez atendidos os requisitos constitucionais e legais." O entendimento fundamentou-se no princípio da universalidade da cobertura da seguridade social (art. 194, parágrafo único, I, CF/88), na dignidade da pessoa humana (art. 1º, III) e no tratamento isonômico entre brasileiros e estrangeiros residentes (art. 5º, caput).</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decisão do STF vincula a administração pública e os demais órgãos do Poder Judiciário, de modo que o INSS não pode indeferir o BPC com base exclusiva na condição de estrangeiro do requerente. A Portaria n. 1.695, de 17 de maio de 2024 (MDS/INSS), regulamentou expressamente a concessão administrativa do BPC a estrangeiros em situação regular no país, pacificando a aplicação do tema na esfera administrativa. Os requisitos para a concessão são os mesmos aplicáveis aos brasileiros: idade (65 anos) ou deficiência (impedimento de longo prazo), cumulados com miserabilidade. A documentação exigida inclui comprovante de residência legal no Brasil, podendo ser o Registro Nacional de Estrangeiros (RNE), o Registro Nacional Migratório (RNM, instituído pela Lei n. 13.445/2017, Lei de Migração) ou, para refugiados, o protocolo de solicitação de refúgio expedido pelo CONARE. A condição migratória irregular, por si só, não afasta o direito ao BPC quando demonstrado o vínculo efetivo com o território nacional e o preenchimento dos requisitos constitucionais.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18.20 Cumulação do BPC com outros benefícios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regra geral do BPC é a vedação de cumulação com outros benefícios da seguridade social. O art. 20, § 4º, da LOAS (na redação da Lei n. 12.435/2011) estabelece que o benefício de prestação continuada "não pode ser acumulado pelo beneficiário com qualquer outro no âmbito da seguridade social ou de outro regime, salvo os da assistência médica e da pensão especial de natureza indenizatória". Note-se que esse mesmo dispositivo sofreu alterações pela Lei n. 14.176/2021, que lhe acrescentou regras sobre exclusão de rendas do cálculo per capita (tratadas na seção 18.11); a vedação de acumulação aqui examinada refere-se à parte final da redação dada pela Lei n. 12.435/2011.</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vedação de acumulação abrange todos os benefícios previdenciários do RGPS: aposentadorias (por idade, por tempo de contribuição, por incapacidade permanente, especial), auxílio por incapacidade temporária, pensão por morte, auxílio-acidente e salário-maternidade. O beneficiário do BPC que passar a receber qualquer benefício previdenciário deve comunicar ao INSS para a cessação do BPC, ou optar pelo benefício mais vantajoso.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proibição de acumulação não se estende a benefícios de natureza indenizatória. Pensões especiais concedidas por leis específicas (como a pensão a vítimas da talidomida, pensão a anistiados políticos e pensão a portadores de hanseníase segregados) não impedem a concessão do BPC, pois possuem natureza indenizatória, distinta da natureza assistencial ou previdenciária. O mesmo raciocínio aplica-se a indenizações por acidente de trabalho pagas pelo empregador.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o tratamento sistemático da acumulação de benefícios em geral, ver Capítulo 20 deste livro. No âmbito específico do BPC, a TNU, no Tema 253, fixou a inacumulabilidade do BPC com o auxílio-acidente, facultando ao beneficiário a opção pelo mais vantajoso quando preenchidos os requisitos de ambos. No Tema 284, a TNU reconheceu que dependentes que recebem ou têm direito a cota de pensão por morte podem renunciar a esse direito para receber o BPC, desde que preenchidos os demais requisitos da LOAS. A renúncia é válida e deve ser reconhecida pelo INSS. Essas teses reforçam o princípio de que, diante da vedação de cumulação, o beneficiário deve ter assegurado o direito de opção pelo benefício que melhor atenda suas necessidades.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recebimento de benefícios de programas de transferência de renda (Bolsa Família e similares) não impede a concessão do BPC. Esses programas não integram o rol de benefícios vedados pelo art. 20, § 4º. A renda deles proveniente era expressamente excluída do cálculo da renda per capita pelo regulamento (Decreto n. 6.214/2007, art. 4º, § 2º); o Decreto n. 12.534/2025 passou a incluí-la, alteração que vem sendo questionada judicialmente, como se examina adiante. Na prática, o beneficiário do BPC pode acumular com o Bolsa Família, desde que o grupo familiar permaneça inscrito no Cadastro Único para Programas Sociais (CadÚnico), regulamentado pelo Decreto n. 11.016/2022 e instituído pelo art. 6º-F da LOAS, que constitui a base de dados socioeconômicos utilizada tanto para a seleção de beneficiários dos programas de transferência de renda quanto para a aferição administrativa da renda familiar no requerimento do BPC.</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STF, RE 580.963/PR, Tema 312 (repercussão geral)</w:t>
            </w:r>
            <w:r>
              <w:rPr>
                <w:rFonts w:ascii="EB Garamond" w:hAnsi="EB Garamond" w:cs="EB Garamond"/>
                <w:b w:val="0"/>
                <w:i w:val="0"/>
                <w:color w:val="201B16"/>
                <w:sz w:val="19"/>
                <w:lang w:val="pt-BR" w:bidi="ar-SA"/>
                <w:kern w:val="16"/>
                <w14:ligatures w14:val="standardContextual"/>
              </w:rPr>
              <w:t>: Ao declarar a inconstitucionalidade do parágrafo único do art. 34 do Estatuto do Idoso, o STF reconheceu que a exclusão de apenas uma modalidade de benefício (BPC de idoso) do cálculo da renda per capita, discriminando outras modalidades (BPC de pessoa com deficiência, aposentadoria mínima), violava o princípio da isonomia. O julgado, conjugado com as alterações da Lei n. 14.176/2021, consolidou o entendimento de que todos os benefícios assistenciais e previdenciários de até um salário-mínimo, recebidos por membros idosos ou com deficiência do grupo familiar, devem ser excluídos do cálculo da renda per capita.</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18.21 Fungibilidade entre BPC e benefícios por incapacidade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fungibilidade entre o BPC e os benefícios previdenciários por incapacidade é princípio construído pela jurisprudência dos JEFs e consolidado pela TNU. Seu fundamento é a natureza protetiva dos benefícios e a vedação de formalismo processual que prejudique pessoas em situação de vulnerabilidade.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TNU, no Tema 217, fixou a tese de que, "em relação ao benefício assistencial e aos benefícios por incapacidade, é possível conhecer de um deles em juízo, ainda que não seja o especificamente requerido na via administrativa, desde que preenchidos os requisitos legais, observando-se o contraditório e o disposto no artigo 9º e 10 do CPC". O entendimento supera a rigidez da causa de pedir e permite ao juiz, à luz dos fatos provados, conceder o benefício que melhor se ajuste à situação do requerente.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a fungibilidade opera em duas direções. Na primeira, o requerente que ajuíza ação pleiteando aposentadoria por incapacidade permanente ou auxílio por incapacidade temporária pode receber o BPC se: (a) o impedimento preenche os requisitos de deficiência para fins assistenciais (impedimento de longo prazo, interação com barreiras); (b) o requerente não preenche os requisitos previdenciários (carência, qualidade de segurado); e (c) a miserabilidade está demonstrada. Na segunda direção, o requerente que pleiteia BPC pode receber benefício previdenciário se: (a) possui qualidade de segurado e carência; (b) está incapacitado; e (c) o benefício previdenciário é mais vantajoso.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Para viabilizar a fungibilidade nos JEFs, é recomendável que a petição inicial contenha pedido alternativo (principal de benefício previdenciário e subsidiário de BPC, ou vice-versa) e que a instrução processual contemple tanto a avaliação da incapacidade/deficiência quanto a análise socioeconômica. Na formulação dos quesitos, é conveniente incluir perguntas que permitam ao juiz avaliar ambas as hipóteses: quesitos sobre incapacidade laboral (para o benefício previdenciário) e sobre impedimento de longo prazo com barreiras (para o BPC). O estudo socioeconômico deve ser sempre realizado, mesmo nas ações de benefício previdenciário, para viabilizar a análise subsidiária do BPC.</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fungibilidade entre BPC e benefícios por incapacidade é examinada também no Capítulo 6 deste livro, sob a perspectiva dos benefícios previdenciários por incapacidade. Aqui, tratamos da questão sob a ótica do requerente do BPC nos JEFs.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fungibilidade encontra limites. O juiz não pode conceder benefício que não guarde qualquer relação com os fatos provados nos autos. A fungibilidade exige identidade fática (a mesma condição de saúde que fundamenta o pedido previdenciário pode fundamentar o BPC) e prova dos requisitos do benefício alternativo. A concessão de ofício, sem oitiva das partes sobre o benefício alternativo, pode configurar violação ao contraditório, razão pela qual é recomendável que o juiz, ao identificar a possibilidade de fungibilidade, intime as partes para manifestação antes de proferir sentença.</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18.22 Auxílio-inclusão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auxílio-inclusão, instituído pela Lei n. 14.176/2021 (art. 26 da LOAS, com redação dada por essa lei), é benefício assistencial destinado a incentivar a inserção da pessoa com deficiência no mercado de trabalho formal. Sua lógica é superar o efeito desincentivo do BPC: como a remuneração do trabalho integra a renda per capita familiar e pode superar o limite de miserabilidade, o beneficiário do BPC que aceita emprego formal arrisca perder o benefício assistencial, o que desestimula a busca por trabalho.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auxílio-inclusão é pago no valor de meio salário-mínimo (atualmente R$ 810,50 em 2026) à pessoa com deficiência que, tendo sido beneficiária do BPC, passe a exercer atividade remunerada que a enquadre como segurada obrigatória do RGPS. O beneficiário recebe o auxílio-inclusão durante o período em que exercer a atividade remunerada, mantendo o direito à reativação do BPC caso cesse o vínculo de trabalho.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Os requisitos para o auxílio-inclusão, fixados no art. 26 da LOAS (incluído pela Lei n. 14.176/2021) e detalhados pelo Decreto n. 11.898/2024, são: (a) ser pessoa com deficiência; (b) ter sido beneficiária do BPC (não se exige que esteja em gozo do benefício no momento do requerimento); (c) estar exercendo atividade remunerada que a enquadre como segurada obrigatória do RGPS; (d) exercer atividade remunerada, com remuneração limitada a dois salários-mínimos, que a enquadre como segurada obrigatória do RGPS ou filiada a regime próprio (art. 26-A, I, da LOAS); (e) atender aos critérios de manutenção do BPC, inclusive o de renda familiar per capita, desconsiderada nesse cálculo a remuneração do próprio requerente até dois salários-mínimos (art. 26-A, IV e § 4º); e (e) manter inscrição atualizada no CadÚnico.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auxílio-inclusão não é cumulável com o BPC. O beneficiário que passa a exercer atividade remunerada tem o BPC suspenso e passa a receber o auxílio-inclusão. Se o vínculo de trabalho cessa, o auxílio-inclusão é interrompido e o BPC pode ser reativado, sem necessidade de novo processo de concessão, desde que mantidos os requisitos. Essa sistemática de suspensão e reativação foi desenhada para reduzir o risco de perda definitiva do benefício assistencial em razão de experiência laboral malsucedida.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auxílio-inclusão é aplicável exclusivamente ao BPC por deficiência, não se estendendo ao BPC por idade. A lógica do benefício, voltada à inserção no mercado de trabalho, é incompatível com a situação do idoso de 65 anos ou mais. Na prática, o auxílio-inclusão beneficia sobretudo pessoas com deficiência em idade laborativa (18 a 64 anos) que encontram oportunidade de trabalho formal. A regulamentação do auxílio-inclusão exige que a atividade remunerada seja exercida na condição de segurada obrigatória do RGPS, excluindo atividades informais, trabalho voluntário e trabalho autônomo sem contribuição previdenciária.</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auxílio-inclusão foi regulamentado pelo Decreto n. 11.898/2024, que detalhou o procedimento de concessão, os critérios de elegibilidade e a forma de pagamento. O decreto prevê que o INSS deve comunicar ao beneficiário do BPC, no momento da suspensão do benefício em razão de trabalho, a possibilidade de requerimento do auxílio-inclusão. A integração entre os sistemas do BPC e do auxílio-inclusão é essencial para que a transição ocorra sem descontinuidade de proteção.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exame da relação entre o auxílio-inclusão e a aposentadoria da pessoa com deficiência (LC 142/2013), ver Capítulo 12.</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experiência dos JEFs, o auxílio-inclusão ainda é pouco demandado judicialmente, dado seu caráter recente e a baixa divulgação entre os potenciais beneficiários. O advogado que atua em ações de BPC deve orientar o cliente sobre a existência do auxílio-inclusão, especialmente quando a pessoa com deficiência manifesta interesse em ingressar no mercado de trabalho formal. A informação sobre a garantia de reativação do BPC pode ser o elemento que viabiliza a decisão de aceitar uma oportunidade de emprego.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18.23 Revisão e cessação do BPC</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BPC é benefício de trato continuado, sujeito a revisão periódica para verificação da permanência dos requisitos de concessão. O art. 21 da LOAS (com redação da Lei n. 12.435/2011) prevê que o BPC deve ser revisto a cada dois anos, para avaliação da continuidade das condições que lhe deram origem. A periodicidade da revisão pode ser diferenciada conforme a natureza do impedimento e o grau de vulnerabilidade.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revisão periódica envolve a reavaliação dos dois requisitos: a condição de deficiência ou idade e a miserabilidade. Para o BPC ao idoso, a revisão limita-se à aferição da miserabilidade, pois a condição etária é permanente e irreversível. Para o BPC à pessoa com deficiência, a revisão abrange tanto a reavaliação da deficiência (persistência do impedimento de longo prazo) quanto a aferição da renda per capita familiar.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Portaria MDS/MPS/INSS n. 33/2025 disciplinou o procedimento de reavaliação biopsicossocial do BPC, estabelecendo cronograma para a revisão dos benefícios ativos. A reavaliação é realizada pelo INSS, preferencialmente de forma presencial, podendo, em hipóteses específicas, ser feita por análise documental. O beneficiário convocado para reavaliação que não comparece tem o benefício suspenso após prazo de 30 dias, ressalvadas as hipóteses de impossibilidade comprovada de comparecimento (internação hospitalar, residência em área de difícil acesso). A Portaria Conjunta INSS/MDS n. 34, de 9 de outubro de 2025, atualizou os procedimentos operacionais para o BPC em situação de internação hospitalar e acolhimento institucional, confirmando que a internação de curta duração não autoriza a suspensão automática e que o acolhimento institucional de longa permanência mantém integralmente o direito ao benefício.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São dispensados da reavaliação periódica: (a) beneficiários que completem 65 anos (passam automaticamente à modalidade idoso); (b) pessoas com deficiência permanente, irreversível ou irrecuperável; e (c) PcD que retornem ao BPC após suspensão pelo auxílio-inclusão, por dois anos contados do retorno.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cessação do BPC pode ocorrer nas seguintes hipóteses: (a) morte do beneficiário; (b) superação da condição de deficiência (melhora funcional que afaste o impedimento de longo prazo); (c) superação da miserabilidade (alteração da renda per capita familiar acima do limite); (d) concessão de benefício previdenciário que impeça a cumulação; (e) reclusão em estabelecimento prisional de regime fechado; (f) não comparecimento à revisão periódica após convocação regular.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cessação do BPC por superação da miserabilidade não é automática. O INSS deve notificar o beneficiário e conceder prazo para defesa antes da cessação, garantindo o contraditório e a ampla defesa. Nos JEFs, decisões de cessação ou suspensão do BPC podem ser impugnadas por via de ação ordinária ou mandado de segurança, quando evidenciada ilegalidade ou arbitrariedade na atuação administrativa.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Na defesa judicial contra a cessação do BPC, a estratégia mais efetiva é a demonstração de que os requisitos permanecem preenchidos, apesar da conclusão administrativa em contrário. O advogado deve requerer: (a) tutela de urgência para restabelecimento do benefício, com base no risco de dano grave e irreversível à subsistência do beneficiário; (b) perícia judicial biopsicossocial (no caso de cessação por suposta superação da deficiência); (c) estudo socioeconômico atualizado (no caso de cessação por suposta superação da miserabilidade). Os JEFs, pelo procedimento sumaríssimo, permitem instrução célere dessas ações, com audiência concentrada e decisão em prazo reduzido.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18.24 BPC e trabalho: suspensão e retomada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relação entre o BPC e o exercício de atividade remunerada é tema de grande relevância prática. O art. 21-A da LOAS (incluído pela Lei n. 12.435/2011 e alterado pela Lei n. 14.176/2021) disciplina a suspensão do BPC em razão de trabalho.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regra geral é que o exercício de atividade remunerada que eleve a renda per capita familiar acima do limite legal conduz à suspensão do BPC, e não à sua cessação definitiva. A distinção é relevante: a suspensão permite a reativação do benefício quando cessada a atividade remunerada, sem necessidade de novo processo de concessão; a cessação exige novo requerimento administrativo e nova avaliação completa dos requisitos.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art. 21-A, § 1º, da LOAS prevê que a pessoa com deficiência contratada como aprendiz pode acumular o BPC com a remuneração do contrato de aprendizagem, pelo prazo máximo de dois anos. Essa disposição excepcional visa incentivar a formação profissional da pessoa com deficiência sem penalizá-la com a perda do benefício assistencial durante o período de aprendizado.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as demais modalidades de trabalho formal, a suspensão do BPC é imediata. O beneficiário que inicia atividade remunerada como empregado, contribuinte individual ou segurado em qualquer outra categoria deve comunicar ao INSS para a suspensão do BPC. Se for pessoa com deficiência, poderá requerer o auxílio-inclusão (seção 18.22) como benefício transitório. Se o vínculo de trabalho cessar, o BPC pode ser reativado mediante requerimento simplificado, desde que a deficiência e a miserabilidade persistam.</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direito à reativação constitui incentivo fundamental à inserção da pessoa com deficiência no mercado de trabalho. A garantia de retorno ao BPC caso a experiência laboral não prospere reduz o risco percebido pelo beneficiário e estimula a tentativa de inclusão produtiva. A regulamentação prevê prazo de 90 dias para a reativação do BPC após a cessação do vínculo de trabalho, contados da data do requerimento.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18.25 Aspectos procedimentais nos JEFs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processamento das ações de BPC nos JEFs obedece ao rito sumaríssimo da Lei n. 10.259/2001, com as adaptações exigidas pela natureza do benefício. A competência é do JEF da subseção judiciária em cuja jurisdição reside o requerente, desde que o valor da causa não exceda 60 salários-mínimos.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prévio requerimento administrativo é requisito de interesse de agir para a propositura da ação judicial, conforme assentou o STF no RE 631.240 (Tema 350). O requerente deve comprovar que o INSS indeferiu o pedido de BPC ou que transcorreu prazo razoável sem resposta (45 dias, conforme a legislação de processo administrativo). A dispensa do requerimento administrativo é admitida em situações excepcionais, como recusa de protocolo pela agência ou notório entendimento contrário da administração.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instrução processual nas ações de BPC envolve, tipicamente, três elementos: (a) perícia médica (para o BPC por deficiência); (b) estudo socioeconômico (para aferição da miserabilidade); e (c) prova testemunhal (complementar). A audiência de instrução e julgamento, nos JEFs, concentra a coleta dessas provas, otimizando o procedimento.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perícia médica para o BPC deve ser realizada por médico com experiência em avaliação funcional, preferencialmente capacitado no uso da CIF/OMS. Os quesitos devem contemplar não apenas o diagnóstico clínico, mas também a avaliação funcional (limitações para atividades da vida diária, capacidade laborativa, necessidade de assistência de terceiros) e a análise contextual (barreiras ambientais e sociais). A perícia interdisciplinar, com participação de assistente social, é ideal, mas nem sempre disponível na estrutura dos JEFs.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Nos JEFs, a sentença que concede o BPC deve fixar: (a) a data de início do benefício (DIB); (b) o valor do benefício (um salário-mínimo mensal); (c) os honorários advocatícios sucumbenciais (isentos em primeiro grau, nos termos do art. 55 da Lei n. 9.099/95, aplicável por analogia); e (d) a implantação do benefício, que pode ser determinada como obrigação de fazer ao INSS. A antecipação dos efeitos da tutela é frequente nas ações de BPC, dada a vulnerabilidade dos requerentes. O juiz pode determinar a implantação imediata do benefício, com base no art. 4º da Lei n. 10.259/2001, intimando o INSS para cumprimento em prazo determinado (usualmente 30 dias).</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legitimidade ativa nas ações de BPC pertence ao requerente (pessoa idosa ou com deficiência). Nos casos de incapacidade civil, o representante legal (curador, tutor) ou, na ausência de representação formal, familiar próximo pode propor a ação em nome do beneficiário. Os JEFs admitem a atuação do representante informal em casos de urgência, regularizando a representação processual no curso do processo.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Ministério Público Federal pode atuar como fiscal da lei nas ações individuais de BPC, embora a intervenção não seja obrigatória. Em ações coletivas (ações civis públicas) que questionem a política pública de concessão do BPC, o MPF tem legitimidade ativa concorrente.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tutela de urgência nas ações de BPC merece tratamento destacado. A natureza alimentar do benefício, somada à vulnerabilidade extrema dos requerentes, justifica a concessão de tutela provisória de urgência em caráter antecedente ou incidental, nos termos dos arts. 300 e seguintes do CPC/2015 (aplicáveis subsidiariamente nos JEFs). Os requisitos da tutela de urgência, a probabilidade do direito e o perigo de dano, são facilmente demonstráveis nas ações de BPC: a probabilidade do direito decorre da existência de deficiência ou idade avançada associada a indicativos de miserabilidade; o perigo de dano é inerente à condição de quem não possui meios de subsistência.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jurisprudência dos TRFs e das Turmas Recursais consolidou orientação favorável à concessão de tutela de urgência nas ações de BPC, especialmente quando: (a) o requerente é idoso em idade avançada (acima de 75 ou 80 anos); (b) há risco de morte ou agravamento severo da condição de saúde; (c) o indeferimento administrativo fundou-se em critério superado pela jurisprudência (como a aplicação rígida do critério de 1/4 do salário-mínimo); (d) a deficiência é evidente pela documentação médica juntada com a inicial. A intimação do INSS para implantação provisória do benefício, em prazo de 30 a 45 dias, é a forma usual de cumprimento da tutela antecipada nos JEFs.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Nas ações de restabelecimento do BPC (quando o benefício foi indevidamente cessado pelo INSS), a tutela de urgência assume importância ainda maior. O beneficiário que vinha recebendo o BPC e teve o benefício cortado sofre privação imediata de sua única fonte de renda. A demonstração do perigo de dano é, nesses casos, praticamente automática: a pessoa que dependia do salário-mínimo mensal do BPC para sobreviver e se vê repentinamente sem renda enfrenta risco alimentar concreto. O juiz deve agir com celeridade, determinando o restabelecimento provisório do benefício enquanto instrui a ação.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18.26 Data de início do benefício (DIB) e efeitos financeiros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fixação da data de início do benefício (DIB) nas ações judiciais de BPC é questão de relevância prática direta, pois determina o montante das parcelas atrasadas devidas ao beneficiário. A regra geral é que a DIB deve ser fixada na data do requerimento administrativo (DER), quando os requisitos já estavam preenchidos naquela data.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Se os requisitos foram preenchidos após o requerimento administrativo (por exemplo, a idade de 65 anos foi completada após a DER), a DIB deve ser fixada na data em que o último requisito foi implementado. Aplica-se, por analogia, a tese da reafirmação da DER fixada pelo STJ no Tema 995 para benefícios previdenciários: se os requisitos são preenchidos no curso do processo judicial, o benefício pode ser concedido com DIB na data em que o último requisito foi implementado, mesmo que posterior à DER.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ausência de requerimento administrativo (em hipóteses excepcionais de dispensa), a DIB é fixada na data da citação válida do INSS, quando os requisitos estejam comprovados desde essa data. A fixação da DIB na data da sentença é reservada para casos em que a comprovação dos requisitos somente se completou no curso do processo.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As parcelas atrasadas (diferenças entre a DIB e a data da implantação) são pagas mediante Requisição de Pequeno Valor (RPV), se o montante total for igual ou inferior a 60 salários-mínimos, ou por precatório, se superior. Nos JEFs, a competência está limitada a causas de até 60 salários-mínimos, o que abrange a quase totalidade das ações de BPC, cujas parcelas atrasadas raramente excedem esse teto.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atualização das parcelas atrasadas observa dois regimes distintos, conforme o recorte temporal. Até a vigência da EC 113/2021, aplica-se o regime fixado pelo STJ no Tema 905 (REsps 1.495.146/MG e 1.492.221/PR) e pelo STF no RE 870.947 (Tema 810): correção monetária pelo INPC — índice próprio das condenações previdenciárias, estendido por analogia aos benefícios assistenciais por sua natureza alimentar — e juros de mora pelos índices da caderneta de poupança, na linha do Tema 810, que afastou a TR como critério de atualização das condenações da Fazenda Pública. A partir da vigência da EC 113/2021, esse regime bipartido é substituído pela taxa SELIC, que passa a operar como índice único de correção monetária e juros de mora, aplicável às parcelas vencidas a partir de então.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renúncia ao excedente de 60 salários-mínimos, exigida para a fixação da competência do JEF (art. 3º, § 3º, da Lei n. 10.259/2001), deve ser considerada pelo advogado na propositura da ação. Quando as parcelas atrasadas ultrapassam 60 salários-mínimos (o que pode ocorrer em ações com longo tempo de tramitação ou com DIB fixada em data remota), o autor deve optar entre renunciar ao excedente para permanecer no JEF (com a vantagem do rito célere) ou ajuizar a ação na vara federal comum (com a vantagem de receber o valor integral, porém mediante precatório). A decisão depende do caso concreto e deve ser objeto de aconselhamento individualizado ao cliente.</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18.27 Legislação recente: impactos das Leis n. 14.176/2021, n. 15.077/2024 e n. 15.226/2025</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evolução legislativa recente do BPC reflete a tensão entre a ampliação do acesso ao benefício e as preocupações fiscais que permeiam a política de assistência social. A Lei n. 14.176/2021 constitui o marco legislativo mais significativo desde a edição da LOAS em 1993.</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Lei n. 14.176/2021 promoveu as seguintes alterações principais: (a) criação do art. 20-B, que autoriza a ampliação do critério de renda per capita para até 1/2 salário-mínimo, mediante regulamentação; (b) consolidação e aperfeiçoamento do rol de exclusões da renda per capita familiar (art. 20, § 14, originariamente acrescentado pela Lei n. 13.982/2020), abrangendo benefícios de até um salário-mínimo de membros idosos ou com deficiência; (c) previsão de avaliação biopsicossocial unificada (art. 2º-A); (d) regulamentação do auxílio-inclusão (art. 26); (e) aperfeiçoamento dos critérios de composição do grupo familiar; (f) exigência de inscrição no CadÚnico como condição para concessão administrativa.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Lei n. 15.077/2024 alterou dispositivos da LOAS relativos ao procedimento administrativo de concessão e revisão do BPC. Dentre as alterações, destacam-se o aperfeiçoamento dos prazos para análise do requerimento administrativo e a previsão de canais digitais para o requerimento, visando reduzir a exclusão digital de idosos e pessoas com deficiência que enfrentam dificuldades de acesso presencial às agências do INSS.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Lei n. 15.226/2025 promoveu ajustes nos critérios de revisão periódica do BPC, diferenciando a periodicidade conforme a natureza do impedimento e a faixa etária do beneficiário. Beneficiários com impedimentos permanentes e irreversíveis passam a ter periodicidade de revisão ampliada, reduzindo a frequência de convocações e o risco de cessação indevida. A alteração responde a críticas de que a revisão bienal impunha ônus desproporcional a pessoas cuja condição de deficiência, por natureza, não era suscetível de melhora.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As Leis n. 15.077/2024 e n. 15.226/2025 são diplomas de edição muito recente, cujos dispositivos vêm sendo objeto de regulamentação infralegal sucessiva. Os efeitos aqui descritos (aperfeiçoamento de prazos administrativos, canais digitais de requerimento e diferenciação da periodicidade de revisão) refletem o conteúdo dessas leis conforme o texto vigente na data de fechamento desta edição. Recomendamos ao leitor conferir, na data de leitura, a redação atualizada da LOAS e os exatos dispositivos por elas alterados ou acrescentados, no portal da legislação federal (planalto.gov.br), pois pequenas modificações posteriores podem repercutir nos prazos e nas regras procedimentais apontados.</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Decreto n. 12.686/2025 regulamentou aspectos procedimentais da avaliação biopsicossocial, definindo competências, prazos e protocolos para a aplicação do instrumento de avaliação. A regulamentação prevê a participação de equipe multidisciplinar (médico, assistente social e, quando pertinente, psicólogo ou terapeuta ocupacional) na avaliação da deficiência para fins do BPC, superando o modelo vigente de avaliação exclusivamente médica complementada por parecer social.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advogado que atua em ações de BPC deve manter-se permanentemente atualizado sobre as alterações legislativas e regulamentares, que têm sido frequentes nos últimos anos. A consulta periódica ao portal da legislação federal (planalto.gov.br) e ao Diário Oficial da União é medida indispensável. Recomendamos especial atenção às portarias conjuntas MDS/MPS/INSS, que regulamentam os procedimentos administrativos de concessão e revisão do BPC. A regulamentação do art. 20-B (ampliação do critério para 1/2 SM) deve ser monitorada, pois sua implementação pode alterar significativamente o cenário de concessão administrativa e judicial do benefício.</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Lei n. 14.176/2021 também modificou a sistemática de inscrição no CadÚnico como requisito para concessão administrativa do BPC. O art. 20, § 13, da LOAS (incluído por essa lei) exige que o requerente e os membros de seu grupo familiar estejam inscritos no CadÚnico como condição para processamento do requerimento administrativo. A exigência visa integrar as bases de dados de proteção social e facilitar a verificação da renda familiar. No âmbito judicial, contudo, a ausência de inscrição no CadÚnico não pode servir de fundamento para indeferimento da pretensão: o direito constitucional ao BPC não se condiciona a requisito cadastral infraconstitucional. O juiz que verificar a ausência de inscrição pode determinar, como obrigação acessória, que o INSS providencie a inscrição do beneficiário no CadÚnico.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18.28 Avaliação biopsicossocial unificada: perspectivas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avaliação biopsicossocial unificada, prevista no art. 2º, § 1º, da Lei n. 13.146/2015 e regulamentada pela Lei n. 14.176/2021, representa transformação paradigmática na forma de avaliar a deficiência para fins de acesso a políticas públicas. Para a análise detalhada do modelo biopsicossocial, da CIF/OMS e do Sisperjud/CNJ como instrumentos gerais de avaliação da deficiência, remetemos ao Capítulo 6 deste livro. Aqui, examinamos as perspectivas específicas da avaliação unificada para o BPC.</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Decreto n. 12.686/2025 regulamentou os aspectos procedimentais da avaliação biopsicossocial especificamente para o BPC, prevendo a participação de equipe multidisciplinar (médico, assistente social e, quando pertinente, psicólogo ou terapeuta ocupacional), cronograma de implementação e protocolos de aplicação. O prazo para implementação obrigatória, originalmente fixado para janeiro de 2025, foi prorrogado para março de 2026, refletindo as dificuldades operacionais do processo de transição. Por se tratar de marco futuro e condicionado à conclusão da regulamentação e da estruturação operacional, o leitor deve confirmar, na data de leitura, se a avaliação unificada entrou efetivamente em vigor no termo indicado ou sofreu nova prorrogação. A perspectiva é de que, uma vez implementada, a avaliação unificada melhore a qualidade da prova pericial, reduza a judicialização e promova maior isonomia entre os beneficiários.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TNU, Súmula 78</w:t>
            </w:r>
            <w:r>
              <w:rPr>
                <w:rFonts w:ascii="EB Garamond" w:hAnsi="EB Garamond" w:cs="EB Garamond"/>
                <w:b w:val="0"/>
                <w:i w:val="0"/>
                <w:color w:val="201B16"/>
                <w:sz w:val="19"/>
                <w:lang w:val="pt-BR" w:bidi="ar-SA"/>
                <w:kern w:val="16"/>
                <w14:ligatures w14:val="standardContextual"/>
              </w:rPr>
              <w:t>: "Comprovado que o requerente de benefício é portador do vírus HIV, cabe ao julgador verificar as condições pessoais, sociais, econômicas e culturais, de forma a analisar a incapacidade em sentido amplo, em face da elevada estigmatização social da doença." A Súmula 78 antecipou, para os casos de HIV, a lógica biopsicossocial que a avaliação unificada pretende generalizar. O entendimento de que a avaliação da deficiência ou incapacidade não se esgota no exame clínico, devendo considerar o contexto social e as barreiras à participação, constitui o núcleo do modelo biopsicossocial hoje consagrado em lei.</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18.29 BPC e situações especiais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aplicação do BPC em situações especiais suscita questões que merecem exame individualizado, pela frequência com que surgem nos JEFs e pela complexidade jurídica que envolvem.</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Atividade remunerada informal.</w:t>
      </w:r>
      <w:r>
        <w:rPr>
          <w:rFonts w:ascii="EB Garamond" w:hAnsi="EB Garamond" w:cs="EB Garamond"/>
          <w:b w:val="0"/>
          <w:i w:val="0"/>
          <w:color w:val="201B16"/>
          <w:sz w:val="21"/>
          <w:lang w:val="pt-BR" w:bidi="ar-SA"/>
          <w:kern w:val="16"/>
          <w14:ligatures w14:val="standardContextual"/>
        </w:rPr>
        <w:t xml:space="preserve"> A atividade informal (bico, trabalho eventual, venda ambulante) não configura, por si só, impedimento ao BPC, desde que a renda auferida não eleve a renda per capita familiar acima do limite. A jurisprudência reconhece que muitas pessoas com deficiência exercem atividades informais de baixa remuneração como estratégia de sobrevivência, sem que isso afaste a miserabilidade ou a condição de deficiência. A análise é contextual: o que importa é se o trabalho informal revela capacidade efetiva de sustento ou se representa mera complementação precária de renda em contexto de vulnerabilidade. Nos JEFs, é frequente a contestação do INSS que alega a existência de atividade informal como óbice ao BPC. O juiz deve ponderar que a atividade informal de baixa produtividade, exercida por pessoa com impedimento funcional em contexto de miserabilidade, não revela capacidade de autossustento, mas constitui expediente de sobrevivência que confirma a vulnerabilidade.</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Apoio financeiro de familiares externos ao grupo.</w:t>
      </w:r>
      <w:r>
        <w:rPr>
          <w:rFonts w:ascii="EB Garamond" w:hAnsi="EB Garamond" w:cs="EB Garamond"/>
          <w:b w:val="0"/>
          <w:i w:val="0"/>
          <w:color w:val="201B16"/>
          <w:sz w:val="21"/>
          <w:lang w:val="pt-BR" w:bidi="ar-SA"/>
          <w:kern w:val="16"/>
          <w14:ligatures w14:val="standardContextual"/>
        </w:rPr>
        <w:t xml:space="preserve"> A pessoa com deficiência que recebe apoio financeiro de familiares não integrantes do grupo familiar (filhos casados que não residem no mesmo domicílio, irmãos em outras cidades) enfrenta objeção recorrente do INSS. A ajuda financeira de terceiros não integra a renda per capita familiar para fins do BPC, pois apenas a renda dos membros do grupo familiar (coabitantes nos termos do art. 20, § 1º) é computada. A ajuda informal de parentes, por sua natureza precária e voluntária, não afasta a miserabilidade. Entendemos que a proteção assistencial não pode ser condicionada à existência de solidariedade familiar privada, que é moralmente desejável, mas juridicamente insuficiente para substituir a obrigação do Estado. A doutrina converge: o dever constitucional de amparo ao idoso e à pessoa com deficiência em situação de vulnerabilidade recai sobre o Estado (art. 203, CF/88), e não pode ser transferido à família como condição de exclusão do benefício assistencial.</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Propriedade de imóvel de baixo valor.</w:t>
      </w:r>
      <w:r>
        <w:rPr>
          <w:rFonts w:ascii="EB Garamond" w:hAnsi="EB Garamond" w:cs="EB Garamond"/>
          <w:b w:val="0"/>
          <w:i w:val="0"/>
          <w:color w:val="201B16"/>
          <w:sz w:val="21"/>
          <w:lang w:val="pt-BR" w:bidi="ar-SA"/>
          <w:kern w:val="16"/>
          <w14:ligatures w14:val="standardContextual"/>
        </w:rPr>
        <w:t xml:space="preserve"> A análise do patrimônio do idoso ou da pessoa com deficiência proprietário de imóvel merece exame cuidadoso. A propriedade de imóvel utilizado como moradia não impede a concessão do BPC, pois a moradia é direito social (art. 6º, CF/88) e sua titularidade não demonstra capacidade econômica de prover o sustento. A propriedade de imóvel de valor expressivo que não serve de moradia (terreno rural, lote urbano desocupado) pode, em tese, afastar a miserabilidade, se demonstrada a possibilidade de alienação ou exploração econômica. A análise, porém, deve considerar as condições reais do mercado imobiliário local e a liquidez do ativo. Um terreno em zona rural de difícil acesso, sem mercado comprador efetivo, não demonstra capacidade econômica, mesmo que seu valor venal registrado seja significativo.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Idoso com família de renda modesta acima do critério legal.</w:t>
      </w:r>
      <w:r>
        <w:rPr>
          <w:rFonts w:ascii="EB Garamond" w:hAnsi="EB Garamond" w:cs="EB Garamond"/>
          <w:b w:val="0"/>
          <w:i w:val="0"/>
          <w:color w:val="201B16"/>
          <w:sz w:val="21"/>
          <w:lang w:val="pt-BR" w:bidi="ar-SA"/>
          <w:kern w:val="16"/>
          <w14:ligatures w14:val="standardContextual"/>
        </w:rPr>
        <w:t xml:space="preserve"> A configuração é recorrente nos JEFs: idoso de 65 anos que reside com filho empregado cuja remuneração, dividida pelos membros do grupo familiar, supera 1/4 do salário-mínimo, mas é insuficiente para custear as necessidades específicas do idoso (medicamentos, consultas médicas, fraldas geriátricas, alimentação especial). A aplicação pura do critério aritmético negaria o benefício, mas a análise material, à luz do Tema 27 do STF, pode demonstrar que a família vive em condição de vulnerabilidade real. O custo de manutenção de um idoso dependente frequentemente absorve parcela desproporcional da renda familiar, empobrecendo todo o grupo. Nesses casos, o estudo social que demonstre o comprometimento da renda com despesas específicas do idoso pode fundamentar a concessão do BPC.</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Posse de veículo automotor.</w:t>
      </w:r>
      <w:r>
        <w:rPr>
          <w:rFonts w:ascii="EB Garamond" w:hAnsi="EB Garamond" w:cs="EB Garamond"/>
          <w:b w:val="0"/>
          <w:i w:val="0"/>
          <w:color w:val="201B16"/>
          <w:sz w:val="21"/>
          <w:lang w:val="pt-BR" w:bidi="ar-SA"/>
          <w:kern w:val="16"/>
          <w14:ligatures w14:val="standardContextual"/>
        </w:rPr>
        <w:t xml:space="preserve"> A pessoa com deficiência que possui veículo automotor enfrenta objeção frequente do INSS. A mera propriedade de veículo não afasta a miserabilidade, especialmente quando o automóvel é de baixo valor, antigo e indispensável para o transporte do requerente a tratamentos médicos e terapêuticos. Em muitas cidades brasileiras, o transporte público é inacessível a pessoas com deficiência motora, o que torna o veículo particular instrumento de acessibilidade, e não indicador de capacidade econômica. A jurisprudência dos TRFs vem consolidando esse entendimento, exigindo que o INSS demonstre que o veículo constitui patrimônio compatível com capacidade econômica efetiva, e não mero instrumento de locomoção.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existência de empréstimo consignado vinculado a benefício previdenciário do grupo familiar não é circunstância que afasta a miserabilidade. Ao contrário, o comprometimento de parte da renda com prestações de empréstimo consignado evidencia dificuldade financeira e pode agravar a condição de vulnerabilidade. O valor líquido efetivamente recebido pelo membro da família (após o desconto das parcelas consignadas) é que deve ser considerado no cálculo da renda per capita, e não o valor bruto do benefício. Esse entendimento, embora não unânime, encontra respaldo na jurisprudência que privilegia a análise da situação real de vida da família, em detrimento de critérios puramente formais.</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M</w:t>
      </w:r>
    </w:p>
    <w:p>
      <w:pPr>
        <w:spacing w:before="0" w:after="70" w:line="259" w:lineRule="auto"/>
        <w:jc w:val="both"/>
      </w:pPr>
      <w:r>
        <w:rPr>
          <w:rFonts w:ascii="EB Garamond" w:hAnsi="EB Garamond" w:cs="EB Garamond"/>
          <w:b/>
          <w:i w:val="0"/>
          <w:color w:val="201B16"/>
          <w:sz w:val="21"/>
          <w:lang w:val="pt-BR" w:bidi="ar-SA"/>
          <w:kern w:val="16"/>
          <w14:ligatures w14:val="standardContextual"/>
        </w:rPr>
        <w:t>últiplos membros com deficiência no grupo familiar.</w:t>
      </w:r>
      <w:r>
        <w:rPr>
          <w:rFonts w:ascii="EB Garamond" w:hAnsi="EB Garamond" w:cs="EB Garamond"/>
          <w:b w:val="0"/>
          <w:i w:val="0"/>
          <w:color w:val="201B16"/>
          <w:sz w:val="21"/>
          <w:lang w:val="pt-BR" w:bidi="ar-SA"/>
          <w:kern w:val="16"/>
          <w14:ligatures w14:val="standardContextual"/>
        </w:rPr>
        <w:t xml:space="preserve"> Esta configuração exige atenção ao mecanismo de exclusões legais. Quando dois ou mais membros do grupo familiar possuem deficiência, cada um pode requerer o BPC individualmente, aplicando-se as exclusões legais para o cálculo da renda per capita. O BPC já concedido a um membro com deficiência é excluído do cálculo para fins de análise do requerimento do segundo membro (art. 20, § 14, V, LOAS). Essa mecânica permite a concessão de múltiplos BPCs no mesmo grupo familiar, desde que cada beneficiário preencha individualmente os requisitos de deficiência e miserabilidade.</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Nos JEFs, é frequente a alegação do INSS de que o requerente do BPC possui patrimônio incompatível com a miserabilidade (imóvel, veículo, conta bancária com saldo). O juiz deve avaliar essas alegações com cautela, distinguindo patrimônio produtivo (que gera renda ou pode ser convertido em renda) de patrimônio improdutivo (moradia, veículo de baixo valor usado para transporte do deficiente, poupança de pequeno valor). A posse de veículo adaptado por pessoa com deficiência, por exemplo, é instrumento de acessibilidade e não indicador de capacidade econômica. Contas bancárias com saldo inexpressivo (inferior a um salário-mínimo) refletem movimentação financeira precária, não disponibilidade de recursos.</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Q</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uanto à pessoa internada em instituição de saúde ou de longa permanência, remetemos à análise da seção 18.14, que examina em detalhe a manutenção do direito ao BPC durante o acolhimento institucional (art. 20, § 5º, da LOAS).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18.30 Questões processuais específicas do BPC nos JEFs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 ações de BPC nos JEFs apresentam particularidades processuais que merecem atenção do advogado e do magistrado. A primeira é a gratuidade da justiça. O requerente do BPC, por definição, encontra-se em situação de miserabilidade, o que gera presunção de hipossuficiência para fins de justiça gratuita. A declaração de pobreza, firmada pelo próprio requerente ou por seu representante, é suficiente para a concessão do benefício da justiça gratuita nos JEFs, dispensando-se a comprovação documental da insuficiência de recursos.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representação por advogado é facultativa nos JEFs, nos termos do art. 9º da Lei n. 9.099/95, aplicável subsidiariamente por força do art. 1º da Lei n. 10.259/2001, que prevê a capacidade postulatória pessoal da parte nas causas de valor reduzido. O requerente pode comparecer pessoalmente ao JEF e formular o pedido de BPC, cabendo ao servidor da Secretaria reduzir a termo o pedido e encaminhá-lo para distribuição. Na prática, porém, a complexidade das ações de BPC (especialmente as que envolvem avaliação de deficiência e relativização do critério de renda) torna a representação por advogado altamente recomendável.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segunda particularidade é a possibilidade de audiência de conciliação. O INSS é autorizado a celebrar acordos nos JEFs, mediante tabelas de alçada e parâmetros fixados pela Procuradoria-Geral Federal. Nas ações de BPC, a conciliação pode envolver a implantação do benefício com fixação consensual da DIB, evitando a necessidade de instrução completa. A conciliação é especialmente vantajosa para os requerentes em situação de urgência alimentar, pois permite a implantação imediata do benefício.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terceira particularidade é a cumulação de pedidos. É comum que o requerente cumule o pedido de BPC com pedido de benefício previdenciário por incapacidade (fungibilidade), com pedido de tutela de urgência para implantação imediata e, eventualmente, com pedido de danos morais por indeferimento indevido. A cumulação é admitida nos JEFs, desde que a soma dos valores dos pedidos não exceda 60 salários-mínimos e os pedidos sejam conexos.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quarta particularidade diz respeito ao recurso. A sentença de primeiro grau nos JEFs é recorrível por meio de recurso inominado à Turma Recursal, no prazo de 10 dias corridos (art. 42 da Lei n. 9.099/95, c/c art. 12, II, da Lei n. 10.259/2001), prevalecendo a contagem em dias corridos, conforme a orientação predominante nos JEFs, afastada a contagem em dias úteis do art. 219 do CPC/2015. O recurso tem efeito meramente devolutivo, de modo que a sentença que concede o BPC pode ser executada provisoriamente (com implantação do benefício) mesmo pendente recurso do INSS. A Turma Recursal analisa tanto questões de fato quanto de direito, podendo reformar integralmente a sentença.</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18.31 Intertemporalidade e direito adquirido no BPC</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BPC, diferentemente dos benefícios previdenciários, em regra não gera direito adquirido ao regime jurídico de concessão vigente na data do requerimento, ressalvados o benefício já deferido e os requisitos integralmente implementados sob a lei anterior. A natureza assistencial do benefício vincula-o às condições de fato (deficiência/idade + miserabilidade) verificadas a cada momento, e não a regras pretéritas de concessão, de modo que a alteração dos critérios legais tende a aplicar-se de imediato aos requerimentos ainda não decididos, sem a densidade das regras de transição típicas do direito previdenciário. Permanece íntegra, contudo, a proteção do tempus regit actum quanto aos pressupostos já preenchidos: implementados todos os requisitos exigidos pela legislação então em vigor, o requerente faz jus à concessão segundo aquele regime, ainda que lei posterior os modifique.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Essa característica tem consequência prática relevante: a ampliação do critério de renda per capita para 1/2 salário-mínimo (Lei n. 14.176/2021, art. 20-B) aplica-se a todos os requerimentos pendentes e futuros, independentemente de quando o requerente completou os requisitos. Inversamente, eventual restrição futura dos critérios também se aplicaria imediatamente, sem proteção de direito adquirido ao critério anterior.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exceção é o beneficiário em gozo do BPC. O benefício em manutenção somente pode ser cessado mediante procedimento administrativo com contraditório, e a cessação por alteração legislativa desfavorável exige período de transição razoável, por força do princípio da segurança jurídica e da vedação de retrocesso social. A doutrina debate a extensão da vedação de retrocesso no campo assistencial: entendemos que, embora o legislador tenha margem para modificar critérios do BPC, a supressão integral do benefício ou a redução drástica de seu alcance encontra limites no núcleo essencial do art. 203, V, da Constituição.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18.32 Peculiaridades da prova pericial em transtornos mentais e deficiência intelectual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avaliação pericial de transtornos mentais e deficiência intelectual para fins do BPC apresenta desafios específicos que merecem tratamento destacado. A natureza dessas condições, frequentemente invisível e flutuante, exige do perito e do juiz sensibilidade para aspectos que transcendem o exame clínico tradicional.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Os transtornos mentais graves (esquizofrenia, transtorno esquizoafetivo, transtorno bipolar em fase maníaca ou depressiva grave, depressão resistente ao tratamento) configuram impedimento de longo prazo quando cronificados, mesmo que o paciente apresente períodos de remissão parcial sob tratamento medicamentoso. A análise deve considerar que a remissão, em muitos casos, depende de adesão contínua ao tratamento, que o acesso a medicamentos pelo SUS pode ser irregular, e que a cronificação tende a agravar-se com a idade e com a precariedade do suporte terapêutico.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deficiência intelectual, por sua natureza constitucional (presente desde o desenvolvimento), configura impedimento permanente que dispensa a aferição do prazo mínimo de dois anos. O perito deve avaliar o grau de comprometimento funcional (leve, moderado, grave, profundo), o impacto nas atividades da vida diária, a capacidade de autocuidado e a possibilidade de inserção laboral, considerando o contexto socioeconômico do periciando. Uma pessoa com deficiência intelectual leve, residente em grande centro urbano com acesso a serviços de reabilitação e oportunidades de trabalho protegido, encontra-se em situação diferente de pessoa com o mesmo grau de comprometimento residente em área rural sem qualquer suporte.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transtorno do espectro autista (TEA) suscita questões adicionais. O diagnóstico de TEA, por si só, não configura deficiência para fins do BPC: é necessário demonstrar que o espectro de sintomas (dificuldades de comunicação social, padrões restritos de comportamento) gera impedimento de longo prazo que, em interação com barreiras, obstrui a participação social. Crianças com TEA de nível 2 ou 3 de suporte (classificação DSM-5) tipicamente preenchem os requisitos, enquanto crianças com TEA de nível 1, dependendo do contexto, podem ou não os preencher.</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TNU, Tema 274 (PEDILEF 0512288-77.2017.4.05.8300/PE)</w:t>
            </w:r>
            <w:r>
              <w:rPr>
                <w:rFonts w:ascii="EB Garamond" w:hAnsi="EB Garamond" w:cs="EB Garamond"/>
                <w:b w:val="0"/>
                <w:i w:val="0"/>
                <w:color w:val="201B16"/>
                <w:sz w:val="19"/>
                <w:lang w:val="pt-BR" w:bidi="ar-SA"/>
                <w:kern w:val="16"/>
                <w14:ligatures w14:val="standardContextual"/>
              </w:rPr>
              <w:t>: A TNU firmou a tese de que "é possível a concessão de aposentadoria por invalidez, após análise das condições sociais, pessoais, econômicas e culturais, existindo incapacidade parcial e permanente, no caso de outras doenças, que não se relacionem com o vírus HIV, mas que sejam estigmatizantes e impactem significativa e negativamente na funcionalidade social do segurado, entendida esta como o potencial de acesso e permanência no mercado de trabalho". O Tema 274 versa, portanto, sobre benefício previdenciário por incapacidade (aposentadoria por invalidez) em doenças estigmatizantes não relacionadas ao HIV — a situação específica do HIV é tratada pela Súmula 78 da TNU. O julgado reconhece que o estigma social associado a certas condições de saúde constitui barreira à participação social tão relevante quanto a limitação funcional em si, lógica que se alinha ao modelo biopsicossocial consagrado pela CIF/OMS e pela Lei n. 13.146/2015 e que pode ser transposta, por analogia, à avaliação da deficiência para fins do BPC.</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produção de prova pericial em transtornos mentais exige cuidados procedimentais. O perito deve estar habilitado em psiquiatria ou neurologia, conforme a natureza do transtorno. A avaliação em consultório pode ser insuficiente para captar a real extensão das limitações: o requerente, em ambiente controlado e por breve período, pode apresentar funcionalidade aparentemente superior à que manifesta no cotidiano. A complementação da perícia com relatório de acompanhamento terapêutico (quando disponível) e com estudo social que retrate as condições de vida diária do periciando é prática recomendável.</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18.33 BPC e pessoa em situação de rua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pessoa em situação de rua que preencha os requisitos do BPC (deficiência ou idade avançada, cumulada com miserabilidade) tem direito ao benefício, embora enfrente obstáculos práticos significativos para obtê-lo. A ausência de domicílio fixo, a dificuldade de apresentação de documentos e a falta de conta bancária para recebimento são barreiras recorrentes.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No âmbito administrativo, o INSS desenvolveu procedimentos específicos para o atendimento de pessoas em situação de rua, permitindo a utilização de endereço de referência (Centro de Referência de Assistência Social — CRAS, Centro Pop, entidade assistencial) para fins de cadastro e correspondência. O requerimento pode ser formulado sem comprovante de residência convencional, bastando a indicação do local de pernoite habitual ou do equipamento de assistência social de referência.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No âmbito judicial, o acesso aos JEFs por pessoas em situação de rua é facilitado pela gratuidade de justiça e pela desnecessidade de advogado. Projetos de acesso à justiça, mantidos por Defensorias Públicas da União e por núcleos de prática jurídica de universidades, têm desempenhado papel relevante na viabilização dessas demandas. O juiz, ao deferir o BPC a pessoa em situação de rua, deve atentar para a necessidade de indicar forma adequada de pagamento, considerando que o beneficiário pode não possuir conta bancária.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miserabilidade da pessoa em situação de rua é presumida, dado que a própria condição de rua evidencia a impossibilidade de prover o sustento. A aferição do grupo familiar e da renda per capita, nesses casos, é simplificada: o requerente constitui grupo familiar de uma pessoa, com renda per capita zero (ou próxima de zero).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atuação judicial em favor de pessoas em situação de rua exige sensibilidade procedimental. O juiz deve considerar: (a) a dificuldade de notificação e intimação do requerente, que pode não ter endereço fixo; (b) a possibilidade de designar equipamento de assistência social como endereço para intimações; (c) a desnecessidade de apresentação de comprovante de residência formal; (d) a admissão de declaração de equipamento social (CRAS, Centro Pop, albergue) como comprovante de condição social; e (e) a fixação de forma de pagamento acessível, como cartão magnético ou saque em agência bancária sem exigência de conta corrente. Alguns JEFs têm adotado a prática de determinar que o INSS providencie a abertura de conta simplificada para o beneficiário, nos termos da Resolução CMN n. 3.211/2004 e da Lei n. 10.735/2003, que disciplinam a abertura de contas especiais para pessoas de baixa renda.</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18.34 BPC e pessoas com doenças raras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P</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essoas com doenças raras (definidas como aquelas que afetam até 65 em cada 100.000 pessoas) enfrentam desafios particulares no acesso ao BPC. A dificuldade de diagnóstico, a escassez de especialistas e a necessidade de tratamentos de alto custo são fatores que agravam a vulnerabilidade desses pacientes.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impedimento de longo prazo, em doenças raras, frequentemente é inequívoco, dado o caráter crônico e progressivo de muitas dessas condições. A dificuldade reside na avaliação funcional: peritos não familiarizados com a doença podem subestimar o impacto nas atividades da vida diária e na participação social. É recomendável que o advogado junte aos autos relatórios médicos detalhados de especialistas e, quando disponível, parecer de centro de referência em doenças raras.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Os gastos com medicamentos e tratamentos de doenças raras podem consumir parcela significativa da renda familiar, mesmo quando os medicamentos são fornecidos pelo SUS (pois nem todos os tratamentos estão incorporados ao sistema). Esses gastos devem ser considerados na aferição da miserabilidade, podendo justificar a concessão do BPC mesmo quando a renda per capita formal supera 1/4 do salário-mínimo. A instrução processual, nesses casos, deve contar com relatórios médicos especializados que demonstrem a cronicidade da condição, a necessidade permanente de acompanhamento e o custo estimado do tratamento, confrontados com a renda familiar apurada no estudo social.</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18.35 BPC e indeferimento administrativo: causas recorrentes e estratégias de impugnação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conhecimento das causas mais frequentes de indeferimento administrativo do BPC permite ao advogado antecipar objeções e preparar instrução processual adequada. A análise da jurisprudência dos JEFs revela padrões recorrentes que merecem exame.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primeira causa frequente é o indeferimento por renda per capita superior a 1/4 do salário-mínimo, aplicando-se o critério legal de forma rígida. A estratégia de impugnação fundamenta-se no Tema 27 do STF e no Tema 185 do STJ, demonstrando por meio de estudo social que a família vive em condição de miserabilidade apesar da renda formal acima do limite. O advogado deve juntar à inicial comprovantes de despesas com saúde, medicamentos, fraldas, transporte para tratamento e outras necessidades específicas do requerente, demonstrando que a renda disponível para sustento é substancialmente inferior à renda formal.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segunda causa é o indeferimento por não configuração de impedimento de longo prazo, especialmente em condições que apresentam evolução variável. A estratégia envolve a juntada de relatórios médicos que demonstrem a cronicidade da condição e a prognose de duração superior a dois anos. Em casos de dúvida, a perícia judicial, realizada por especialista e com quesitos adequados ao modelo biopsicossocial, frequentemente chega a conclusão diversa da perícia administrativa.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terceira causa é o indeferimento por incompatibilidade cadastral: dados do CNIS que indicam vínculos empregatícios (ativos ou inativos), propriedade de veículos ou imóveis no nome do requerente ou de membros do grupo familiar, ou inconsistências entre a declaração de renda e os registros administrativos. A estratégia de impugnação exige a verificação detalhada dos dados cadastrais, a correção de informações desatualizadas (vínculos encerrados que permanecem como ativos no CNIS, veículos já alienados que continuam registrados) e a demonstração de que os bens eventualmente existentes não revelam capacidade econômica de sustento.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quarta causa é o indeferimento por ausência de inscrição no CadÚnico ou por dados desatualizados no cadastro. Embora a inscrição no CadÚnico seja requisito administrativo (art. 20, § 13, LOAS), sua ausência não pode servir de fundamento para indeferimento judicial. O advogado deve argumentar que o direito constitucional ao BPC não se subordina a requisito cadastral e que a situação socioeconômica pode ser comprovada por outros meios idôneos.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Nas ações de concessão do BPC nos JEFs, o advogado deve organizar a petição inicial de forma estratégica, endereçando diretamente as objeções previsíveis do INSS. Recomendamos a seguinte estrutura probatória mínima: (a) documentos pessoais do requerente e de todos os membros do grupo familiar; (b) laudos e relatórios médicos recentes, com CID-10, descrição funcional e prognóstico; (c) comprovantes de renda de todos os membros do grupo familiar (contracheques, extratos bancários, declarações de IR ou de isenção); (d) comprovante de residência; (e) comprovante de inscrição no CadÚnico (se disponível); (f) comprovantes de despesas com saúde (receitas, notas fiscais de medicamentos, comprovantes de deslocamento); (g) declaração de hipossuficiência para fins de justiça gratuita; e (h) quando possível, relatório social elaborado por CRAS ou equipamento de assistência social do município. A robustez da prova inicial pode viabilizar a concessão de tutela de urgência antes mesmo da realização da perícia judicial.</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18.36 Consolidação das posições adotadas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exame do BPC revela benefício assistencial de complexidade singular, em que a intersecção entre direito constitucional, legislação assistencial e jurisprudência produz sistema normativo em permanente evolução. Consolidamos as posições adotadas ao longo deste capítulo.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Entendemos que o BPC constitui direito fundamental social de aplicação direta, vinculado ao núcleo essencial do art. 203, V, da Constituição Federal. A natureza assistencial do benefício não o torna prestação de segunda categoria: ao contrário, sua função de proteção das pessoas em situação de máxima vulnerabilidade exige interpretação que maximize a efetividade do direito.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conceito de deficiência para fins do BPC é o modelo biopsicossocial consagrado pela CDPD (com status de emenda constitucional), pela Lei n. 13.146/2015 e pela LOAS reformada. A deficiência não se resume à limitação funcional diagnosticada pelo médico, mas abrange a interação dessa limitação com as barreiras ambientais e sociais que obstruem a participação plena da pessoa. O impedimento de longo prazo exige prognose mínima de dois anos, avaliada no caso concreto, com resolução pro misero em casos de dúvida.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critério de renda per capita de 1/4 do salário-mínimo, declarado inconstitucional pelo STF (Tema 27) como critério exclusivo, opera como presunção absoluta de miserabilidade. Renda per capita superior a esse patamar não impede a concessão do BPC, desde que demonstrada a vulnerabilidade por outros meios (STJ, Tema 185). A Lei n. 14.176/2021, ao autorizar a ampliação para 1/2 salário-mínimo, conferiu respaldo legislativo à orientação jurisprudencial, embora a regulamentação integral ainda penda de implementação.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fungibilidade entre BPC e benefícios previdenciários por incapacidade (TNU, Tema 217) constitui instrumento essencial de efetividade nos JEFs, impedindo que formalismos processuais prejudiquem pessoas em situação de vulnerabilidade. O juiz deve analisar de ofício a possibilidade de concessão do benefício alternativo quando os fatos provados o autorizem, intimando as partes para manifestação sobre o contraditório.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auxílio-inclusão, criado pela Lei n. 14.176/2021, representa avanço na política de inserção da pessoa com deficiência no mercado de trabalho, ao superar o efeito desincentivo do BPC. A garantia de reativação do BPC após a cessação do vínculo laboral é salvaguarda que estimula a experiência profissional sem o risco de perda definitiva da proteção assistencial.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avaliação biopsicossocial unificada, quando plenamente implementada, promoverá maior isonomia e segurança jurídica na aferição da deficiência, reduzindo a subjetividade inerente ao modelo atual e promovendo padronização entre as diversas esferas de proteção social.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vedação de acumulação do BPC com benefícios previdenciários é regra cogente, derivada da natureza subsidiária da assistência social. O requerente que preenche simultaneamente os requisitos do BPC e de benefício previdenciário deve optar pelo mais vantajoso. Na grande maioria dos casos, o benefício previdenciário é preferível, por gerar direito a abono anual (13º) e a pensão por morte para dependentes. O BPC será preferível apenas em hipóteses excepcionais, como quando o benefício previdenciário tem valor inferior ao salário-mínimo (situação rara após a garantia constitucional do piso) ou quando a pessoa não preenche os requisitos previdenciários e somente tem direito ao benefício assistencial.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obrigação alimentar civil dos familiares não constitui condição negativa para o BPC. O direito assistencial é autônomo e não se subordina à prévia exaustão dos meios de obtenção de alimentos na esfera privada. A solidariedade familiar, embora desejável, não pode substituir a obrigação constitucional do Estado de garantir proteção às pessoas em situação de vulnerabilidade extrema.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ilegalidade do Decreto 12.534/2025, que pretende incluir o Bolsa Família na renda per capita em contrariedade ao art. 20, § 14, II, da LOAS, é analisada na seção 18.11, supra.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legislação recente, especialmente a Lei n. 14.176/2021 e suas regulamentações, demonstra a disposição do legislador de aprimorar o sistema do BPC, ampliando o acesso e modernizando os critérios de avaliação. A regulamentação integral do art. 20-B (ampliação do critério de renda para até 1/2 salário-mínimo), quando efetivamente implementada, poderá reduzir significativamente a judicialização, ao absorver na esfera administrativa parcela substancial das demandas hoje decididas pelos JEFs. O acompanhamento atento dessas mudanças legislativas e regulamentares é obrigatório para todo profissional que atue na área.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BPC, em síntese, é benefício que exige do juiz dos JEFs e do advogado previdenciarista domínio de matéria que transita entre o direito constitucional, a legislação assistencial, a jurisprudência consolidada das cortes superiores e a sensibilidade para a realidade socioeconômica dos requerentes. A complexidade normativa não pode obscurecer a finalidade última do benefício: garantir condições mínimas de dignidade a pessoas que, por deficiência ou idade avançada, associadas à insuficiência de recursos, encontram-se em situação de máxima vulnerabilidade social. A efetividade desse direito fundamental depende da interpretação que lhe é dada nos processos individuais que diariamente chegam aos JEFs de todo o país.</w:t>
      </w:r>
    </w:p>
    <w:p>
      <w:pPr>
        <w:sectPr>
          <w:headerReference w:type="default" r:id="rId177"/>
          <w:headerReference w:type="even" r:id="rId178"/>
          <w:footerReference w:type="default" r:id="rId179"/>
          <w:footerReference w:type="even" r:id="rId180"/>
          <w:headerReference w:type="first" r:id="rId181"/>
          <w:footerReference w:type="first" r:id="rId182"/>
          <w:pgSz w:w="8391" w:h="11906"/>
          <w:pgMar w:top="935" w:right="879" w:bottom="964" w:left="1162" w:header="454" w:footer="425" w:gutter="0" w:mirrorMargins="1"/>
          <w:cols w:space="720"/>
          <w:titlePg/>
          <w:docGrid w:linePitch="360"/>
        </w:sectPr>
      </w:pPr>
    </w:p>
    <w:p>
      <w:pPr>
        <w:spacing w:before="240" w:after="80" w:line="240" w:lineRule="auto"/>
        <w:jc w:val="center"/>
        <w:keepNext/>
      </w:pPr>
      <w:r>
        <w:rPr>
          <w:rFonts w:ascii="Noto Sans" w:hAnsi="Noto Sans" w:cs="Noto Sans"/>
          <w:b/>
          <w:i w:val="0"/>
          <w:caps/>
          <w:color w:val="8A6A2A"/>
          <w:sz w:val="19"/>
          <w:lang w:val="pt-BR" w:bidi="ar-SA"/>
          <w:kern w:val="16"/>
          <w14:ligatures w14:val="standardContextual"/>
        </w:rPr>
        <w:t>CAPÍTULO 19</w:t>
      </w:r>
    </w:p>
    <w:p>
      <w:pPr>
        <w:pStyle w:val="Heading2"/>
        <w:spacing w:before="0" w:after="160" w:line="240" w:lineRule="auto"/>
        <w:jc w:val="center"/>
        <w:keepNext/>
      </w:pPr>
      <w:r>
        <w:rPr>
          <w:rFonts w:ascii="EB Garamond" w:hAnsi="EB Garamond" w:cs="EB Garamond"/>
          <w:b/>
          <w:i w:val="0"/>
          <w:caps/>
          <w:color w:val="2F2923"/>
          <w:sz w:val="40"/>
          <w:lang w:val="pt-BR" w:bidi="ar-SA"/>
          <w:kern w:val="16"/>
          <w14:ligatures w14:val="standardContextual"/>
        </w:rPr>
        <w:t>Pensão por Morte</w:t>
      </w:r>
    </w:p>
    <w:p>
      <w:pPr>
        <w:spacing w:before="0" w:after="240" w:line="240" w:lineRule="auto"/>
        <w:jc w:val="center"/>
      </w:pPr>
      <w:r>
        <w:rPr>
          <w:rFonts w:ascii="EB Garamond" w:hAnsi="EB Garamond" w:cs="EB Garamond"/>
          <w:b w:val="0"/>
          <w:i w:val="0"/>
          <w:color w:val="B78B37"/>
          <w:sz w:val="18"/>
          <w:lang w:val="pt-BR" w:bidi="ar-SA"/>
          <w:kern w:val="16"/>
          <w14:ligatures w14:val="standardContextual"/>
        </w:rPr>
        <w:t>━━━━  ◆  ━━━━</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pensão por morte constitui o benefício previdenciário que mais diretamente materializa a função protetiva da previdência social em favor da família do segurado. Prevista no art. 201, inciso V, da Constituição Federal e disciplinada nos arts. 74 a 79 da Lei n. 8.213, de 24 de julho de 1991, a pensão por morte assegura aos dependentes do segurado falecido prestação pecuniária que visa substituir, ao menos parcialmente, a renda perdida com o óbito. Diferentemente da maioria dos benefícios previdenciários, que amparam o próprio segurado, a pensão por morte dirige-se a terceiros, os dependentes, cuja subsistência dependia, em maior ou menor grau, da pessoa falecida.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EC n. 103/2019 (Reforma da Previdência) alterou profundamente o regime jurídico da pensão por morte, modificando o cálculo do benefício, introduzindo o sistema de cotas e estabelecendo novas regras de acumulação. As mudanças suscitaram intenso debate doutrinário e jurisprudencial sobre seus limites constitucionais, especialmente quanto à possibilidade de redução do valor do benefício abaixo do salário-mínimo e à vedação de reversão das cotas. A Lei n. 13.135/2015, por sua vez, já havia inaugurado a temporariedade da pensão para o cônjuge ou companheiro, vinculando sua duração à idade do beneficiário e à expectativa de sobrevida. A Lei n. 13.846/2019 trouxe nova camada de requisitos probatórios, exigindo início de prova material para a comprovação de união estável e de dependência econômica.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exame da pensão por morte nos Juizados Especiais Federais exige domínio simultâneo de direito previdenciário, direito de família, direito constitucional e técnicas de instrução processual, em benefício cujas controvérsias abrangem desde a configuração da relação de dependência até o cálculo do valor devido, passando pela concorrência entre beneficiários e pela acumulação com outros benefícios.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19.1 Fundamento constitucional e natureza jurídica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pensão por morte encontra fundamento direto no art. 201, inciso V, da Constituição Federal, que inclui entre os eventos cobertos pelo Regime Geral de Previdência Social a "pensão por morte do segurado, homem ou mulher, ao cônjuge ou companheiro e dependentes". O dispositivo constitucional consagra a proteção previdenciária ao núcleo familiar como desdobramento do princípio da solidariedade social e do dever do Estado de amparar a família (art. 226, caput, CF/88).</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natureza jurídica da pensão por morte é de benefício previdenciário derivado: seu fato gerador é a morte do segurado, mas seus beneficiários são os dependentes, que exercem direito próprio, e não direito transmitido por herança. Essa distinção é relevante: a pensão por morte não integra o espólio do falecido, não se submete às regras de partilha hereditária e não depende de habilitação no inventário. O dependente exerce direito autônomo, nascido com o óbito do segurado, independentemente de qualquer manifestação de vontade do falecido.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pensão por morte é benefício de pagamento continuado, devido mensalmente enquanto persistir a condição de dependente. Seu valor não se confunde com verbas trabalhistas, indenizações civis ou alimentos devidos pelo falecido. A prestação previdenciária substitui a função protetiva que o segurado exercia em vida, na proporção fixada em lei, e se extingue com a cessação da condição de dependência ou com a morte do próprio dependente.</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pensão por morte é direito do dependente, não do segurado. O segurado não pode, em vida, designar ou excluir beneficiários da pensão, pois o rol de dependentes é fixado em lei (art. 16, Lei 8.213/91). Testamentos, contratos particulares ou declarações unilaterais que pretendam alterar a ordem de dependentes são juridicamente irrelevantes para fins previdenciários. O sistema previdenciário adota regime de dependência legal, e não contratual.</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19.2 Evolução legislativa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proteção previdenciária dos dependentes em caso de morte do segurado possui longa tradição no direito brasileiro. A Lei Eloy Chaves (Decreto Legislativo n. 4.682/1923) já previa pensão aos herdeiros do empregado falecido. Ao longo do século XX, a legislação previdenciária ampliou progressivamente o alcance e o valor do benefício, que atingiu seu ápice com a Lei n. 8.213/91, em sua redação original, ao fixar o valor da pensão por morte em 100% do salário de benefício do segurado falecido.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Lei n. 9.032/1995 uniformizou o valor da pensão por morte em 100% do valor da aposentadoria, patamar que vigorou por mais de duas décadas, até a EC n. 103/2019 (sobre o cálculo detalhado nos dois regimes, v. §§ 19.19-19.20, infra).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Lei n. 13.135/2015 (conversão da MP n. 664/2014) representou a primeira ruptura significativa. Suas principais inovações foram: (a) a introdução de prazo mínimo de casamento ou união estável (dois anos) e de número mínimo de contribuições do segurado (18 meses) como condições para a pensão de duração variável ao cônjuge; (b) a vinculação da duração da pensão à idade do cônjuge sobrevivente, conforme tabela de expectativa de sobrevida; (c) a exclusão do menor sob guarda do rol de dependentes equiparados a filho; e (d) a previsão de perda do direito à pensão em caso de condenação criminal por homicídio doloso contra o segurado.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MP n. 871/2019, convertida na Lei n. 13.846/2019, acrescentou a exigência de início de prova material para comprovação de união estável e de dependência econômica (art. 16, § 5º, Lei n. 8.213/91), elevando o standard probatório para a concessão da pensão por morte a companheiros (§ 19.8, infra).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EC n. 103/2019 promoveu a alteração mais profunda no regime da pensão por morte desde a criação do RGPS. O art. 23 da Emenda substituiu o critério de 100% por sistema de cotas: cota familiar de 50% acrescida de 10 pontos percentuais por dependente, até o máximo de 100%. As cotas individuais cessam com a perda da qualidade de dependente e não são reversíveis aos demais dependentes. O art. 24 estabeleceu novas regras de acumulação, vedando o recebimento simultâneo de duas pensões por morte pelo mesmo cônjuge ou companheiro no mesmo regime e instituindo escalonamento para a acumulação de pensão com aposentadoria.</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19.3 Fato gerador: morte real e morte presumida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fato gerador da pensão por morte é o óbito do segurado. A morte pode ser real (comprovada por certidão de óbito emitida pelo registro civil) ou presumida (declarada judicialmente nas hipóteses legais).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morte real é comprovada pela certidão de óbito, documento de fé pública que constitui prova plena do falecimento. O INSS exige a apresentação da certidão de óbito original ou cópia autenticada como condição para processamento do requerimento administrativo. No âmbito judicial, a certidão de óbito é documento indispensável à propositura da ação, salvo nas hipóteses de morte presumida.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morte presumida, para fins previdenciários, é disciplinada pelo art. 78 da Lei n. 8.213/91, que prevê duas hipóteses: (a) ausência declarada por autoridade judiciária, nos termos do Código Civil; e (b) desaparecimento do segurado em consequência de acidente, desastre ou catástrofe, mediante prova hábil. Na primeira hipótese, a pensão é concedida provisoriamente; na segunda, a concessão pode ser imediata, mediante apresentação de boletim de ocorrência policial, relatório de autoridade competente ou documentos que comprovem o desaparecimento em circunstâncias que tornam provável a morte.</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Nas ações de pensão por morte presumida nos JEFs, a dificuldade probatória é significativa. O advogado deve reunir: (a) boletim de ocorrência policial relatando o desaparecimento; (b) prova de que o desaparecimento ocorreu em circunstâncias de risco (acidente, desastre natural, naufrágio); (c) declaração de testemunhas sobre as circunstâncias; (d) comprovante de que buscas foram realizadas sem êxito. Em casos de ausência prolongada (art. 22 do Código Civil), a declaração judicial de ausência é pressuposto necessário, e o juiz do JEF pode determiná-la incidentalmente no processo previdenciário, evitando a necessidade de ação autônoma na Justiça Estadual.</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pensão concedida por morte presumida é provisória. Se o segurado reaparecer, o benefício cessa imediatamente, e os valores recebidos são irrepetíveis (não devem ser devolvidos), salvo comprovação de má-fé do beneficiário. A conversão em pensão definitiva opera de modo distinto conforme a hipótese do art. 78: na ausência declarada judicialmente (inciso I), dá-se com o trânsito em julgado da sentença que declara a morte presumida nos termos do Código Civil; já no desaparecimento por acidente, desastre ou catástrofe (§ 1º), em que não há, em regra, declaração judicial prévia, a definitividade decorre do decurso de prazo razoável sem o reaparecimento do segurado, sem necessidade de aguardar qualquer trânsito em julgado.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19.4 Requisitos para concessão: visão geral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concessão da pensão por morte exige o preenchimento de três requisitos: (a) óbito do segurado (real ou presumido); (b) qualidade de segurado do falecido na data do óbito; e (c) condição de dependente do requerente. A ausência de qualquer desses requisitos impede a concessão.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pensão por morte dispensa carência (art. 26, inciso I, da Lei n. 8.213/91). O segurado que contribuiu uma única vez e faleceu no dia seguinte gera direito à pensão para seus dependentes, desde que mantida a qualidade de segurado na data do óbito. A dispensa de carência reflete a natureza protetiva do benefício: a morte é evento imprevisível que pode ocorrer a qualquer momento da vida contributiva do segurado, e condicionar a proteção dos dependentes a período mínimo de contribuições significaria negar amparo justamente às famílias mais vulneráveis — aquelas cujo provedor faleceu no início de sua trajetória laboral.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qualidade de segurado é aferida na data do óbito. O falecido deve estar filiado ao RGPS ou dentro do período de graça (art. 15, Lei n. 8.213/91) no momento do falecimento. Se o segurado perdeu a qualidade antes do óbito, a pensão não é devida, salvo se o falecido já havia implementado todos os requisitos para aposentadoria antes da perda da qualidade (art. 102, § 2º, Lei n. 8.213/91).</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condição de dependente é verificada conforme o art. 16 da Lei n. 8.213/91, que organiza os dependentes em três classes hierarquizadas, com presunções de dependência econômica diferenciadas. A existência de dependentes em classe superior exclui o direito dos dependentes de classe inferior.</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19.5 Qualidade de segurado do instituidor</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verificação da qualidade de segurado na data do óbito constitui o primeiro filtro de elegibilidade para a pensão por morte. O segurado que falece durante o exercício de atividade vinculada ao RGPS ou dentro do período de graça mantém a qualidade de segurado e gera direito à pensão para seus dependentes. Sobre os prazos de manutenção da qualidade e mecanismos de prorrogação do período de graça (12/24/36 meses), ver Cap. 3, § 3.6.</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questão do segurado que perdeu a qualidade mas havia implementado os requisitos para aposentadoria antes da perda merece atenção. O art. 102, § 2º, da Lei n. 8.213/91 (incluído pela Lei n. 10.666/2003) assegura que a perda da qualidade de segurado não prejudica o direito à aposentadoria para cuja concessão tenham sido preenchidos todos os requisitos. A jurisprudência estendeu esse entendimento à pensão por morte: se o falecido, na data da perda da qualidade, já reunia os requisitos para aposentadoria por idade ou por tempo de contribuição, a pensão é devida aos dependentes, pois o direito à aposentadoria, e, por extensão, à pensão derivada, já estava incorporado ao patrimônio jurídico do segurado.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STJ, Tema 1057 (REsp 1.856.967, rel. Min. Regina Helena Costa, 1ª Seção, j. 29/06/2020, trânsito em julgado 28/06/2021)</w:t>
            </w:r>
            <w:r>
              <w:rPr>
                <w:rFonts w:ascii="EB Garamond" w:hAnsi="EB Garamond" w:cs="EB Garamond"/>
                <w:b w:val="0"/>
                <w:i w:val="0"/>
                <w:color w:val="201B16"/>
                <w:sz w:val="19"/>
                <w:lang w:val="pt-BR" w:bidi="ar-SA"/>
                <w:kern w:val="16"/>
                <w14:ligatures w14:val="standardContextual"/>
              </w:rPr>
              <w:t xml:space="preserve">: O STJ fixou tese sobre a legitimidade de pensionistas e sucessores para, à falta de requerimento do segurado em vida, propor ação revisional da aposentadoria do </w:t>
            </w:r>
            <w:r>
              <w:rPr>
                <w:rFonts w:ascii="EB Garamond" w:hAnsi="EB Garamond" w:cs="EB Garamond"/>
                <w:b w:val="0"/>
                <w:i/>
                <w:color w:val="201B16"/>
                <w:sz w:val="19"/>
                <w:lang w:val="pt-BR" w:bidi="ar-SA"/>
                <w:kern w:val="16"/>
                <w14:ligatures w14:val="standardContextual"/>
              </w:rPr>
              <w:t>de cujus</w:t>
            </w:r>
            <w:r>
              <w:rPr>
                <w:rFonts w:ascii="EB Garamond" w:hAnsi="EB Garamond" w:cs="EB Garamond"/>
                <w:b w:val="0"/>
                <w:i w:val="0"/>
                <w:color w:val="201B16"/>
                <w:sz w:val="19"/>
                <w:lang w:val="pt-BR" w:bidi="ar-SA"/>
                <w:kern w:val="16"/>
                <w14:ligatures w14:val="standardContextual"/>
              </w:rPr>
              <w:t xml:space="preserve">. A tese repetitiva, em sua literalidade, assenta: "I. O disposto no art. 112 da Lei n. 8.213/1991 é aplicável aos âmbitos judicial e administrativo; II. Os pensionistas detêm legitimidade ativa para pleitear, por direito próprio, a revisão do benefício derivado (pensão por morte) — caso não alcançada pela decadência —, fazendo jus a diferenças pecuniárias pretéritas não prescritas, decorrentes da pensão recalculada; III. Caso não decaído o direito de revisar a renda mensal inicial do benefício originário do segurado instituidor, os pensionistas poderão postular a revisão da aposentadoria, a fim de auferirem eventuais parcelas não prescritas resultantes da readequação do benefício original, bem como os reflexos na graduação econômica da pensão por morte; e IV. À falta de dependentes legais habilitados à pensão por morte, os sucessores (herdeiros) do segurado instituidor, definidos na lei civil, são partes legítimas para pleitear, por ação e em nome próprios, a revisão do benefício original — salvo se decaído o direito ao instituidor — e, por conseguinte, de haverem eventuais diferenças pecuniárias não prescritas, oriundas do recálculo da aposentadoria do </w:t>
            </w:r>
            <w:r>
              <w:rPr>
                <w:rFonts w:ascii="EB Garamond" w:hAnsi="EB Garamond" w:cs="EB Garamond"/>
                <w:b w:val="0"/>
                <w:i/>
                <w:color w:val="201B16"/>
                <w:sz w:val="19"/>
                <w:lang w:val="pt-BR" w:bidi="ar-SA"/>
                <w:kern w:val="16"/>
                <w14:ligatures w14:val="standardContextual"/>
              </w:rPr>
              <w:t>de cujus</w:t>
            </w:r>
            <w:r>
              <w:rPr>
                <w:rFonts w:ascii="EB Garamond" w:hAnsi="EB Garamond" w:cs="EB Garamond"/>
                <w:b w:val="0"/>
                <w:i w:val="0"/>
                <w:color w:val="201B16"/>
                <w:sz w:val="19"/>
                <w:lang w:val="pt-BR" w:bidi="ar-SA"/>
                <w:kern w:val="16"/>
                <w14:ligatures w14:val="standardContextual"/>
              </w:rPr>
              <w:t>." O entendimento reconhece que a revisão do benefício originário impacta diretamente o valor da pensão, legitimando os dependentes a questionar o cálculo da aposentadoria do instituidor como premissa para a revisão da pensão.</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S</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obre a qualidade de segurado do encarcerado e o período de graça após livramento, ver Cap. 14, § 14.5. A pensão por morte do preso que falece durante o cumprimento da pena é examinada na situação especial do § 19.35, infra.</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19.6 Carência: dispensa e exceções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pensão por morte dispensa carência (art. 26, I, Lei n. 8.213/91; v. Cap. 3, § 3.3.1). A inexigibilidade é absoluta: aplica-se a todos os segurados e a todas as hipóteses de óbito.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dispensa de carência para a pensão por morte não se confunde com a exigência de 18 contribuições mensais e dois anos de casamento ou união estável prevista no art. 77, § 2º, inciso V, da Lei n. 8.213/91 (incluído pela Lei n. 13.135/2015). Esses requisitos não dizem respeito à concessão do benefício, mas à sua duração. A pensão por morte é devida em qualquer caso; o que varia é o tempo de sua manutenção. Se o segurado faleceu com menos de 18 contribuições ou antes de completar dois anos de casamento ou união estável, a pensão ao cônjuge ou companheiro terá duração de apenas quatro meses. Se as duas condições estavam cumpridas, a duração será variável conforme a idade do beneficiário na data do óbito.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distinção entre carência (inexigível) e os requisitos temporais para duração variável (18 contribuições + 2 anos de casamento/união) é fonte de erros frequentes na prática forense. O INSS por vezes indefere a pensão por morte alegando que o segurado não completou 18 contribuições, quando, na verdade, deveria conceder o benefício com duração de quatro meses. O advogado deve atentar para essa diferença e requerer, quando for o caso, a concessão com duração de quatro meses, evitando o indeferimento total por fundamento incorreto.</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exceção à dispensa de carência existe para o segurado que ingressou ou reingressou no RGPS já portador de doença preexistente que gerou o óbito. O art. 26, inciso I, deve ser lido em conjunto com o art. 77, § 2º, inciso V, "a": se o óbito decorreu de acidente posterior ao casamento ou ao início da união estável, a pensão terá duração variável conforme a tabela, independentemente do número de contribuições. A ratio é que o acidente, por sua natureza imprevisível, afasta qualquer suspeita de fraude, diferentemente da morte por doença preexistente.</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19.7 Dependentes: rol e classes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rol de dependentes e suas classes são examinados no Cap. 2, § 2.4. Neste capítulo, aprofundamos os aspectos específicos da comprovação de dependência para fins de pensão por morte.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art. 16 da Lei n. 8.213/91 organiza os dependentes do segurado em três classes, com ordem de precedência rígida: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Classe I: o cônjuge, a companheira, o companheiro e o filho não emancipado, de qualquer condição, menor de 21 anos ou inválido ou que tenha deficiência intelectual ou mental ou deficiência grave. Classe II: os pais. Classe III: o irmão não emancipado, de qualquer condição, menor de 21 anos ou inválido ou que tenha deficiência intelectual ou mental ou deficiência grave.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existência de dependentes habilitados em classe superior exclui integralmente o direito dos dependentes de classe inferior (art. 16, § 1º). Um segurado que falece deixando cônjuge e pais como potenciais dependentes terá apenas o cônjuge como beneficiário da pensão: a existência de dependente da Classe I (cônjuge) exclui os dependentes da Classe II (pais). Dentro da mesma classe, os dependentes concorrem em igualdade de condições, rateando a pensão em partes iguais.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dependência econômica dos dependentes da Classe I é presumida (art. 16, § 4º). O cônjuge, o companheiro e o filho menor de 21 anos ou inválido não precisam comprovar que dependiam economicamente do segurado — a lei presume a dependência. A presunção, segundo entendimento consolidado, é relativa (juris tantum), admitindo prova em contrário pelo INSS. Na prática, porém, o INSS raramente consegue ilidir a presunção para cônjuges e filhos menores.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os dependentes das Classes II e III (pais e irmãos), a dependência econômica deve ser comprovada (art. 16, § 4º). A prova exigida é de dependência econômica efetiva, não de dependência exclusiva: basta que o dependente demonstre que a renda do segurado contribuía relevantemente para seu sustento, sem necessidade de provar que o segurado era a única fonte de renda.</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19.8 Dependentes de primeira classe: cônjuge e companheiro(a)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cônjuge sobrevivente é dependente presumido da Classe I. A condição de cônjuge é comprovada pela certidão de casamento, documento de fé pública que dispensa prova adicional da relação conjugal. O casamento válido, celebrado nos termos do Código Civil, gera presunção de dependência econômica que somente é afastada por prova robusta em sentido contrário.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companheiro ou companheira em união estável é equiparado ao cônjuge para fins previdenciários (art. 16, I, Lei n. 8.213/91). A união estável, configurada pela convivência pública, contínua e duradoura com objetivo de constituir família (art. 1.723, Código Civil), gera os mesmos direitos previdenciários do casamento formal. A equiparação é constitucional, nos termos do art. 226, § 3º, da Constituição Federal, que reconhece a união estável como entidade familiar.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comprovação da união estável para fins previdenciários é matéria de prova, e a legislação impôs requisitos específicos a partir da Lei n. 13.846/2019. O art. 16, § 5º, da Lei n. 8.213/91, com redação dada por essa lei, exige que a comprovação da condição de companheiro(a) e da dependência econômica ocorra por meio de início de prova material contemporâneo dos fatos, não admitindo prova exclusivamente testemunhal, exceto por motivo de força maior ou caso fortuito.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exigência de início de prova material para a comprovação da união estável (art. 16, § 5º, Lei n. 8.213/91, com redação da Lei n. 13.846/2019) aplica-se aos óbitos ocorridos a partir da vigência da MP n. 871/2019, em 18/01/2019, convertida na Lei n. 13.846/2019. Para óbitos anteriores a 18/01/2019, aplica-se a legislação vigente na data do falecimento, que não exigia início de prova material (TNU, Súmula 63). O advogado deve atentar para a data do óbito ao definir o regime probatório aplicável. Em qualquer caso, a reunião de documentos como: conta bancária conjunta, contrato de aluguel em nome de ambos, declaração conjunta de imposto de renda, certidão de nascimento de filhos em comum, fotografias e correspondências constitui providência recomendável para robustecimento da prova.</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cônjuge separado judicialmente ou divorciado mantém a condição de dependente para fins de pensão por morte se recebia pensão alimentícia do segurado falecido (art. 76, § 2º, Lei n. 8.213/91). A hipótese do ex-cônjuge que não recebia alimentos será examinada em seção específica (19.15).</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19.9 Dependentes de primeira classe: filhos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 filhos do segurado, não emancipados, menores de 21 anos, são dependentes presumidos da Classe I, independentemente de condição (legítimos, ilegítimos, adotivos). A pensão é devida desde o óbito até que o filho complete 21 anos ou, se anterior, até a emancipação.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emancipação cessa a condição de dependente para fins de pensão por morte. A emancipação pode ocorrer por concessão dos pais (art. 5º, parágrafo único, I, Código Civil), por casamento, por exercício de emprego público efetivo, por colação de grau em curso de ensino superior ou por estabelecimento civil ou comercial com economia própria. Em qualquer dessas hipóteses, o filho perde o direito à pensão por morte, independentemente da 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exceção à regra da cessação aos 21 anos alcança os filhos inválidos ou com deficiência intelectual, mental ou grave. Esses dependentes mantêm a condição enquanto perdurar a invalidez ou a deficiência, sem limite de idade. A invalidez ou deficiência deve ser anterior ao óbito do segurado — requisito que a jurisprudência consolidou com rigor: se a invalidez sobreveio após o falecimento do segurado, o filho não faz jus à pensão vitalícia, pois a condição de dependente já havia cessado com a maioridade ou emancipação.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verificação da invalidez ou deficiência do filho dependente é feita por perícia médica, que deve atestar: (a) a existência de incapacidade total e permanente para o trabalho ou deficiência intelectual, mental ou grave; (b) que a condição era preexistente ao óbito do segurado; e (c) que a condição persiste na data do requerimento. A invalidez ou deficiência superveniente ao óbito não gera direito à pensão, mas a invalidez preexistente que se agrava após o óbito não implica cessação do benefício.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TNU, jurisprudência consolidada</w:t>
            </w:r>
            <w:r>
              <w:rPr>
                <w:rFonts w:ascii="EB Garamond" w:hAnsi="EB Garamond" w:cs="EB Garamond"/>
                <w:b w:val="0"/>
                <w:i w:val="0"/>
                <w:color w:val="201B16"/>
                <w:sz w:val="19"/>
                <w:lang w:val="pt-BR" w:bidi="ar-SA"/>
                <w:kern w:val="16"/>
                <w14:ligatures w14:val="standardContextual"/>
              </w:rPr>
              <w:t>: "A pensão por morte é devida ao filho maior inválido, desde que a invalidez seja anterior ao óbito do instituidor do benefício, sendo irrelevante que a incapacidade tenha se manifestado antes ou depois da maioridade." O entendimento pacificou controvérsia relevante: basta que a invalidez preexista ao óbito, independentemente de ter surgido na infância, na adolescência ou na vida adulta, desde que antes do falecimento do segurado.</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cessação da pensão ao filho que completa 21 anos é automática, dispensando procedimento administrativo de revisão. O INSS cessa o pagamento na competência em que o dependente atinge a idade-limite. Se o filho é universitário, a pensão cessa igualmente aos 21 anos: diferentemente de outros sistemas (pensão por morte de servidor público, por exemplo, onde existe debate), o RGPS não prevê extensão da pensão até os 24 anos para estudantes universitários. O STJ consolidou esse entendimento, afastando a aplicação analógica do direito de família (que permite alimentos ao filho universitário até 24 anos) ao regime previdenciário.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19.10 Dependentes de segunda e terceira classes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 pais do segurado constituem dependentes da Classe II (art. 16, II, Lei n. 8.213/91). Sua condição de dependentes depende da comprovação de dependência econômica em relação ao segurado falecido. A prova deve demonstrar que a renda do segurado contribuía de forma relevante para o sustento dos pais, sem que seja necessário provar dependência exclusiva. A contribuição parcial, desde que significativa, é suficiente.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Os irmãos do segurado constituem dependentes da Classe III (art. 16, III), sujeitos aos mesmos requisitos de idade (menos de 21 anos), emancipação e invalidez/deficiência aplicáveis aos filhos. A dependência econômica deve ser comprovada, pois a presunção legal não alcança essa classe.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comprovação da dependência econômica dos pais e irmãos é feita por início de prova material corroborado por prova testemunhal. Documentos como comprovantes de transferências bancárias do segurado aos pais, declaração de imposto de renda em que os pais constem como dependentes, recibos de pagamento de despesas dos pais pelo segurado e declarações de vizinhos ou de entidades assistenciais podem constituir início de prova material.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direito dos dependentes de Classe II e III é subsidiário: somente se habilita na ausência de dependentes de Classe I. Nenhum dependente da Classe I precisa ter sido beneficiário efetivo da pensão — basta que existam dependentes habilitáveis na classe superior para que os dependentes de classes inferiores fiquem excluídos. Se todos os dependentes de Classe I renunciam ao benefício ou perdem a condição de dependentes (por maioridade, emancipação), os dependentes de Classe II podem requerer habilitação tardia.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questão dos pais como dependentes é frequente nos JEFs, especialmente em regiões onde filhos jovens constituem a principal fonte de renda da família. A comprovação da dependência econômica dos pais exige demonstração de que o segurado contribuía efetivamente para o sustento familiar. A jurisprudência consolidou o entendimento de que a dependência econômica dos pais não precisa ser exclusiva — a concorrência com outras fontes de renda (aposentadoria rural dos próprios pais, benefícios assistenciais, renda de outros filhos) não exclui a dependência se a contribuição do segurado falecido era relevante para a manutenção do padrão de vida.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prova da dependência econômica dos pais apresenta dificuldade quando o segurado não residia com os genitores. A coabitação não é requisito da dependência econômica: filhos que residem em outras cidades e remetem valores mensais aos pais geram dependência mesmo sem viver sob o mesmo teto. Comprovantes de transferências bancárias (PIX, depósitos, transferências eletrônicas), recibos de pagamento de contas (energia, água, plano de saúde) em nome dos pais realizados pelo segurado, e declaração de imposto de renda em que os pais constem como dependentes são provas especialmente relevantes.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TNU, jurisprudência consolidada sobre dependência econômica dos pais</w:t>
            </w:r>
            <w:r>
              <w:rPr>
                <w:rFonts w:ascii="EB Garamond" w:hAnsi="EB Garamond" w:cs="EB Garamond"/>
                <w:b w:val="0"/>
                <w:i w:val="0"/>
                <w:color w:val="201B16"/>
                <w:sz w:val="19"/>
                <w:lang w:val="pt-BR" w:bidi="ar-SA"/>
                <w:kern w:val="16"/>
                <w14:ligatures w14:val="standardContextual"/>
              </w:rPr>
              <w:t>: A Turma Nacional de Uniformização firmou que a dependência econômica para fins de pensão por morte não exige que o segurado fosse o único provedor do dependente. Basta que se demonstre contribuição financeira substancial do segurado para o sustento do postulante, de modo que o óbito tenha acarretado uma real e significativa redução do padrão de vida do dependente. A análise é casuística, considerando a renda total do grupo familiar e o impacto concreto da perda da contribuição do segurado.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19.11 Equiparados a filho: enteado e menor tutelado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16, § 2º, da Lei n. 8.213/91 (com redação da Lei n. 9.528/1997) equipara a filho, para fins previdenciários, o enteado e o menor tutelado, desde que comprovada a dependência econômica. A EC n. 103/2019 reiterou essa equiparação no art. 23, § 6º, restringindo-a expressamente ao enteado e ao menor tutelado.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enteado é o filho do cônjuge ou companheiro(a) do segurado, proveniente de relação anterior. Para sua habilitação como dependente, exige-se: (a) a comprovação do vínculo de enteado (certidão de nascimento do menor + certidão de casamento ou comprovação de união estável entre o segurado e o genitor); e (b) a comprovação de dependência econômica efetiva em relação ao segurado falecido. A dependência econômica do enteado não é presumida como a dos filhos biológicos ou adotivos — deve ser demonstrada por provas que revelem contribuição efetiva do segurado para o sustento do menor.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menor tutelado é aquele cuja tutela foi deferida judicialmente ao segurado. A tutela distingue-se da guarda: a tutela é medida mais ampla, que transfere o exercício do poder familiar ao tutor, ao passo que a guarda confere apenas a custódia. A equiparação legal restringe-se ao menor tutelado, não alcançando o menor sob guarda — distinção que gera controvérsia constitucional relevante.</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Lei n. 9.528/1997 excluiu expressamente o menor sob guarda do rol de dependentes equiparados a filho, mantendo apenas o enteado e o menor tutelado. A EC n. 103/2019, em seu art. 23, § 6º, reiterou a equiparação restrita ao enteado e ao menor tutelado. A exclusão do menor sob guarda é objeto de questionamento constitucional, examinado na seção seguinte (19.12). Na prática administrativa, o INSS indefere sistematicamente os pedidos de pensão por morte formulados por menores sob guarda, obrigando a discussão judicial.</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19.12 Menor sob guarda: controvérsia constitucional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exclusão do menor sob guarda do rol de dependentes equiparados a filho constitui uma das controvérsias mais relevantes do direito previdenciário contemporâneo. O tema envolve tensão entre a literalidade da lei previdenciária (que exclui o menor sob guarda) e o princípio constitucional da proteção integral à criança e ao adolescente (art. 227, CF/88).</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art. 33, § 3º, do Estatuto da Criança e do Adolescente (Lei n. 8.069/1990) dispõe que a guarda confere à criança ou adolescente a condição de dependente, para todos os fins e efeitos de direito, inclusive previdenciários. A norma do ECA, de caráter protetivo, colidia com a exclusão operada pela Lei n. 9.528/1997, gerando debate sobre qual norma deveria prevalecer.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controvérsia chegou ao STF nas ADIs 4.878 e 5.083, em que se discute a constitucionalidade da exclusão do menor sob guarda operada pela Lei n. 9.528/1997, ao fundamento de que a norma violaria o art. 227 da Constituição Federal (proteção integral à criança) e o art. 6º (direito social à previdência social). No plano infraconstitucional, e ainda antes de definida a questão constitucional, o STJ pacificou a matéria em sentido protetivo: no Tema Repetitivo 732, firmou que "o menor sob guarda tem direito à concessão do benefício de pensão por morte do seu mantenedor, comprovada sua dependência econômica, nos termos do art. 33, § 3º do Estatuto da Criança e do Adolescente, ainda que o óbito do instituidor da pensão seja posterior à vigência da Medida Provisória 1.523/96, reeditada e convertida na Lei 9.528/97", em razão da qualidade de lei especial do ECA frente à legislação previdenciária. Esse entendimento serviu de base para decisões judiciais que reconheciam o direito do menor sob guarda à inclusão entre os dependentes do RGPS durante a vigência da legislação pré-reforma.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Contudo, a EC n. 103/2019, de hierarquia constitucional, ao dispor no art. 23, § 6º, que se equiparam a filho "exclusivamente o enteado e o menor tutelado", reabriu a controvérsia. A emenda constitucional, por sua natureza, não pode ser declarada inconstitucional por violação de norma infraconstitucional. A questão passou a ser se a exclusão do menor sob guarda pela emenda constitucional viola cláusula pétrea (art. 60, § 4º, IV, CF/88 — direitos e garantias individuais).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STF reconheceu repercussão geral sobre o tema no RE 1.442.021 (Tema 1.271, rel. Min. André Mendonça), cujo mérito permanece pendente de julgamento. A tese a ser fixada definirá se a EC n. 103/2019, ao excluir o menor sob guarda do rol de dependentes, viola o art. 227 da Constituição (proteção integral) enquanto cláusula pétrea. Como o Tema 1.271 enfrenta diretamente a constitucionalidade da exclusão à luz da emenda — núcleo comum também das ADIs 4.878/5.083 —, é por ele, sede de repercussão geral com efeito vinculante e suspensão nacional, que se espera a palavra final do Tribunal sobre a matéria, podendo a solução do leading case projetar-se sobre o desfecho das ações diretas.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Menor sob guarda — quadro jurisprudencial</w:t>
            </w:r>
            <w:r>
              <w:rPr>
                <w:rFonts w:ascii="EB Garamond" w:hAnsi="EB Garamond" w:cs="EB Garamond"/>
                <w:b w:val="0"/>
                <w:i w:val="0"/>
                <w:color w:val="201B16"/>
                <w:sz w:val="19"/>
                <w:lang w:val="pt-BR" w:bidi="ar-SA"/>
                <w:kern w:val="16"/>
                <w14:ligatures w14:val="standardContextual"/>
              </w:rPr>
              <w:t xml:space="preserve">: (i) </w:t>
            </w:r>
            <w:r>
              <w:rPr>
                <w:rFonts w:ascii="EB Garamond" w:hAnsi="EB Garamond" w:cs="EB Garamond"/>
                <w:b w:val="0"/>
                <w:i/>
                <w:color w:val="201B16"/>
                <w:sz w:val="19"/>
                <w:lang w:val="pt-BR" w:bidi="ar-SA"/>
                <w:kern w:val="16"/>
                <w14:ligatures w14:val="standardContextual"/>
              </w:rPr>
              <w:t>STJ, Tema Repetitivo 732</w:t>
            </w:r>
            <w:r>
              <w:rPr>
                <w:rFonts w:ascii="EB Garamond" w:hAnsi="EB Garamond" w:cs="EB Garamond"/>
                <w:b w:val="0"/>
                <w:i w:val="0"/>
                <w:color w:val="201B16"/>
                <w:sz w:val="19"/>
                <w:lang w:val="pt-BR" w:bidi="ar-SA"/>
                <w:kern w:val="16"/>
                <w14:ligatures w14:val="standardContextual"/>
              </w:rPr>
              <w:t xml:space="preserve"> (já transitado em julgado): o menor sob guarda tem direito à pensão por morte do mantenedor, comprovada a dependência econômica, com prevalência do art. 33, § 3º, do ECA (lei especial) sobre a redação restritiva da Lei n. 9.528/1997 — tese aplicável aos óbitos regidos pela legislação anterior à EC n. 103/2019. (ii) </w:t>
            </w:r>
            <w:r>
              <w:rPr>
                <w:rFonts w:ascii="EB Garamond" w:hAnsi="EB Garamond" w:cs="EB Garamond"/>
                <w:b w:val="0"/>
                <w:i/>
                <w:color w:val="201B16"/>
                <w:sz w:val="19"/>
                <w:lang w:val="pt-BR" w:bidi="ar-SA"/>
                <w:kern w:val="16"/>
                <w14:ligatures w14:val="standardContextual"/>
              </w:rPr>
              <w:t>STF, Tema 1.271 (RE 1.442.021, rel. Min. André Mendonça) — MÉRITO PENDENTE, com suspensão nacional</w:t>
            </w:r>
            <w:r>
              <w:rPr>
                <w:rFonts w:ascii="EB Garamond" w:hAnsi="EB Garamond" w:cs="EB Garamond"/>
                <w:b w:val="0"/>
                <w:i w:val="0"/>
                <w:color w:val="201B16"/>
                <w:sz w:val="19"/>
                <w:lang w:val="pt-BR" w:bidi="ar-SA"/>
                <w:kern w:val="16"/>
                <w14:ligatures w14:val="standardContextual"/>
              </w:rPr>
              <w:t xml:space="preserve">: definirá se o menor sob guarda judicial tem direito à pensão por morte do guardião segurado do RGPS, considerando a EC n. 103/2019, que restringiu a equiparação a filho ao enteado e ao menor tutelado. (iii) </w:t>
            </w:r>
            <w:r>
              <w:rPr>
                <w:rFonts w:ascii="EB Garamond" w:hAnsi="EB Garamond" w:cs="EB Garamond"/>
                <w:b w:val="0"/>
                <w:i/>
                <w:color w:val="201B16"/>
                <w:sz w:val="19"/>
                <w:lang w:val="pt-BR" w:bidi="ar-SA"/>
                <w:kern w:val="16"/>
                <w14:ligatures w14:val="standardContextual"/>
              </w:rPr>
              <w:t>ADIs 4.878 e 5.083</w:t>
            </w:r>
            <w:r>
              <w:rPr>
                <w:rFonts w:ascii="EB Garamond" w:hAnsi="EB Garamond" w:cs="EB Garamond"/>
                <w:b w:val="0"/>
                <w:i w:val="0"/>
                <w:color w:val="201B16"/>
                <w:sz w:val="19"/>
                <w:lang w:val="pt-BR" w:bidi="ar-SA"/>
                <w:kern w:val="16"/>
                <w14:ligatures w14:val="standardContextual"/>
              </w:rPr>
              <w:t>: discutem, em controle abstrato, a constitucionalidade da exclusão operada pela Lei n. 9.528/1997, com forte invocação do art. 227 da CF/88. Enquanto não definido o Tema 1.271, os JEFs têm adotado posições divergentes quanto aos óbitos posteriores à EC n. 103/2019: alguns concedem a pensão com base no art. 227 da CF/88 e na ratio do Tema 732/STJ; outros indeferem com base na literalidade do art. 23, § 6º, da EC n. 103/2019. Recomenda-se, na prática, a suspensão dos feitos cujo óbito seja posterior a 13/11/2019, em deferência à suspensão nacional do Tema 1.271.</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E</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ntendemos que a proteção integral à criança e ao adolescente (art. 227, CF/88) constitui direito fundamental de hierarquia constitucional originária, integrando o núcleo intangível da Constituição. A exclusão do menor sob guarda pela EC n. 103/2019 retira proteção previdenciária de crianças em situação de vulnerabilidade, contrariando o princípio da vedação de retrocesso social em matéria de direitos fundamentais de menores. A distinção entre guarda e tutela, para fins previdenciários, é formalismo incompatível com a finalidade protetiva do benefício: a criança sob guarda depende do guardião tanto quanto a criança sob tutela depende do tutor.</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19.13 Comprovação da união estável para fins previdenciários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comprovação da união estável para fins de pensão por morte é questão central nos JEFs, dada a frequência com que companheiros(as) do segurado falecido buscam a habilitação como dependentes. A prova deve demonstrar a existência de relação pública, contínua e duradoura, com objetivo de constituir família, contemporânea ao óbito do segurado.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óbitos anteriores à vigência da MP n. 871/2019 (18/01/2019, convertida na Lei n. 13.846/2019), a comprovação da união estável podia ser feita por qualquer meio de prova, inclusive prova exclusivamente testemunhal. A TNU, na Súmula 63, consagrou esse entendimento: "A comprovação de união estável para efeito de concessão de pensão por morte prescinde de início de prova material." A Súmula 63 aplicava-se integralmente aos óbitos anteriores à mudança legislativa, e seu conteúdo permanece válido para esses casos em razão do princípio tempus regit actum.</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óbitos a partir de 18/01/2019, o art. 16, § 5º, da Lei n. 8.213/91 (com redação da MP n. 871/2019, convertida na Lei n. 13.846/2019) exige início de prova material contemporâneo dos fatos, complementado por prova testemunhal. A prova exclusivamente testemunhal não é admitida, salvo por motivo de força maior ou caso fortuito (hipótese em que a impossibilidade de produzir prova documental justifica a exceção).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início de prova material pode ser constituído por: (a) certidão de casamento religioso; (b) declaração do imposto de renda do segurado em que o companheiro conste como dependente; (c) disposições testamentárias; (d) certidão de nascimento de filho havido em comum; (e) conta bancária conjunta; (f) apólice de seguro de vida com indicação do companheiro como beneficiário; (g) ficha de tratamento em instituição de assistência médica com indicação do companheiro como responsável; (h) escritura pública de união estável; (i) correspondência ou documento público em que conste a condição de companheiro.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prova da união estável nos JEFs exige atenção ao regime probatório aplicável conforme a data do óbito. Para óbitos anteriores a 18/01/2019 (vigência da MP n. 871/2019), a prova testemunhal isolada é suficiente (Súmula 63/TNU). Para óbitos a partir dessa data, exige-se início de prova material. Na instrução processual, o advogado deve organizar a prova em duas camadas: (a) documentos que constituam início de prova material (os mais robustos são a certidão de nascimento de filho em comum, a declaração de IR conjunta e a escritura de união estável); (b) prova testemunhal de vizinhos, familiares e amigos que confirmem a convivência pública, contínua e duradoura. A ausência de qualquer documento formal não é fatal se o companheiro demonstrar motivo legítimo para a lacuna (informalidade, baixa escolaridade, residência em área rural).</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questão da união estável post mortem, quando não havia declaração formal em vida, é frequente nos JEFs. A pessoa que conviveu com o segurado sem formalizar a relação enfrenta dificuldade probatória após o falecimento. A jurisprudência tem admitido a comprovação da união por conjunto probatório que revele, retrospectivamente, os elementos caracterizadores da entidade familiar. Fotografias, mensagens eletrônicas, depoimentos de familiares e vizinhos, e documentos que indiquem coabitação são meios probatórios admissíveis.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19.14 Prova da dependência econômica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prova da dependência econômica é requisito para a habilitação de dependentes das Classes II e III, para equiparados a filho (enteado e menor tutelado) e, em tese, para ilidir a presunção que favorece os dependentes da Classe I. O conceito de dependência econômica para fins previdenciários é mais amplo do que o conceito civil de necessidade alimentar: basta que o dependente demonstre que a renda do segurado contribuía de forma relevante para seu sustento, sem necessidade de provar dependência exclusiva ou total.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dependência econômica parcial é suficiente, conforme Santos (2025). Um pai que recebia complementação de renda do filho segurado, sem depender exclusivamente dele para sobreviver, mantém a condição de dependente se a contribuição do filho era relevante para a manutenção do padrão mínimo de vida. A análise é qualitativa, não meramente quantitativa: interessa saber se a cessação da contribuição do segurado acarretou redução significativa no padrão de vida do dependente.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prova da dependência econômica deve ser contemporânea aos fatos. Declarações produzidas após o óbito, embora admissíveis, têm valor probatório reduzido se não corroboradas por elementos materiais. O início de prova material pode consistir em: comprovantes de transferências bancárias, recibos de pagamento de despesas, declaração de imposto de renda em que o dependente conste como tal, registros em plano de saúde ou seguro de vida.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dependência econômica dos dependentes de Classe I (cônjuge, companheiro, filhos menores) é presumida por lei (art. 16, § 4º, Lei 8.213/91). A presunção é relativa, mas na prática o INSS dificilmente consegue ilidi-la para cônjuges que coabitavam com o segurado e filhos menores de 21 anos. Para companheiros(as), porém, a presunção somente opera após a comprovação da união estável — a dependência é presumida, mas a relação de convivência deve ser provada. O advogado deve distinguir com rigor essas duas etapas: primeiro comprovar a união estável, depois invocar a presunção de dependência econômica.</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TNU firmou posição relevante sobre a dependência econômica do filho maior inválido. Segundo o entendimento consolidado, a dependência econômica do filho inválido é presumida enquanto perdurar a invalidez, cabendo ao INSS o ônus de provar que o filho possuía renda própria suficiente para seu sustento. A presunção, contudo, é relativa: o filho inválido que percebe renda própria em valor significativo (aposentadoria por incapacidade, por exemplo) pode ter a presunção ilidida.</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19.15 Pensão por morte ao ex-cônjuge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situação do ex-cônjuge (separado judicialmente, separado de fato ou divorciado) em relação à pensão por morte merece exame detalhado, pela frequência e complexidade das questões que suscita nos JEFs.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art. 76, § 2º, da Lei n. 8.213/91 assegura ao cônjuge divorciado ou separado judicialmente que recebia pensão de alimentos o direito à pensão por morte, concorrendo em igualdade de condições com os demais dependentes da Classe I. A norma reconhece que o ex-cônjuge alimentando mantém vínculo de dependência econômica em relação ao segurado, ainda que o casamento tenha sido dissolvido. Nessa hipótese, a dependência econômica não é presumida, mas decorre diretamente da percepção efetiva de alimentos.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questão mais controversa diz respeito ao ex-cônjuge que não recebia pensão alimentícia na data do óbito. A Súmula 336 do STJ dispõe: "A mulher que renunciou aos alimentos na separação judicial tem direito à pensão previdenciária por morte do ex-marido, comprovada a necessidade econômica superveniente." O entendimento reconhece que a renúncia aos alimentos na esfera civil não implica perda automática da condição de dependente previdenciária: se o ex-cônjuge, após a separação, vier a necessitar de auxílio econômico e demonstrar essa necessidade, fará jus à pensão por morte.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extensão da Súmula 336 foi consolidada pela jurisprudência. A tese não se limita à mulher: aplica-se igualmente ao homem que renunciou aos alimentos na separação. A necessidade econômica pode ser superveniente à separação e anterior ao óbito — basta que exista no momento do falecimento. A prova da necessidade econômica pode ser feita por qualquer meio, incluindo documentos que demonstrem queda no padrão de vida, perda de emprego, doença que incapacitou o ex-cônjuge ou outras circunstâncias que evidenciem a vulnerabilidade.</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STJ, Súmula 336</w:t>
            </w:r>
            <w:r>
              <w:rPr>
                <w:rFonts w:ascii="EB Garamond" w:hAnsi="EB Garamond" w:cs="EB Garamond"/>
                <w:b w:val="0"/>
                <w:i w:val="0"/>
                <w:color w:val="201B16"/>
                <w:sz w:val="19"/>
                <w:lang w:val="pt-BR" w:bidi="ar-SA"/>
                <w:kern w:val="16"/>
                <w14:ligatures w14:val="standardContextual"/>
              </w:rPr>
              <w:t>: "A mulher que renunciou aos alimentos na separação judicial tem direito à pensão previdenciária por morte do ex-marido, comprovada a necessidade econômica superveniente." O entendimento consolidou a autonomia entre o direito a alimentos (esfera civil) e o direito à pensão por morte (esfera previdenciária). A renúncia civil não atinge o vínculo previdenciário, que se funda na existência de dependência econômica real, e não na formalização de obrigação alimentar.</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ex-cônjuge que se habilita à pensão por morte concorre, em igualdade de condições, com o cônjuge ou companheiro(a) sobrevivente e com os filhos do segurado (todos da Classe I). O rateio é feito em partes iguais entre os dependentes habilitados da mesma classe. A coexistência de ex-cônjuge alimentando e companheiro(a) do segurado gera situação de concorrência que exige habilitação simultânea.</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19.16 Concorrência entre cônjuge e companheiro(a)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situação em que o segurado falecido era casado formalmente com uma pessoa e mantinha união estável com outra é frequente nos JEFs e gera controvérsias sobre o rateio da pensão por morte. A resolução depende da configuração fática: separação de fato do cônjuge, duração da separação e legitimidade da união estável.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cônjuge separado de fato mantém, em princípio, a condição de dependente previdenciário, salvo se comprovada a inexistência de dependência econômica. A separação de fato rompe o vínculo afetivo, mas não dissolve o casamento civil. O cônjuge separado de fato que não recebia qualquer contribuição econômica do segurado pode ter a presunção de dependência ilidida, perdendo o direito à pensão. Por outro lado, se ainda dependia economicamente do segurado (recebia alimentos informais, morava em imóvel do segurado, tinha despesas custeadas por ele), mantém a condição.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companheira ou companheiro do segurado que convivia com ele na data do óbito, em união estável pública, contínua e duradoura, é dependente da Classe I com presunção de dependência econômica. Quando a união estável se iniciou após a separação de fato do casamento anterior, a situação é legítima: o art. 1.723, § 1º, do Código Civil dispõe que a união estável não se constituirá se existirem impedimentos para o casamento, ressalvada a hipótese de a pessoa casada estar separada de fato ou judicialmente.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concorrência entre cônjuge separado de fato e companheiro(a), a jurisprudência tem adotado a seguinte orientação: (a) se o cônjuge estava efetivamente separado de fato e não dependia economicamente do segurado, a pensão é devida integralmente ao companheiro(a); (b) se ambos demonstram dependência econômica, a pensão é rateada em partes iguais; (c) se apenas o cônjuge demonstra dependência (hipótese rara quando há separação de fato prolongada), a pensão lhe é devida integralmente.</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Nas ações de pensão por morte em que há concorrência entre cônjuge e companheiro(a), a formação de litisconsórcio necessário é obrigatória. O STJ fixou que a ação para incluir novo beneficiário na pensão por morte exige a citação dos demais beneficiários já habilitados, sob pena de nulidade. Nos JEFs, o juiz deve determinar a citação do(a) cônjuge ou do(a) companheiro(a) concorrente como litisconsorte passivo necessário, assegurando o contraditório. A instrução processual deve contemplar prova sobre a situação fática de cada pretendente: tempo de separação de fato, existência de contribuição econômica do segurado a cada um deles, e configuração da união estável.</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19.17 Uniões estáveis simultâneas: vedação constitucional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possibilidade de reconhecimento de uniões estáveis simultâneas (ou de casamento e união estável concomitantes) para fins de rateio de pensão por morte foi definida pelo STF no julgamento do RE 1.045.273 (Tema 529).</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Plenário do STF, por maioria de votos, negou provimento ao recurso e fixou a seguinte tese: "A preexistência de casamento ou de união estável de um dos conviventes, ressalvada a exceção do artigo 1.723, § 1º, do Código Civil, impede o reconhecimento de novo vínculo referente ao mesmo período, inclusive para fins previdenciários, em virtude da consagração do dever de fidelidade e da monogamia pelo ordenamento jurídico-constitucional brasileiro."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decisão tem repercussão geral e vincula todos os órgãos do Poder Judiciário. Seu efeito prático é vedar o rateio de pensão por morte entre cônjuge e concubina (ou entre duas companheiras simultâneas). A pessoa que mantém relação concomitante com segurado casado ou em união estável não se qualifica como dependente previdenciário, por não se configurar união estável legítima.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exceção prevista no art. 1.723, § 1º, do Código Civil diz respeito à pessoa casada que se encontra separada de fato ou judicialmente. Nesse caso, a separação de fato rompe o vínculo conjugal efetivo e permite a configuração de nova união estável, que será legítima para fins previdenciários. A chave da análise é a separação de fato: se existia, a nova relação é união estável; se não existia (o segurado mantinha vida conjugal com o cônjuge), a nova relação é concubinato, que não gera direitos previdenciários.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STF, RE 1.045.273 (Tema 529)</w:t>
            </w:r>
            <w:r>
              <w:rPr>
                <w:rFonts w:ascii="EB Garamond" w:hAnsi="EB Garamond" w:cs="EB Garamond"/>
                <w:b w:val="0"/>
                <w:i w:val="0"/>
                <w:color w:val="201B16"/>
                <w:sz w:val="19"/>
                <w:lang w:val="pt-BR" w:bidi="ar-SA"/>
                <w:kern w:val="16"/>
                <w14:ligatures w14:val="standardContextual"/>
              </w:rPr>
              <w:t>: O STF vedou o reconhecimento de uniões estáveis simultâneas para fins de rateio de pensão por morte, afirmando o princípio da monogamia como fundamento do ordenamento jurídico-constitucional brasileiro. A decisão afastou a tese de que o Direito Previdenciário poderia reconhecer relações que o Direito de Família repudia. Na prática dos JEFs, a decisão impõe ao(à) companheiro(a) que pleiteia pensão o ônus de demonstrar que a relação com o segurado era legítima, e não mero concubinato paralelo a casamento ou união estável preexistente.</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19.18 Pensão por morte e união homoafetiva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reconhecimento da união homoafetiva como entidade familiar pelo STF (ADI 4.277 e ADPF 132, julgamento em 05/05/2011) estendeu aos companheiros do mesmo sexo todos os direitos decorrentes da união estável, inclusive os previdenciários. O companheiro homoafetivo é dependente da Classe I, com presunção de dependência econômica, nos mesmos termos do companheiro heterossexual.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extensão é plena e incondicional. O companheiro do mesmo sexo faz jus à pensão por morte mediante comprovação da união estável (convivência pública, contínua e duradoura com objetivo de constituir família), submetendo-se aos mesmos requisitos probatórios e às mesmas regras de duração, cálculo e acumulação aplicáveis às uniões heterossexuais.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INSS reconheceu administrativamente o direito do companheiro homoafetivo à pensão por morte, inicialmente por força da Ação Civil Pública n. 2000.71.00.009347-0 (Justiça Federal do Rio Grande do Sul) e, posteriormente, em caráter geral, após o julgamento do STF. O Decreto n. 10.410/2020, ao regulamentar o art. 16 da Lei n. 8.213/91, incluiu expressamente a referência a cônjuge ou companheiro(a) sem distinção de sexo.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comprovação da união homoafetiva segue os mesmos critérios da união estável heterossexual: escritura pública, declaração de imposto de renda, conta bancária conjunta, depoimentos testemunhais e demais meios de prova admitidos em direito. Na prática dos JEFs, as ações de pensão por morte envolvendo uniões homoafetivas são processadas sem qualquer particularidade procedimental em relação às demais.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questão temporal merece atenção. Para óbitos anteriores ao julgamento da ADI 4.277 (05/05/2011), a concessão da pensão por morte ao companheiro homoafetivo já era possível por força de decisões judiciais e da própria Ação Civil Pública mencionada, que vinculava o INSS desde 2000. A jurisprudência reconhece que o direito ao reconhecimento da união homoafetiva para fins previdenciários não surgiu com o julgamento do STF — o julgamento apenas declarou o que já era inerente à Constituição. Dessa forma, uniões homoafetivas anteriores a 2011, com óbitos anteriores a essa data, geram direito à pensão por morte, desde que comprovada a convivência nos moldes do art. 1.723 do Código Civil.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STF, ADI 4.277 e ADPF 132 (julgamento em 05/05/2011)</w:t>
            </w:r>
            <w:r>
              <w:rPr>
                <w:rFonts w:ascii="EB Garamond" w:hAnsi="EB Garamond" w:cs="EB Garamond"/>
                <w:b w:val="0"/>
                <w:i w:val="0"/>
                <w:color w:val="201B16"/>
                <w:sz w:val="19"/>
                <w:lang w:val="pt-BR" w:bidi="ar-SA"/>
                <w:kern w:val="16"/>
                <w14:ligatures w14:val="standardContextual"/>
              </w:rPr>
              <w:t>: O Plenário do STF reconheceu a união homoafetiva como entidade familiar, conferindo interpretação conforme a Constituição ao art. 1.723 do Código Civil para excluir qualquer significado que impeça o reconhecimento da união de pessoas do mesmo sexo como entidade familiar, com os mesmos direitos e deveres da união estável heterossexual. A decisão tem eficácia erga omnes e efeito vinculante, alcançando todos os órgãos do Poder Judiciário e da Administração Pública, inclusive o INSS. O reconhecimento é retroativo, pois fundado na própria Constituição, e não em norma infraconstitucional posterior.</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adoção por casais homoafetivos e seus reflexos na pensão por morte também merecem menção. O filho adotivo de casal homoafetivo é dependente da Classe I de ambos os adotantes, com presunção de dependência econômica. O óbito de qualquer dos adotantes gera direito à pensão por morte para o filho, nos mesmos termos da filiação biológica ou da adoção por casais heterossexuais. A igualdade de tratamento é absoluta e decorre tanto da decisão do STF quanto do art. 227, § 6º, da Constituição (igualdade entre filhos, independentemente da origem).</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19.19 Cálculo da pensão por morte: regime anterior à EC 103/2019</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regime de cálculo da pensão por morte anterior à EC n. 103/2019 era substancialmente mais favorável aos dependentes. O art. 75 da Lei n. 8.213/91 (em sua redação anterior) fixava o valor da pensão por morte em 100% do valor da aposentadoria que o segurado recebia ou daquela a que teria direito se estivesse aposentado por incapacidade permanente na data do falecimento. O salário de benefício seguia as regras gerais de cálculo (média dos 80% maiores salários de contribuição; v. Cap. 16 para detalhamento). A garantia de 100% era absoluta e não comportava exceções.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regime anterior aplica-se, por força do princípio tempus regit actum, a todos os óbitos ocorridos antes de 13/11/2019 (data de entrada em vigor da EC n. 103/2019). Para esses fatos geradores, o cálculo da pensão segue as regras da Lei n. 8.213/91 em sua redação anterior à reforma, independentemente da data do requerimento administrativo ou judicial.</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19.20 Cálculo da pensão por morte: regime da EC 103/2019</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EC n. 103/2019 introduziu o sistema de cotas para o cálculo da pensão por morte, previsto no art. 23 da Emenda. O novo regime aplica-se aos óbitos ocorridos a partir de 13/11/2019.</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cálculo segue duas etapas, como explicam Castro e Lazzari (2025). Na primeira, apura-se a base de cálculo: (a) se o segurado era aposentado, a base é o valor da aposentadoria efetivamente recebida; (b) se o segurado não era aposentado, a base é o valor da aposentadoria por incapacidade permanente a que teria direito na data do óbito, calculada nos termos do art. 26, § 2º, da EC n. 103/2019 — média de 100% dos salários de contribuição com coeficiente de 60% + 2% por ano excedente a 20 anos (v. Cap. 16 para o regime geral de cálculo).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Registramos que o acréscimo de 2% por ano excedente a 20 anos de contribuição aplica-se ao segurado homem. Para a segurada mulher, o acréscimo incide a partir de 15 anos de contribuição (art. 26, §§ 2º e 5º, da EC n. 103/2019). A distinção é relevante para o cálculo da pensão por morte de segurada não aposentada: uma mulher com 18 anos de contribuição teria coeficiente de 66% (60% + 2% × 3 anos excedentes), enquanto um homem com o mesmo tempo teria apenas 60%.</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segunda etapa, aplica-se o sistema de cotas sobre a base apurada: cota familiar de 50% acrescida de 10 pontos percentuais por dependente habilitado, até o máximo de 100%. Um dependente único recebe 60% da base; dois dependentes recebem 70%; três dependentes recebem 80%; quatro dependentes recebem 90%; cinco ou mais dependentes recebem 100%.</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combinação das duas etapas pode resultar em pensão substancialmente inferior ao valor da aposentadoria do segurado. No caso extremo de segurado não aposentado, com 20 anos de contribuição e um único dependente, a pensão por morte corresponderia a 60% de 60% da média salarial, ou seja, 36% da média dos salários de contribuição. A redução é severa e foi objeto de questionamento constitucional.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cálculo da pensão por morte para segurado não aposentado sob o regime da EC 103/2019 envolve dupla redução: primeiro, aplica-se o coeficiente de 60% + 2% por ano excedente a 20 anos de contribuição para apurar o valor hipotético da aposentadoria por incapacidade permanente; depois, aplica-se o sistema de cotas (50% + 10% por dependente). O resultado pode ser significativamente inferior ao salário-mínimo. Nesses casos, aplica-se a garantia do § 2º do art. 23 da EC 103/2019: se a pensão por morte for a única fonte de renda formal do dependente, o benefício não poderá ser inferior ao salário-mínimo.</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STF, no julgamento da ADI 7.051, declarou constitucional o art. 23 da EC n. 103/2019. O relator, Min. Luís Roberto Barroso, reconheceu que a redução do valor da pensão exigirá maior planejamento financeiro dos segurados com dependentes, mas entendeu que a reforma não violou cláusula pétrea, pois vedou expressamente que o benefício ficasse abaixo do salário-mínimo quando constituísse a única fonte de renda formal do dependente. A decisão encerrou o debate sobre a constitucionalidade do sistema de cotas, vinculando os demais órgãos do Poder Judiciário.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19.21 Cota-parte e não reversibilidade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sistema de cotas da EC n. 103/2019 introduziu característica inédita no regime da pensão por morte: a não reversibilidade das cotas individuais. O art. 23, § 1º, dispõe que "as cotas por dependente cessarão com a perda dessa qualidade e não serão reversíveis aos demais dependentes, preservado o valor de 100% da pensão por morte quando o número de dependentes remanescente for igual ou superior a 5 (cinco)".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a não reversibilidade significa que, quando um dependente perde essa qualidade (por maioridade do filho, cessação da invalidez, falecimento do cônjuge), a cota de 10% correspondente àquele dependente é extinta, e o valor total da pensão é reduzido proporcionalmente. Os demais dependentes não absorvem a cota liberada: ela simplesmente se extingue.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Essa regra contrasta com o regime anterior, em que a totalidade da pensão (100%) era rateada entre os dependentes, de modo que a saída de um dependente acarretava aumento proporcional da cota dos remanescentes. No regime da EC n. 103/2019, a saída de um dependente reduz o valor global da pensão.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exceção é a hipótese de cinco ou mais dependentes: quando o número de dependentes remanescentes for igual ou superior a cinco, o valor da pensão é mantido em 100%, independentemente da saída de dependentes. A regra visa proteger famílias numerosas, nas quais a redução proporcional geraria valores individuais irrisórios.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não reversibilidade é objeto de crítica doutrinária relevante. A EC n. 103/2019 não proibiu expressamente a reversão, mas apenas estabeleceu que as cotas cessam com a perda da qualidade de dependente. A cessação da cota, nessa leitura, refere-se à cota do dependente que perdeu a qualidade, não impedindo que o legislador ordinário estabeleça regra de reversão. Entendemos, porém, que a literalidade do dispositivo ("não serão reversíveis") é inequívoca e afasta interpretação extensiva em favor da reversibilidade.</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19.22 Piso da pensão por morte: garantia do salário-mínimo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23, § 2º, da EC n. 103/2019 estabelece que, quando a pensão por morte for a única fonte de renda formal do dependente, seu valor não poderá ser inferior ao salário-mínimo. Essa garantia constitui salvaguarda essencial contra a redução excessiva que o sistema de cotas pode gerar.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garantia do piso de salário-mínimo é condicionada: aplica-se apenas quando a pensão por morte for a "única fonte de renda formal" do dependente. Se o dependente possui outra fonte de renda formal (aposentadoria própria, emprego com carteira assinada, outro benefício previdenciário), a pensão por morte pode ser inferior ao salário-mínimo. A expressão "renda formal" exclui rendas informais (trabalho sem carteira, bicos, ajuda de familiares) do cálculo, de modo que um dependente sem renda formal que exerça atividade informal terá direito ao piso.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aplicação prática da garantia exige a verificação individualizada de cada dependente. Em pensão rateada entre múltiplos dependentes, a garantia do piso aplica-se a cada cota individual: se a cota individual de um dependente sem outra renda formal for inferior ao salário-mínimo, ela é elevada ao piso. Essa elevação pode resultar em valor global da pensão superior ao calculado pelo sistema de cotas, pois a garantia do piso prevalece sobre a fórmula de cálculo.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Ao calcular a pensão por morte sob o regime da EC 103/2019, o advogado deve verificar se cada dependente possui outra fonte de renda formal. Se o dependente é cônjuge sem emprego formal e sem aposentadoria própria, a pensão não poderá ser inferior ao salário-mínimo, mesmo que a aplicação do sistema de cotas resulte em valor menor. Se o cônjuge recebe aposentadoria própria de valor mínimo, a pensão por morte pode ser inferior ao salário-mínimo, pois não é a única fonte de renda formal. A verificação é individual e dinâmica — a superveniência de renda formal pode afetar a garantia do piso.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19.23 Duração da pensão por morte para cônjuge ou companheiro(a)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duração da pensão por morte devida ao cônjuge ou companheiro(a) varia conforme a idade do beneficiário na data do óbito e o cumprimento de requisitos temporais. A Lei n. 13.135/2015 introduziu a temporariedade da pensão para o cônjuge, superando o regime anterior de pensão vitalícia.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duração é determinada em duas etapas. Na primeira, verifica-se se o segurado falecido verteu ao menos 18 contribuições mensais ao RGPS e se o casamento ou a união estável tinha pelo menos dois anos na data do óbito. Se qualquer dessas condições não estiver cumprida, a pensão terá duração de apenas quatro meses, salvo se o óbito decorreu de acidente (caso em que a duração segue a tabela por idade, independentemente das contribuições e do tempo de casamento/união).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segunda etapa, cumpridas as duas condições (18 contribuições e dois anos de casamento/união), a duração é fixada conforme a idade do cônjuge ou companheiro na data do óbito, seguindo a tabela do art. 77, § 2º, V, "c", da Lei n. 8.213/91 (com prazos atualizados periodicamente por portaria ministerial conforme a expectativa de sobrevida calculada pelo IBGE). A tabela vigente a partir de 01/01/2021 prevê: menos de 22 anos, 3 anos; entre 22 e 27 anos, 6 anos; entre 28 e 30 anos, 10 anos; entre 31 e 41 anos, 15 anos; entre 42 e 44 anos, 20 anos; 45 anos ou mais, vitalícia.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pensão vitalícia ao cônjuge ou companheiro, portanto, somente é assegurada quando o beneficiário tiver 45 anos ou mais na data do óbito do segurado, cumulativamente com o cumprimento das 18 contribuições e dos dois anos de casamento/união. Para beneficiários mais jovens, a pensão tem duração determinada, que pode variar de três a 20 anos.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tabela de duração da pensão por morte para cônjuge/companheiro(a) é atualizada periodicamente por portaria ministerial, conforme a tábua de mortalidade do IBGE. O prazo vigente na data do óbito do segurado é o que se aplica — eventuais alterações posteriores não retroagem para benefícios já concedidos. O advogado deve verificar a tabela vigente na data do óbito para determinar a duração aplicável ao caso concreto. A confusão entre as tabelas vigentes em diferentes períodos é fonte de erros no cálculo da duração.</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exceção à temporariedade alcança o cônjuge ou companheiro inválido ou com deficiência. O dependente que, na data do óbito do segurado, era inválido ou possuía deficiência intelectual, mental ou grave tem direito à pensão enquanto perdurar a condição, independentemente da idade. A invalidez ou deficiência deve ser comprovada por perícia médica, e a cessação da condição acarreta a cessação do benefício.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19.24 Duração para filhos e demais dependentes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duração da pensão por morte para filhos segue regra própria, vinculada à idade e à condição de emancipação. A pensão é devida até que o filho complete 21 anos ou até a emancipação, o que ocorrer primeiro. Não há extensão para filhos universitários no RGPS.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filhos inválidos ou com deficiência intelectual, mental ou grave, a pensão é vitalícia, desde que a condição seja anterior ao óbito do segurado e persista ao longo do tempo. A cessação da invalidez ou da deficiência, comprovada por perícia médica, acarreta a cessação do benefício. A revisão periódica da condição de invalidez é prerrogativa do INSS, que pode convocar o dependente para reavaliação pericial.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os dependentes das Classes II e III (pais e irmãos), a duração segue as mesmas regras: pais recebem a pensão enquanto viverem (não há limite de idade para pais); irmãos recebem até completar 21 anos ou até a emancipação, exceto se inválidos ou com deficiência, caso em que a pensão é mantida enquanto perdurar a condição.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cessação da cota individual de um dependente, no regime da EC n. 103/2019, não é revertida aos demais. A consequência prática é que a pensão concedida a cônjuge e filho menor reduz-se quando o filho completa 21 anos: a cota do filho (10%) é extinta, e a pensão do cônjuge permanece no valor da cota familiar (50%) acrescida apenas de sua própria cota individual (10%), totalizando 60% da base de cálculo.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diferença entre os dois regimes é substancial. No regime anterior à EC n. 103/2019, quando o filho completava 21 anos, sua cota era revertida ao cônjuge sobrevivente, que passava a receber 100% da pensão. No regime atual, o cônjuge que rateava a pensão com o filho menor verá sua renda previdenciária reduzida quando o filho atingir a maioridade — paradoxo que gera perplexidade, pois o envelhecimento do cônjuge coincide com a diminuição da renda.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duração da pensão para dependentes de Classe II (pais) é vitalícia. Os pais que se habilitam como dependentes do segurado falecido recebem a pensão enquanto viverem, sem qualquer limitação temporal. Diferentemente do cônjuge ou companheiro, cujo benefício pode ter duração determinada conforme a idade, os pais não se submetem à tabela de temporariedade. O falecimento de um dos pais beneficiários, porém, extingue sua cota individual, sem reversão ao genitor sobrevivente no regime da EC n. 103/2019.</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dependentes da Classe III (irmãos), a duração segue estritamente as regras da filiação: cessação aos 21 anos ou com emancipação, salvo invalidez ou deficiência preexistente ao óbito. O irmão menor que perde a condição de dependente aos 21 anos tem sua cota extinta, sem reversão aos demais irmãos ou a quaisquer outros dependentes habilitados na mesma classe.</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19.25 Cessação e perda do direito à pensão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pensão por morte cessa em diversas hipóteses previstas no art. 77 da Lei n. 8.213/91 e no art. 74, § 1º. As hipóteses de cessação podem ser classificadas em cessação da cota individual (que mantém a pensão para os demais dependentes) e cessação total do benefício (quando não há mais dependentes habilitados).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cessação da cota individual ocorre quando: (a) o cônjuge ou companheiro atinge o termo final da duração prevista na tabela (3, 6, 10, 15 ou 20 anos); (b) o filho completa 21 anos ou é emancipado; (c) o dependente inválido recupera a capacidade laborativa; (d) o dependente com deficiência tem a condição cessada por avaliação pericial; (e) o dependente falece; (f) o cônjuge ou companheiro contrai novo casamento ou constitui nova união estável (exceto se inválido ou com deficiência, hipótese em que a pensão é mantida).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perda do direito à pensão por morte está prevista no art. 74, § 1º, da Lei n. 8.213/91 (incluído pela Lei n. 13.135/2015): perde o direito à pensão "o condenado criminalmente por sentença com trânsito em julgado, como autor, coautor ou partícipe de homicídio doloso, ou de tentativa desse crime, cometido contra a pessoa do segurado, ressalvados os absolutamente incapazes e os inimputáveis." A exclusão é penal, não civil: exige condenação criminal transitada em julgado, e não mera imputação ou indiciamento.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Lei n. 13.135/2015, art. 74, § 1º</w:t>
            </w:r>
            <w:r>
              <w:rPr>
                <w:rFonts w:ascii="EB Garamond" w:hAnsi="EB Garamond" w:cs="EB Garamond"/>
                <w:b w:val="0"/>
                <w:i w:val="0"/>
                <w:color w:val="201B16"/>
                <w:sz w:val="19"/>
                <w:lang w:val="pt-BR" w:bidi="ar-SA"/>
                <w:kern w:val="16"/>
                <w14:ligatures w14:val="standardContextual"/>
              </w:rPr>
              <w:t>: A perda do direito à pensão por condenação criminal por homicídio doloso contra o segurado aplica-se apenas após o trânsito em julgado da sentença penal condenatória. Enquanto pendente a ação penal, o dependente mantém o direito ao benefício. O INSS não pode suspender ou cessar a pensão com base em mera acusação, indiciamento ou até mesmo condenação em primeira instância. A exceção para absolutamente incapazes e inimputáveis preserva o direito à pensão mesmo em caso de condenação, quando o dependente não possui discernimento para responder penalmente.</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simulação ou fraude na obtenção da pensão por morte (casamento ou união estável de conveniência, falsificação de documentos, ocultação de óbito) constitui crime (art. 171, § 3º, CP, ou art. 299, CP) e acarreta o cancelamento do benefício com devolução dos valores recebidos, além de responsabilização criminal.</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19.26 Pensão por morte e filho inválido ou com deficiência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situação do filho inválido ou com deficiência como dependente da pensão por morte merece tratamento específico pela frequência com que surge nos JEFs e pelas particularidades probatórias envolvidas.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filho inválido ou com deficiência intelectual, mental ou grave mantém a condição de dependente sem limite de idade, desde que a invalidez ou deficiência seja anterior ao óbito do segurado. A condição deve existir na data do falecimento, embora possa ter surgido em qualquer momento da vida do dependente (na infância, na adolescência ou na vida adulta), desde que antes do óbito.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invalidez, para fins de pensão por morte, é a incapacidade total e permanente para o exercício de atividade remunerada. Diferencia-se da incapacidade parcial (que pode dar ensejo a auxílio-acidente, mas não à manutenção da pensão por morte além dos 21 anos) e da incapacidade temporária (que, por definição, não é permanente). A avaliação da invalidez deve considerar as condições pessoais do dependente (idade, escolaridade, qualificação profissional, condições sociais), aplicando-se por analogia os critérios da Súmula 47 da TNU sobre a análise das condições pessoais na aferição da incapacidade.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deficiência intelectual, mental ou grave segue os critérios da Lei n. 13.146/2015 (Estatuto da Pessoa com Deficiência) e deve ser avaliada pelo modelo biopsicossocial. A deficiência grave é aquela que impede ou restringe significativamente a participação social e laborativa do dependente, em interação com as barreiras ambientais e sociais.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prova pericial é indispensável para a comprovação da invalidez ou deficiência do filho dependente. A perícia deve atestar: (a) a existência da condição; (b) a data de início (se anterior ao óbito); (c) o caráter permanente da limitação; e (d) o impacto na capacidade laborativa e na participação social. A retroação da data de início à época anterior ao óbito é elemento central, e o perito deve ser expressamente instado a pronunciar-se sobre esse ponto.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Na defesa judicial do direito à pensão por morte do filho inválido, o advogado deve reunir: (a) laudos médicos que demonstrem a existência da condição invalidante antes do óbito do segurado (relatórios de internação, atestados médicos, receitas de medicação de uso contínuo); (b) documentos que comprovem a dependência econômica em relação ao segurado (especialmente relevante quando o INSS alegar renda própria do filho); (c) quesitos periciais que indaguem expressamente sobre a data de início da invalidez e sua relação temporal com o óbito do segurado. A comprovação retrospectiva da invalidez é o ponto crítico da instrução: o perito examina o dependente anos após o óbito e deve pronunciar-se sobre condição que existia (ou não) naquela época.</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19.27 Data de início do benefício (DIB) e efeitos financeiros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fixação da data de início do benefício (DIB) na pensão por morte segue regras específicas previstas no art. 74 da Lei n. 8.213/91, que variam conforme o momento do requerimento e a condição do dependente.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regra geral é a seguinte: a pensão por morte é devida a contar da data do óbito, quando requerida em até 90 dias após o falecimento (prazo fixado pela Lei n. 13.183/2015, que ampliou o prazo original de 30 dias). Se o requerimento for apresentado após 90 dias, a pensão é devida a partir da data do requerimento, perdendo-se as parcelas entre o óbito e o requerimento.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dependentes menores de 16 anos, absolutamente incapazes ou ausentes (art. 74, I e II), a pensão é devida desde o óbito independentemente da data do requerimento, pois a incapacidade ou impossibilidade de agir do dependente justifica a retroação. O STJ consolidou o entendimento de que o prazo de 90 dias não se aplica a absolutamente incapazes, pois estes não podem ser prejudicados pela inércia de seus representantes legais.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prazo de 90 dias para requerimento da pensão por morte com retroação à data do óbito (art. 74, I, Lei 8.213/91, com redação da Lei 13.183/2015) aplica-se a óbitos ocorridos a partir de 04/11/2015. Para óbitos anteriores, o prazo era de 30 dias (redação original). Para óbitos anteriores a 11/11/1997 (data da Lei 9.528/97, que introduziu o prazo de 30 dias), não havia prazo — a pensão era devida desde o óbito independentemente do momento do requerimento. O advogado deve atentar para a legislação vigente na data do óbito ao analisar a DIB aplicável.</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N</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 esfera judicial, a DIB é fixada na data do requerimento administrativo, quando os requisitos já estavam preenchidos naquela data. Se o requerimento administrativo não foi formulado (hipótese excepcional de dispensa), a DIB é fixada na data da citação do INSS. A fixação da DIB na data da sentença é reservada para hipóteses em que os requisitos somente foram comprovados no curso do processo.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As parcelas atrasadas (diferenças entre a DIB e a implantação efetiva) são pagas mediante RPV ou precatório, nos termos da legislação aplicável aos JEFs. A correção monetária segue o INPC até a vigência da EC n. 113/2021, e a taxa SELIC a partir de então.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19.28 Habilitação tardia de dependentes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habilitação tardia ocorre quando um dependente requer a inclusão na pensão por morte após o benefício já estar sendo pago a outros dependentes. A hipótese é frequente em situações de concorrência entre cônjuge e companheiro(a), ou quando um dependente desconhecido (filho não registrado, por exemplo) se apresenta após a concessão.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art. 76, caput, da Lei n. 8.213/91 assegura que a concessão da pensão por morte não será protelada pela falta de habilitação de outro possível dependente. Se um dependente se habilita enquanto outros já recebem a pensão, a inclusão opera com rateio a partir da data do requerimento do novo dependente, sem retroação. As parcelas já pagas aos dependentes anteriores não são afetadas.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dependente habilitado tardiamente não perde o direito às parcelas entre o óbito e seu requerimento se a demora decorreu de impossibilidade comprovada (menoridade, incapacidade, desconhecimento do óbito). Para dependentes absolutamente incapazes, a retroação à data do óbito é assegurada independentemente do momento da habilitação.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habilitação tardia exige que o novo dependente comprove sua condição perante o INSS ou judicialmente. Se a habilitação gerar litisconsórcio necessário (por concorrência com dependentes já habilitados), o juiz do JEF deve determinar a citação dos demais beneficiários, assegurando o contraditório sobre o rateio.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19.29 Acumulação de pensões por morte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EC n. 103/2019, em seu art. 24, estabeleceu novas regras sobre acumulação de pensões por morte. A regra geral é a vedação: é vedada a acumulação de mais de uma pensão por morte deixada por cônjuge ou companheiro, no âmbito do mesmo regime de previdência social, ressalvadas as pensões do mesmo instituidor decorrentes do exercício de cargos acumuláveis na forma do art. 37, XVI e XVII, da Constituição.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vedação aplica-se especificamente à acumulação de duas pensões por morte no mesmo regime (RGPS). A pessoa que recebe pensão por morte de cônjuge falecido no RGPS não pode acumular com pensão por morte de segundo cônjuge também no RGPS. Deve optar pelo benefício mais vantajoso.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acumulação entre regimes diferentes é permitida, com restrições. O art. 24, § 1º, da EC n. 103/2019 admite a acumulação de: (I) pensão por morte deixada por cônjuge ou companheiro de um regime com pensão por morte concedida por outro regime ou com pensões decorrentes de atividades militares; (II) pensão por morte com aposentadoria concedida no âmbito do RGPS ou de regime próprio ou com proventos de inatividade das atividades militares. Em todos os casos, a acumulação é permitida, mas sujeita ao escalonamento previsto no § 2º do mesmo artigo.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distinção entre a vedação de acumulação no mesmo regime e a permissão (com escalonamento) entre regimes diferentes possui fundamento na estrutura federativa da previdência social. Cada regime, RGPS (trabalhadores da iniciativa privada), RPPS (servidores públicos) e regime militar, constitui sistema autônomo, com fontes de custeio e bases de cálculo próprias. A vedação de acumulação no mesmo regime evita a sobreposição de prestações financiadas pela mesma fonte; a permissão entre regimes reconhece que as contribuições vertidas a sistemas distintos geraram direitos independentes.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hipótese de acumulação de duas pensões por morte de regimes diferentes é frequente quando a beneficiária é viúva de servidor público estadual (RPPS) e simultaneamente viúva de trabalhador da iniciativa privada (RGPS). Nesse caso, recebe integralmente a pensão mais vantajosa e a parcela escalonada da menos vantajosa. A mesma regra aplica-se quando a beneficiária é pensionista de militar falecido e de segurado do RGPS.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direito de opção pelo benefício mais vantajoso, assegurado pelo art. 24, § 3º, da EC n. 103/2019, impõe ao advogado o dever de calcular qual dos dois benefícios é mais favorável antes de requerer a acumulação. Em alguns casos, o benefício aparentemente menor pode se tornar mais vantajoso quando considerado o efeito do escalonamento sobre o outro. A análise deve ser feita considerando o valor líquido (após desconto de imposto de renda e contribuição previdenciária, quando aplicável) e a projeção futura (reajustes diferenciados entre os regimes). A orientação preventiva ao beneficiário evita a necessidade de revisão administrativa posterior.</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19.30 Acumulação de pensão por morte com aposentadoria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acumulação de pensão por morte com aposentadoria própria é a hipótese prática mais frequente e relevante. A pessoa que é aposentada pelo RGPS e também dependente de segurado falecido pode acumular os dois benefícios, mas com aplicação das regras de escalonamento introduzidas pela EC n. 103/2019.</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art. 24, § 2º, da EC n. 103/2019 estabelece que, nas hipóteses de acumulação permitida, o beneficiário receberá integralmente o benefício mais vantajoso e, do outro benefício, apenas uma parcela escalonada conforme faixas de valor. O escalonamento opera sobre o benefício de menor valor, aplicando percentuais decrescentes a cada faixa salarial. Para o regime completo de escalonamento, com faixas atualizadas, cálculos detalhados, exceções e direito adquirido, ver Cap. 20, §§ 20.3-20.7.</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escalonamento aplica-se apenas à acumulação de benefícios cujos fatos geradores ocorreram a partir da vigência da EC n. 103/2019. Se ambos os benefícios (aposentadoria e pensão por morte) tiveram fatos geradores anteriores à emenda, o beneficiário mantém o direito adquirido à acumulação integral, nos termos da legislação anterior.</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19.31 Regras de escalonamento na acumulação (art. 24, § 2º, EC 103)</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escalonamento previsto no art. 24, § 2º, da EC n. 103/2019 tem impacto financeiro significativo para os beneficiários que acumulam pensão com aposentadoria. A lógica é progressiva: quanto maior o valor do segundo benefício, menor o percentual mantido em cada faixa. O resultado prático é que a parcela do segundo benefício que excede quatro salários-mínimos sofre redução substancial. O detalhamento das faixas, percentuais e cálculos faixa por faixa está no Cap. 20, §§ 20.3-20.6, capítulo-sede do regime de acumulação.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constitucionalidade do escalonamento está vinculada à ADI 7.051, na qual o STF declarou constitucional o regime de cotas e, implicitamente, as regras de acumulação da EC n. 103/2019. O fundamento é que a reforma buscou reduzir distorções no sistema previdenciário, evitando que a acumulação de benefícios gerasse renda previdenciária superior à renda do trabalho do segurado em vida.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intertemporalidade do escalonamento é ponto sensível. O direito adquirido do beneficiário que já acumulava pensão e aposentadoria antes da EC n. 103/2019 é preservado: a orientação predominante é de que o beneficiário que já recebia dois benefícios antes da emenda mantém o direito à acumulação integral, sem aplicação do escalonamento (v. Cap. 20, § 20.7).</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19.32 Pensão por morte acidentária (B93)</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pensão por morte pode ter natureza previdenciária comum (espécie B21) ou acidentária (espécie B93), conforme a causa do óbito do segurado. A distinção tem consequências relevantes para a competência jurisdicional e para os efeitos do benefício.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pensão por morte acidentária (B93) é devida quando o óbito decorre de acidente do trabalho, doença ocupacional ou acidente de qualquer natureza equiparado ao acidente do trabalho nos termos do art. 21 da Lei n. 8.213/91. A caracterização do nexo causal entre o óbito e o trabalho ou entre o óbito e o acidente é feita pelo INSS na esfera administrativa e pode ser questionada judicialmente.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competência para a pensão por morte acidentária (B93) é da Justiça Estadual, por força da ressalva do art. 109, I, da Constituição Federal, que exclui as causas de acidente do trabalho da competência da Justiça Federal, no que é reforçada pela Súmula 15 do STJ (v. Cap. 23, § 23.2). A pensão por morte previdenciária (B21) é de competência da Justiça Federal (ou dos JEFs).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valor e a duração da pensão por morte acidentária são os mesmos da pensão previdenciária comum. A diferença reside na inexigibilidade de carência (que, de todo modo, já é dispensada para a pensão por morte em geral) e na possibilidade de cumulação com indenização civil do empregador, quando comprovada culpa ou dolo patronal.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cumulação entre pensão por morte acidentária e indenização civil é expressamente admitida pelo art. 121 da Lei n. 8.213/91, que dispõe que o pagamento pela Previdência Social das prestações por acidente do trabalho não exclui a responsabilidade civil da empresa ou de outrem. A pensão previdenciária é devida independentemente de culpa (responsabilidade objetiva do seguro social), enquanto a indenização civil exige a demonstração de culpa ou dolo do empregador (ou responsabilidade objetiva nos casos previstos no Código Civil). As duas prestações possuem naturezas jurídicas distintas e fontes de custeio diferentes, justificando a cumulação.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caracterização do nexo causal entre o óbito e o trabalho pode ser controvertida, especialmente em casos de doença ocupacional ou acidente de trajeto. A concausa, situação em que a atividade laboral não é a causa exclusiva do óbito, mas contribuiu para o evento, é reconhecida pela legislação previdenciária (art. 21, I, Lei n. 8.213/91) e gera direito à pensão acidentária. O INSS frequentemente nega o nexo causal em casos de concausa, obrigando o dependente a buscar a caracterização acidentária judicialmente.</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distinção entre pensão por morte previdenciária (B21) e acidentária (B93) repercute diretamente na competência jurisdicional: a primeira é processada nos JEFs (Justiça Federal); a segunda, na Justiça Estadual. O advogado deve atentar para essa distinção na distribuição da ação. Se há dúvida sobre o nexo causal com o trabalho, a estratégia processual pode envolver: (a) ação de pensão por morte previdenciária no JEF, que será concedida independentemente do nexo com o trabalho; e (b) ação acidentária na Justiça Estadual, buscando a conversão em pensão acidentária para fins de eventual indenização civil. As duas ações não se excluem, pois os pedidos são compatíveis e as competências são distintas.</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19.33 Aspectos procedimentais nos JEFs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processamento das ações de pensão por morte nos JEFs segue o rito sumaríssimo da Lei n. 10.259/2001, com adaptações específicas ao tipo de benefício. A competência é do JEF da subseção judiciária em que reside o dependente (e não o segurado falecido), desde que o valor da causa não exceda 60 salários-mínimos.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prévio requerimento administrativo é requisito de interesse de agir (STF, Tema 350, RE 631.240), como destaca Savaris (2023). O dependente deve comprovar o indeferimento do requerimento pelo INSS ou o transcurso de prazo razoável sem decisão. A dispensa do requerimento administrativo é admitida em situações excepcionais, como notório entendimento contrário do INSS sobre a matéria discutida.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instrução processual nas ações de pensão por morte varia conforme a controvérsia. Se o debate é sobre a condição de dependente (comprovação de união estável, dependência econômica de pais), a prova documental e testemunhal é central. Se o debate é sobre a qualidade de segurado do falecido, a prova pode envolver análise de CNIS, CTPS e períodos contributivos. Se a controvérsia envolve filho inválido, a perícia médica é indispensável.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tutela de urgência nas ações de pensão por morte é frequente e encontra fundamento na natureza alimentar do benefício e na vulnerabilidade dos dependentes. O cônjuge ou companheiro(a) que dependia integralmente da renda do segurado e se vê sem renda com o falecimento enfrenta situação de urgência que justifica a implantação provisória do benefício. Os JEFs têm adotado posição favorável à concessão de tutela antecipada, especialmente quando a controvérsia é exclusivamente sobre o valor do benefício (e não sobre o direito à pensão em si).</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Para a estrutura da petição inicial nos JEFs, ver Cap. 23, § 23.11. Além dos documentos ali elencados, as ações de pensão por morte devem instruir a inicial com: (a) certidão de óbito; (b) documentos da relação de dependência (certidão de casamento, documentos de união estável, certidão de nascimento de filhos); (c) prova de dependência econômica, se Classe II ou III; (d) laudos médicos, se dependente inválido. A antecipação de tutela deve ser requerida desde a inicial, com demonstração da probabilidade do direito e do perigo de dano (privação de renda alimentar).</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legitimidade passiva nas ações de pensão por morte é exclusivamente do INSS. Os demais dependentes habilitados devem ser citados como litisconsortes necessários quando a inclusão de novo dependente afetar o rateio da pensão. A ausência de citação de litisconsorte necessário gera nulidade processual.</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19.34 Intertemporalidade: tempus regit actum</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pensão por morte é regida pela lei vigente na data do óbito do segurado, aplicando-se integralmente o princípio tempus regit actum. Essa regra é pacífica na jurisprudência do STJ e da TNU e produz consequências práticas relevantes para cada elemento do benefício.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valor da pensão é calculado segundo a legislação vigente no momento do óbito. Óbitos anteriores a 13/11/2019 seguem o critério de 100% da aposentadoria (art. 75, Lei 8.213/91, redação anterior). Óbitos a partir dessa data seguem o sistema de cotas do art. 23 da EC n. 103/2019.</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duração da pensão para o cônjuge ou companheiro segue a tabela vigente na data do óbito. A Lei n. 13.135/2015 introduziu a temporariedade; antes dela, a pensão era vitalícia para todos os cônjuges. Os requisitos de 18 contribuições e dois anos de casamento/união também se aplicam conforme a legislação vigente na data do óbito.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rol de dependentes é o previsto na legislação vigente na data do óbito. A exclusão do menor sob guarda (Lei n. 9.528/1997) não se aplica a óbitos anteriores a essa lei. A exigência de início de prova material para a união estável (Lei n. 13.846/2019) não se aplica a óbitos anteriores à sua vigência.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STJ, jurisprudência consolidada</w:t>
            </w:r>
            <w:r>
              <w:rPr>
                <w:rFonts w:ascii="EB Garamond" w:hAnsi="EB Garamond" w:cs="EB Garamond"/>
                <w:b w:val="0"/>
                <w:i w:val="0"/>
                <w:color w:val="201B16"/>
                <w:sz w:val="19"/>
                <w:lang w:val="pt-BR" w:bidi="ar-SA"/>
                <w:kern w:val="16"/>
                <w14:ligatures w14:val="standardContextual"/>
              </w:rPr>
              <w:t>: "A concessão de pensão por morte deve observar a lei vigente à época do óbito do segurado, pois é o fato gerador que define o regime jurídico aplicável." O entendimento é pacífico e reiterado em inúmeros julgados. Na prática, o advogado deve identificar com precisão a data do óbito e aplicar a legislação correspondente, resistindo a eventuais tentativas do INSS de aplicar retroativamente normas mais restritivas.</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aplicação do tempus regit actum gera complexidade nos casos em que o segurado faleceu antes de 13/11/2019, mas o requerimento administrativo ou a ação judicial foram apresentados após essa data. A regra é clara: o regime aplicável é o da data do óbito, não o da data do requerimento. A EC n. 103/2019 não alcança fatos geradores anteriores à sua vigência.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atuação forense dos JEFs, a identificação precisa da data do óbito é o primeiro passo de qualquer análise de pensão por morte, pois ela determina integralmente o regime jurídico aplicável. O quadro normativo pode ser assim sintetizado: para óbitos anteriores a 29/04/1995 (Lei n. 9.032/95), aplica-se a legislação vigente à época, com cálculo próprio; para óbitos entre 29/04/1995 e 17/06/2015 (Lei n. 13.135/2015), a pensão é vitalícia para o cônjuge e o valor é de 100% da aposentadoria; para óbitos entre 18/06/2015 e 17/01/2019 (véspera da MP n. 871/2019), a pensão segue a tabela de duração, o valor é de 100%, e a prova da união estável pode ser exclusivamente testemunhal; para óbitos entre 18/01/2019 e 12/11/2019, aplica-se a exigência de início de prova material para união estável (MP n. 871/2019, convertida na Lei n. 13.846/2019), com valor de 100%; e para óbitos a partir de 13/11/2019, aplica-se integralmente o regime da EC n. 103/2019 (cotas, não reversibilidade, escalonamento na acumulação). O advogado deve identificar com precisão em qual marco normativo se insere o óbito do segurado para aplicar o regime correto.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questão da ultratividade das normas revogadas é igualmente relevante. Uma norma revogada pela EC n. 103/2019 continua produzindo efeitos para os fatos geradores ocorridos durante sua vigência. O princípio do tempus regit actum opera, assim, como garantia de ultratividade: a lei revogada rege os fatos gerados sob seu império, e a lei nova rege apenas os fatos futuros. Esse mecanismo impede que reformas legislativas retroajam para prejudicar dependentes cujos direitos já nasceram sob o regime anterior.</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19.35 Situações especiais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aplicação da pensão por morte em situações especiais suscita questões de elevada complexidade, pela singularidade das circunstâncias fáticas e pelas lacunas normativas que frequentemente envolvem.</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primeira situação especial é a do segurado que falece no exterior. Se o segurado mantinha qualidade de segurado do RGPS na data do óbito, a pensão é devida aos dependentes, independentemente do local do falecimento. A certidão de óbito emitida por autoridade estrangeira deve ser transcrita no registro civil brasileiro (art. 32 da Lei n. 6.015/73) para produzir efeitos no País. O dependente residente no Brasil pode requerer a pensão diretamente ao INSS, apresentando a certidão de óbito transcrita.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segunda situação é a do cônjuge ou companheiro(a) de segurado que era simultaneamente empregador doméstico do dependente. A condição de empregado doméstico não afasta a condição de cônjuge ou companheiro para fins previdenciários: a mesma pessoa pode ser dependente previdenciária do segurado (na qualidade de cônjuge) e, simultaneamente, empregada doméstica (na qualidade de trabalhadora). A pensão por morte é devida pela condição de cônjuge, e o vínculo empregatício pode gerar direitos trabalhistas autônomos (FGTS, verbas rescisórias).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terceira situação envolve o dependente que praticou violência doméstica contra o segurado sem que o óbito tenha sido doloso. O art. 74, § 1º, exclui apenas o condenado por homicídio doloso. A violência doméstica sem resultado morte, ou que resultou em morte culposa, não acarreta perda do direito à pensão. A questão é eticamente sensível, mas juridicamente clara: a exclusão é taxativa e restrita ao homicídio doloso.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quarta situação é a da pensão por morte do segurado desaparecido em catástrofe natural. Enchentes, deslizamentos, terremotos e outros desastres naturais podem impossibilitar a localização do corpo e a emissão de certidão de óbito convencional. Nesses casos, a certidão de óbito pode ser emitida por ordem judicial, com base em prova de que o segurado se encontrava na área atingida e não foi localizado após as buscas. A pensão é concedida provisoriamente, nos termos do art. 78 da Lei n. 8.213/91.</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quinta situação diz respeito ao nascituro. O filho concebido antes do óbito do segurado, mas nascido após o falecimento, tem direito à pensão por morte desde o nascimento com vida. A condição de nascituro assegura a expectativa de direito (art. 2º do Código Civil), que se concretiza com o nascimento. A pensão retroage à data do óbito quando requerida dentro do prazo legal.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sexta situação refere-se à pensão por morte quando o segurado falecido era preso. O segurado recolhido à prisão mantém a qualidade de segurado durante todo o período de recolhimento (art. 15, IV, Lei n. 8.213/91), acrescido do período de graça de 12 meses após o livramento. Se o segurado falece enquanto preso, seus dependentes, cônjuge, companheiros(as) e filhos, fazem jus à pensão por morte. A condição de dependente é verificada independentemente da situação carcerária do segurado: a esposa ou companheira do preso mantém vínculo de dependência econômica presumida, mesmo que o preso não estivesse contribuindo financeiramente para o sustento da família durante o recolhimento. Essa compreensão decorre da solidariedade previdenciária: a proteção não pode ser recusada à família que já enfrenta as consequências sociais e econômicas do encarceramento. A questão prática relevante é a comprovação da qualidade de segurado do preso que ingressou no sistema prisional sem vínculo empregatício ativo — nesse caso, o advogado deve reconstituir o histórico contributivo do falecido e verificar se as contribuições foram realizadas antes do recolhimento, dentro do período de graça.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sétima situação envolve o suicídio do segurado. A morte por suicídio gera direito à pensão por morte sem qualquer restrição. A legislação previdenciária abandonou a carência qualificada que vigorou brevemente para casos de suicídio (a MP n. 664/2014 havia introduzido período de carência de 24 contribuições para a pensão decorrente de suicídio, mas a Lei n. 13.135/2015, ao converter a MP, suprimiu essa exigência). O suicídio é tratado, para fins previdenciários, como morte por causa natural — o benefício é concedido aos dependentes sem investigação sobre a intencionalidade do ato. O fundamento é que a previdência social não opera como seguro privado, onde cláusulas de exclusão por suicídio são admitidas; o sistema público de proteção social não distingue as circunstâncias da morte para fins de proteção dos dependentes sobreviventes.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oitava situação diz respeito à morte do segurado que exercia atividade concomitante. O segurado que contribuía simultaneamente em duas ou mais atividades vinculadas ao RGPS (por exemplo, empregado e contribuinte individual) gera uma única pensão por morte, calculada sobre a totalidade de seus salários de contribuição. As contribuições vertidas em todas as atividades são somadas para a apuração do salário de benefício, nos termos do art. 32 da Lei n. 8.213/91 (com as alterações promovidas pela Lei n. 13.846/2019, que eliminou a antiga regra de cálculo proporcional para atividades concomitantes). A pensão é única, mas seu valor reflete a integralidade da base contributiva do segurado.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nona situação envolve o segurado que recebia auxílio por incapacidade temporária (antigo auxílio-doença) na data do óbito. Se o segurado faleceu durante o gozo de benefício por incapacidade temporária, a pensão por morte é devida a seus dependentes, pois o segurado em gozo de benefício por incapacidade mantém a qualidade de segurado (art. 15, I, Lei n. 8.213/91). A base de cálculo da pensão será o valor da aposentadoria por incapacidade permanente a que o segurado teria direito (e não o valor do auxílio por incapacidade temporária, que tem base de cálculo distinta). O advogado deve atentar para essa distinção, pois o valor da aposentadoria por incapacidade permanente pode ser diferente do auxílio por incapacidade temporária que o segurado recebia.</w:t>
            </w: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situação do nascituro como dependente da pensão por morte exige providência imediata após o nascimento. A mãe (ou representante legal) deve apresentar ao INSS: (a) certidão de óbito do segurado; (b) certidão de nascimento da criança (que comprova a filiação); (c) prova de que o segurado mantinha qualidade de segurado na data do óbito. Se o nascimento ocorrer dentro de 90 dias após o óbito, a pensão retroage à data do óbito. Se após 90 dias, retroage à data do nascimento (aplicando-se a isenção de prazo para absolutamente incapazes). O advogado deve orientar a família a providenciar o registro de nascimento com indicação do pai falecido, garantindo o reconhecimento da filiação.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19.36 Questões processuais específicas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 ações de pensão por morte nos JEFs apresentam particularidades processuais que as distinguem das demais ações previdenciárias.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primeira particularidade é a prova de negativa. Muitas ações de pensão por morte exigem a demonstração de fatos negativos (ausência de outra relação conjugal, inexistência de renda própria, não emancipação do filho), que são de difícil comprovação direta. A jurisprudência tem flexibilizado o ônus probatório nesses casos, atribuindo ao INSS o encargo de provar fatos impeditivos, modificativos ou extintivos do direito (art. 373, II, CPC/2015).</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segunda particularidade envolve a inversão da presunção de dependência. Quando o INSS alega que o cônjuge ou companheiro não dependia economicamente do segurado (por possuir renda própria elevada, por exemplo), o ônus de ilidir a presunção legal recai sobre a autarquia. O juiz deve analisar com cautela as alegações de independência econômica, pois a mera existência de renda própria não afasta a presunção: a contribuição do segurado para o sustento da família pode ser relevante mesmo quando o dependente possui renda própria.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terceira particularidade é a legitimidade de pensionistas para propor ação revisional da aposentadoria do instituidor (STJ, Tema 1057 — v. Seção 19.5, supra).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quarta particularidade diz respeito à desaposentação e seus reflexos na pensão. Embora a desaposentação tenha sido vedada pelo STF (Tema 503), as ações pendentes sobre o tema podem impactar o cálculo da pensão por morte quando o segurado faleceu durante a tramitação de ação revisional ou de desaposentação.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quinta particularidade envolve a prescrição quinquenal das parcelas. A pensão por morte, como benefício previdenciário, submete-se à prescrição quinquenal das parcelas (art. 103, parágrafo único, Lei n. 8.213/91), mas não à decadência do direito ao benefício em si. O dependente pode requerer a pensão a qualquer tempo após o óbito — não há decadência do direito fundamental à pensão por morte. As parcelas anteriores ao quinquênio que antecede o requerimento ou a citação do INSS, contudo, estão prescritas. A distinção entre decadência (do direito ao benefício, que não existe para pensão por morte) e prescrição (das parcelas vencidas há mais de cinco anos), frequentemente confundida na prática forense, tem consequências processuais determinantes.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sexta particularidade é a questão do valor da causa nos JEFs. Para a fixação do valor da causa e a renúncia ao excedente nos JEFs, ver Cap. 23, §§ 23.3 e 23.5. Na pensão por morte, os atrasados acumulados de óbitos antigos podem exigir a opção pela renúncia para manutenção da competência do JEF.</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sétima particularidade diz respeito ao ônus probatório em ações de pensão por morte. A distribuição do ônus segue a regra geral do art. 373 do CPC/2015: ao autor incumbe provar os fatos constitutivos de seu direito (óbito, relação de dependência, qualidade de segurado); ao réu (INSS) incumbe provar os fatos impeditivos, modificativos ou extintivos. Contudo, o juiz do JEF pode aplicar a distribuição dinâmica do ônus probatório (art. 373, § 1º, CPC/2015) quando a produção da prova for excessivamente difícil para o dependente e mais fácil para o INSS — situação que ocorre, por exemplo, quando o INSS alega a existência de renda própria do dependente (informação que a autarquia pode acessar por cruzamento de dados no CNIS e na Receita Federal).</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19.37 Pensão por morte do segurado especial e do trabalhador rural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pensão por morte do segurado especial (trabalhador rural em regime de economia familiar, pescador artesanal, seringueiro, extrativista vegetal) apresenta particularidades que a distinguem das demais modalidades e merece exame detido, dada a frequência dessas ações nos JEFs das regiões Norte, Nordeste e Centro-Oeste.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segurado especial é definido no art. 11, VII, da Lei n. 8.213/91 (para definição detalhada e atividades que não descaracterizam a condição, ver Cap. 9, §§ 9.3-9.5).</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comprovação da qualidade de segurado especial do falecido é o ponto central das ações de pensão por morte rural nos JEFs. O art. 106 da Lei n. 8.213/91 elenca os documentos aptos a comprovar o exercício de atividade rural, entre os quais: contrato de arrendamento, parceria ou comodato rural; declaração fundamentada de sindicato de trabalhadores rurais; comprovante de cadastro no INCRA; bloco de notas do produtor rural; declaração de aptidão ao PRONAF (DAP); e documentos fiscais relativos à entrega de produção rural à cooperativa agrícola ou a entidades oficiais de comercialização.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Súmula 149 do STJ dispõe que "a prova exclusivamente testemunhal não basta à comprovação da atividade rurícola, para efeito da obtenção de benefício previdenciário." A exigência de início de prova material aplica-se tanto ao segurado especial quanto aos dependentes que buscam a pensão por morte. A jurisprudência, contudo, flexibilizou o rigor da exigência: aceita-se início de prova material em nome de qualquer membro do grupo familiar, documentos emitidos em período razoavelmente próximo ao fato a provar e até mesmo prova material com imperfeições formais, desde que corroborada por prova testemunhal convincente.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prova material em nome do cônjuge falecido, quando insuficiente, pode ser complementada por documentos em nome do dependente sobrevivente (ou vice-versa), pois o regime de economia familiar pressupõe o trabalho conjunto. A TNU assentou que "documentos emitidos em nome de um dos membros da família podem servir como início de prova material para os demais, desde que corroborados por prova testemunhal idônea." Fotografias do cultivo, notas de compra de insumos agrícolas, certidões do registro de imóveis rurais e histórico escolar de filhos em escolas rurais são elementos complementares frequentemente utilizados nos JEFs.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Nas ações de pensão por morte de segurado especial nos JEFs, a instrução probatória deve contemplar: (a) documentos do falecido que demonstrem atividade rural (DAP, notas de produtor, cadastro no INCRA, ficha de sindicato rural); (b) se insuficientes, documentos do cônjuge sobrevivente ou de filhos que integrem o grupo familiar; (c) prova testemunhal de vizinhos, compradores de produção, proprietários de terras arrendadas e membros do sindicato rural; (d) inspeção judicial, quando o juiz considerar necessária a verificação in loco das condições de trabalho e moradia. A audiência de instrução é praticamente obrigatória nessas ações, dada a centralidade da prova testemunhal para complementar o início de prova material. O advogado deve arrolar testemunhas que conheçam a atividade do falecido por períodos longos e que possam descrever com detalhes o tipo de cultivo, a extensão da propriedade, as condições de trabalho e a participação do grupo familiar.</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valor da pensão por morte do segurado especial é fixado em um salário-mínimo quando o segurado não verteu contribuições facultativas complementares (art. 39, I, Lei n. 8.213/91). Se o segurado especial contribuía facultativamente sobre valor superior ao salário-mínimo (art. 39, II), a pensão por morte terá por base o salário de benefício calculado sobre essas contribuições. Na prática dos JEFs, a grande maioria das pensões por morte rurais é fixada no piso de um salário-mínimo, pois o segurado especial típico não realiza contribuições facultativas.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aplicação do sistema de cotas da EC n. 103/2019 à pensão por morte do segurado especial é matéria relevante. O art. 23, § 2º, garante que a pensão por morte não será inferior ao salário-mínimo quando constituir a única fonte de renda formal do dependente. Em termos operacionais, como a base de cálculo da pensão do segurado especial já é o salário-mínimo, a aplicação do sistema de cotas resultaria em valor inferior ao piso — situação em que a garantia do § 2º é acionada para elevar o benefício ao salário-mínimo. O efeito prático é que a pensão por morte do segurado especial, na maioria dos casos, permanece no valor de um salário-mínimo independentemente do número de dependentes, por força da garantia constitucional do piso.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descaracterização da atividade rural do falecido é a principal tese defensiva do INSS nas ações de pensão por morte rural. Vínculos urbanos curtos no CNIS não descaracterizam, por si sós, a condição de segurado especial (Cap. 9, § 9.5). O advogado deve demonstrar que a atividade rural era predominante e que eventuais intervalos urbanos não romperam o regime de economia familiar.</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19.38 Pensão por morte e o microempreendedor individual (MEI)</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microempreendedor individual (MEI) que contribui para o RGPS na alíquota reduzida de 5% sobre o salário-mínimo (art. 18-A, § 3º, II, LC n. 123/2006) gera direito à pensão por morte para seus dependentes, nas mesmas condições dos demais segurados. A contribuição reduzida assegura cobertura previdenciária integral para os benefícios de risco (aposentadoria por incapacidade permanente, auxílio por incapacidade temporária, salário-maternidade e pensão por morte), embora restrinja o acesso à aposentadoria por tempo de contribuição (art. 21, § 2º, Lei n. 8.212/91).</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questão relevante para a pensão por morte do MEI diz respeito ao cálculo do benefício sob o regime da EC n. 103/2019. Como o MEI contribui sobre o salário-mínimo, a média dos salários de contribuição (base para o cálculo da aposentadoria hipotética por incapacidade permanente) tende a corresponder ao próprio salário-mínimo. A aplicação do coeficiente de 60% + 2% por ano excedente a 20 anos geraria valor inferior ao salário-mínimo, de modo que a garantia do art. 23, § 2º, da EC n. 103/2019 é acionada. Na prática, a pensão por morte do MEI é fixada no salário-mínimo quando o dependente não possui outra fonte de renda formal — resultado idêntico ao do segurado especial.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manutenção da qualidade de segurado do MEI exige o pagamento regular das contribuições mensais por meio do DAS (Documento de Arrecadação do Simples Nacional). O MEI que deixa de recolher as contribuições mantém a qualidade de segurado pelo período de graça (12 meses, prorrogáveis conforme as regras do art. 15 da Lei n. 8.213/91). Na experiência dos juizados, a inadimplência do MEI é frequente, e o advogado deve verificar no CNIS se as contribuições estavam em dia na data do óbito ou se o falecido estava dentro do período de graça.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MEI que complementa sua contribuição para 20% sobre o salário-mínimo (pagando a diferença de 15%) adquire tempo de contribuição para fins de aposentadoria por tempo de contribuição e pode ter base de cálculo superior para a pensão por morte. A complementação é facultativa e retroativa: o MEI pode, a qualquer tempo, complementar contribuições já recolhidas na alíquota de 5%, assegurando aos dependentes base de cálculo mais vantajosa em eventual pensão por morte. A orientação sobre essa possibilidade é relevante no planejamento previdenciário de segurados MEI com dependentes.</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19.39 Tutela de urgência e implantação provisória nos JEFs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concessão de tutela de urgência nas ações de pensão por morte tem especificidades decorrentes da natureza alimentar agravada do benefício. Para os requisitos gerais da tutela de urgência nos JEFs previdenciários (art. 300, CPC/2015), a teoria da dupla irreversibilidade e a irrepetibilidade de valores alimentares, ver Cap. 23, § 23.16.</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particularidade da pensão por morte reside na intensidade da urgência: a dependência integral do cônjuge ou companheiro(a) em relação à renda do segurado falecido configura, na maioria dos casos, perigo de dano grave e imediato. Os JEFs têm adotado postura favorável à concessão de tutela antecipada, especialmente quando a probabilidade do direito é elevada (cônjuge com certidão de casamento e segurado com vínculo ativo na data do óbito). Em casos de maior complexidade probatória (comprovação de união estável, dependência econômica de pais), a tutela costuma ser deferida após a contestação do INSS ou na audiência de instrução.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Na tutela de urgência em ações de pensão por morte, além dos elementos gerais (Cap. 23, § 23.16), o advogado deve demonstrar especificamente: (a) a privação da renda alimentar que o segurado provia à família; (b) que a pensão por morte é a única ou principal fonte de renda esperada pelo dependente; (c) a presença de menores de idade, idosos ou pessoas com deficiência no núcleo familiar. O pedido de implantação provisória do benefício deve ser formulado desde a inicial, com indicação do NB (número de benefício) se existente.</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cessação da tutela de urgência deferida em favor do dependente, em caso de improcedência da ação, gera o problema da devolução dos valores recebidos. A jurisprudência dos Tribunais Regionais Federais e do STJ tem assinalado que os valores recebidos de boa-fé por força de tutela antecipada em matéria previdenciária são irrepetíveis (não devem ser devolvidos), salvo comprovação de dolo ou fraude por parte do beneficiário. O fundamento é a natureza alimentar dos valores e a boa-fé do dependente que recebeu o benefício por determinação judicial. O INSS pode, contudo, requerer a devolução em caso de comprovação de má-fé (falsificação de documentos, simulação de relação conjugal, omissão de informações relevantes).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19.40 Prova da qualidade de segurado: estratégias processuais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comprovação da qualidade de segurado do falecido na data do óbito constitui pressuposto da pensão por morte e frequentemente representa o principal ponto de controvérsia nas ações judiciais. O INSS indefere o pedido quando o CNIS (Cadastro Nacional de Informações Sociais) não registra contribuições recentes ou quando a data do óbito é posterior ao término do período de graça.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estratégia processual para comprovar a qualidade de segurado do falecido deve considerar as diversas possibilidades normativas. A primeira é a demonstração de vínculo empregatício não registrado no CNIS. O CNIS pode conter falhas — vínculos empregatícios que existiram de fato, mas não foram registrados pelo empregador. A CTPS do falecido, com anotações de vínculo, constitui início de prova material do contrato de trabalho e pode ser complementada por prova testemunhal. O juiz do JEF pode determinar a retificação do CNIS com base na prova produzida, reconhecendo o vínculo empregatício e, consequentemente, a qualidade de segurado na data do óbito.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segunda estratégia envolve a comprovação de atividade rural não registrada. O trabalhador rural que exercia atividade em regime de economia familiar (segurado especial) ou como empregado rural frequentemente não possui registros no CNIS. A prova material e testemunhal da atividade rural, nos termos já examinados (seção 19.37), permite o reconhecimento da qualidade de segurado na data do óbito.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terceira estratégia é a comprovação do período de graça estendido (Cap. 3, §§ 3.6.2 e 3.7.1). Na pensão por morte, a prova do desemprego involuntário do falecido pode ser feita por qualquer meio idôneo, inclusive declaração do segurado corroborada por testemunhas (TNU). A jurisprudência flexibilizou a exigência, admitindo registros no SINE, comprovante de seguro-desemprego, declarações de órgãos públicos e outros meios de prova.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quarta estratégia é a aplicação do art. 102, § 2º, da Lei n. 8.213/91: quando o segurado, antes da perda da qualidade, já havia preenchido todos os requisitos para uma aposentadoria (por idade ou por tempo de contribuição), o direito ao benefício está incorporado ao patrimônio jurídico do segurado e gera direito à pensão por morte para os dependentes, independentemente da perda superveniente da qualidade de segurado. O advogado deve analisar todo o histórico contributivo do falecido para verificar se, em algum momento anterior à perda da qualidade, os requisitos de aposentadoria estavam cumpridos. Essa análise é especialmente relevante quando o segurado perdeu a qualidade há muitos anos: se já tinha 65 anos de idade e 180 contribuições (ou outro requisito de aposentadoria por idade), a pensão é devida mesmo que o período de graça tenha se esgotado décadas antes do óbito.</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quinta estratégia é a comprovação de contribuições em atraso. O contribuinte individual e o segurado facultativo podem recolher contribuições em atraso, retroagindo a filiação ao RGPS. Se as contribuições em atraso forem regularizadas após o óbito pelos dependentes, a validade dessas contribuições para fins de qualidade de segurado é controvertida. A orientação majoritária é de que contribuições recolhidas após o óbito não restauram a qualidade de segurado perdida antes do falecimento, salvo para o contribuinte individual que comprovadamente exercia atividade remunerada na época das contribuições em atraso e simplesmente não as havia formalizado.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19.41 Exemplos práticos de cálculo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aplicação prática das regras de cálculo da pensão por morte exige domínio simultâneo do regime aplicável (anterior ou posterior à EC n. 103/2019), da base de cálculo (aposentadoria efetiva ou hipotética), do sistema de cotas e das garantias de piso. Apresentamos exemplos que ilustram as situações mais comuns nos JEFs.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Exemplo 1 — Óbito anterior à EC 103/2019 (segurado aposentado). João, aposentado pelo RGPS com renda mensal de R$ 3.500,00, faleceu em 10/03/2019, deixando cônjuge Maria (55 anos) e filho Pedro (19 anos). Regime aplicável: Lei 8.213/91, redação anterior à EC 103/2019. Valor da pensão: 100% da aposentadoria = R$ 3.500,00. Rateio entre cônjuge e filho: R$ 1.750,00 para cada. Duração: Maria recebe pensão vitalícia (45+ anos na data do óbito); Pedro recebe até completar 21 anos. Quando Pedro completa 21 anos, sua cota é revertida a Maria, que passa a receber R$ 3.500,00 integralmente (sob o regime anterior, havia reversão de cotas).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Exemplo 2 — Óbito posterior à EC 103/2019 (segurado aposentado, dependente único). Ana, aposentada pelo RGPS com renda de R$ 4.000,00, faleceu em 15/01/2024, deixando cônjuge Carlos (50 anos) como único dependente. Regime: EC 103/2019. Base de cálculo: R$ 4.000,00 (aposentadoria efetiva). Cotas: 50% (cota familiar) + 10% (um dependente) = 60%. Valor: R$ 4.000,00 × 60% = R$ 2.400,00. Carlos receberá R$ 2.400,00 mensais. Duração: vitalícia (Carlos tinha 50 anos, acima do limite de 45 anos). Se Carlos não possui outra fonte de renda formal, a garantia do piso não se aplica pois R$ 2.400,00 já é superior ao salário-mínimo.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Exemplo 3 — Óbito posterior à EC 103/2019 (segurado não aposentado). Roberto, contribuinte individual com 15 anos de contribuição e média salarial de R$ 2.500,00, faleceu em 20/05/2024, deixando companheira Lúcia (35 anos) e dois filhos menores (8 e 12 anos). Regime: EC 103/2019. Primeira etapa: cálculo da aposentadoria hipotética por incapacidade permanente. Como Roberto tinha 15 anos de contribuição (inferior a 20 anos exigidos para o segurado homem), o coeficiente é de 60% da média. [^cota-mulher] Aposentadoria hipotética: R$ 2.500,00 × 60% = R$ 1.500,00. Segunda etapa: cotas. 50% (cota familiar) + 10% × 3 (três dependentes) = 80%. Valor da pensão: R$ 1.500,00 × 80% = R$ 1.200,00. Rateio em partes iguais entre os três dependentes: R$ 400,00 para cada cota individual. Aplica-se aqui a garantia do art. 23, § 2º, da EC n. 103/2019 na leitura adotada no § 19.22, supra: a salvaguarda do piso opera por dependente, em função da cláusula "única fonte de renda formal do dependente", aferida individualmente. Se Lúcia não possui outra fonte de renda formal, sua cota de R$ 400,00 é elevada ao salário-mínimo (R$ 1.621,00 em 2026); a verificação repete-se para cada filho, segundo a respectiva situação de renda formal. A elevação de cada cota ao piso pode tornar o valor global do benefício superior ao resultado bruto do sistema de cotas, pois a garantia constitucional prevalece sobre a fórmula de cálculo. Duração para Lúcia: 15 anos (idade entre 31 e 41 anos na data do óbito). Quando cada filho completar 21 anos, sua cota individual de 10% é extinta (não revertida).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[^cota-mulher]: A distinção entre os sexos quanto ao termo inicial do acréscimo de 2% não altera o cálculo de Roberto (homem), mas é relevante para a base de cálculo da pensão de segurada mulher não aposentada: para ela, o acréscimo incide sobre os anos que excederem 15 anos de contribuição (art. 26, §§ 2º e 5º, da EC n. 103/2019), conforme detalhado no § 19.20, supra. Uma instituidora com 18 anos de contribuição teria coeficiente de 66% (60% + 2% × 3 anos excedentes), enquanto um homem com o mesmo tempo permaneceria em 60%.</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Exemplo 4 — Acumulação de pensão com aposentadoria. Helena, aposentada pelo RGPS com renda de R$ 3.000,00, é também beneficiária de pensão por morte de seu falecido marido, no valor de R$ 2.000,00 (fato gerador posterior à EC 103/2019). Benefício mais vantajoso: aposentadoria de R$ 3.000,00 (recebido integralmente). Benefício menos vantajoso: pensão de R$ 2.000,00, sobre a qual incide o escalonamento do art. 24, § 2º, da EC n. 103/2019. O cálculo do escalonamento faixa por faixa é demonstrado no Cap. 20, §§ 20.3-20.6, que apresenta cenários numéricos detalhados com valores atualizados. O resultado do escalonamento implica redução da parcela do benefício menos vantajoso, cuja intensidade varia conforme o valor do benefício e o salário-mínimo vigente. O advogado deve consultar o Cap. 20 para a aplicação prática do cálculo.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19.42 Consolidação das posições adotadas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exame da pensão por morte revela benefício previdenciário em profunda transformação, cujo regime jurídico foi substancialmente alterado pela EC n. 103/2019 e pelas leis que a precederam. Consolidamos as posições adotadas ao longo deste capítulo.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Entendemos que a pensão por morte constitui direito fundamental de natureza previdenciária, vinculado à proteção da família (art. 226, CF/88) e à solidariedade social (art. 3º, I, CF/88). Sua finalidade é assegurar a subsistência dos dependentes que perderam o provedor, substituindo, ao menos parcialmente, a renda cessada pelo falecimento. Interpretações restritivas que esvaziem essa finalidade protetiva devem ser rejeitadas.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sistema de cotas introduzido pelo art. 23 da EC n. 103/2019, declarado constitucional pelo STF na ADI 7.051, representa mudança paradigmática no cálculo da pensão. Embora reduzindo o valor do benefício em relação ao regime anterior, o sistema preserva a garantia do salário-mínimo como piso quando a pensão for a única fonte de renda formal do dependente. A não reversibilidade das cotas (art. 23, § 1º) é consequência expressa do texto constitucional e não comporta interpretação extensiva em favor da reversão.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temporariedade da pensão para o cônjuge ou companheiro, introduzida pela Lei n. 13.135/2015, é regra que se harmoniza com a evolução demográfica e com a autonomia individual, mas deve ser aplicada com sensibilidade às circunstâncias concretas. A fixação de prazo determinado (3 a 20 anos) para cônjuges jovens é mecanismo que incentiva a recolocação no mercado de trabalho, mas pode gerar situações de desamparo quando o cônjuge não consegue reinserir-se profissionalmente no prazo fixado.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exclusão do menor sob guarda do rol de dependentes, reiterada pela EC n. 103/2019 (art. 23, § 6º), é questão pendente de definição pelo STF (Tema 1.271). Entendemos que a proteção integral à criança e ao adolescente (art. 227, CF/88) constitui cláusula pétrea que impede a exclusão de menores vulneráveis da proteção previdenciária, independentemente da natureza formal do vínculo com o guardião (guarda, tutela ou adoção). A distinção entre guarda e tutela é formalismo incompatível com a dignidade da criança em situação de vulnerabilidade.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comprovação da união estável para fins previdenciários, após a MP n. 871/2019 (convertida na Lei n. 13.846/2019), exige início de prova material contemporâneo dos fatos, aplicando-se a Súmula 63 da TNU aos óbitos anteriores a 18/01/2019. Entendemos que a exigência de início de prova material é compatível com a Constituição, desde que interpretada com razoabilidade e flexibilidade para situações de vulnerabilidade social em que a formalização documental da relação é improvável.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Súmula 336 do STJ, que assegura ao ex-cônjuge que renunciou aos alimentos o direito à pensão por morte mediante comprovação de necessidade econômica superveniente, constitui garantia essencial de proteção a pessoas que, após a dissolução do casamento, se encontram em situação de vulnerabilidade. A autonomia entre o direito civil de alimentos e o direito previdenciário à pensão impede que a renúncia privada produza efeitos no campo da proteção social.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As regras de acumulação da EC n. 103/2019 (art. 24), com o sistema de escalonamento, reduzem significativamente a renda previdenciária de beneficiários que acumulam pensão e aposentadoria. Entendemos que o escalonamento, embora constitucional, deve ser aplicado com atenção ao direito adquirido dos beneficiários que já acumulavam benefícios antes da emenda, preservando-se integralmente a renda previdenciária anterior.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princípio tempus regit actum, que vincula o regime jurídico da pensão à legislação vigente na data do óbito, constitui garantia fundamental de segurança jurídica. O regime aplicável é determinado pelo fato gerador (morte), e não pelo momento do requerimento ou da decisão judicial. Essa regra impede a aplicação retroativa de normas restritivas a fatos geradores anteriores, preservando a proteção dos dependentes conforme a legislação que vigorava quando o segurado faleceu.</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pensão por morte, em síntese, é benefício que traduz a dimensão mais humana da previdência social: a proteção da família que perdeu seu provedor. As reformas legislativas das últimas décadas buscaram equilibrar a sustentabilidade fiscal do sistema com a função protetiva do benefício. O magistrado dos JEFs e o advogado previdenciarista devem interpretar as normas vigentes à luz dessa dupla exigência, garantindo proteção efetiva aos dependentes sem comprometer a viabilidade do regime previdenciário.</w:t>
      </w:r>
    </w:p>
    <w:p>
      <w:pPr>
        <w:sectPr>
          <w:headerReference w:type="default" r:id="rId183"/>
          <w:headerReference w:type="even" r:id="rId184"/>
          <w:footerReference w:type="default" r:id="rId185"/>
          <w:footerReference w:type="even" r:id="rId186"/>
          <w:headerReference w:type="first" r:id="rId187"/>
          <w:footerReference w:type="first" r:id="rId188"/>
          <w:pgSz w:w="8391" w:h="11906"/>
          <w:pgMar w:top="935" w:right="879" w:bottom="964" w:left="1162" w:header="454" w:footer="425" w:gutter="0" w:mirrorMargins="1"/>
          <w:cols w:space="720"/>
          <w:titlePg/>
          <w:docGrid w:linePitch="360"/>
        </w:sectPr>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120" w:line="240" w:lineRule="auto"/>
        <w:jc w:val="center"/>
      </w:pPr>
      <w:r>
        <w:rPr>
          <w:rFonts w:ascii="Noto Sans" w:hAnsi="Noto Sans" w:cs="Noto Sans"/>
          <w:b/>
          <w:i w:val="0"/>
          <w:caps/>
          <w:color w:val="8A6A2A"/>
          <w:sz w:val="20"/>
          <w:lang w:val="pt-BR" w:bidi="ar-SA"/>
          <w:kern w:val="16"/>
          <w14:ligatures w14:val="standardContextual"/>
        </w:rPr>
        <w:t>PARTE V</w:t>
      </w:r>
    </w:p>
    <w:p>
      <w:pPr>
        <w:pStyle w:val="Heading1"/>
        <w:spacing w:before="0" w:after="160" w:line="252" w:lineRule="auto"/>
        <w:jc w:val="center"/>
      </w:pPr>
      <w:r>
        <w:rPr>
          <w:rFonts w:ascii="EB Garamond" w:hAnsi="EB Garamond" w:cs="EB Garamond"/>
          <w:b/>
          <w:i w:val="0"/>
          <w:caps/>
          <w:color w:val="2F2923"/>
          <w:sz w:val="36"/>
          <w:lang w:val="pt-BR" w:bidi="ar-SA"/>
          <w:kern w:val="16"/>
          <w14:ligatures w14:val="standardContextual"/>
        </w:rPr>
        <w:t>Temas Transversais</w:t>
      </w:r>
    </w:p>
    <w:p>
      <w:pPr>
        <w:spacing w:before="160" w:after="0" w:line="240" w:lineRule="auto"/>
        <w:jc w:val="center"/>
      </w:pPr>
      <w:r>
        <w:rPr>
          <w:rFonts w:ascii="EB Garamond" w:hAnsi="EB Garamond" w:cs="EB Garamond"/>
          <w:b w:val="0"/>
          <w:i w:val="0"/>
          <w:color w:val="B78B37"/>
          <w:sz w:val="18"/>
          <w:lang w:val="pt-BR" w:bidi="ar-SA"/>
          <w:kern w:val="16"/>
          <w14:ligatures w14:val="standardContextual"/>
        </w:rPr>
        <w:t>━━━━━  ◆  ◆  ◆  ━━━━━</w:t>
      </w:r>
    </w:p>
    <w:p>
      <w:pPr>
        <w:sectPr>
          <w:headerReference w:type="default" r:id="rId189"/>
          <w:headerReference w:type="even" r:id="rId190"/>
          <w:footerReference w:type="default" r:id="rId191"/>
          <w:footerReference w:type="even" r:id="rId192"/>
          <w:headerReference w:type="first" r:id="rId193"/>
          <w:footerReference w:type="first" r:id="rId194"/>
          <w:type w:val="oddPage"/>
          <w:pgSz w:w="8391" w:h="11906"/>
          <w:pgMar w:top="935" w:right="879" w:bottom="964" w:left="1162" w:header="454" w:footer="425" w:gutter="0" w:mirrorMargins="1"/>
          <w:cols w:space="720"/>
          <w:titlePg/>
          <w:docGrid w:linePitch="360"/>
        </w:sectPr>
      </w:pPr>
    </w:p>
    <w:p>
      <w:pPr>
        <w:spacing w:before="240" w:after="80" w:line="240" w:lineRule="auto"/>
        <w:jc w:val="center"/>
        <w:keepNext/>
      </w:pPr>
      <w:r>
        <w:rPr>
          <w:rFonts w:ascii="Noto Sans" w:hAnsi="Noto Sans" w:cs="Noto Sans"/>
          <w:b/>
          <w:i w:val="0"/>
          <w:caps/>
          <w:color w:val="8A6A2A"/>
          <w:sz w:val="19"/>
          <w:lang w:val="pt-BR" w:bidi="ar-SA"/>
          <w:kern w:val="16"/>
          <w14:ligatures w14:val="standardContextual"/>
        </w:rPr>
        <w:t>CAPÍTULO 20</w:t>
      </w:r>
    </w:p>
    <w:p>
      <w:pPr>
        <w:pStyle w:val="Heading2"/>
        <w:spacing w:before="0" w:after="160" w:line="240" w:lineRule="auto"/>
        <w:jc w:val="center"/>
        <w:keepNext/>
      </w:pPr>
      <w:r>
        <w:rPr>
          <w:rFonts w:ascii="EB Garamond" w:hAnsi="EB Garamond" w:cs="EB Garamond"/>
          <w:b/>
          <w:i w:val="0"/>
          <w:caps/>
          <w:color w:val="2F2923"/>
          <w:sz w:val="40"/>
          <w:lang w:val="pt-BR" w:bidi="ar-SA"/>
          <w:kern w:val="16"/>
          <w14:ligatures w14:val="standardContextual"/>
        </w:rPr>
        <w:t>Acumulação de Benefícios</w:t>
      </w:r>
    </w:p>
    <w:p>
      <w:pPr>
        <w:spacing w:before="0" w:after="240" w:line="240" w:lineRule="auto"/>
        <w:jc w:val="center"/>
      </w:pPr>
      <w:r>
        <w:rPr>
          <w:rFonts w:ascii="EB Garamond" w:hAnsi="EB Garamond" w:cs="EB Garamond"/>
          <w:b w:val="0"/>
          <w:i w:val="0"/>
          <w:color w:val="B78B37"/>
          <w:sz w:val="18"/>
          <w:lang w:val="pt-BR" w:bidi="ar-SA"/>
          <w:kern w:val="16"/>
          <w14:ligatures w14:val="standardContextual"/>
        </w:rPr>
        <w:t>━━━━  ◆  ━━━━</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Introdução: lógica do sistema de acumulação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sistema previdenciário brasileiro admite, como regra geral, a acumulação de benefícios quando cada prestação corresponde a fato gerador e fundamento jurídico distintos. Essa premissa decorre da própria estrutura da proteção social: se um mesmo segurado sofre dois eventos cobertos pelo sistema, uma incapacidade laboral e a morte de seu cônjuge, por exemplo, a negativa de proteção para um dos eventos frustraria a finalidade constitucional da seguridade social. A vedação de acumulação é exceção, não regra, e precisa de previsão normativa expressa para que possa ser imposta ao beneficiário.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Essa lógica nem sempre foi clara na legislação brasileira. A evolução normativa do tema pode ser dividida em três fases distintas, cada qual com características próprias.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primeira fase corresponde ao regime originário da Lei n. 8.213, de 24 de julho de 1991. O art. 124 dessa lei estabeleceu um rol taxativo de vedações internas ao RGPS, proibindo determinadas combinações de benefícios que o legislador considerou incompatíveis entre si: duas aposentadorias pelo mesmo regime, aposentadoria com auxílio por incapacidade temporária, duas pensões por morte de cônjuge ou companheiro. Fora dessas vedações pontuais, a acumulação era livre e integral: o beneficiário recebia a soma dos valores de ambos os benefícios sem qualquer redutor. A simplicidade do regime, proibido ou permitido, sem meio-termo, facilitava a aplicação, mas gerava distorções em casos de benefícios de valores elevados.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segunda fase teve início com a Medida Provisória n. 1.596-14, de 10 de novembro de 1997, convertida na Lei n. 9.528, de 10 de dezembro de 1997. Essa norma introduziu a vedação de acumulação do auxílio-acidente com qualquer aposentadoria, a partir de 11 de novembro de 1997, ao dar nova redação ao § 2º do art. 86 da Lei 8.213/91, que passou a prever a cessação do auxílio-acidente na data de início de qualquer aposentadoria. O § 3º do mesmo artigo, também alterado, complementou o regime ao disciplinar a incorporação do valor do auxílio-acidente ao salário de contribuição para fins de cálculo da aposentadoria. A restrição marcou a primeira expansão das vedações além do rol originário do art. 124, e sua aplicação temporal, que preserva o direito adquirido de quem já acumulava ambos os benefícios antes daquela data, tornou-se uma das questões mais litigadas nos Juizados Especiais Federais (Súmula 507/STJ, Tema 555/STJ).</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terceira fase foi inaugurada pela Emenda Constitucional n. 103, de 13 de novembro de 2019, que criou mecanismo inteiramente novo para disciplinar as acumulações permitidas. O art. 24 da EC 103/2019, aplicável tanto ao RGPS quanto ao RPPS, não proibiu acumulações que antes eram lícitas. O que a emenda fez foi introduzir um sistema de escalonamento por faixas, um redutor progressivo aplicado ao benefício de menor valor, para as hipóteses em que a acumulação permanece permitida. A lógica subjacente é que o beneficiário continua recebendo ambos os benefícios, mas o segundo é submetido a um desconto proporcional ao seu valor, em faixas análogas às do imposto de renda.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Três categorias de acumulação passaram a coexistir no ordenamento após a EC 103/2019. A primeira é a acumulação vedada: combinações expressamente proibidas por lei ou pela Constituição, nas quais o beneficiário não pode receber ambos os benefícios sob nenhuma circunstância, devendo optar pelo mais vantajoso. O art. 124 da Lei 8.213/91 disciplina as vedações internas ao RGPS, e o caput do art. 24 da EC 103/2019 estabelece vedações adicionais. A segunda categoria é a acumulação livre, sem redutor: abrange hipóteses de direito adquirido (benefícios cujos requisitos foram integralmente preenchidos antes de 13/11/2019), exceções legais expressas (morte por acidente de trabalho, violência funcional, cargos acumuláveis) e benefícios cuja acumulação não se sujeita ao escalonamento (salário-família, por exemplo). A terceira categoria é a acumulação com redutor: as combinações permitidas pelo § 1º do art. 24 da EC 103/2019, nas quais o beneficiário recebe integralmente o benefício de maior valor e recebe o benefício de menor valor com a aplicação do escalonamento por faixas previsto no § 2º do mesmo dispositivo.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presente capítulo funciona como capítulo-matriz da obra sobre o tema da acumulação de benefícios. Os capítulos dedicados a cada benefício em espécie — aposentadoria por incapacidade permanente (Cap. 6), auxílio por incapacidade temporária (Cap. 7), aposentadorias programadas (Caps. 10 a 12), salário-maternidade (Cap. 13), auxílio-reclusão (Cap. 14), auxílio-acidente (Cap. 15), BPC (Cap. 18) e pensão por morte (Cap. 19) — tratam das regras de acumulação sob a perspectiva de cada prestação individualmente considerada. O Cap. 20 consolida todas as combinações possíveis em um único quadro sistemático, desenvolve a mecânica do escalonamento com exemplos numéricos detalhados e oferece ao advogado e ao magistrado dos JEFs uma ferramenta de consulta rápida para a resolução de casos concretos envolvendo pluralidade de benefícios.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20.2 Art. 124 da Lei 8.213/91: vedações internas ao RGPS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124 da Lei n. 8.213/91 estabelece o rol de vedações de acumulação internas ao Regime Geral de Previdência Social. Trata-se de dispositivo que permanece em plena vigência após a EC 103/2019 e que disciplina as hipóteses em que a acumulação é absolutamente proibida, independentemente de qualquer redutor. Examinaremos cada inciso com atenção às implicações práticas nos JEFs.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Inciso I — Duas aposentadorias no RGPS.</w:t>
      </w:r>
      <w:r>
        <w:rPr>
          <w:rFonts w:ascii="EB Garamond" w:hAnsi="EB Garamond" w:cs="EB Garamond"/>
          <w:b w:val="0"/>
          <w:i w:val="0"/>
          <w:color w:val="201B16"/>
          <w:sz w:val="21"/>
          <w:lang w:val="pt-BR" w:bidi="ar-SA"/>
          <w:kern w:val="16"/>
          <w14:ligatures w14:val="standardContextual"/>
        </w:rPr>
        <w:t xml:space="preserve"> O dispositivo veda que o segurado receba, pelo mesmo regime, mais de uma aposentadoria. A vedação é coerente com a estrutura do RGPS: o segurado que exerce duas ou mais atividades simultâneas, empregado em uma empresa e contribuinte individual em outra, por exemplo, recolhe contribuições sobre ambas as remunerações, mas essas contribuições convergem para um único regime e são consideradas na apuração de uma única aposentadoria. O art. 32 da Lei 8.213/91, que disciplina o cálculo do salário de benefício do segurado com atividades concomitantes, reflete essa lógica de unificação. Não há, pois, dois vínculos previdenciários distintos capazes de gerar duas aposentadorias autônomas. A exceção se aplica quando se trata de regimes diferentes: a acumulação de aposentadoria pelo RGPS com aposentadoria pelo RPPS (servidor público que também contribuiu como empregado no setor privado, por exemplo) é permitida, desde que cada aposentadoria decorra de contribuições vertidas em períodos distintos e ao regime respectivo. Após a EC 103/2019, essa acumulação inter-regimes está sujeita ao escalonamento do art. 24 (seção 20.3, infra).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Inciso II — Aposentadoria com auxílio por incapacidade temporária.</w:t>
      </w:r>
      <w:r>
        <w:rPr>
          <w:rFonts w:ascii="EB Garamond" w:hAnsi="EB Garamond" w:cs="EB Garamond"/>
          <w:b w:val="0"/>
          <w:i w:val="0"/>
          <w:color w:val="201B16"/>
          <w:sz w:val="21"/>
          <w:lang w:val="pt-BR" w:bidi="ar-SA"/>
          <w:kern w:val="16"/>
          <w14:ligatures w14:val="standardContextual"/>
        </w:rPr>
        <w:t xml:space="preserve"> Trata-se de vedação que decorre de incompatibilidade lógica. O auxílio por incapacidade temporária pressupõe que o segurado esteja temporariamente incapaz para o trabalho e, simultaneamente, em atividade laborativa (condição de segurado em exercício). O aposentado, por definição, já saiu do mercado de trabalho por ter preenchido os requisitos da inativação ou por incapacidade permanente. A situação que suscita controvérsia é a do aposentado que retorna ao trabalho, hipótese permitida pelo art. 18, § 2º, da Lei 8.213/91, embora sem direito a novo benefício além do salário-família e da reabilitação profissional, e sofre nova incapacidade temporária na atividade que exerce. A jurisprudência diverge sobre o direito desse segurado ao auxílio por incapacidade temporária relativo à nova atividade, questão examinada em detalhe no Cap. 7 (seção 7.15). Adotamos a posição de que a vedação do inciso II se aplica integralmente: o aposentado que retorna ao trabalho e se torna incapaz para a nova atividade não faz jus ao auxílio por incapacidade temporária, pois já percebe benefício de aposentadoria do mesmo regime.</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Inciso III — Duas pensões por morte de cônjuge ou companheiro no RGPS.</w:t>
      </w:r>
      <w:r>
        <w:rPr>
          <w:rFonts w:ascii="EB Garamond" w:hAnsi="EB Garamond" w:cs="EB Garamond"/>
          <w:b w:val="0"/>
          <w:i w:val="0"/>
          <w:color w:val="201B16"/>
          <w:sz w:val="21"/>
          <w:lang w:val="pt-BR" w:bidi="ar-SA"/>
          <w:kern w:val="16"/>
          <w14:ligatures w14:val="standardContextual"/>
        </w:rPr>
        <w:t xml:space="preserve"> A vedação atinge a pessoa que enviúva duas vezes, tendo ambos os cônjuges ou companheiros falecidos sido segurados do RGPS. Nessa hipótese, o dependente pode receber apenas uma das pensões, cabendo-lhe o direito de opção pela mais vantajosa. A opção é exercida administrativamente perante o INSS e pode ser revista a qualquer tempo, caso as circunstâncias que determinaram a escolha se alterem (reajustes diferenciados, por exemplo). Essa vedação se refere exclusivamente a duas pensões decorrentes da relação conjugal ou de união estável no âmbito do mesmo regime. A pessoa que recebe pensão por morte de cônjuge no RGPS e pensão por morte de genitor (pai ou mãe) no mesmo regime não está abrangida pelo inciso III, pois as pensões decorrem de vínculos familiares de natureza distinta, matéria sobre a qual nos debruçaremos na seção 20.5.</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Inciso IV — Aposentadoria com abono de permanência em serviço.</w:t>
      </w:r>
      <w:r>
        <w:rPr>
          <w:rFonts w:ascii="EB Garamond" w:hAnsi="EB Garamond" w:cs="EB Garamond"/>
          <w:b w:val="0"/>
          <w:i w:val="0"/>
          <w:color w:val="201B16"/>
          <w:sz w:val="21"/>
          <w:lang w:val="pt-BR" w:bidi="ar-SA"/>
          <w:kern w:val="16"/>
          <w14:ligatures w14:val="standardContextual"/>
        </w:rPr>
        <w:t xml:space="preserve"> Esse dispositivo é, atualmente, de interesse residual. O abono de permanência em serviço, que consistia em acréscimo de 25% ao valor da aposentadoria para o segurado que, reunindo os requisitos para aposentar-se, optasse por continuar trabalhando, foi extinto pela Lei n. 8.870, de 15 de abril de 1994. O inciso IV permanece formalmente no texto legal, mas não gera efeitos práticos para benefícios concedidos a partir da extinção do abono. Para benefícios concedidos antes de abril de 1994, o dispositivo pode ter relevância residual em ações de revisão, embora tais hipóteses sejam excepcionais na prática forense atual.</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Inciso V — Salário-maternidade com auxílio por incapacidade temporária.</w:t>
      </w:r>
      <w:r>
        <w:rPr>
          <w:rFonts w:ascii="EB Garamond" w:hAnsi="EB Garamond" w:cs="EB Garamond"/>
          <w:b w:val="0"/>
          <w:i w:val="0"/>
          <w:color w:val="201B16"/>
          <w:sz w:val="21"/>
          <w:lang w:val="pt-BR" w:bidi="ar-SA"/>
          <w:kern w:val="16"/>
          <w14:ligatures w14:val="standardContextual"/>
        </w:rPr>
        <w:t xml:space="preserve"> A vedação é expressa e resolve conflito de competências protetivas: a segurada não pode receber, ao mesmo tempo, salário-maternidade e auxílio por incapacidade temporária. A solução legal privilegia a proteção à maternidade: o auxílio é suspenso durante o período de percepção do salário-maternidade, sendo retomado ao término da licença, caso persista a incapacidade. Para o regime de suspensão e retomada do auxílio, ver Cap. 13, seção 13.11.</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Inciso VI — Dois auxílios-acidente.</w:t>
      </w:r>
      <w:r>
        <w:rPr>
          <w:rFonts w:ascii="EB Garamond" w:hAnsi="EB Garamond" w:cs="EB Garamond"/>
          <w:b w:val="0"/>
          <w:i w:val="0"/>
          <w:color w:val="201B16"/>
          <w:sz w:val="21"/>
          <w:lang w:val="pt-BR" w:bidi="ar-SA"/>
          <w:kern w:val="16"/>
          <w14:ligatures w14:val="standardContextual"/>
        </w:rPr>
        <w:t xml:space="preserve"> A vedação impede o recebimento simultâneo de mais de um auxílio-acidente. A exceção reconhecida pela jurisprudência, e que entendemos correta, aplica-se quando os auxílios-acidente decorrem de acidentes distintos, ocorridos em momentos diferentes e geradores de sequelas autônomas. Nessa hipótese, cada auxílio-acidente tem fato gerador próprio, o que afasta a incidência da vedação. A matéria é aprofundada no Cap. 15 (seção 15.13).</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Parágrafo único — Seguro-desemprego e benefício de prestação continuada.</w:t>
      </w:r>
      <w:r>
        <w:rPr>
          <w:rFonts w:ascii="EB Garamond" w:hAnsi="EB Garamond" w:cs="EB Garamond"/>
          <w:b w:val="0"/>
          <w:i w:val="0"/>
          <w:color w:val="201B16"/>
          <w:sz w:val="21"/>
          <w:lang w:val="pt-BR" w:bidi="ar-SA"/>
          <w:kern w:val="16"/>
          <w14:ligatures w14:val="standardContextual"/>
        </w:rPr>
        <w:t xml:space="preserve"> O parágrafo único do art. 124 veda a percepção do seguro-desemprego conjuntamente com qualquer benefício de prestação continuada da previdência social, ressalvados a pensão por morte e o auxílio-acidente. A vedação é coerente com a natureza do seguro-desemprego, que pressupõe desemprego involuntário e busca ativa de recolocação, condição incompatível com o recebimento de aposentadoria, auxílio por incapacidade temporária ou salário-maternidade. A ressalva em favor da pensão por morte e do auxílio-acidente se justifica pela natureza dessas prestações: a pensão por morte decorre de evento que atinge o dependente (e não o próprio segurado em sua condição de trabalhador), e o auxílio-acidente não impede o exercício de atividade laborativa, sendo compatível com a situação de desemprego involuntário seguido de nova busca por emprego.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Relação entre o art. 124 e o art. 24 da EC 103/2019.</w:t>
      </w:r>
      <w:r>
        <w:rPr>
          <w:rFonts w:ascii="EB Garamond" w:hAnsi="EB Garamond" w:cs="EB Garamond"/>
          <w:b w:val="0"/>
          <w:i w:val="0"/>
          <w:color w:val="201B16"/>
          <w:sz w:val="21"/>
          <w:lang w:val="pt-BR" w:bidi="ar-SA"/>
          <w:kern w:val="16"/>
          <w14:ligatures w14:val="standardContextual"/>
        </w:rPr>
        <w:t xml:space="preserve"> A entrada em vigor da EC 103/2019 não revogou o art. 124 da Lei 8.213/91. Os dois dispositivos operam em planos distintos e complementares. O art. 124 disciplina as vedações absolutas, hipóteses em que a acumulação é proibida, ponto final, sem qualquer possibilidade de recebimento simultâneo dos dois benefícios. O art. 24 da EC 103/2019, por sua vez, disciplina as acumulações permitidas, estabelecendo o redutor de escalonamento para aquelas combinações que a Constituição autoriza. Em termos práticos, o raciocínio aplicável a qualquer caso concreto segue ordem lógica: primeiro, verificar se a combinação é vedada pelo art. 124 ou pelo caput do art. 24; se não for vedada, verificar se a combinação está sujeita ao escalonamento do § 2º do art. 24 ou se se enquadra em alguma exceção que preserve a integralidade. A coexistência dos dois dispositivos é pacífica na jurisprudência e não há qualquer incompatibilidade normativa entre eles.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5F3EF" w:val="clear"/>
            <w:tcBorders>
              <w:top w:val="single" w:sz="7" w:space="0" w:color="A09882"/>
              <w:bottom w:val="single" w:sz="7" w:space="0" w:color="A09882"/>
              <w:right w:val="single" w:sz="7" w:space="0" w:color="A09882"/>
              <w:left w:val="single" w:sz="24" w:space="0" w:color="6B6256"/>
            </w:tcBorders>
          </w:tcPr>
          <w:p>
            <w:pPr>
              <w:spacing w:before="0" w:after="60" w:line="240" w:lineRule="auto"/>
              <w:jc w:val="left"/>
            </w:pPr>
            <w:r>
              <w:rPr>
                <w:rFonts w:ascii="Noto Sans" w:hAnsi="Noto Sans" w:cs="Noto Sans"/>
                <w:b/>
                <w:i w:val="0"/>
                <w:caps/>
                <w:color w:val="6B6256"/>
                <w:sz w:val="16"/>
                <w:lang w:val="pt-BR" w:bidi="ar-SA"/>
                <w:kern w:val="16"/>
                <w14:ligatures w14:val="standardContextual"/>
              </w:rPr>
              <w:t>QUADRO</w:t>
            </w:r>
          </w:p>
          <w:p>
            <w:pPr>
              <w:spacing w:before="0" w:after="60" w:line="247" w:lineRule="auto"/>
              <w:jc w:val="both"/>
            </w:pPr>
            <w:r>
              <w:rPr>
                <w:rFonts w:ascii="EB Garamond" w:hAnsi="EB Garamond" w:cs="EB Garamond"/>
                <w:b/>
                <w:i w:val="0"/>
                <w:color w:val="201B16"/>
                <w:sz w:val="19"/>
                <w:lang w:val="pt-BR" w:bidi="ar-SA"/>
                <w:kern w:val="16"/>
                <w14:ligatures w14:val="standardContextual"/>
              </w:rPr>
              <w:t>Quadro 20.1 — Vedações do art. 124 da Lei 8.213/91</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Inciso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Vedação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Observação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I</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Duas aposentadorias no RGPS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Vedação intra-regime; RGPS + RPPS é permitido (com escalonamento)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II</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Aposentadoria + auxílio por incapacidade temporária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Incompatibilidade lógica; inclui aposentado que retorna ao trabalho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III</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Duas pensões de cônjuge/companheiro no RGPS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Opção pela mais vantajosa; não abrange pensão de genitor</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IV</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Aposentadoria + abono de permanência em serviço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Dispositivo residual (abono extinto em 1994)</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Salário-maternidade + auxílio por incapacidade temporária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O auxílio é suspenso durante o salário-maternidade</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VI</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Dois auxílios-acidente</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Exceção: acidentes distintos com sequelas autônomas</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Par. único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Seguro-desemprego + benefício continuado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Ressalvados: pensão por morte e auxílio-acidente</w:t>
                  </w:r>
                </w:p>
              </w:tc>
            </w:tr>
          </w:tbl>
          <w:p/>
          <w:p>
            <w:pPr>
              <w:spacing w:before="0" w:after="0" w:line="240" w:lineRule="auto"/>
            </w:pP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20.3 Art. 24 da EC 103/2019: regime de escalonamento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Emenda Constitucional n. 103/2019 introduziu, em seu art. 24, um regime de escalonamento aplicável às acumulações de benefícios que permanecem lícitas após a reforma. O dispositivo representa a mais significativa inovação legislativa sobre o tema da acumulação de benefícios desde a edição da Lei 8.213/91 e aplica-se tanto ao RGPS quanto ao RPPS, unificando o tratamento da matéria nos dois regimes.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caput do art. 24 estabelece uma única vedação: a acumulação de mais de uma pensão por morte deixada por cônjuge ou companheiro no âmbito do mesmo regime de previdência social, ressalvadas as pensões do mesmo instituidor decorrentes do exercício de cargos acumuláveis na forma do art. 37 da Constituição. Essa vedação opera de forma análoga à do art. 124 da Lei 8.213/91: trata-se de proibição absoluta, que impõe ao beneficiário a opção pelo benefício mais vantajoso. A acumulação de pensão por morte com aposentadoria não é vedada pelo caput; ao contrário, está expressamente admitida pelo § 1º, II, sujeita apenas ao redutor de escalonamento do § 2º.</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 1º do art. 24 enumera as exceções à vedação do caput, ou seja, as hipóteses em que a acumulação é permitida, embora sujeita ao redutor de escalonamento. São três as exceções. O inciso I permite a acumulação de pensão por morte deixada por cônjuge ou companheiro de um regime com outra pensão por morte de cônjuge ou companheiro de regime diferente. O inciso II autoriza a acumulação de pensão por morte deixada por cônjuge ou companheiro com aposentadoria concedida no mesmo regime ou em regime diferente (esta é a hipótese mais comum na prática dos JEFs). O inciso III abrange as pensões decorrentes das atividades militares de que tratam os arts. 42 e 142 da Constituição Federal. A proteção dos benefícios oriundos de cargos constitucionalmente acumuláveis (art. 37, XVI, CF) decorre da interpretação sistemática da Constituição e da jurisprudência, que reconhecem a acumulação integral nesses casos, conforme examinado na seção 20.6.2.</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 2º do art. 24 estabelece o mecanismo de escalonamento propriamente dito. A sistemática adota premissa essencial: o beneficiário recebe integralmente o benefício de maior valor, sem qualquer desconto ou redução. O redutor progressivo por faixas, calculado sobre múltiplos do salário-mínimo, incide exclusivamente sobre o benefício de menor valor. Essa escolha legislativa, preservar o maior e reduzir o menor, protege o núcleo da renda do beneficiário e concentra o impacto do escalonamento na parcela complementar. O texto literal do art. 24, § 2º, da EC 103/2019 enumera quatro faixas de redução, aplicáveis às parcelas que excedam um salário-mínimo. A parcela do benefício de menor valor correspondente a até um salário-mínimo é integralmente preservada (100%), sem qualquer redutor, pois não está abrangida por nenhum dos incisos do § 2º. As faixas de redução, atualizadas para os valores de 2026 (salário-mínimo de R$ 1.621,00), são as seguintes:</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Parcela até R$ 1.621,00 (1 salário-mínimo): integralmente preservada (100%)</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Faixa I: parcela de R$ 1.621,01 a R$ 3.242,00 (de 1 a 2 salários-mínimos), o beneficiário recebe 60%</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Faixa II: parcela de R$ 3.242,01 a R$ 4.863,00 (de 2 a 3 salários-mínimos), o beneficiário recebe 40%</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Faixa III: parcela de R$ 4.863,01 a R$ 6.484,00 (de 3 a 4 salários-mínimos), o beneficiário recebe 20%</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Faixa IV: parcela acima de R$ 6.484,00 (acima de 4 salários-mínimos), o beneficiário recebe 10%</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specto fundamental, e que gera equívocos frequentes na atuação forense, é que as faixas são progressivas, à semelhança das alíquotas do imposto de renda. Cada faixa incide exclusivamente sobre a parcela do benefício que se enquadra naquele intervalo, e não sobre o valor total. Assim, se o benefício de menor valor é de R$ 3.000,00, os primeiros R$ 1.621,00 são integralmente preservados (R$ 1.621,00), e a parcela excedente de R$ 1.379,00 é submetida ao percentual de 60% (R$ 827,40). O valor total do benefício reduzido seria de R$ 2.448,40, e não R$ 1.800,00 como seria caso a alíquota de 60% incidisse sobre o valor integral. A compreensão da progressividade é indispensável para o cálculo correto do escalonamento.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 3º do art. 24 permite que a aplicação do redutor seja revista a qualquer tempo, a pedido do interessado, quando algum dos benefícios acumulados for alterado; o § 4º preserva o direito adquirido antes da Emenda; e o § 5º admite que as regras de acumulação sejam alteradas por lei complementar. O art. 24 não contém exceção ao escalonamento fundada na causa da morte, seja acidente de trabalho, seja violência no exercício de função de segurança pública, ponto examinado na seção 20.6.</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art. 24 é norma de eficácia plena e aplicação imediata. Entendemos, e a jurisprudência confirma, que o dispositivo é autoaplicável, dispensando regulamentação infraconstitucional para sua incidência. O Tribunal Regional Federal da 4ª Região, nos autos do processo n. 5004698-26.2021.4.04.7001, confirmou expressamente a aplicação imediata do escalonamento, afastando a tese de que seria necessária lei ordinária para operacionalizar o cálculo do redutor. A posição é coerente com a técnica legislativa adotada pela emenda: o próprio § 2º do art. 24 define as faixas, os percentuais e o parâmetro de referência (salário-mínimo), fornecendo todos os elementos necessários para o cálculo sem remissão a norma regulamentadora.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Questão prática que surge com frequência nos JEFs diz respeito à atualização dos valores das faixas. As faixas do § 2º do art. 24 são definidas em múltiplos do salário-mínimo, o que significa que se atualizam automaticamente sempre que o salário-mínimo é reajustado. Não há defasagem nem necessidade de ato normativo específico para promover a atualização: basta aplicar os percentuais ao salário-mínimo vigente na data de competência do pagamento. Em 2026, com o salário-mínimo fixado em R$ 1.621,00, os limites das faixas são R$ 1.621,00, R$ 3.242,00, R$ 4.863,00 e R$ 6.484,00. Quando o salário-mínimo for reajustado para 2027, todos esses limites se alterarão proporcionalmente, e o valor do benefício reduzido deverá ser recalculado para refletir as novas faixas.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interação entre o escalonamento e o piso constitucional exige exame cuidadoso. O art. 201, § 2º, da Constituição Federal garante que nenhum benefício substitutivo do salário de contribuição terá valor mensal inferior ao salário-mínimo. O escalonamento do art. 24, entretanto, não incide sobre o valor do benefício em si, mas sobre a parcela acumulada, o que significa que cada benefício individualmente considerado preserva o piso constitucional, mas o valor recebido pelo segundo benefício (após o redutor) pode resultar em montante inferior a um salário-mínimo, sem que isso configure ofensa ao piso. A garantia do mínimo aplica-se ao benefício isolado, e não ao valor resultante do escalonamento.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escalonamento do art. 24 no contexto específico da pensão por morte, incluindo as questões intertemporais e o impacto sobre o cálculo do benefício, é examinado no Cap. 19 (seções 19.29 a 19.31). Registramos que os percentuais e faixas definitivos do escalonamento estão consolidados neste capítulo (seções 20.3 e 20.4), que funciona como capítulo-sede para o cálculo de acumulação de quaisquer benefícios. O leitor que encontrar referência ao escalonamento em outros capítulos da obra deve conferir os valores aqui apresentados como parâmetro final.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Passo a passo para calcular o escalonamento do art. 24, § 2º</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 xml:space="preserve">1. </w:t>
            </w:r>
            <w:r>
              <w:rPr>
                <w:rFonts w:ascii="EB Garamond" w:hAnsi="EB Garamond" w:cs="EB Garamond"/>
                <w:b/>
                <w:i w:val="0"/>
                <w:color w:val="201B16"/>
                <w:sz w:val="19"/>
                <w:lang w:val="pt-BR" w:bidi="ar-SA"/>
                <w:kern w:val="16"/>
                <w14:ligatures w14:val="standardContextual"/>
              </w:rPr>
              <w:t>Identificar os dois benefícios acumulados</w:t>
            </w:r>
            <w:r>
              <w:rPr>
                <w:rFonts w:ascii="EB Garamond" w:hAnsi="EB Garamond" w:cs="EB Garamond"/>
                <w:b w:val="0"/>
                <w:i w:val="0"/>
                <w:color w:val="201B16"/>
                <w:sz w:val="19"/>
                <w:lang w:val="pt-BR" w:bidi="ar-SA"/>
                <w:kern w:val="16"/>
                <w14:ligatures w14:val="standardContextual"/>
              </w:rPr>
              <w:t xml:space="preserve"> e verificar se a combinação é permitida pelo § 1º do art. 24 (se for vedada, não há escalonamento, o beneficiário deve optar pelo mais vantajoso). 2. </w:t>
            </w:r>
            <w:r>
              <w:rPr>
                <w:rFonts w:ascii="EB Garamond" w:hAnsi="EB Garamond" w:cs="EB Garamond"/>
                <w:b/>
                <w:i w:val="0"/>
                <w:color w:val="201B16"/>
                <w:sz w:val="19"/>
                <w:lang w:val="pt-BR" w:bidi="ar-SA"/>
                <w:kern w:val="16"/>
                <w14:ligatures w14:val="standardContextual"/>
              </w:rPr>
              <w:t>Comparar os valores brutos</w:t>
            </w:r>
            <w:r>
              <w:rPr>
                <w:rFonts w:ascii="EB Garamond" w:hAnsi="EB Garamond" w:cs="EB Garamond"/>
                <w:b w:val="0"/>
                <w:i w:val="0"/>
                <w:color w:val="201B16"/>
                <w:sz w:val="19"/>
                <w:lang w:val="pt-BR" w:bidi="ar-SA"/>
                <w:kern w:val="16"/>
                <w14:ligatures w14:val="standardContextual"/>
              </w:rPr>
              <w:t xml:space="preserve"> de ambos os benefícios e determinar qual é o de maior valor e qual é o de menor valor. 3. </w:t>
            </w:r>
            <w:r>
              <w:rPr>
                <w:rFonts w:ascii="EB Garamond" w:hAnsi="EB Garamond" w:cs="EB Garamond"/>
                <w:b/>
                <w:i w:val="0"/>
                <w:color w:val="201B16"/>
                <w:sz w:val="19"/>
                <w:lang w:val="pt-BR" w:bidi="ar-SA"/>
                <w:kern w:val="16"/>
                <w14:ligatures w14:val="standardContextual"/>
              </w:rPr>
              <w:t>Manter integral o benefício de maior valor</w:t>
            </w:r>
            <w:r>
              <w:rPr>
                <w:rFonts w:ascii="EB Garamond" w:hAnsi="EB Garamond" w:cs="EB Garamond"/>
                <w:b w:val="0"/>
                <w:i w:val="0"/>
                <w:color w:val="201B16"/>
                <w:sz w:val="19"/>
                <w:lang w:val="pt-BR" w:bidi="ar-SA"/>
                <w:kern w:val="16"/>
                <w14:ligatures w14:val="standardContextual"/>
              </w:rPr>
              <w:t xml:space="preserve">, esse benefício não sofre qualquer redução. 4. </w:t>
            </w:r>
            <w:r>
              <w:rPr>
                <w:rFonts w:ascii="EB Garamond" w:hAnsi="EB Garamond" w:cs="EB Garamond"/>
                <w:b/>
                <w:i w:val="0"/>
                <w:color w:val="201B16"/>
                <w:sz w:val="19"/>
                <w:lang w:val="pt-BR" w:bidi="ar-SA"/>
                <w:kern w:val="16"/>
                <w14:ligatures w14:val="standardContextual"/>
              </w:rPr>
              <w:t>Aplicar o escalonamento ao benefício de menor valor</w:t>
            </w:r>
            <w:r>
              <w:rPr>
                <w:rFonts w:ascii="EB Garamond" w:hAnsi="EB Garamond" w:cs="EB Garamond"/>
                <w:b w:val="0"/>
                <w:i w:val="0"/>
                <w:color w:val="201B16"/>
                <w:sz w:val="19"/>
                <w:lang w:val="pt-BR" w:bidi="ar-SA"/>
                <w:kern w:val="16"/>
                <w14:ligatures w14:val="standardContextual"/>
              </w:rPr>
              <w:t xml:space="preserve">, faixa a faixa:  — Parcela até R$ 1.621,00 → preservada integralmente (100%)  — Parcela de R$ 1.621,01 a R$ 3.242,00 → multiplicar por 0,60  — Parcela de R$ 3.242,01 a R$ 4.863,00 → multiplicar por 0,40  — Parcela de R$ 4.863,01 a R$ 6.484,00 → multiplicar por 0,20  — Parcela acima de R$ 6.484,00 → multiplicar por 0,10 5. </w:t>
            </w:r>
            <w:r>
              <w:rPr>
                <w:rFonts w:ascii="EB Garamond" w:hAnsi="EB Garamond" w:cs="EB Garamond"/>
                <w:b/>
                <w:i w:val="0"/>
                <w:color w:val="201B16"/>
                <w:sz w:val="19"/>
                <w:lang w:val="pt-BR" w:bidi="ar-SA"/>
                <w:kern w:val="16"/>
                <w14:ligatures w14:val="standardContextual"/>
              </w:rPr>
              <w:t>Somar o benefício integral com o benefício reduzido</w:t>
            </w:r>
            <w:r>
              <w:rPr>
                <w:rFonts w:ascii="EB Garamond" w:hAnsi="EB Garamond" w:cs="EB Garamond"/>
                <w:b w:val="0"/>
                <w:i w:val="0"/>
                <w:color w:val="201B16"/>
                <w:sz w:val="19"/>
                <w:lang w:val="pt-BR" w:bidi="ar-SA"/>
                <w:kern w:val="16"/>
                <w14:ligatures w14:val="standardContextual"/>
              </w:rPr>
              <w:t xml:space="preserve"> para obter o valor total a ser recebido.</w:t>
            </w: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5F3EF" w:val="clear"/>
            <w:tcBorders>
              <w:top w:val="single" w:sz="7" w:space="0" w:color="A09882"/>
              <w:bottom w:val="single" w:sz="7" w:space="0" w:color="A09882"/>
              <w:right w:val="single" w:sz="7" w:space="0" w:color="A09882"/>
              <w:left w:val="single" w:sz="24" w:space="0" w:color="6B6256"/>
            </w:tcBorders>
          </w:tcPr>
          <w:p>
            <w:pPr>
              <w:spacing w:before="0" w:after="60" w:line="240" w:lineRule="auto"/>
              <w:jc w:val="left"/>
            </w:pPr>
            <w:r>
              <w:rPr>
                <w:rFonts w:ascii="Noto Sans" w:hAnsi="Noto Sans" w:cs="Noto Sans"/>
                <w:b/>
                <w:i w:val="0"/>
                <w:caps/>
                <w:color w:val="6B6256"/>
                <w:sz w:val="16"/>
                <w:lang w:val="pt-BR" w:bidi="ar-SA"/>
                <w:kern w:val="16"/>
                <w14:ligatures w14:val="standardContextual"/>
              </w:rPr>
              <w:t>QUADRO</w:t>
            </w:r>
          </w:p>
          <w:p>
            <w:pPr>
              <w:spacing w:before="0" w:after="60" w:line="247" w:lineRule="auto"/>
              <w:jc w:val="both"/>
            </w:pPr>
            <w:r>
              <w:rPr>
                <w:rFonts w:ascii="EB Garamond" w:hAnsi="EB Garamond" w:cs="EB Garamond"/>
                <w:b/>
                <w:i w:val="0"/>
                <w:color w:val="201B16"/>
                <w:sz w:val="19"/>
                <w:lang w:val="pt-BR" w:bidi="ar-SA"/>
                <w:kern w:val="16"/>
                <w14:ligatures w14:val="standardContextual"/>
              </w:rPr>
              <w:t>Quadro 20.2 — Faixas de Escalonamento do Art. 24, § 2º, EC 103/2019 (valores 2026)</w:t>
            </w:r>
          </w:p>
          <w:tbl>
            <w:tblPr>
              <w:tblW w:type="auto" w:w="0"/>
              <w:jc w:val="center"/>
              <w:tblLook w:firstColumn="1" w:firstRow="1" w:lastColumn="0" w:lastRow="0" w:noHBand="0" w:noVBand="1" w:val="04A0"/>
              <w:tblW w:w="5000" w:type="pct"/>
            </w:tblPr>
            <w:tblGrid>
              <w:gridCol w:w="1270"/>
              <w:gridCol w:w="1270"/>
              <w:gridCol w:w="1270"/>
              <w:gridCol w:w="1270"/>
              <w:gridCol w:w="1270"/>
            </w:tblGrid>
            <w:tr>
              <w:trPr>
                <w:tblHeader/>
              </w:trPr>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Faixa</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Intervalo</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Percentual recebido</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Referência</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Fundamento</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Base</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Até R$ 1.621,00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100% (integral)</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Até 1 SM</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Implícito no § 2º (parcela não abrangida pelos incisos)</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I</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R$ 1.621,01 a R$ 3.242,00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60%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De 1 a 2 SM</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24, § 2º, I</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II</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R$ 3.242,01 a R$ 4.863,00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40%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De 2 a 3 SM</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24, § 2º, II</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III</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R$ 4.863,01 a R$ 6.484,00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20%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De 3 a 4 SM</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24, § 2º, III</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IV</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Acima de R$ 6.484,00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Acima de 4 SM</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Art. 24, § 2º, IV</w:t>
                  </w:r>
                </w:p>
              </w:tc>
            </w:tr>
          </w:tbl>
          <w:p/>
          <w:p>
            <w:pPr>
              <w:spacing w:before="0" w:after="0" w:line="240" w:lineRule="auto"/>
            </w:pPr>
          </w:p>
          <w:p>
            <w:pPr>
              <w:spacing w:before="0" w:after="60" w:line="247" w:lineRule="auto"/>
              <w:jc w:val="both"/>
            </w:pPr>
            <w:r>
              <w:rPr>
                <w:rFonts w:ascii="EB Garamond" w:hAnsi="EB Garamond" w:cs="EB Garamond"/>
                <w:b w:val="0"/>
                <w:i w:val="0"/>
                <w:color w:val="201B16"/>
                <w:sz w:val="19"/>
                <w:lang w:val="pt-BR" w:bidi="ar-SA"/>
                <w:kern w:val="16"/>
                <w14:ligatures w14:val="standardContextual"/>
              </w:rPr>
              <w:t>SM 2026 = R$ 1.621,00 | Teto RGPS 2026 = R$ 8.475,55</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20.4 Cálculos práticos de escalonamento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aplicação concreta do escalonamento exige cálculos faixa a faixa que, embora não sejam complexos do ponto de vista aritmético, demandam atenção para evitar erros que comprometam o valor final percebido pelo beneficiário. Apresentamos a seguir quatro cenários representativos das situações mais frequentes nos JEFs, com demonstração numérica completa.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Cenário 1 — Aposentadoria de R$ 3.500,00 + Pensão por morte de R$ 2.500,00</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segurada recebe aposentadoria por idade no valor de R$ 3.500,00 e passa a ter direito à pensão por morte de seu cônjuge, no valor de R$ 2.500,00. Ambos os benefícios são do RGPS. A acumulação é permitida pelo art. 24, § 1º, II, da EC 103/2019, com aplicação do escalonamento.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Benefício de maior valor (aposentadoria): R$ 3.500,00, recebido integralmente.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Benefício de menor valor (pensão por morte): R$ 2.500,00, submetido ao escalonamento: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Base (até R$ 1.621,00): R$ 1.621,00 × 100% = R$ 1.621,00 (integralmente preservada)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Faixa I (de R$ 1.621,01 a R$ 3.242,00): parcela nessa faixa = R$ 2.500,00 − R$ 1.621,00 = R$ 879,00 × 60% = R$ 527,40</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Faixas II a IV: não atingidas (o benefício não ultrapassa R$ 3.242,00)</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V</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alor da pensão após o escalonamento: R$ 1.621,00 + R$ 527,40 = </w:t>
      </w:r>
      <w:r>
        <w:rPr>
          <w:rFonts w:ascii="EB Garamond" w:hAnsi="EB Garamond" w:cs="EB Garamond"/>
          <w:b/>
          <w:i w:val="0"/>
          <w:color w:val="201B16"/>
          <w:sz w:val="21"/>
          <w:lang w:val="pt-BR" w:bidi="ar-SA"/>
          <w:kern w:val="16"/>
          <w14:ligatures w14:val="standardContextual"/>
        </w:rPr>
        <w:t>R$ 2.148,40</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Total recebido pela segurada: R$ 3.500,00 + R$ 2.148,40 = R$ 5.648,40</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Comparação: sem o escalonamento (regime anterior à EC 103/2019), a segurada receberia R$ 3.500,00 + R$ 2.500,00 = R$ 6.000,00. A redução provocada pelo escalonamento é de R$ 351,60, o que equivale a 5,86% do total que seria recebido integralmente. O cenário é representativo da realidade da maior parte dos segurados que litigam nos JEFs, cujos benefícios situam-se nas primeiras faixas do escalonamento. A perda mensal de R$ 351,60 pode parecer modesta em termos percentuais, mas representa cerca de 21,7% de um salário-mínimo, montante que, para famílias de renda média-baixa, tem impacto concreto na capacidade de subsistência.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Cenário 2 — Aposentadoria de R$ 1.621,00 (SM) + Pensão por morte de R$ 1.621,00 (SM)</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segurado recebe aposentadoria no valor de um salário-mínimo e pensão por morte de cônjuge também no valor de um salário-mínimo. Ambos os benefícios são do RGPS.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Benefício de maior valor (qualquer um deles, por serem iguais): R$ 1.621,00, recebido integralmente.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Benefício de menor valor: R$ 1.621,00, submetido ao escalonamento: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Base (até R$ 1.621,00): R$ 1.621,00 × 100% = R$ 1.621,00 (integralmente preservada)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Faixas I a IV: não atingidas</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V</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alor da pensão após o escalonamento: </w:t>
      </w:r>
      <w:r>
        <w:rPr>
          <w:rFonts w:ascii="EB Garamond" w:hAnsi="EB Garamond" w:cs="EB Garamond"/>
          <w:b/>
          <w:i w:val="0"/>
          <w:color w:val="201B16"/>
          <w:sz w:val="21"/>
          <w:lang w:val="pt-BR" w:bidi="ar-SA"/>
          <w:kern w:val="16"/>
          <w14:ligatures w14:val="standardContextual"/>
        </w:rPr>
        <w:t>R$ 1.621,00</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Total recebido pelo segurado: R$ 1.621,00 + R$ 1.621,00 = R$ 3.242,00</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Comparação: sem o escalonamento, o resultado seria idêntico — R$ 3.242,00 — pois a parcela de até um salário-mínimo é integralmente preservada pelo art. 24, § 2º, da EC 103/2019. O cenário demonstra que, para segurados que recebem dois benefícios no piso (um salário-mínimo cada), o escalonamento não produz qualquer redução. A proteção integral da primeira faixa assegura que os beneficiários de menor renda não sejam afetados pelo redutor. O impacto do escalonamento manifesta-se apenas quando o benefício de menor valor ultrapassa um salário-mínimo, hipótese em que as faixas I a IV (60%, 40%, 20% e 10%) passam a incidir sobre as parcelas excedentes.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Cenário 3 — Aposentadoria RPPS de R$ 7.000,00 + Aposentadoria RGPS de R$ 4.500,00</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servidor público aposentado pelo RPPS, com proventos de R$ 7.000,00, também faz jus à aposentadoria pelo RGPS, no valor de R$ 4.500,00, em razão de contribuições vertidas ao regime geral por atividade concomitante no setor privado. A acumulação inter-regimes é permitida, mas sujeita ao escalonamento do art. 24.</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Benefício de maior valor (aposentadoria RPPS): R$ 7.000,00, recebido integralmente.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Benefício de menor valor (aposentadoria RGPS): R$ 4.500,00, submetido ao escalonamento: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Base (até R$ 1.621,00): R$ 1.621,00 × 100% = R$ 1.621,00 (integralmente preservada)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Faixa I (de R$ 1.621,01 a R$ 3.242,00): R$ 1.621,00 × 60% = R$ 972,60</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Faixa II (de R$ 3.242,01 a R$ 4.863,00): parcela nessa faixa = R$ 4.500,00 − R$ 3.242,00 = R$ 1.258,00 × 40% = R$ 503,20</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Faixas III e IV: não atingidas</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V</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alor da aposentadoria RGPS após o escalonamento: R$ 1.621,00 + R$ 972,60 + R$ 503,20 = </w:t>
      </w:r>
      <w:r>
        <w:rPr>
          <w:rFonts w:ascii="EB Garamond" w:hAnsi="EB Garamond" w:cs="EB Garamond"/>
          <w:b/>
          <w:i w:val="0"/>
          <w:color w:val="201B16"/>
          <w:sz w:val="21"/>
          <w:lang w:val="pt-BR" w:bidi="ar-SA"/>
          <w:kern w:val="16"/>
          <w14:ligatures w14:val="standardContextual"/>
        </w:rPr>
        <w:t>R$ 3.096,80</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Total recebido pelo segurado: R$ 7.000,00 + R$ 3.096,80 = R$ 10.096,80</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Comparação: sem o escalonamento, o segurado receberia R$ 7.000,00 + R$ 4.500,00 = R$ 11.500,00. A redução é de R$ 1.403,20, equivalente a 12,20% do total que seria percebido integralmente. O impacto percentual é expressivo neste cenário porque o benefício de menor valor atravessa três faixas de escalonamento, e cada faixa subsequente impõe redutor mais severo.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Cenário 4 — Dupla pensão inter-regimes: Pensão RGPS de R$ 2.000,00 + Pensão RPPS de R$ 5.500,00</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beneficiária viúva recebe pensão por morte de cônjuge pelo RPPS (R$ 5.500,00) e pensão por morte de outro cônjuge (casamento anterior) pelo RGPS (R$ 2.000,00). A acumulação de pensões de cônjuge de regimes diferentes é permitida pelo art. 24, § 1º, I, da EC 103/2019, com escalonamento.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Benefício de maior valor (pensão RPPS): R$ 5.500,00, recebido integralmente.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Benefício de menor valor (pensão RGPS): R$ 2.000,00, submetido ao escalonamento:</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Base (até R$ 1.621,00): R$ 1.621,00 × 100% = R$ 1.621,00 (integralmente preservada)</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Faixa I (de R$ 1.621,01 a R$ 3.242,00): parcela nessa faixa = R$ 2.000,00 − R$ 1.621,00 = R$ 379,00 × 60% = R$ 227,40</w:t>
      </w:r>
    </w:p>
    <w:p>
      <w:pPr>
        <w:spacing w:before="0" w:after="40" w:line="252" w:lineRule="auto"/>
        <w:ind w:left="340" w:hanging="198"/>
        <w:jc w:val="both"/>
      </w:pPr>
      <w:r>
        <w:rPr>
          <w:rFonts w:ascii="EB Garamond" w:hAnsi="EB Garamond" w:cs="EB Garamond"/>
          <w:b w:val="0"/>
          <w:i w:val="0"/>
          <w:color w:val="3A3128"/>
          <w:sz w:val="20"/>
          <w:lang w:val="pt-BR" w:bidi="ar-SA"/>
          <w:kern w:val="16"/>
          <w14:ligatures w14:val="standardContextual"/>
        </w:rPr>
        <w:t xml:space="preserve">• </w:t>
      </w:r>
      <w:r>
        <w:rPr>
          <w:rFonts w:ascii="EB Garamond" w:hAnsi="EB Garamond" w:cs="EB Garamond"/>
          <w:b w:val="0"/>
          <w:i w:val="0"/>
          <w:color w:val="201B16"/>
          <w:sz w:val="20"/>
          <w:lang w:val="pt-BR" w:bidi="ar-SA"/>
          <w:kern w:val="16"/>
          <w14:ligatures w14:val="standardContextual"/>
        </w:rPr>
        <w:t>Faixas II a IV: não atingidas</w:t>
      </w:r>
    </w:p>
    <w:p>
      <w:pPr>
        <w:spacing w:before="0" w:after="6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V</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alor da pensão RGPS após o escalonamento: R$ 1.621,00 + R$ 227,40 = </w:t>
      </w:r>
      <w:r>
        <w:rPr>
          <w:rFonts w:ascii="EB Garamond" w:hAnsi="EB Garamond" w:cs="EB Garamond"/>
          <w:b/>
          <w:i w:val="0"/>
          <w:color w:val="201B16"/>
          <w:sz w:val="21"/>
          <w:lang w:val="pt-BR" w:bidi="ar-SA"/>
          <w:kern w:val="16"/>
          <w14:ligatures w14:val="standardContextual"/>
        </w:rPr>
        <w:t>R$ 1.848,40</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Total recebido pela beneficiária: R$ 5.500,00 + R$ 1.848,40 = R$ 7.348,40</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Comparação: sem o escalonamento, a beneficiária receberia R$ 5.500,00 + R$ 2.000,00 = R$ 7.500,00. A redução é de R$ 151,60, correspondente a 2,02% do total integral. O impacto é menor neste cenário porque o benefício de menor valor é relativamente baixo e a parcela acima de um salário-mínimo é pequena.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análise comparativa dos quatro cenários revela padrão consistente: o impacto percentual do escalonamento é proporcional ao valor do benefício reduzido e ao número de faixas atingidas. Para benefícios de valor mínimo (Cenário 2), não há redução alguma, pois a parcela de até um salário-mínimo é integralmente preservada. Para benefícios que atravessam duas ou mais faixas de redução (Cenários 1, 3 e 4), o impacto cresce progressivamente. Essa progressividade é intencional e reflete a opção do constituinte reformador por um sistema de redistribuição que preserva integralmente a renda dos beneficiários de menor poder aquisitivo e onera proporcionalmente mais os benefícios acumulados de maior valor.</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Modelo de demonstrativo de cálculo para uso em petições e sentenças</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DEMONSTRATIVO DE ESCALONAMENTO — Art. 24, § 2º, EC 103/2019</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Beneficiário: [nome] Data-base: [mês/ano] | SM vigente: R$ 1.621,00</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BENEFÍCIO INTEGRAL (maior valor): [Espécie]: R$ [valor], sem redutor</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BENEFÍCIO COM REDUTOR (menor valor): [Espécie]: R$ [valor bruto]</w:t>
            </w:r>
          </w:p>
          <w:tbl>
            <w:tblPr>
              <w:tblW w:type="auto" w:w="0"/>
              <w:jc w:val="center"/>
              <w:tblLook w:firstColumn="1" w:firstRow="1" w:lastColumn="0" w:lastRow="0" w:noHBand="0" w:noVBand="1" w:val="04A0"/>
              <w:tblW w:w="5000" w:type="pct"/>
            </w:tblPr>
            <w:tblGrid>
              <w:gridCol w:w="1587"/>
              <w:gridCol w:w="1587"/>
              <w:gridCol w:w="1587"/>
              <w:gridCol w:w="1587"/>
            </w:tblGrid>
            <w:tr>
              <w:trPr>
                <w:tblHeader/>
              </w:trPr>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Faixa</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Base de cálculo</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Valor</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Base (até 1 SM)</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[x]</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100%</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[x]</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I (1-2 SM)</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[x]</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60%</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[x]</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II (2-3 SM)</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[x]</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40%</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[x]</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III (3-4 SM)</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[x]</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20%</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[x]</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IV (acima 4 SM)</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[x]</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10%</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 [x]</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Total após redutor</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R$ [x]</w:t>
                  </w:r>
                </w:p>
              </w:tc>
            </w:tr>
          </w:tbl>
          <w:p/>
          <w:p>
            <w:pPr>
              <w:spacing w:before="0" w:after="0" w:line="240" w:lineRule="auto"/>
            </w:pPr>
          </w:p>
          <w:p>
            <w:pPr>
              <w:spacing w:before="0" w:after="60" w:line="247" w:lineRule="auto"/>
              <w:jc w:val="both"/>
            </w:pPr>
            <w:r>
              <w:rPr>
                <w:rFonts w:ascii="EB Garamond" w:hAnsi="EB Garamond" w:cs="EB Garamond"/>
                <w:b w:val="0"/>
                <w:i w:val="0"/>
                <w:color w:val="201B16"/>
                <w:sz w:val="19"/>
                <w:lang w:val="pt-BR" w:bidi="ar-SA"/>
                <w:kern w:val="16"/>
                <w14:ligatures w14:val="standardContextual"/>
              </w:rPr>
              <w:t xml:space="preserve">VALOR TOTAL ACUMULADO: R$ [benefício integral] + R$ [benefício reduzido] = </w:t>
            </w:r>
            <w:r>
              <w:rPr>
                <w:rFonts w:ascii="EB Garamond" w:hAnsi="EB Garamond" w:cs="EB Garamond"/>
                <w:b/>
                <w:i w:val="0"/>
                <w:color w:val="201B16"/>
                <w:sz w:val="19"/>
                <w:lang w:val="pt-BR" w:bidi="ar-SA"/>
                <w:kern w:val="16"/>
                <w14:ligatures w14:val="standardContextual"/>
              </w:rPr>
              <w:t>R$ [total]</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Valor sem redutor (integral): R$ [x] Diferença: R$ [x] ([x]%)</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20.5 Acumulações permitidas: quadro completo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E</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sta seção consolida todas as combinações possíveis de benefícios previdenciários e assistenciais, indicando para cada par se a acumulação é vedada, permitida com integralidade ou permitida com escalonamento. Trata-se da peça central do capítulo, concebida como ferramenta de consulta rápida para o operador do direito nos JEFs.</w:t>
      </w:r>
    </w:p>
    <w:p>
      <w:pPr>
        <w:spacing w:before="260" w:after="80" w:line="240" w:lineRule="auto"/>
        <w:jc w:val="left"/>
      </w:pPr>
      <w:r>
        <w:rPr>
          <w:rFonts w:ascii="EB Garamond" w:hAnsi="EB Garamond" w:cs="EB Garamond"/>
          <w:b/>
          <w:i w:val="0"/>
          <w:color w:val="3A3128"/>
          <w:sz w:val="25"/>
          <w:lang w:val="pt-BR" w:bidi="ar-SA"/>
          <w:kern w:val="16"/>
          <w14:ligatures w14:val="standardContextual"/>
        </w:rPr>
        <w:t>20.5.1 Pensão por morte e aposentadoria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acumulação de pensão por morte com aposentadoria é a hipótese mais frequente na prática previdenciária e a que recebeu tratamento mais detalhado pela EC 103/2019.</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Quando ambos os benefícios são do mesmo regime (RGPS ou RPPS), a acumulação é vedada pelo caput do art. 24, com a ressalva do § 1º, II: a acumulação de pensão por morte de cônjuge ou companheiro com aposentadoria, no mesmo regime ou em regimes diferentes, é permitida, mas sujeita ao escalonamento do § 2º. No cotidiano dos JEFs, a exceção absorve a regra para esta combinação específica, pois o § 1º, II, autoriza a acumulação tanto intra-regime quanto inter-regimes. A redação do dispositivo pode gerar perplexidade inicial, o caput veda, e o parágrafo imediatamente seguinte autoriza, mas a estrutura normativa é deliberada: o caput estabelece o princípio geral de vedação da acumulação integral, e o § 1º enumera as exceções que permitem a acumulação com redutor. O efeito prático é que a acumulação de pensão por morte com aposentadoria permanece lícita em todas as configurações (mesmo regime ou regimes diferentes), porém deixa de ser integral para submeter-se ao escalonamento.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redutor incide sobre o benefício de menor valor, sempre. Se a aposentadoria é de R$ 4.000,00 e a pensão é de R$ 2.500,00, o escalonamento recai sobre a pensão. Se a pensão é de R$ 5.000,00 e a aposentadoria é de R$ 3.000,00, o escalonamento recai sobre a aposentadoria. A regra é objetiva e independe da natureza do benefício — o que importa é o valor.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Não há exceção ao redutor fundada na causa da morte: a pensão decorrente de acidente de trabalho ou doença profissional, quando acumulada com aposentadoria, sujeita-se às mesmas faixas do § 2º (seção 20.6.1). As únicas hipóteses de integralidade são a dos cargos constitucionalmente acumuláveis (ressalva do caput do art. 24) e a do direito adquirido (art. 24, § 4º).</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tratamento aprofundado do escalonamento na pensão por morte encontra-se no Cap. 19 (seções 19.29 a 19.31).</w:t>
      </w:r>
    </w:p>
    <w:p>
      <w:pPr>
        <w:spacing w:before="260" w:after="80" w:line="240" w:lineRule="auto"/>
        <w:jc w:val="left"/>
      </w:pPr>
      <w:r>
        <w:rPr>
          <w:rFonts w:ascii="EB Garamond" w:hAnsi="EB Garamond" w:cs="EB Garamond"/>
          <w:b/>
          <w:i w:val="0"/>
          <w:color w:val="3A3128"/>
          <w:sz w:val="25"/>
          <w:lang w:val="pt-BR" w:bidi="ar-SA"/>
          <w:kern w:val="16"/>
          <w14:ligatures w14:val="standardContextual"/>
        </w:rPr>
        <w:t>20.5.2 Pensão por morte e pensão por morte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análise da acumulação de duas pensões por morte exige atenção à natureza do vínculo do dependente com o instituidor e ao regime de origem de cada pensão.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Duas pensões por morte de cônjuge ou companheiro no mesmo regime: vedada pelo caput do art. 24 e pelo art. 124, III, da Lei 8.213/91 (no caso do RGPS). O beneficiário deve optar pela mais vantajosa.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Duas pensões por morte de cônjuge ou companheiro de regimes diferentes (uma do RGPS e outra do RPPS): permitida com escalonamento, nos termos do art. 24, § 1º, I. O beneficiário recebe integralmente a pensão de maior valor e a pensão de menor valor com o redutor progressivo. É o caso, por exemplo, da viúva cujo primeiro marido era servidor público federal e cujo segundo marido era empregado do setor privado, tendo ambos falecido.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Pensão por morte de cônjuge e pensão por morte de genitor (pai ou mãe), no mesmo regime: permitida com escalonamento. A vedação do caput do art. 24 refere-se textualmente a pensões deixadas por "cônjuge ou companheiro" — a relação geradora da vedação é exclusivamente a conjugal ou de união estável. Quando o dependente recebe pensão pela condição de cônjuge e outra pensão pela condição de filho (sendo o instituidor seu genitor), não há incidência da vedação do caput, pois os vínculos familiares são de natureza distinta. Contudo, entendemos que o escalonamento se aplica por analogia, na medida em que o art. 24 disciplina a acumulação de pensões como gênero, e a exclusão do redutor exigiria previsão expressa.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Pensões decorrentes de cargos constitucionalmente acumuláveis: permitidas com integralidade, nos termos do art. 37, XVI, da Constituição Federal e da interpretação sistemática que assegura a acumulação integral de benefícios oriundos de cargos acumuláveis (seção 20.6.3). Se o instituidor ocupava dois cargos acumuláveis, dois cargos de professor, por exemplo, ou um cargo de professor e um cargo técnico em saúde, os dependentes podem acumular as duas pensões sem qualquer redutor.</w:t>
      </w:r>
    </w:p>
    <w:p>
      <w:pPr>
        <w:spacing w:before="260" w:after="80" w:line="240" w:lineRule="auto"/>
        <w:jc w:val="left"/>
      </w:pPr>
      <w:r>
        <w:rPr>
          <w:rFonts w:ascii="EB Garamond" w:hAnsi="EB Garamond" w:cs="EB Garamond"/>
          <w:b/>
          <w:i w:val="0"/>
          <w:color w:val="3A3128"/>
          <w:sz w:val="25"/>
          <w:lang w:val="pt-BR" w:bidi="ar-SA"/>
          <w:kern w:val="16"/>
          <w14:ligatures w14:val="standardContextual"/>
        </w:rPr>
        <w:t>20.5.3 Aposentadoria e aposentadoria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vedação de duas aposentadorias no mesmo regime (RGPS) é absoluta, conforme o art. 124, I, da Lei 8.213/91. A mesma vedação aplica-se no âmbito do RPPS por força da EC 103/2019. O segurado que exerceu duas ou mais atividades concomitantes dentro do mesmo regime tem suas contribuições unificadas para o cálculo de uma única aposentadoria.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acumulação de aposentadoria do RGPS com aposentadoria do RPPS é permitida, desde que as contribuições tenham sido vertidas em períodos distintos para cada regime. Trata-se de situação frequente: o servidor público que, antes de ingressar no serviço público ou paralelamente a ele, exerceu atividade no setor privado e contribuiu para o RGPS. Após a EC 103/2019, essa acumulação inter-regimes está sujeita ao escalonamento do art. 24. Entendemos que a aplicação do escalonamento nessa hipótese é legítima, pois o art. 24 não distingue entre aposentadorias e pensões para fins de incidência do redutor — a norma abrange todas as acumulações permitidas por seu § 1º. A vedação de contagem recíproca em duplicidade (art. 96, III, da Lei 8.213/91) impede que o mesmo tempo de contribuição seja computado nos dois regimes: períodos de contribuição ao RGPS não podem ser simultaneamente aproveitados para a aposentadoria do RPPS, e vice-versa. A violação dessa regra configura irregularidade que pode acarretar a revisão administrativa de um dos benefícios.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os ocupantes de cargos constitucionalmente acumuláveis (art. 37, XVI, CF), o Supremo Tribunal Federal firmou entendimento de que não se aplica vedação nem redutor à acumulação de aposentadorias. Os cargos acumuláveis geram vínculos previdenciários autônomos, e a proteção integral decorre da própria garantia constitucional de acumulação. A hipótese é examinada na seção 20.6.</w:t>
      </w:r>
    </w:p>
    <w:p>
      <w:pPr>
        <w:spacing w:before="260" w:after="80" w:line="240" w:lineRule="auto"/>
        <w:jc w:val="left"/>
      </w:pPr>
      <w:r>
        <w:rPr>
          <w:rFonts w:ascii="EB Garamond" w:hAnsi="EB Garamond" w:cs="EB Garamond"/>
          <w:b/>
          <w:i w:val="0"/>
          <w:color w:val="3A3128"/>
          <w:sz w:val="25"/>
          <w:lang w:val="pt-BR" w:bidi="ar-SA"/>
          <w:kern w:val="16"/>
          <w14:ligatures w14:val="standardContextual"/>
        </w:rPr>
        <w:t>20.5.4 Auxílio-acidente e aposentadoria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acumulação do auxílio-acidente com a aposentadoria obedece a regime temporal bifásico, determinado pela data de início de ambos os benefícios.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Primeiro período: quando tanto o auxílio-acidente quanto a aposentadoria foram concedidos antes de 11 de novembro de 1997 (data de publicação da MP 1.596-14/1997, convertida na Lei 9.528/1997), a acumulação é integral, sem qualquer redutor. O STJ consolidou esse entendimento na Súmula 507, segundo a qual a acumulação do auxílio-acidente com a aposentadoria pressupõe que a lesão incapacitante e a concessão da aposentadoria sejam anteriores àquela data. O Tema 555 do STJ (REsp 1.296.673/MG), julgado sob o rito dos recursos repetitivos, ratificou a mesma tese.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Segundo período: a partir de 11 de novembro de 1997, a acumulação é vedada pelos §§ 2º e 3º do art. 86 da Lei 8.213/91, com redação dada pela Lei 9.528/1997. O auxílio-acidente cessa na data de concessão da aposentadoria, e seu valor é incorporado ao salário de contribuição para fins de cálculo da renda mensal da aposentadoria. A EC 103/2019 manteve essa vedação.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questão é aprofundada no Cap. 15 (seções 15.13 e 15.19).</w:t>
      </w:r>
    </w:p>
    <w:p>
      <w:pPr>
        <w:spacing w:before="260" w:after="80" w:line="240" w:lineRule="auto"/>
        <w:jc w:val="left"/>
      </w:pPr>
      <w:r>
        <w:rPr>
          <w:rFonts w:ascii="EB Garamond" w:hAnsi="EB Garamond" w:cs="EB Garamond"/>
          <w:b/>
          <w:i w:val="0"/>
          <w:color w:val="3A3128"/>
          <w:sz w:val="25"/>
          <w:lang w:val="pt-BR" w:bidi="ar-SA"/>
          <w:kern w:val="16"/>
          <w14:ligatures w14:val="standardContextual"/>
        </w:rPr>
        <w:t>20.5.5 Auxílio por incapacidade temporária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acumulação do auxílio por incapacidade temporária com outros benefícios é significativamente restrita.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Auxílio por incapacidade temporária com aposentadoria: vedada pelo art. 124, II, da Lei 8.213/91, conforme examinado na seção 20.2.</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Auxílio por incapacidade temporária com salário-maternidade: vedada pelo art. 124, V. O auxílio é suspenso durante o salário-maternidade e retomado após seu término, se persistir a incapacidade.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Auxílio por incapacidade temporária com pensão por morte: permitida com escalonamento. A situação é a do dependente que recebe pensão por morte e que, sendo ele próprio segurado do RGPS, torna-se temporariamente incapaz para o trabalho. Não há vedação legal para essa combinação, que se sujeita ao regime geral do art. 24 da EC 103/2019.</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Situação peculiar ocorre quando o segurado exerce duas atividades simultâneas e torna-se incapaz apenas para uma delas. O art. 73, § 2º, do Decreto n. 3.048/99 disciplina essa hipótese, admitindo a concessão do auxílio por incapacidade temporária relativo à atividade para a qual o segurado está incapaz, enquanto ele continua exercendo e sendo remunerado pela outra atividade. Não se trata, tecnicamente, de acumulação de benefícios, mas de percepção de benefício concomitante a remuneração de trabalho — o que é admitido quando a incapacidade é parcial, limitada a uma das atividades.</w:t>
      </w:r>
    </w:p>
    <w:p>
      <w:pPr>
        <w:spacing w:before="260" w:after="80" w:line="240" w:lineRule="auto"/>
        <w:jc w:val="left"/>
      </w:pPr>
      <w:r>
        <w:rPr>
          <w:rFonts w:ascii="EB Garamond" w:hAnsi="EB Garamond" w:cs="EB Garamond"/>
          <w:b/>
          <w:i w:val="0"/>
          <w:color w:val="3A3128"/>
          <w:sz w:val="25"/>
          <w:lang w:val="pt-BR" w:bidi="ar-SA"/>
          <w:kern w:val="16"/>
          <w14:ligatures w14:val="standardContextual"/>
        </w:rPr>
        <w:t>20.5.6 Salário-maternidade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salário-maternidade apresenta as seguintes regras de acumulação.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Com auxílio por incapacidade temporária: vedada (art. 124, V), conforme já examinado.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Com aposentadoria: vedada por força do art. 18, § 2º, da Lei 8.213/91, que exclui expressamente o salário-maternidade das prestações devidas ao aposentado que retorna ao trabalho. A aposentada que volta a exercer atividade laboral contribui obrigatoriamente, mas faz jus apenas ao salário-família e à reabilitação profissional. A questão sobre a constitucionalidade dessa restrição, à luz do RE 381.367/STF, é examinada no Cap. 13 (seção 13.11).</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Com pensão por morte: permitida. A segurada que recebe pensão por morte de cônjuge e dá à luz faz jus ao salário-maternidade, pois os dois benefícios decorrem de fatos geradores e fundamentos distintos — a proteção à maternidade e a proteção contra o risco morte, respectivamente. Após a EC 103/2019, o escalonamento aplica-se se ambos os benefícios forem de prestação continuada, nos termos do art. 24.</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Com auxílio-acidente: permitida. O auxílio-acidente tem natureza indenizatória e não se confunde com os benefícios por incapacidade. Não há vedação legal expressa à acumulação.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matéria é examinada em detalhe no Cap. 13 (seção 13.11).</w:t>
      </w:r>
    </w:p>
    <w:p>
      <w:pPr>
        <w:spacing w:before="260" w:after="80" w:line="240" w:lineRule="auto"/>
        <w:jc w:val="left"/>
      </w:pPr>
      <w:r>
        <w:rPr>
          <w:rFonts w:ascii="EB Garamond" w:hAnsi="EB Garamond" w:cs="EB Garamond"/>
          <w:b/>
          <w:i w:val="0"/>
          <w:color w:val="3A3128"/>
          <w:sz w:val="25"/>
          <w:lang w:val="pt-BR" w:bidi="ar-SA"/>
          <w:kern w:val="16"/>
          <w14:ligatures w14:val="standardContextual"/>
        </w:rPr>
        <w:t>20.5.7 BPC e benefícios previdenciários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Benefício de Prestação Continuada (BPC/LOAS) é inacumulável com qualquer benefício previdenciário, por força do art. 20, § 4º, da Lei n. 8.742/93 (Lei Orgânica da Assistência Social). A vedação decorre da natureza assistencial do BPC, que se destina a quem não dispõe de meios de subsistência por si ou por sua família. A percepção de benefício previdenciário, aposentadoria, pensão por morte, auxílio-acidente, evidencia, em tese, a existência de fonte de renda que afasta a condição de necessidade pressuposta pelo BPC.</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dos JEFs, a vedação impõe ao beneficiário a opção pelo mais vantajoso. Em determinadas situações, o BPC (fixado em um salário-mínimo) pode ser mais favorável que o benefício previdenciário a que o segurado faria jus — quando o benefício previdenciário calculado resulta em valor inferior ao mínimo, hipótese rara mas não inexistente em casos de aposentadoria proporcional antiga ou pensão por morte calculada sob as regras da EC 103/2019.</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vedação aplica-se independentemente da natureza do benefício previdenciário: aposentadoria por idade, aposentadoria por incapacidade permanente, pensão por morte, auxílio por incapacidade temporária ou salário-maternidade — qualquer dessas prestações impede a manutenção simultânea do BPC, cabendo ao beneficiário a escolha pela que lhe for mais favorável. O exercício da opção produz efeitos ex nunc, e a cessação do benefício preterido não gera obrigação de restituição dos valores anteriormente recebidos de boa-fé, nos termos da jurisprudência consolidada sobre a irrepetibilidade de verbas alimentares.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tema é aprofundado no Cap. 18 (seção 18.20).</w:t>
      </w:r>
    </w:p>
    <w:p>
      <w:pPr>
        <w:spacing w:before="260" w:after="80" w:line="240" w:lineRule="auto"/>
        <w:jc w:val="left"/>
      </w:pPr>
      <w:r>
        <w:rPr>
          <w:rFonts w:ascii="EB Garamond" w:hAnsi="EB Garamond" w:cs="EB Garamond"/>
          <w:b/>
          <w:i w:val="0"/>
          <w:color w:val="3A3128"/>
          <w:sz w:val="25"/>
          <w:lang w:val="pt-BR" w:bidi="ar-SA"/>
          <w:kern w:val="16"/>
          <w14:ligatures w14:val="standardContextual"/>
        </w:rPr>
        <w:t>20.5.8 Auxílio-reclusão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auxílio-reclusão apresenta questões de acumulação específicas. A situação mais relevante é a do dependente que recebe auxílio-reclusão e, durante o cumprimento da pena pelo segurado, este vem a falecer. O auxílio-reclusão é automaticamente convertido em pensão por morte, nos termos do art. 80 da Lei 8.213/91, cessando o auxílio-reclusão e iniciando-se a pensão. Não há propriamente acumulação, mas substituição de um benefício por outro.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Quando o dependente já recebe outro benefício próprio (aposentadoria, por exemplo) e passa a ter direito ao auxílio-reclusão, a acumulação segue as regras gerais: o auxílio-reclusão, como benefício de prestação continuada, sujeita-se ao escalonamento do art. 24 quando acumulado com aposentadoria ou outra pensão. A matéria é examinada no Cap. 14 (seção 14.13).</w:t>
      </w:r>
    </w:p>
    <w:p>
      <w:pPr>
        <w:spacing w:before="260" w:after="80" w:line="240" w:lineRule="auto"/>
        <w:jc w:val="left"/>
      </w:pPr>
      <w:r>
        <w:rPr>
          <w:rFonts w:ascii="EB Garamond" w:hAnsi="EB Garamond" w:cs="EB Garamond"/>
          <w:b/>
          <w:i w:val="0"/>
          <w:color w:val="3A3128"/>
          <w:sz w:val="25"/>
          <w:lang w:val="pt-BR" w:bidi="ar-SA"/>
          <w:kern w:val="16"/>
          <w14:ligatures w14:val="standardContextual"/>
        </w:rPr>
        <w:t>20.5.9 Salário-família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salário-família acumula com todos os benefícios previdenciários. Não há vedação legal à sua percepção conjunta com qualquer outra prestação do RGPS, aposentadoria, pensão por morte, auxílio por incapacidade temporária, salário-maternidade ou auxílio-acidente. Essa acumulação irrestrita decorre da natureza do salário-família como benefício de proteção à família de baixa renda, cujo objetivo é complementar a renda do segurado para o sustento dos filhos menores de 14 anos ou inválidos, independentemente de outras prestações que o segurado receba. O art. 18, § 2º, da Lei 8.213/91 confirma a regra ao incluir o salário-família entre os benefícios devidos ao aposentado que retorna ao trabalho.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5F3EF" w:val="clear"/>
            <w:tcBorders>
              <w:top w:val="single" w:sz="7" w:space="0" w:color="A09882"/>
              <w:bottom w:val="single" w:sz="7" w:space="0" w:color="A09882"/>
              <w:right w:val="single" w:sz="7" w:space="0" w:color="A09882"/>
              <w:left w:val="single" w:sz="24" w:space="0" w:color="6B6256"/>
            </w:tcBorders>
          </w:tcPr>
          <w:p>
            <w:pPr>
              <w:spacing w:before="0" w:after="60" w:line="240" w:lineRule="auto"/>
              <w:jc w:val="left"/>
            </w:pPr>
            <w:r>
              <w:rPr>
                <w:rFonts w:ascii="Noto Sans" w:hAnsi="Noto Sans" w:cs="Noto Sans"/>
                <w:b/>
                <w:i w:val="0"/>
                <w:caps/>
                <w:color w:val="6B6256"/>
                <w:sz w:val="16"/>
                <w:lang w:val="pt-BR" w:bidi="ar-SA"/>
                <w:kern w:val="16"/>
                <w14:ligatures w14:val="standardContextual"/>
              </w:rPr>
              <w:t>QUADRO</w:t>
            </w:r>
          </w:p>
          <w:p>
            <w:pPr>
              <w:spacing w:before="0" w:after="60" w:line="247" w:lineRule="auto"/>
              <w:jc w:val="both"/>
            </w:pPr>
            <w:r>
              <w:rPr>
                <w:rFonts w:ascii="EB Garamond" w:hAnsi="EB Garamond" w:cs="EB Garamond"/>
                <w:b/>
                <w:i w:val="0"/>
                <w:color w:val="201B16"/>
                <w:sz w:val="19"/>
                <w:lang w:val="pt-BR" w:bidi="ar-SA"/>
                <w:kern w:val="16"/>
                <w14:ligatures w14:val="standardContextual"/>
              </w:rPr>
              <w:t>Quadro 20.3 — Matriz Completa de Acumulação de Benefícios</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 xml:space="preserve">Legenda: </w:t>
            </w:r>
            <w:r>
              <w:rPr>
                <w:rFonts w:ascii="EB Garamond" w:hAnsi="EB Garamond" w:cs="EB Garamond"/>
                <w:b/>
                <w:i w:val="0"/>
                <w:color w:val="201B16"/>
                <w:sz w:val="19"/>
                <w:lang w:val="pt-BR" w:bidi="ar-SA"/>
                <w:kern w:val="16"/>
                <w14:ligatures w14:val="standardContextual"/>
              </w:rPr>
              <w:t>V</w:t>
            </w:r>
            <w:r>
              <w:rPr>
                <w:rFonts w:ascii="EB Garamond" w:hAnsi="EB Garamond" w:cs="EB Garamond"/>
                <w:b w:val="0"/>
                <w:i w:val="0"/>
                <w:color w:val="201B16"/>
                <w:sz w:val="19"/>
                <w:lang w:val="pt-BR" w:bidi="ar-SA"/>
                <w:kern w:val="16"/>
                <w14:ligatures w14:val="standardContextual"/>
              </w:rPr>
              <w:t xml:space="preserve"> = Vedada | </w:t>
            </w:r>
            <w:r>
              <w:rPr>
                <w:rFonts w:ascii="EB Garamond" w:hAnsi="EB Garamond" w:cs="EB Garamond"/>
                <w:b/>
                <w:i w:val="0"/>
                <w:color w:val="201B16"/>
                <w:sz w:val="19"/>
                <w:lang w:val="pt-BR" w:bidi="ar-SA"/>
                <w:kern w:val="16"/>
                <w14:ligatures w14:val="standardContextual"/>
              </w:rPr>
              <w:t>P</w:t>
            </w:r>
            <w:r>
              <w:rPr>
                <w:rFonts w:ascii="EB Garamond" w:hAnsi="EB Garamond" w:cs="EB Garamond"/>
                <w:b w:val="0"/>
                <w:i w:val="0"/>
                <w:color w:val="201B16"/>
                <w:sz w:val="19"/>
                <w:lang w:val="pt-BR" w:bidi="ar-SA"/>
                <w:kern w:val="16"/>
                <w14:ligatures w14:val="standardContextual"/>
              </w:rPr>
              <w:t xml:space="preserve"> = Permitida (integral) | </w:t>
            </w:r>
            <w:r>
              <w:rPr>
                <w:rFonts w:ascii="EB Garamond" w:hAnsi="EB Garamond" w:cs="EB Garamond"/>
                <w:b/>
                <w:i w:val="0"/>
                <w:color w:val="201B16"/>
                <w:sz w:val="19"/>
                <w:lang w:val="pt-BR" w:bidi="ar-SA"/>
                <w:kern w:val="16"/>
                <w14:ligatures w14:val="standardContextual"/>
              </w:rPr>
              <w:t>E</w:t>
            </w:r>
            <w:r>
              <w:rPr>
                <w:rFonts w:ascii="EB Garamond" w:hAnsi="EB Garamond" w:cs="EB Garamond"/>
                <w:b w:val="0"/>
                <w:i w:val="0"/>
                <w:color w:val="201B16"/>
                <w:sz w:val="19"/>
                <w:lang w:val="pt-BR" w:bidi="ar-SA"/>
                <w:kern w:val="16"/>
                <w14:ligatures w14:val="standardContextual"/>
              </w:rPr>
              <w:t xml:space="preserve"> = Permitida (com escalonamento) | </w:t>
            </w:r>
            <w:r>
              <w:rPr>
                <w:rFonts w:ascii="EB Garamond" w:hAnsi="EB Garamond" w:cs="EB Garamond"/>
                <w:b/>
                <w:i w:val="0"/>
                <w:color w:val="201B16"/>
                <w:sz w:val="19"/>
                <w:lang w:val="pt-BR" w:bidi="ar-SA"/>
                <w:kern w:val="16"/>
                <w14:ligatures w14:val="standardContextual"/>
              </w:rPr>
              <w:t>DA</w:t>
            </w:r>
            <w:r>
              <w:rPr>
                <w:rFonts w:ascii="EB Garamond" w:hAnsi="EB Garamond" w:cs="EB Garamond"/>
                <w:b w:val="0"/>
                <w:i w:val="0"/>
                <w:color w:val="201B16"/>
                <w:sz w:val="19"/>
                <w:lang w:val="pt-BR" w:bidi="ar-SA"/>
                <w:kern w:val="16"/>
                <w14:ligatures w14:val="standardContextual"/>
              </w:rPr>
              <w:t xml:space="preserve"> = Permitida (direito adquirido, se requisitos preenchidos antes de 13/11/2019)</w:t>
            </w:r>
          </w:p>
          <w:tbl>
            <w:tblPr>
              <w:tblW w:type="auto" w:w="0"/>
              <w:jc w:val="center"/>
              <w:tblLook w:firstColumn="1" w:firstRow="1" w:lastColumn="0" w:lastRow="0" w:noHBand="0" w:noVBand="1" w:val="04A0"/>
              <w:tblW w:w="5000" w:type="pct"/>
            </w:tblPr>
            <w:tblGrid>
              <w:gridCol w:w="577"/>
              <w:gridCol w:w="577"/>
              <w:gridCol w:w="577"/>
              <w:gridCol w:w="577"/>
              <w:gridCol w:w="577"/>
              <w:gridCol w:w="577"/>
              <w:gridCol w:w="577"/>
              <w:gridCol w:w="577"/>
              <w:gridCol w:w="577"/>
              <w:gridCol w:w="577"/>
              <w:gridCol w:w="577"/>
            </w:tblGrid>
            <w:tr>
              <w:trPr>
                <w:tblHeader/>
              </w:trPr>
              <w:tc>
                <w:tcPr>
                  <w:tcW w:type="dxa" w:w="57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r>
                </w:p>
              </w:tc>
              <w:tc>
                <w:tcPr>
                  <w:tcW w:type="dxa" w:w="57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Apos (mesmo regime)</w:t>
                  </w:r>
                </w:p>
              </w:tc>
              <w:tc>
                <w:tcPr>
                  <w:tcW w:type="dxa" w:w="57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Apos (outro regime)</w:t>
                  </w:r>
                </w:p>
              </w:tc>
              <w:tc>
                <w:tcPr>
                  <w:tcW w:type="dxa" w:w="57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PM (mesmo regime)</w:t>
                  </w:r>
                </w:p>
              </w:tc>
              <w:tc>
                <w:tcPr>
                  <w:tcW w:type="dxa" w:w="57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PM (outro regime)</w:t>
                  </w:r>
                </w:p>
              </w:tc>
              <w:tc>
                <w:tcPr>
                  <w:tcW w:type="dxa" w:w="57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AIT</w:t>
                  </w:r>
                </w:p>
              </w:tc>
              <w:tc>
                <w:tcPr>
                  <w:tcW w:type="dxa" w:w="57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AA</w:t>
                  </w:r>
                </w:p>
              </w:tc>
              <w:tc>
                <w:tcPr>
                  <w:tcW w:type="dxa" w:w="57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SM</w:t>
                  </w:r>
                </w:p>
              </w:tc>
              <w:tc>
                <w:tcPr>
                  <w:tcW w:type="dxa" w:w="57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SF</w:t>
                  </w:r>
                </w:p>
              </w:tc>
              <w:tc>
                <w:tcPr>
                  <w:tcW w:type="dxa" w:w="57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AR</w:t>
                  </w:r>
                </w:p>
              </w:tc>
              <w:tc>
                <w:tcPr>
                  <w:tcW w:type="dxa" w:w="57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BPC</w:t>
                  </w:r>
                </w:p>
              </w:tc>
            </w:tr>
            <w:tr>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Apos</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E</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E</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E</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V/DA¹</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E</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w:t>
                  </w:r>
                </w:p>
              </w:tc>
            </w:tr>
            <w:tr>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PM</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E</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E</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V²</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E</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E</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E</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³</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w:t>
                  </w:r>
                </w:p>
              </w:tc>
            </w:tr>
            <w:tr>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AIT</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E</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E</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V⁴</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⁵</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w:t>
                  </w:r>
                </w:p>
              </w:tc>
            </w:tr>
            <w:tr>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AA</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V/DA¹</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E</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E</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E</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⁵</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V⁶</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w:t>
                  </w:r>
                </w:p>
              </w:tc>
            </w:tr>
            <w:tr>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SM</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w:t>
                  </w:r>
                </w:p>
              </w:tc>
            </w:tr>
            <w:tr>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SF</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w:t>
                  </w:r>
                </w:p>
              </w:tc>
            </w:tr>
            <w:tr>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AR</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E</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E</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³</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³</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w:t>
                  </w:r>
                </w:p>
              </w:tc>
            </w:tr>
            <w:tr>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i w:val="0"/>
                      <w:color w:val="201B16"/>
                      <w:sz w:val="16"/>
                      <w:lang w:val="pt-BR" w:bidi="ar-SA"/>
                      <w:kern w:val="16"/>
                      <w14:ligatures w14:val="standardContextual"/>
                    </w:rPr>
                    <w:t>BPC</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V</w:t>
                  </w:r>
                </w:p>
              </w:tc>
              <w:tc>
                <w:tcPr>
                  <w:tcW w:type="dxa" w:w="57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w:t>
                  </w:r>
                </w:p>
              </w:tc>
            </w:tr>
          </w:tbl>
          <w:p/>
          <w:p>
            <w:pPr>
              <w:spacing w:before="0" w:after="0" w:line="240" w:lineRule="auto"/>
            </w:pPr>
          </w:p>
          <w:p>
            <w:pPr>
              <w:spacing w:before="0" w:after="60" w:line="247" w:lineRule="auto"/>
              <w:jc w:val="both"/>
            </w:pPr>
            <w:r>
              <w:rPr>
                <w:rFonts w:ascii="EB Garamond" w:hAnsi="EB Garamond" w:cs="EB Garamond"/>
                <w:b w:val="0"/>
                <w:i w:val="0"/>
                <w:color w:val="201B16"/>
                <w:sz w:val="19"/>
                <w:lang w:val="pt-BR" w:bidi="ar-SA"/>
                <w:kern w:val="16"/>
                <w14:ligatures w14:val="standardContextual"/>
              </w:rPr>
              <w:t>¹ Vedada a partir de 11/11/1997 (Lei 9.528/97); acumulação integral se ambos concedidos antes dessa data (Súmula 507/STJ). ² Vedação restrita a pensões de cônjuge/companheiro; pensão de cônjuge + pensão de genitor no mesmo regime: permitida com escalonamento. ³ Auxílio-reclusão é convertido em pensão por morte se o segurado falece (art. 80, Lei 8.213/91). ⁴ Dois auxílios por incapacidade temporária do mesmo segurado: vedada (incapacidade total pressupõe cessação de todas as atividades). ⁵ Acumulação de auxílio por incapacidade temporária com auxílio-acidente: permitida (naturezas distintas, incapacidade temporária vs. Sequela indenizável). ⁶ Exceção: dois auxílios-acidente decorrentes de acidentes distintos com sequelas autônomas (permitida).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Apos = Aposentadoria; PM = Pensão por Morte; AIT = Auxílio por Incapacidade Temporária; AA = Auxílio-Acidente; SM = Salário-Maternidade; SF = Salário-Família; AR = Auxílio-Reclusão; BPC = Benefício de Prestação Continuada.</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20.6 Exceções ao redutor: integralidade na acumulação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sistema de escalonamento instituído pelo art. 24 da EC 103/2019 comporta duas exceções de texto, nas quais a acumulação ocorre com integralidade, sem aplicação do redutor: os benefícios decorrentes de cargos constitucionalmente acumuláveis, ressalvados no próprio caput do art. 24, e o direito adquirido antes da vigência da Emenda (art. 24, § 4º, examinado na seção 20.7). Convém desfazer, de saída, duas leituras equivocadas que circulam na prática forense.</w:t>
      </w:r>
    </w:p>
    <w:p>
      <w:pPr>
        <w:spacing w:before="260" w:after="80" w:line="240" w:lineRule="auto"/>
        <w:jc w:val="left"/>
      </w:pPr>
      <w:r>
        <w:rPr>
          <w:rFonts w:ascii="EB Garamond" w:hAnsi="EB Garamond" w:cs="EB Garamond"/>
          <w:b/>
          <w:i w:val="0"/>
          <w:color w:val="3A3128"/>
          <w:sz w:val="25"/>
          <w:lang w:val="pt-BR" w:bidi="ar-SA"/>
          <w:kern w:val="16"/>
          <w14:ligatures w14:val="standardContextual"/>
        </w:rPr>
        <w:t>20.6.1 O que o art. 24 não excepciona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24 da EC 103/2019 tem cinco parágrafos. O § 1º enumera as acumulações admitidas; o § 2º fixa as faixas do redutor; o § 3º dispõe que "a aplicação do disposto no § 2º poderá ser revista a qualquer tempo, a pedido do interessado, em razão de alteração de algum dos benefícios"; o § 4º ressalva o direito adquirido; e o § 5º remete a lei complementar futura alteração das regras. Não há, no texto da Emenda, exceção ao escalonamento para a pensão por morte decorrente de acidente de trabalho, doença profissional ou doença do trabalho, nem para a morte de servidor da segurança pública por violência no exercício da função. A natureza acidentária do óbito repercute na competência para a ação, que é da Justiça Estadual nas causas de acidente do trabalho (Súmula 501/STF), mas não altera a aplicação das faixas do § 2º quando a pensão é acumulada com aposentadoria.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Quanto aos servidores de que trata o art. 144 da Constituição e aos agentes penitenciários e socioeducativos, a proteção diferenciada existe, mas em outra sede e com outro alcance: o art. 40, § 7º, da CF, na redação da EC 103/2019, determina que a lei do respectivo ente federativo trate "de forma diferenciada a hipótese de morte dos servidores de que trata o § 4º-B decorrente de agressão sofrida no exercício ou em razão da função". Trata-se de comando dirigido à lei de cada ente para a fixação do valor da pensão dos regimes próprios, e não de exceção ao art. 24. Nos JEFs, em que se discute o RGPS, a regra é a aplicação do escalonamento a todas as acumulações do § 1º, seja qual for a causa da morte.</w:t>
      </w:r>
    </w:p>
    <w:p>
      <w:pPr>
        <w:spacing w:before="260" w:after="80" w:line="240" w:lineRule="auto"/>
        <w:jc w:val="left"/>
      </w:pPr>
      <w:r>
        <w:rPr>
          <w:rFonts w:ascii="EB Garamond" w:hAnsi="EB Garamond" w:cs="EB Garamond"/>
          <w:b/>
          <w:i w:val="0"/>
          <w:color w:val="3A3128"/>
          <w:sz w:val="25"/>
          <w:lang w:val="pt-BR" w:bidi="ar-SA"/>
          <w:kern w:val="16"/>
          <w14:ligatures w14:val="standardContextual"/>
        </w:rPr>
        <w:t>20.6.2 Cargos constitucionalmente acumuláveis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exceção de texto ao escalonamento abrange os benefícios decorrentes de cargos que a Constituição Federal autoriza acumular. O art. 37, XVI, da CF/88 permite, em caráter excepcional, a acumulação remunerada de: (a) dois cargos de professor; (b) um cargo de professor com outro técnico ou científico; e (c) dois cargos ou empregos privativos de profissionais de saúde, com profissões regulamentadas.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doutrina e a jurisprudência dominante firmaram o entendimento de que os benefícios previdenciários decorrentes de cargos constitucionalmente acumuláveis não se sujeitam à vedação de acumulação nem ao redutor de escalonamento do art. 24 da EC 103/2019. O fundamento é direto: se a própria Constituição autoriza a acumulação de cargos e a percepção simultânea de duas remunerações, a proteção previdenciária correspondente deve ser igualmente integral. Submeter as aposentadorias ou pensões decorrentes desses cargos ao escalonamento significaria esvaziar indiretamente a garantia constitucional de acumulação, pois o servidor que pode acumular dois cargos e duas remunerações na atividade teria proteção previdenciária reduzida na inatividade.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exceção se aplica tanto à acumulação de duas aposentadorias (servidor que se aposenta em ambos os cargos acumuláveis) quanto à acumulação de aposentadoria com pensão (dependente de servidor que falece ocupando dois cargos acumuláveis) e à acumulação de duas pensões (quando o instituidor deixa pensão relativa a cada um dos cargos que exercia). Em todas essas hipóteses, os benefícios são recebidos integralmente, sem redutor.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Exemplos práticos: o professor que se aposenta pela rede estadual (RPPS) e pela rede municipal (RPPS ou RGPS) recebe ambas as aposentadorias sem escalonamento; o médico que acumula cargo no hospital universitário federal (RPPS) com emprego em hospital privado (RGPS) recebe ambas as aposentadorias integralmente; o cônjuge sobrevivente de professor que exercia dois cargos de magistério recebe ambas as pensões por morte sem redutor. A regra aplica-se igualmente à acumulação de aposentadoria de um cargo acumulável com a pensão por morte do outro: o servidor que se aposentou como professor e cujo cônjuge faleceu enquanto exercia cargo de médico no serviço público — cargos acumuláveis pela alínea "c" do inciso XVI do art. 37 — acumula a aposentadoria de professor com a pensão por morte do cargo de médico, sem qualquer redutor.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dos JEFs, a comprovação da acumulabilidade dos cargos é questão prejudicial que deve ser enfrentada antes do exame do mérito da acumulação. O advogado deve demonstrar que os cargos exercidos pelo segurado ou instituidor enquadram-se em uma das hipóteses do art. 37, XVI, da CF/88, mediante apresentação dos atos de nomeação, certidões funcionais e legislação que regulamenta cada cargo. A simples alegação de que se trata de cargos acumuláveis, sem prova documental, é insuficiente para afastar a aplicação do escalonamento.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Orientação consolidada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doutrina majoritária e a interpretação sistemática da Constituição convergem no entendimento de que o escalonamento do art. 24 da EC 103/2019 não se aplica a benefícios decorrentes de cargos constitucionalmente acumuláveis (art. 37, XVI, CF). O fundamento é direto: a garantia constitucional de acumulação de cargos públicos, inscrita no texto constitucional originário, não pode ser esvaziada por emenda que reduza a proteção previdenciária correspondente. Essa orientação aplica-se a todas as combinações de benefícios oriundos de cargos acumuláveis: duas aposentadorias, aposentadoria e pensão, ou duas pensões. Os tribunais regionais federais têm aplicado esse entendimento de forma consistente.</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20.7 Direito adquirido e intertemporalidade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EC n. 103/2019 trouxe consigo cláusula expressa de proteção ao direito adquirido em matéria de acumulação de benefícios. O art. 24, §4º, dispõe que "as vedações previstas neste artigo não se aplicam quando o direito aos benefícios houver sido adquirido antes da data de entrada em vigor desta Emenda Constitucional". A data de corte é 13 de novembro de 2019, data de promulgação da EC 103. Essa previsão, embora pudesse ser considerada desnecessária, uma vez que o art. 5º, XXXVI, da Constituição Federal já protege o direito adquirido como garantia fundamental, cumpre função didática e preventiva. O legislador constituinte derivado antecipou o potencial contencioso e optou por afastar qualquer dúvida interpretativa acerca da retroatividade das novas regras de escalonamento.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compreensão adequada dessa cláusula exige a definição precisa do conceito de direito adquirido previdenciário. O direito ao benefício previdenciário consolida-se no momento em que o segurado ou dependente preenche todos os requisitos legais exigidos pela norma vigente. Não se exige requerimento administrativo, tampouco ato concessório do INSS. O requerimento é ato meramente declaratório: reconhece direito preexistente, mas não o constitui. Dessa distinção decorre a correta aplicação da regra de transição do art. 24, §4º: o que define a incidência ou não do escalonamento é a data de preenchimento dos requisitos de cada benefício, e não a data em que o segurado apresentou seu requerimento administrativo ou a data em que o INSS proferiu decisão concessória.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partir dessa premissa, identificamos três situações práticas distintas que exigem tratamento diferenciado.</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Ambos os benefícios anteriores à EC 103.</w:t>
      </w:r>
      <w:r>
        <w:rPr>
          <w:rFonts w:ascii="EB Garamond" w:hAnsi="EB Garamond" w:cs="EB Garamond"/>
          <w:b w:val="0"/>
          <w:i w:val="0"/>
          <w:color w:val="201B16"/>
          <w:sz w:val="21"/>
          <w:lang w:val="pt-BR" w:bidi="ar-SA"/>
          <w:kern w:val="16"/>
          <w14:ligatures w14:val="standardContextual"/>
        </w:rPr>
        <w:t xml:space="preserve"> A primeira hipótese envolve o segurado ou dependente que já recebia ambos os benefícios antes de 13 de novembro de 2019. Nesse caso, a acumulação integral está consolidada por força do direito adquirido. O INSS não pode impor escalonamento retroativo nem revisar a forma de acumulação para adequá-la ao art. 24. A proteção abrange tanto os benefícios que estavam sendo efetivamente pagos quanto os que, embora concedidos, encontravam-se suspensos por razão diversa (pendência de recadastramento, por exemplo). A acumulação integral permanece inalterada enquanto ambos os benefícios estiverem vigentes.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Requisitos preenchidos antes da EC 103, requerimento posterior.</w:t>
      </w:r>
      <w:r>
        <w:rPr>
          <w:rFonts w:ascii="EB Garamond" w:hAnsi="EB Garamond" w:cs="EB Garamond"/>
          <w:b w:val="0"/>
          <w:i w:val="0"/>
          <w:color w:val="201B16"/>
          <w:sz w:val="21"/>
          <w:lang w:val="pt-BR" w:bidi="ar-SA"/>
          <w:kern w:val="16"/>
          <w14:ligatures w14:val="standardContextual"/>
        </w:rPr>
        <w:t xml:space="preserve"> A segunda hipótese refere-se ao segurado ou dependente que preencheu os requisitos de ambos os benefícios antes de 13 de novembro de 2019, mas requereu um ou ambos somente após essa data. A circunstância de o requerimento administrativo ter sido apresentado já na vigência da EC 103 não retira o direito adquirido à acumulação integral. Se um trabalhador completou os requisitos da aposentadoria por tempo de contribuição em março de 2019 e sua esposa, também segurada, preencheu os requisitos de aposentadoria por idade em agosto de 2019, ambos tinham direito adquirido a seus respectivos benefícios antes da Emenda. O fato de terem requerido as aposentadorias em 2020 não autoriza o INSS a aplicar o escalonamento do art. 24 sobre a acumulação desses benefícios com eventual pensão por morte futura, pois os requisitos foram implementados no regime anterior.</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Um benefício anterior, outro posterior à EC 103.</w:t>
      </w:r>
      <w:r>
        <w:rPr>
          <w:rFonts w:ascii="EB Garamond" w:hAnsi="EB Garamond" w:cs="EB Garamond"/>
          <w:b w:val="0"/>
          <w:i w:val="0"/>
          <w:color w:val="201B16"/>
          <w:sz w:val="21"/>
          <w:lang w:val="pt-BR" w:bidi="ar-SA"/>
          <w:kern w:val="16"/>
          <w14:ligatures w14:val="standardContextual"/>
        </w:rPr>
        <w:t xml:space="preserve"> A terceira hipótese, mais frequente na prática dos JEFs, ocorre quando o segurado preencheu os requisitos de um dos benefícios antes de 13 de novembro de 2019 e os requisitos do outro benefício somente após essa data. Nessa hipótese, o segundo benefício submete-se integralmente ao regime da EC 103, incluindo o escalonamento do art. 24. Tomemos o exemplo de segurada que se aposentou em 2015 e cujo cônjuge faleceu em 2021: a aposentadoria é anterior à Emenda, mas a pensão por morte, cujo fato gerador (o óbito) ocorreu após 13 de novembro de 2019, está sujeita ao regime do art. 24. A acumulação é permitida, porém com incidência do redutor sobre o benefício de menor valor.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Essa terceira situação exige atenção redobrada porque o direito adquirido opera de forma independente para cada benefício. O segurado não adquire direito à "acumulação" em abstrato; adquire direito a cada benefício individualmente. A regra de acumulação aplicável é definida pelo momento em que se configura a simultaneidade, ou seja, quando o segundo benefício passa a ser devido. Se esse momento é posterior à EC 103, as regras do art. 24 incidem, ainda que o primeiro benefício tenha sido concedido décadas antes.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Registramos uma variante dessa terceira situação que gera controvérsia em termos operacionais forense: o segurado que preencheu os requisitos de aposentadoria antes da EC 103, não se aposentou, cujo fato gerador do segundo benefício também ocorreu antes da Emenda, mas que somente requereu a aposentadoria após 13 de novembro de 2019. Nessa hipótese, sustentamos que o direito adquirido à acumulação integral está preservado, pois o que o §4º protege é o direito aos benefícios adquirido antes da Emenda, e não o exercício desse direito (requerimento). Ambos os fatos geradores são anteriores à EC 103, e ambos os requisitos foram preenchidos antes da data de corte. A circunstância de o requerimento ser posterior não altera a natureza do direito, que é anterior. O INSS, em situações como essa, tende a aplicar o escalonamento com base na data do requerimento. Essa conduta merece correção judicial, pois confunde a data de exercício do direito com a data de aquisição do direito.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aferição do direito adquirido na acumulação exige exame cuidadoso. O advogado deve verificar a data de preenchimento dos requisitos de CADA benefício separadamente, e não apenas a data do requerimento administrativo. Um segurado que completou os requisitos de aposentadoria em 2018 e cuja esposa faleceu em 2020 não tem direito adquirido à acumulação integral — o segundo benefício (pensão por morte) foi gerado após a EC 103, sujeitando-se ao escalonamento. A confusão entre data de requerimento e data de implementação dos requisitos é causa recorrente de indeferimentos e de insucesso em ações judiciais.</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distinção entre intertemporalidade do cálculo e intertemporalidade da acumulação merece desenvolvimento. São questões que operam em planos distintos, embora frequentemente confundidas na experiência dos juizados forenses. A regra de cálculo do benefício (fórmula, período básico de cálculo, fator previdenciário, regra de transição) é definida pela data do fato gerador do benefício, segundo o princípio tempus regit actum. Um segurado que preencheu os requisitos de aposentadoria antes da EC 103 tem direito ao cálculo conforme as regras vigentes naquela data, ainda que requeira o benefício posteriormente. Já a regra de acumulação, que disciplina a convivência entre dois benefícios simultâneos, é definida pela data em que o segundo benefício passa a ser devido. Um segurado pode ter direito adquirido ao cálculo mais favorável de sua aposentadoria (regra pré-EC 103) e, simultaneamente, estar submetido ao escalonamento na acumulação dessa aposentadoria com pensão por morte cujo fato gerador ocorreu após a Emenda. As duas questões não se confundem e devem ser examinadas em separado.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No plano do controle de constitucionalidade, as ADIs 6.254, 6.255, 6.258 e 6.271 questionam diversas disposições da EC 103/2019. O julgamento no STF foi iniciado e encontra-se pendente de conclusão. Registramos, porém, que o foco principal dessas ações não é o art. 24 (regime de acumulação), e sim disposições relativas a alíquotas progressivas de contribuição e ao regime de transição de servidores estaduais e municipais. Até junho de 2026, o STF não proferiu decisão definitiva publicada sobre essas ADIs. A ausência de pronunciamento específico sobre o art. 24 permite que a regra de escalonamento continue sendo aplicada integralmente pelo INSS e pelo Poder Judiciário, sem qualquer modulação jurisprudencial.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advogado deve acompanhar o andamento dessas ADIs, pois eventual declaração de inconstitucionalidade de dispositivos da EC 103 pode repercutir, ainda que indiretamente, sobre o regime de acumulação. Se o STF declarar inconstitucional o sistema de alíquotas progressivas de contribuição, por exemplo, a fundamentação adotada poderá ser invocada por analogia para questionar a proporcionalidade das faixas de escalonamento do art. 24, §2º. Por outro lado, a confirmação da constitucionalidade dos dispositivos questionados reforçará a posição de que o legislador constituinte derivado dispunha de ampla liberdade para conformar o sistema previdenciário, inclusive no que se refere à limitação de acumulações.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Produção de prova do direito adquirido à acumulação integral</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advogado que pretenda demonstrar o direito adquirido à acumulação sem escalonamento deve reunir documentação que comprove a data de preenchimento dos requisitos de cada benefício. Os principais elementos de prova são: (a) Cadastro Nacional de Informações Sociais (CNIS), que registra os vínculos empregatícios, as contribuições vertidas e os períodos de filiação; (b) carta de concessão do benefício já implantado, com indicação da Data de Início do Benefício (DIB) e da Data de Entrada do Requerimento (DER); (c) certidão de tempo de contribuição emitida pelo INSS ou pelo RPPS, quando se tratar de acumulação inter-regimes; (d) demonstrativo de cálculo do benefício, que permite identificar o período básico de cálculo e a regra aplicada; (e) certidão de óbito (no caso de pensão por morte) ou laudo pericial (no caso de benefícios por incapacidade), para fixar a data do fato gerador do segundo benefício. A petição inicial deve articular com clareza a cronologia: data de preenchimento do primeiro benefício, data de corte (13/11/2019), data de preenchimento do segundo benefício, demonstrando que ambos os requisitos foram implementados antes da EC 103.</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aplicação prática da cláusula de direito adquirido no âmbito administrativo apresenta dificuldades operacionais que o advogado deve antecipar. O sistema informatizado do INSS, em regra, aplica automaticamente o escalonamento do art. 24 a toda acumulação de benefícios concedidos após 13 de novembro de 2019, sem distinguir a data de preenchimento dos requisitos. Quando o segurado apresenta requerimento de benefício após a EC 103, o sistema aplica o redutor independentemente de o direito ter sido adquirido em data anterior. Essa automatização gera indeferimentos e aplicações indevidas do escalonamento que somente são corrigidas mediante requerimento específico de revisão administrativa ou por via judicial. O segurado que se enquadra na proteção do §4º deve, ao requerer o benefício, instruir o requerimento com documentação que comprove a data de preenchimento dos requisitos e requerer expressamente a aplicação da regra de direito adquirido. Na hipótese de indeferimento ou de aplicação indevida do redutor, a via judicial nos JEFs é o caminho mais célere para a correção.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regra do art. 24, §4º, é autoaplicável e não depende de regulamentação. Qualquer ato administrativo do INSS que imponha escalonamento a segurado com direito adquirido anterior à EC 103 constitui lesão a direito líquido e certo, passível de correção por via mandamental ou por ação ordinária nos JEFs.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20.8 Auxílio-acidente e aposentadoria: regime especial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acumulação de auxílio-acidente com aposentadoria constitui um dos temas de maior densidade jurisprudencial em matéria previdenciária, com evolução normativa que se desenvolve em três fases distintas e bem delimitadas no tempo. A compreensão dessas fases é indispensável para a correta aplicação do regime vigente e para a identificação de situações protegidas pelo direito adquirido.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primeira fase, de acumulação livre, que perdurou até 11 de novembro de 1997, o auxílio-acidente ostentava natureza vitalícia e era expressamente acumulável com qualquer aposentadoria. O benefício destinava-se a compensar a redução permanente da capacidade laborativa decorrente de acidente de qualquer natureza, e sua manutenção após a aposentadoria atendia à lógica indenizatória, pois a sequela persistia independentemente da cessação da atividade laborativa. O segurado que sofreu acidente, obteve auxílio-acidente e se aposentou, tudo antes de 11 de novembro de 1997, mantém o direito à acumulação integral, protegido pelo direito adquirido. O INSS não pode cessar o auxílio-acidente desse segurado sob o argumento de superveniência normativa.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segunda fase inaugura-se com a Medida Provisória n. 1.596-14, de 10 de novembro de 1997, posteriormente convertida na Lei n. 9.528, de 10 de dezembro de 1997. Essa norma alterou o § 2º do art. 86 da Lei n. 8.213/91, estabelecendo que o auxílio-acidente cessa com a concessão de qualquer aposentadoria. O § 3º, também com nova redação, disciplinou a incorporação do valor do auxílio-acidente ao salário de contribuição para fins de cálculo do benefício definitivo. A vedação é categórica: a partir de 11 de novembro de 1997, não é mais possível receber simultaneamente auxílio-acidente e aposentadoria. A contrapartida dessa vedação reside na incorporação: o valor do auxílio-acidente é computado no salário de contribuição do segurado para fins de cálculo da aposentadoria (art. 86, §2º). O segurado não "perde" a proteção — ela é absorvida pelo cálculo do benefício definitivo.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terceira fase corresponde à EC n. 103/2019, que não inovou em relação ao auxílio-acidente. A vedação de acumulação já existia desde 1997, e a Emenda Constitucional não a modificou nem a ampliou. O art. 23 da EC 103 trata de aspectos do cálculo de benefícios e não interfere na regra específica do auxílio-acidente. A menção à EC 103 aqui serve apenas para registrar a continuidade do regime vedatório inaugurado pela Lei n. 9.528/1997. Registramos que o art. 24 da EC 103, ao disciplinar o escalonamento para acumulação de benefícios, não se aplica ao auxílio-acidente. O escalonamento pressupõe acumulação permitida com redutor; no caso do auxílio-acidente após 1997, a vedação é absoluta, e não há espaço para aplicação de redutor sobre benefício cuja percepção simultânea é proibida.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jurisprudência consolidou de forma definitiva o marco temporal de 11 de novembro de 1997 como divisor entre o regime de acumulação livre e o regime de vedação.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Súmula 507/STJ</w:t>
            </w:r>
            <w:r>
              <w:rPr>
                <w:rFonts w:ascii="EB Garamond" w:hAnsi="EB Garamond" w:cs="EB Garamond"/>
                <w:b w:val="0"/>
                <w:i w:val="0"/>
                <w:color w:val="201B16"/>
                <w:sz w:val="19"/>
                <w:lang w:val="pt-BR" w:bidi="ar-SA"/>
                <w:kern w:val="16"/>
                <w14:ligatures w14:val="standardContextual"/>
              </w:rPr>
              <w:t xml:space="preserve"> (DJe 17/03/2014): "A acumulação de auxílio-acidente com aposentadoria pressupõe que a lesão incapacitante e a concessão da aposentadoria sejam anteriores a 11/11/1997, observado o critério do art. 23 da Lei 8.213/1991 para definição do momento da lesão nos casos de doença profissional ou do trabalho."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 xml:space="preserve">O </w:t>
            </w:r>
            <w:r>
              <w:rPr>
                <w:rFonts w:ascii="EB Garamond" w:hAnsi="EB Garamond" w:cs="EB Garamond"/>
                <w:b/>
                <w:i w:val="0"/>
                <w:color w:val="201B16"/>
                <w:sz w:val="19"/>
                <w:lang w:val="pt-BR" w:bidi="ar-SA"/>
                <w:kern w:val="16"/>
                <w14:ligatures w14:val="standardContextual"/>
              </w:rPr>
              <w:t>Tema 555/STJ</w:t>
            </w:r>
            <w:r>
              <w:rPr>
                <w:rFonts w:ascii="EB Garamond" w:hAnsi="EB Garamond" w:cs="EB Garamond"/>
                <w:b w:val="0"/>
                <w:i w:val="0"/>
                <w:color w:val="201B16"/>
                <w:sz w:val="19"/>
                <w:lang w:val="pt-BR" w:bidi="ar-SA"/>
                <w:kern w:val="16"/>
                <w14:ligatures w14:val="standardContextual"/>
              </w:rPr>
              <w:t xml:space="preserve"> (REsp 1.296.673/MG), julgado sob o rito dos recursos repetitivos, firmou idêntica tese. A Primeira Seção do STJ assentou que a acumulação de auxílio-acidente com aposentadoria exige dupla anterioridade: tanto a consolidação da lesão incapacitante quanto a concessão da aposentadoria devem ter ocorrido antes de 11 de novembro de 1997. A exigência de dupla anterioridade decorre da natureza do auxílio-acidente como benefício continuado: enquanto o segurado permanece em atividade, o auxílio compensa a redução da capacidade; ao se aposentar, essa compensação é incorporada ao cálculo da aposentadoria, tornando desnecessária a manutenção de dois benefícios simultâneos.</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critério do art. 23 da Lei n. 8.213/91, mencionado na Súmula, refere-se à definição do momento da lesão nas doenças profissionais ou do trabalho: considera-se a data do início da incapacidade laborativa para a atividade habitualmente exercida, ou a data do afastamento, ou a data do diagnóstico, o que ocorrer primeiro.</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incorporação do auxílio-acidente ao salário de contribuição merece esclarecimento adicional. No regime pós-1997, quando o segurado que recebia auxílio-acidente se aposenta, o valor do auxílio integra a base de cálculo da aposentadoria. Essa incorporação opera automaticamente: o INSS, ao calcular o salário de benefício para fins de aposentadoria, inclui os meses em que o segurado recebeu auxílio-acidente, somando esse valor ao salário de contribuição do período correspondente. O resultado prático é uma aposentadoria de valor superior àquela que seria calculada sem a incorporação, embora o segurado passe a receber um único benefício em lugar de dois.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mecânica da incorporação, contudo, gera controvérsia quando o segurado permaneceu longo período recebendo auxílio-acidente e seus salários de contribuição variaram ao longo do tempo. A inclusão do auxílio-acidente no salário de contribuição pode elevar substancialmente a média dos maiores salários utilizados no cálculo do benefício. Em contrapartida, o segurado que recebia auxílio-acidente de valor reduzido pode constatar que a incorporação produziu efeito marginal sobre o valor da aposentadoria, sem compensar adequadamente a perda do benefício autônomo. Essa circunstância, embora não altere a regra legal, deve ser verificada pelo advogado ao orientar o segurado sobre os efeitos financeiros concretos da cessação do auxílio-acidente por ocasião da aposentadoria. A conferência do cálculo do salário de benefício apresentado pelo INSS, com especial atenção à inclusão dos valores do auxílio-acidente nos meses correspondentes, é medida prudente que pode revelar erros de apuração em favor do segurado.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segurado que preenche as condições da dupla anterioridade (lesão e aposentadoria antes de 11/11/1997) e teve seu auxílio-acidente indevidamente cessado pelo INSS pode requerer o restabelecimento do benefício, com pagamento das parcelas vencidas. A prescrição quinquenal atinge apenas as parcelas anteriores aos cinco anos que antecedem o requerimento administrativo ou a propositura da ação judicial; o fundo de direito, por se tratar de relação de trato sucessivo, é imprescritível (Súmula 85/STJ).</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Recomendamos ao advogado que, ao analisar caso envolvendo auxílio-acidente e aposentadoria, verifique três elementos com precisão: a data da consolidação da lesão (ou o início da incapacidade parcial), a data da aposentadoria e a data de 11 de novembro de 1997. Somente com a dupla anterioridade a acumulação é juridicamente viável. O desenvolvimento aprofundado do regime jurídico do auxílio-acidente encontra-se nas seções 15.13 e 15.19 deste livro.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20.9 BPC e acumulação: vedação e opção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Benefício de Prestação Continuada (BPC), disciplinado pelo art. 20 da Lei n. 8.742/1993 (LOAS), submete-se a regime de acumulação próprio, mais restritivo que o aplicável aos benefícios previdenciários. O art. 20, §4º, da LOAS estabelece que o BPC não pode ser acumulado pelo beneficiário com qualquer outro benefício no âmbito da seguridade social ou de outro regime, salvo os da assistência médica e da pensão especial de natureza indenizatória. A vedação é ampla e abrange tanto benefícios previdenciários quanto assistenciais, de qualquer regime.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razão da vedação reside na natureza do BPC: trata-se de benefício assistencial, de caráter não contributivo, destinado a amparar idosos e pessoas com deficiência que comprovem não possuir meios de prover a própria manutenção nem de tê-la provida por sua família. Quem recebe benefício previdenciário, que pressupõe filiação ao regime e contribuições, já possui fonte de renda que, em tese, afasta a condição de miserabilidade que justifica o BPC. A acumulação representaria dupla proteção incompatível com a finalidade do benefício assistencial.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Diante da vedação, o requerente que preenche os requisitos tanto para o BPC quanto para benefício previdenciário deve exercer a opção pelo mais vantajoso. A opção não é irrevogável: o beneficiário que optou pelo BPC pode, a qualquer tempo, renunciar a ele e requerer o benefício previdenciário, se os requisitos estiverem preenchidos. A recíproca também é verdadeira, observadas as condições de elegibilidade do BPC (renda per capita familiar e, quando aplicável, avaliação de deficiência).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Turma Nacional de Uniformização fixou balizas relevantes para essa opção. O Tema 253/TNU assentou a inacumulabilidade do BPC com o auxílio-acidente, determinando que o beneficiário opte por aquele que lhe for mais favorável. A decisão reconheceu que ambos os benefícios possuem finalidade distinta (o auxílio-acidente compensa a redução da capacidade laborativa; o BPC ampara a pessoa que não possui meios de subsistência), mas a percepção simultânea viola a regra do art. 20, §4º, da LOAS. O Tema 284/TNU reconheceu que dependentes podem renunciar à cota de pensão por morte para viabilizar o recebimento do BPC, quando este se mostrar globalmente mais vantajoso. Essa hipótese ocorre, por exemplo, quando a cota individual da pensão por morte é inferior ao salário-mínimo e o dependente preenche os requisitos do BPC: ao renunciar à cota, o dependente afasta a vedação de acumulação e passa a receber o BPC no valor integral do salário-mínimo.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Lei n. 14.176/2021 introduziu o auxílio-inclusão como mecanismo de transição entre o BPC e o mercado de trabalho. O beneficiário do BPC que ingressa em atividade remunerada tem o BPC suspenso (não cessado) e passa a receber o auxílio-inclusão, com garantia de reativação do BPC caso a atividade laborativa se encerre. Esse mecanismo representa alternativa à vedação absoluta, ao permitir que a pessoa com deficiência experimente a inserção no mercado de trabalho sem o risco de perder definitivamente a proteção assistencial. O desenvolvimento detalhado do auxílio-inclusão encontra-se na seção 18.22 deste livro.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BPC apresenta duas características que o distinguem dos benefícios previdenciários e que devem ser consideradas na análise comparativa: não gera direito ao 13º salário e não gera pensão por morte para dependentes. O benefício tem natureza personalíssima e se extingue com a morte do beneficiário, sem qualquer repercussão em favor de terceiros. Essa circunstância torna o benefício previdenciário, na esmagadora maioria dos casos, globalmente mais vantajoso que o BPC, mesmo quando os valores mensais são idênticos.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Quando o BPC é mais vantajoso que o benefício previdenciário</w:t>
            </w:r>
            <w:r>
              <w:rPr>
                <w:rFonts w:ascii="EB Garamond" w:hAnsi="EB Garamond" w:cs="EB Garamond"/>
                <w:b w:val="0"/>
                <w:i w:val="0"/>
                <w:color w:val="201B16"/>
                <w:sz w:val="19"/>
                <w:lang w:val="pt-BR" w:bidi="ar-SA"/>
                <w:kern w:val="16"/>
                <w14:ligatures w14:val="standardContextual"/>
              </w:rPr>
              <w:t>: essa hipótese é rara, mas possível quando o segurado tem direito apenas a benefício previdenciário de valor muito reduzido. O advogado deve comparar: BPC (R$ 1.621,00 em 2026, sem 13º, sem pensão por morte) versus benefício previdenciário (valor variável, com 13º e com possibilidade de gerar pensão por morte). A garantia constitucional do piso (salário-mínimo) para benefícios substitutivos da renda reduz drasticamente as hipóteses em que o BPC supera o benefício previdenciário. Na quase totalidade dos casos, o benefício contributivo é mais vantajoso quando considerado o pacote completo (valor mensal + 13º + pensão por morte para dependentes). O exame aprofundado do BPC e suas interfaces está nas seções 18.20 e 18.22 deste livro.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20.10 Incapacidade e acumulação: atividades simultâneas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vedação de acumulação entre aposentadoria e auxílio por incapacidade temporária, inscrita no art. 124, inciso II, da Lei n. 8.213/91, gera consequências práticas que ultrapassam a simples regra de inacumulabilidade. A vedação ganha contornos específicos quando o segurado exerce atividades simultâneas ou quando retorna ao mercado de trabalho após aposentar-se.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vedação do art. 124, II, e sua aplicação ao aposentado que retorna ao trabalho foram examinadas na seção 20.2, supra. A consequência prática é severa: o empregador paga a remuneração apenas durante os primeiros 15 dias de afastamento; após esse período, o aposentado incapacitado para a nova atividade perde a remuneração sem receber qualquer benefício substitutivo. Parcela da doutrina sustenta que essa situação configura contribuição sem causa (v. Seção 7.15 para o exame detalhado da controvérsia).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situação do segurado que exerce mais de uma atividade simultânea e sofre incapacidade parcial, que o afeta para uma atividade mas não para outra, é disciplinada pelo art. 73, §2º, do Decreto n. 3.048/99. A norma regulamentar distingue duas hipóteses. Se as atividades simultâneas pertencem à mesma profissão ou guardam identidade funcional, a incapacidade para uma delas presume incapacidade para todas, e o segurado deve afastar-se de todas as atividades para receber o auxílio por incapacidade temporária. Se, ao contrário, as atividades pertencem a profissões distintas e a incapacidade é específica para apenas uma delas, o segurado pode continuar exercendo a atividade não afetada e receber o auxílio por incapacidade temporária relativo à atividade para a qual está incapacitado.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segunda hipótese merece atenção. Consideremos o exemplo do profissional que atua como médico cirurgião (atividade vinculada ao RGPS) e como professor universitário (atividade vinculada ao RPPS). Uma lesão na mão que o incapacite para a cirurgia pode não afetar sua capacidade de ministrar aulas. Nesse caso, o segurado faz jus ao auxílio por incapacidade temporária pela atividade médica enquanto continua recebendo a remuneração pela atividade docente. Não se trata de acumulação vedada pelo art. 124, porque o segurado não acumula dois benefícios previdenciários — acumula um benefício (auxílio por incapacidade temporária) com a remuneração de atividade laboral efetivamente exercida.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perícia médica judicial, nesses casos, desempenha papel central. O perito deve ser instado a examinar a capacidade laborativa de forma segmentada, avaliando cada atividade em separado e pronunciando-se sobre a existência ou não de incapacidade específica para cada uma delas. A pergunta não deve ser genérica ("o segurado está incapaz para o trabalho?"), mas direcionada ("o segurado está incapaz para a atividade A? E para a atividade B?"). Laudos que respondem apenas de forma global à questão da incapacidade são insuficientes para a adequada solução do caso.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juiz dos JEFs deve estar atento à formulação dos quesitos quando deferir a perícia. Os quesitos padrão utilizados nas ações de incapacidade não contemplam, em regra, a hipótese de atividades simultâneas. O magistrado pode, de ofício ou a requerimento das partes, incluir quesitos complementares que indaguem sobre a capacidade específica para cada atividade declarada pelo segurado. A informação sobre as atividades exercidas deve constar da petição inicial, acompanhada de descrição das exigências funcionais de cada uma, para que o perito disponha de elementos suficientes para a avaliação segmentada.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Petição em caso de atividades simultâneas com incapacidade parcial</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advogado deve: (a) demonstrar a existência de duas ou mais atividades simultâneas e sua natureza profissional distinta, mediante contratos de trabalho, contracheques, declaração de imposto de renda e registros no CNIS; (b) requerer perícia médica com quesitos específicos sobre a capacidade para cada atividade individualmente; (c) juntar laudos médicos particulares que diferenciem as exigências funcionais de cada atividade (esforço físico, acuidade visual, destreza manual, carga cognitiva); (d) formular pedido de auxílio por incapacidade temporária calculado exclusivamente sobre o salário de contribuição da atividade para a qual o segurado está incapacitado; (e) esclarecer que a remuneração da atividade não afetada não constitui acumulação vedada, mas exercício regular de atividade laborativa compatível com a capacidade residual do segurado.</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questão da reabilitação profissional conecta-se diretamente com o tema das atividades simultâneas. O segurado que exerce duas atividades e é considerado incapaz para apenas uma delas não será encaminhado à reabilitação profissional pelo INSS, pois mantém capacidade laborativa para a outra atividade. A reabilitação destina-se ao segurado que não consegue retornar à atividade habitual e precisa ser preparado para outra função. Quando o segurado já exerce outra função e mantém capacidade para ela, a reabilitação é desnecessária. O auxílio por incapacidade temporária será mantido enquanto persistir a incapacidade para a atividade específica, cessando quando o perito constatar a recuperação da capacidade ou quando ficar configurada a incapacidade permanente, hipótese em que o benefício será convertido em aposentadoria por incapacidade permanente.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Conforme exposto na seção 20.2 (inciso V), a vedação de acumulação entre salário-maternidade e auxílio por incapacidade temporária é expressa no art. 124 da Lei 8.213/91. A mecânica de suspensão e retomada do auxílio é examinada no Cap. 13, seção 13.11.</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20.11 Compensação judicial de benefícios não acumuláveis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concessão judicial de benefício previdenciário a segurado que já recebe outro benefício não acumulável impõe a solução de um problema prático de grande relevância para os JEFs: como tratar os valores pagos administrativamente durante o período em que tramitou a ação judicial. O segurado recebia um benefício pelo INSS; a sentença concede outro, mais vantajoso, retroativo à data do requerimento administrativo ou do óbito. Os dois benefícios não são acumuláveis. O segurado, por orientação do advogado ou por necessidade alimentar, manteve o benefício administrativo durante toda a tramitação do processo, pois não seria razoável exigir a renúncia a uma fonte de renda certa em favor de pretensão judicial incerta. A pergunta é direta: como calcular o que é efetivamente devido ao segurado na fase de liquidação?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questão tem relevância prática expressiva nos JEFs, pois abrange múltiplas situações: segurado que recebia aposentadoria por idade e obteve judicialmente aposentadoria por tempo de contribuição mais vantajosa; dependente que recebia pensão por morte e obteve outra pensão por morte de valor superior em regime diverso, com inacumulabilidade; segurado que recebia benefício assistencial e obteve benefício previdenciário retroativo. Em todos esses casos, o período de sobreposição gera a necessidade de compensação, e o método adotado para essa compensação pode significar diferença de milhares de reais no valor final devido ao beneficiário.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Até o julgamento do Tema 1.207 pelo STJ, a matéria gerava divergência entre as turmas recursais e entre os tribunais regionais federais. Duas correntes disputavam prevalência. A primeira sustentava que a compensação deveria ser feita globalmente: somavam-se todos os valores pagos administrativamente e todos os valores devidos judicialmente, apurando-se a diferença global. Essa metodologia, embora simplificada do ponto de vista contábil, produzia distorções graves: em meses nos quais o benefício administrativo era superior ao judicial (por reajustes diferenciados, por exemplo), o saldo negativo de um mês era transferido para compensar o saldo positivo de outros meses, reduzindo artificialmente o montante devido ao beneficiário. No limite, poderia ocorrer a chamada "execução invertida", em que o beneficiário, em vez de receber diferenças, passava a dever ao INSS.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segunda corrente, que prevaleceu, sustentava que a compensação deveria ser realizada mês a mês, competência por competência, sem transferência de saldos negativos entre períodos.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Tema 1.207/STJ</w:t>
            </w:r>
            <w:r>
              <w:rPr>
                <w:rFonts w:ascii="EB Garamond" w:hAnsi="EB Garamond" w:cs="EB Garamond"/>
                <w:b w:val="0"/>
                <w:i w:val="0"/>
                <w:color w:val="201B16"/>
                <w:sz w:val="19"/>
                <w:lang w:val="pt-BR" w:bidi="ar-SA"/>
                <w:kern w:val="16"/>
                <w14:ligatures w14:val="standardContextual"/>
              </w:rPr>
              <w:t xml:space="preserve"> (julgado em 20/06/2024, Primeira Seção)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Tese fixada: "A compensação de prestações previdenciárias recebidas na via administrativa, quando da elaboração de cálculos em cumprimento de sentença concessiva de outro benefício, com elas não acumulável, deve ser feita mês a mês, no limite, para cada competência, do valor correspondente ao título judicial, não devendo ser apurado valor mensal ou final negativo ao beneficiário, de modo a evitar a execução invertida ou a restituição indevida."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fundamento da tese reside na vedação do enriquecimento sem causa conjugada com a proteção ao caráter alimentar do benefício previdenciário. O beneficiário que recebeu valores do INSS de boa-fé, a título de benefício legitimamente concedido, não pode ser penalizado por ter exercido direito ao benefício administrativo enquanto buscava judicialmente benefício mais vantajoso. A compensação mês a mês assegura que o INSS não pague duas vezes pelo mesmo período, sem impor ao segurado a devolução de valores que integram verba de natureza alimentar.</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 consequências práticas da tese são cinco. Primeiro, a compensação é realizada competência por competência: para cada mês, verifica-se o valor devido judicialmente e o valor pago administrativamente. Segundo, em cada competência, deduz-se do valor judicial o valor administrativo. Terceiro, se em determinado mês o valor administrativo superar o judicial, o resultado daquele mês é zero, e o excedente não é carregado para meses subsequentes nem para apuração final. Quarto, o beneficiário nunca fica devedor do INSS ao final da liquidação, pois a compensação não gera débito. Quinto, veda-se a chamada "execução invertida", em que o INSS, ao invés de pagar diferenças ao segurado, cobraria dele valores supostamente pagos a maior.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Ilustremos com exemplo numérico. Suponhamos que o segurado recebia aposentadoria administrativa de R$ 2.000,00 mensais. A sentença transitada em julgado concedeu pensão por morte retroativa de R$ 3.000,00 mensais, benefício não acumulável com a aposentadoria que o segurado optou por substituir. Para os meses em que a aposentadoria era R$ 2.000,00 e a pensão devida R$ 3.000,00, o saldo é R$ 1.000,00 em favor do segurado. Se em determinado mês, por força de reajuste diferenciado, a aposentadoria atingiu R$ 3.500,00 enquanto a pensão era R$ 3.000,00, o saldo daquele mês é R$ 0,00 (nunca R$ −500,00). O excedente de R$ 500,00 não é compensado em meses anteriores ou posteriores.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impacto nos JEFs é significativo. A tese do Tema 1.207 simplifica a liquidação de sentença em ações envolvendo benefícios não acumuláveis, ao estabelecer metodologia clara e uniforme para os contadores judiciais. Antes do julgamento, cada Vara Federal e cada turma recursal aplicavam critérios distintos, gerando insegurança jurídica e multiplicando impugnações à conta de liquidação. Com a fixação da tese em recurso repetitivo, a metodologia é vinculante para todos os órgãos do Poder Judiciário, padronizando a liquidação e reduzindo o contencioso na fase de cumprimento de sentença.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aplicação do Tema 1.207 exige atenção a um detalhe operacional que frequentemente passa despercebido: a obtenção dos valores exatos pagos administrativamente em cada competência. O INSS dispõe dessa informação em seus sistemas, mas nem sempre a fornece de forma espontânea ou detalhada. O advogado deve requerer ao juízo a expedição de ofício ao INSS para apresentação do extrato de pagamentos discriminado por competência, incluindo o valor principal, a parcela de 13º salário proporcional e eventuais abonos ou diferenças pagas em cada mês. Sem essa informação detalhada, a compensação mês a mês torna-se imprecisa e sujeita a impugnação. Quando o INSS não apresenta o extrato no prazo fixado pelo juízo, o contador judicial pode utilizar subsidiariamente os dados disponíveis no CNIS e no histórico de créditos do beneficiário, ressalvando eventuais divergências para futura complementação.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13º salário merece tratamento específico na compensação. Como benefício previdenciário autônomo, o 13º deve ser compensado em separado: o 13º do benefício administrativo é deduzido do 13º do benefício judicial, aplicando-se a mesma regra de limitação ao saldo zero. A mistura do 13º com as parcelas mensais na compensação global é erro metodológico que a tese do Tema 1.207 não autoriza.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Orientação para liquidação de sentença com compensação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advogado deve: (a) ao elaborar os cálculos de liquidação, aplicar a compensação mês a mês, nunca de forma global; (b) solicitar ao INSS, por meio de ofício judicial, o extrato detalhado dos valores pagos administrativamente para cada competência (mês/ano), com discriminação de principal, 13º salário e eventuais abonos; (c) na planilha de cálculos, estruturar colunas separadas para: valor judicial devido, valor administrativo pago e saldo (judicial − administrativo, com piso em R$ 0,00); (d) na hipótese de impugnação pelo INSS alegando compensação global, invocar expressamente o Tema 1.207/STJ; (e) aplicar a correção monetária pela taxa SELIC sobre os saldos positivos de cada competência, conforme o art. 3º da EC n. 113/2021, a partir de dezembro de 2021.</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20.12 Prática nos JEFs: ações de acumulação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litigância envolvendo acumulação de benefícios previdenciários nos Juizados Especiais Federais apresenta particularidades que exigem domínio simultâneo de direito material previdenciário, técnica processual e habilidade de cálculo. Organizamos a matéria segundo os principais aspectos procedimentais que o advogado deve observar.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competência dos JEFs abrange as causas de valor até sessenta salários-mínimos, o que corresponde a R$ 97.260,00 em 2026 (60 x R$ 1.621,00). O valor da causa em ações de acumulação é fixado pela soma das prestações vencidas (desde a data em que a acumulação deveria ter sido reconhecida ou desde a data de início do segundo benefício) acrescida de 12 parcelas vincendas do benefício pretendido. Quando o beneficiário postula a acumulação integral por direito adquirido, em substituição ao escalonamento aplicado administrativamente, o valor da causa corresponde à diferença entre o que receberia com acumulação integral e o que efetivamente recebe com o escalonamento, projetada para o período vencido e 12 meses vincendos.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As ações de acumulação assumem três configurações típicas. A primeira é a ação de concessão do segundo benefício com pedido de acumulação: o segurado requer judicialmente a concessão de benefício que foi indeferido pelo INSS e, cumulativamente, pede o reconhecimento da acumulabilidade com benefício já em manutenção. A segunda é a ação de revisão da forma de acumulação: o segurado já recebe dois benefícios com escalonamento e pretende a acumulação integral, alegando direito adquirido com fundamento no art. 24, §4º, da EC 103. A terceira é a ação de impugnação de cessação administrativa: o INSS cessou um dos benefícios ao constatar a suposta vedação de acumulação, e o segurado pretende o restabelecimento com pagamento retroativo.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pedido deve ser formulado com precisão. Recomendamos que a petição inicial contenha: (a) pedido de concessão ou restabelecimento do segundo benefício, com indicação da espécie, da Data de Início do Benefício, DIB e dos requisitos preenchidos; (b) pedido de reconhecimento da acumulabilidade na forma legal, com escalonamento conforme art. 24, §2º, ou integral, conforme art. 24, §4º, a depender do caso; (c) pedido de pagamento das diferenças devidas desde a DIB, com correção monetária pela taxa SELIC (EC n. 113/2021, art. 3º); (d) pedido de tutela de urgência para implantação provisória do benefício, quando presentes os requisitos do art. 300 do CPC.</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prova do direito adquirido à acumulação integral exige demonstração documental robusta. O autor deve comprovar que os requisitos de ambos os benefícios foram preenchidos antes de 13 de novembro de 2019. O CNIS constitui a prova principal, complementado pela carta de concessão, pelo histórico de contribuições e, quando se tratar de acumulação com benefício de RPPS, pela certidão de tempo de contribuição emitida pelo regime próprio. O ônus probatório recai integralmente sobre o autor, e a deficiência documental é causa recorrente de improcedência.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erro mais frequente na instrução dessas ações consiste em apresentar apenas a carta de concessão do benefício, sem demonstrar a data de preenchimento dos requisitos. A carta de concessão indica a DER (Data de Entrada do Requerimento) e a DIB (Data de Início do Benefício), mas essas datas podem ser posteriores ao preenchimento dos requisitos. O segurado que completou 35 anos de contribuição em 2017 e somente requereu a aposentadoria em 2020 precisa demonstrar, por meio do CNIS e do histórico contributivo, que os requisitos foram integralmente preenchidos em 2017. A simples apresentação da carta de concessão com DER em 2020 não demonstra o direito adquirido à acumulação integral, pois a data relevante é a do preenchimento, não a do requerimento.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apresentação de cálculos na petição inicial, embora não obrigatória nos JEFs, é prática que facilita a apreciação do pedido e pode ser determinante para a concessão de tutela de urgência. O demonstrativo deve conter: o valor de cada benefício individualmente; o cálculo do escalonamento aplicável (com discriminação faixa a faixa); a comparação entre o valor com acumulação integral e o valor com escalonamento; e o montante aproximado das diferenças pretendidas. Nos JEFs, a apresentação de cálculos claros na inicial reduz o tempo de tramitação e permite ao juiz aferir rapidamente a plausibilidade do direito invocado.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tutela de urgência para implantação provisória do benefício acumulado é cabível quando concorrem dois elementos: a probabilidade do direito à acumulação, demonstrada por prova documental consistente, e o risco ao resultado útil do processo, evidenciado pela dependência do beneficiário em relação à renda do segundo benefício para sua subsistência. O juiz pode determinar a implantação provisória com ou sem escalonamento, conforme sua convicção sobre o direito adquirido alegado. Quando houver dúvida razoável sobre a aplicabilidade do escalonamento, a prudência recomenda a implantação com redutor, reservando a eventual diferença para a sentença definitiva.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audiência de conciliação, obrigatória nos JEFs (art. 2º da Lei n. 10.259/2001), apresenta oportunidade relevante nas ações de acumulação. A Procuradoria Federal dispõe de alçada para transigir em matéria previdenciária, e a apresentação de cálculos claros pelo advogado do segurado, demonstrando o impacto financeiro do escalonamento versus a acumulação integral, facilita a composição. Quando o direito adquirido está bem documentado, a concordância da autarquia em restabelecer a acumulação integral é economicamente mais vantajosa para o INSS do que a sucumbência judicial com pagamento de honorários e atualização monetária. O advogado deve preparar-se para a audiência com demonstrativo numérico atualizado e com cópia de toda a documentação probatória do direito adquirido.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sentença nos JEFs deve conter determinação específica quanto à forma de implantação da acumulação. O dispositivo sentencial que se limita a "conceder o benefício" sem especificar se a acumulação será integral ou com escalonamento gera dificuldade na fase de cumprimento. Recomendamos que o advogado requeira, nos embargos de declaração caso necessário, que a sentença explicite: a espécie de cada benefício acumulado, a forma de acumulação (integral ou com escalonamento, indicando as faixas aplicáveis) e a data a partir da qual a acumulação deve ser reconhecida.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liquidação de sentença, aplica-se a metodologia fixada pelo Tema 1.207/STJ, examinada na seção 20.11. O contador judicial deve: apurar o valor de cada benefício em cada competência mensal; aplicar o escalonamento do art. 24, §2º, quando cabível; compensar os valores já pagos administrativamente pelo benefício substituído ou cessado; e apurar o saldo positivo devido ao beneficiário. A correção monetária observa a taxa SELIC a partir de dezembro de 2021, em cumprimento ao art. 3º da EC n. 113/2021.</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As diferenças apuradas são pagas por Requisição de Pequeno Valor (RPV) quando o montante não exceder 60 salários-mínimos (R$ 97.260,00 em 2026), ou por precatório quando ultrapassar esse limite. A RPV deve ser paga pela Fazenda Pública no prazo de 60 dias úteis a contar do depósito, enquanto o precatório segue o regime constitucional de pagamento no exercício seguinte à inscrição, respeitada a ordem cronológica. Em ações de acumulação com longo período retroativo e benefícios de valor elevado, as diferenças podem superar o teto da RPV, especialmente quando se consideram os acréscimos de correção monetária pela SELIC. A renúncia ao excedente de 60 salários-mínimos para fins de expedição de RPV é admitida, mas deve ser exercida com plena ciência de suas consequências.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Checklist para o advogado em ação de acumulação nos JEFs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1. Identificar a espécie de cada benefício envolvido e a norma de regência da acumulação (art. 124, Lei 8.213; art. 24, EC 103; art. 20, §4º, LOAS).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2. Verificar se a acumulação é vedada, permitida com escalonamento ou permitida integralmente (direito adquirido).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3. Levantar a data de preenchimento dos requisitos de cada benefício e compará-la com 13/11/2019.</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4. Reunir prova documental: CNIS, carta de concessão, certidão do RPPS, certidão de óbito, laudos médicos.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5. Calcular o escalonamento faixa a faixa, com os valores atualizados do salário-mínimo (R$ 1.621,00 em 2026).</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6. Elaborar demonstrativo comparativo: valor com acumulação integral versus valor com escalonamento.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7. Apurar o valor da causa (prestações vencidas + 12 vincendas) e verificar se está dentro do teto do JEF (R$ 97.260,00).</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8. Formular pedido específico: concessão/restabelecimento + acumulação + diferenças + tutela de urgência.</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9. Fundamentar eventual pedido de acumulação integral com base no art. 24, §4º, demonstrando a cronologia do preenchimento dos requisitos.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10. Na liquidação, aplicar compensação mês a mês conforme Tema 1.207/STJ, com correção pela SELIC.</w:t>
            </w: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Renúncia ao excedente de 60 SM para fixar competência do JEF</w:t>
            </w:r>
            <w:r>
              <w:rPr>
                <w:rFonts w:ascii="EB Garamond" w:hAnsi="EB Garamond" w:cs="EB Garamond"/>
                <w:b w:val="0"/>
                <w:i w:val="0"/>
                <w:color w:val="201B16"/>
                <w:sz w:val="19"/>
                <w:lang w:val="pt-BR" w:bidi="ar-SA"/>
                <w:kern w:val="16"/>
                <w14:ligatures w14:val="standardContextual"/>
              </w:rPr>
              <w:t>: a renúncia ao crédito excedente ao limite de 60 salários-mínimos é admitida para viabilizar o processamento da causa no JEF, porém produz efeito irrevogável. O autor que renuncia ao excedente não poderá, em nenhuma hipótese futura, reclamar os valores objeto da renúncia. O advogado deve orientar o cliente de forma clara sobre essa consequência e obter declaração expressa de ciência. Nos casos em que as diferenças acumuladas são substanciais, o que pode ocorrer em ações com longo período retroativo e benefícios de valor elevado, a opção pela Justiça Federal comum (Vara Federal) pode ser economicamente mais vantajosa, ainda que implique tramitação mais longa e pagamento por precatório.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20.13 Consolidação das posições adotadas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o longo deste capítulo, adotamos posições sobre as principais questões relativas à acumulação de benefícios previdenciários e assistenciais. Consolidamos a seguir o conjunto dessas posições, com remissão às seções em que cada uma foi desenvolvida, como instrumento de consulta rápida para advogados e magistrados que atuam nos JEFs.</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Posição 1 — Complementaridade entre o art. 124 e o art. 24.</w:t>
      </w:r>
      <w:r>
        <w:rPr>
          <w:rFonts w:ascii="EB Garamond" w:hAnsi="EB Garamond" w:cs="EB Garamond"/>
          <w:b w:val="0"/>
          <w:i w:val="0"/>
          <w:color w:val="201B16"/>
          <w:sz w:val="21"/>
          <w:lang w:val="pt-BR" w:bidi="ar-SA"/>
          <w:kern w:val="16"/>
          <w14:ligatures w14:val="standardContextual"/>
        </w:rPr>
        <w:t xml:space="preserve"> O art. 124 da Lei n. 8.213/91 e o art. 24 da EC n. 103/2019 são normas complementares, não excludentes. O art. 124 estabelece vedações absolutas de acumulação dentro do RGPS (duas aposentadorias, aposentadoria com auxílio por incapacidade temporária, duas pensões de cônjuge no mesmo regime). O art. 24 regula as acumulações permitidas, submetendo-as a escalonamento com faixas de redutor. As vedações do art. 124 não foram revogadas pela EC 103, permanecem vigentes como primeiro filtro de inacumulabilidade. (Seções 20.2 e 20.3)</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Posição 2 — Preservação integral da primeira faixa e incidência progressiva sobre o menor benefício.</w:t>
      </w:r>
      <w:r>
        <w:rPr>
          <w:rFonts w:ascii="EB Garamond" w:hAnsi="EB Garamond" w:cs="EB Garamond"/>
          <w:b w:val="0"/>
          <w:i w:val="0"/>
          <w:color w:val="201B16"/>
          <w:sz w:val="21"/>
          <w:lang w:val="pt-BR" w:bidi="ar-SA"/>
          <w:kern w:val="16"/>
          <w14:ligatures w14:val="standardContextual"/>
        </w:rPr>
        <w:t xml:space="preserve"> O escalonamento do art. 24, § 2º, da EC 103 incide sobre o benefício de menor valor. A parcela de até um salário-mínimo é integralmente preservada (100%), e as quatro faixas de redução (60%, 40%, 20% e 10%) aplicam-se progressivamente sobre as parcelas excedentes. A lógica é idêntica à das alíquotas progressivas do imposto de renda: cada faixa incide apenas sobre a parcela correspondente, e não sobre o valor total. (Seções 20.3 e 20.4)</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Posição 3 — Autoaplicabilidade do art. 24.</w:t>
      </w:r>
      <w:r>
        <w:rPr>
          <w:rFonts w:ascii="EB Garamond" w:hAnsi="EB Garamond" w:cs="EB Garamond"/>
          <w:b w:val="0"/>
          <w:i w:val="0"/>
          <w:color w:val="201B16"/>
          <w:sz w:val="21"/>
          <w:lang w:val="pt-BR" w:bidi="ar-SA"/>
          <w:kern w:val="16"/>
          <w14:ligatures w14:val="standardContextual"/>
        </w:rPr>
        <w:t xml:space="preserve"> O art. 24 da EC n. 103/2019 é norma de eficácia plena e aplicação imediata, dispensando regulamentação infraconstitucional para produzir todos os seus efeitos. O INSS deve aplicar o escalonamento diretamente a partir do texto constitucional, e o Poder Judiciário pode conceder a acumulação com base exclusivamente na Emenda, sem necessidade de lei ordinária intermediária. Esse entendimento é compartilhado pelo TRF da 4ª Região (processo 5004698-26.2021.4.04.7001). (Seção 20.3)</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Posição 4 — Direito adquirido à acumulação integral.</w:t>
      </w:r>
      <w:r>
        <w:rPr>
          <w:rFonts w:ascii="EB Garamond" w:hAnsi="EB Garamond" w:cs="EB Garamond"/>
          <w:b w:val="0"/>
          <w:i w:val="0"/>
          <w:color w:val="201B16"/>
          <w:sz w:val="21"/>
          <w:lang w:val="pt-BR" w:bidi="ar-SA"/>
          <w:kern w:val="16"/>
          <w14:ligatures w14:val="standardContextual"/>
        </w:rPr>
        <w:t xml:space="preserve"> O art. 24, §4º, da EC 103 protege o direito adquirido à acumulação integral para segurados e dependentes que preencheram os requisitos de ambos os benefícios antes de 13 de novembro de 2019. A proteção independe da data do requerimento administrativo ou da data da concessão, o marco é o preenchimento dos requisitos legais. Segurados que completaram os requisitos de ambos os benefícios antes da EC 103 mantêm acumulação integral, mesmo que tenham requerido os benefícios após essa data. (Seção 20.7)</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Posição 5 — Marco temporal do auxílio-acidente.</w:t>
      </w:r>
      <w:r>
        <w:rPr>
          <w:rFonts w:ascii="EB Garamond" w:hAnsi="EB Garamond" w:cs="EB Garamond"/>
          <w:b w:val="0"/>
          <w:i w:val="0"/>
          <w:color w:val="201B16"/>
          <w:sz w:val="21"/>
          <w:lang w:val="pt-BR" w:bidi="ar-SA"/>
          <w:kern w:val="16"/>
          <w14:ligatures w14:val="standardContextual"/>
        </w:rPr>
        <w:t xml:space="preserve"> A vedação de acumulação do auxílio-acidente com aposentadoria data de 11 de novembro de 1997 (MP n. 1.596-14/1997, convertida na Lei n. 9.528/1997). A acumulação somente é possível quando tanto a consolidação da lesão quanto a aposentadoria são anteriores a essa data. A EC 103/2019 não alterou esse regime. A tese está consolidada pela Súmula 507 e pelo Tema 555 do STJ. (Seção 20.8)</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Posição 6 — BPC e opção pelo mais vantajoso.</w:t>
      </w:r>
      <w:r>
        <w:rPr>
          <w:rFonts w:ascii="EB Garamond" w:hAnsi="EB Garamond" w:cs="EB Garamond"/>
          <w:b w:val="0"/>
          <w:i w:val="0"/>
          <w:color w:val="201B16"/>
          <w:sz w:val="21"/>
          <w:lang w:val="pt-BR" w:bidi="ar-SA"/>
          <w:kern w:val="16"/>
          <w14:ligatures w14:val="standardContextual"/>
        </w:rPr>
        <w:t xml:space="preserve"> A vedação do art. 20, §4º, da LOAS impõe ao requerente a opção entre o BPC e o benefício previdenciário. O auxílio-inclusão (Lei n. 14.176/2021) constitui alternativa que permite a inserção no mercado de trabalho sem perda definitiva da proteção assistencial. Na quase totalidade dos casos, o benefício previdenciário é globalmente mais vantajoso que o BPC, considerando a existência de 13º salário e a geração de pensão por morte. (Seção 20.9)</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Posição 7 — Compensação mês a mês.</w:t>
      </w:r>
      <w:r>
        <w:rPr>
          <w:rFonts w:ascii="EB Garamond" w:hAnsi="EB Garamond" w:cs="EB Garamond"/>
          <w:b w:val="0"/>
          <w:i w:val="0"/>
          <w:color w:val="201B16"/>
          <w:sz w:val="21"/>
          <w:lang w:val="pt-BR" w:bidi="ar-SA"/>
          <w:kern w:val="16"/>
          <w14:ligatures w14:val="standardContextual"/>
        </w:rPr>
        <w:t xml:space="preserve"> A compensação de benefícios não acumuláveis na liquidação de sentença deve ser feita competência por competência, sem apuração de saldo negativo em qualquer mês e sem transferência de excedentes entre períodos. O beneficiário nunca deve ao INSS como resultado da compensação. Adotamos integralmente a tese fixada no Tema 1.207 do STJ. (Seção 20.11)</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Posição 8 — Constitucionalidade com ressalva.</w:t>
      </w:r>
      <w:r>
        <w:rPr>
          <w:rFonts w:ascii="EB Garamond" w:hAnsi="EB Garamond" w:cs="EB Garamond"/>
          <w:b w:val="0"/>
          <w:i w:val="0"/>
          <w:color w:val="201B16"/>
          <w:sz w:val="21"/>
          <w:lang w:val="pt-BR" w:bidi="ar-SA"/>
          <w:kern w:val="16"/>
          <w14:ligatures w14:val="standardContextual"/>
        </w:rPr>
        <w:t xml:space="preserve"> Entendemos que o escalonamento do art. 24 da EC 103 é constitucional como mecanismo de racionalização dos gastos previdenciários e de distribuição mais equitativa dos recursos do sistema. A progressividade das faixas atende ao princípio da seletividade (art. 194, parágrafo único, III, da Constituição). Registramos, porém, ressalva quanto às faixas superiores: os percentuais de 20% (Faixa III, de 3 a 4 SM) e de 10% (Faixa IV, acima de 4 SM) produzem redução que, aplicada sobre benefícios de renda média-alta, aproxima-se de confisco previdenciário. Um segurado que contribuiu durante décadas sobre o teto do RGPS e que acumula aposentadoria com pensão por morte recebe, sobre a parcela do benefício menor que excede quatro salários-mínimos, apenas 10% do valor. Essa redução de 90% sobre a parcela excedente é desproporcional à finalidade do redutor e pode configurar violação ao princípio da proporcionalidade (art. 5º, LIV, da CF) e à vedação do retrocesso social (arts. 6º e 194 da CF). A jurisprudência ainda não enfrentou essa questão de forma direta, e registramos a expectativa de que o tema venha a ser submetido ao STF em caso concreto. (Posição original)</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Posição 9 — Dupla pensão de cônjuge e de genitor.</w:t>
      </w:r>
      <w:r>
        <w:rPr>
          <w:rFonts w:ascii="EB Garamond" w:hAnsi="EB Garamond" w:cs="EB Garamond"/>
          <w:b w:val="0"/>
          <w:i w:val="0"/>
          <w:color w:val="201B16"/>
          <w:sz w:val="21"/>
          <w:lang w:val="pt-BR" w:bidi="ar-SA"/>
          <w:kern w:val="16"/>
          <w14:ligatures w14:val="standardContextual"/>
        </w:rPr>
        <w:t xml:space="preserve"> A pensão por morte recebida na qualidade de cônjuge ou companheiro e a pensão por morte recebida na qualidade de genitor (filho do segurado falecido), ainda que no mesmo regime, não estão sujeitas à vedação do caput do art. 24 da EC 103, que se refere exclusivamente à acumulação de duas pensões por morte "deixadas por cônjuge ou companheiro". A vedação pressupõe identidade na relação do beneficiário com o instituidor, relação conjugal. Quando as pensões decorrem de relações de natureza diversa (uma conjugal, outra de filiação), a acumulação é permitida, com incidência do escalonamento do §2º. (Seção 20.5)</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Posição 10 — Quadro 20.3 como ferramenta de consulta.</w:t>
      </w:r>
      <w:r>
        <w:rPr>
          <w:rFonts w:ascii="EB Garamond" w:hAnsi="EB Garamond" w:cs="EB Garamond"/>
          <w:b w:val="0"/>
          <w:i w:val="0"/>
          <w:color w:val="201B16"/>
          <w:sz w:val="21"/>
          <w:lang w:val="pt-BR" w:bidi="ar-SA"/>
          <w:kern w:val="16"/>
          <w14:ligatures w14:val="standardContextual"/>
        </w:rPr>
        <w:t xml:space="preserve"> O Quadro 20.3 (Matriz Completa de Acumulações), desenvolvido na seção 20.5, sintetiza o estado normativo e jurisprudencial vigente em maio de 2026 e constitui ferramenta de consulta rápida para advogados e magistrados nos JEFs. A matriz organiza todas as combinações possíveis de benefícios, indicando para cada par a regra aplicável (vedação, acumulação integral ou acumulação com escalonamento), a norma de regência e eventuais exceções. Recomendamos sua utilização como ponto de partida para a análise de qualquer caso envolvendo acumulação. (Seção 20.5)</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As posições consolidadas nesta seção refletem o estado do direito em maio de 2026. A matéria permanece em evolução, com as ADIs pendentes no STF, o amadurecimento da jurisprudência sobre o escalonamento nos tribunais regionais e a possível regulamentação infralegal de aspectos operacionais do art. 24. Reconhecemos que algumas das posições adotadas, especialmente a relativa à desproporcionalidade das faixas superiores do escalonamento (posição 8), constituem antecipação de debate que a jurisprudência ainda não travou de forma aberta. Assumimos esse posicionamento como contribuição ao amadurecimento da matéria, conscientes de que a construção jurisprudencial poderá confirmar ou infirmar a tese nos próximos anos. A acumulação de benefícios previdenciários, como tema transversal que perpassa todo o sistema de proteção social, permanecerá no centro das controvérsias dos JEFs enquanto o modelo de escalonamento introduzido pela EC 103 estiver vigente.</w:t>
      </w:r>
    </w:p>
    <w:p>
      <w:pPr>
        <w:sectPr>
          <w:headerReference w:type="default" r:id="rId195"/>
          <w:headerReference w:type="even" r:id="rId196"/>
          <w:footerReference w:type="default" r:id="rId197"/>
          <w:footerReference w:type="even" r:id="rId198"/>
          <w:headerReference w:type="first" r:id="rId199"/>
          <w:footerReference w:type="first" r:id="rId200"/>
          <w:pgSz w:w="8391" w:h="11906"/>
          <w:pgMar w:top="935" w:right="879" w:bottom="964" w:left="1162" w:header="454" w:footer="425" w:gutter="0" w:mirrorMargins="1"/>
          <w:cols w:space="720"/>
          <w:titlePg/>
          <w:docGrid w:linePitch="360"/>
        </w:sectPr>
      </w:pPr>
    </w:p>
    <w:p>
      <w:pPr>
        <w:spacing w:before="240" w:after="80" w:line="240" w:lineRule="auto"/>
        <w:jc w:val="center"/>
        <w:keepNext/>
      </w:pPr>
      <w:r>
        <w:rPr>
          <w:rFonts w:ascii="Noto Sans" w:hAnsi="Noto Sans" w:cs="Noto Sans"/>
          <w:b/>
          <w:i w:val="0"/>
          <w:caps/>
          <w:color w:val="8A6A2A"/>
          <w:sz w:val="19"/>
          <w:lang w:val="pt-BR" w:bidi="ar-SA"/>
          <w:kern w:val="16"/>
          <w14:ligatures w14:val="standardContextual"/>
        </w:rPr>
        <w:t>CAPÍTULO 21</w:t>
      </w:r>
    </w:p>
    <w:p>
      <w:pPr>
        <w:pStyle w:val="Heading2"/>
        <w:spacing w:before="0" w:after="160" w:line="240" w:lineRule="auto"/>
        <w:jc w:val="center"/>
        <w:keepNext/>
      </w:pPr>
      <w:r>
        <w:rPr>
          <w:rFonts w:ascii="EB Garamond" w:hAnsi="EB Garamond" w:cs="EB Garamond"/>
          <w:b/>
          <w:i w:val="0"/>
          <w:caps/>
          <w:color w:val="2F2923"/>
          <w:sz w:val="40"/>
          <w:lang w:val="pt-BR" w:bidi="ar-SA"/>
          <w:kern w:val="16"/>
          <w14:ligatures w14:val="standardContextual"/>
        </w:rPr>
        <w:t>Decadência, Prescrição e Coisa Julgada Previdenciária</w:t>
      </w:r>
    </w:p>
    <w:p>
      <w:pPr>
        <w:spacing w:before="0" w:after="240" w:line="240" w:lineRule="auto"/>
        <w:jc w:val="center"/>
      </w:pPr>
      <w:r>
        <w:rPr>
          <w:rFonts w:ascii="EB Garamond" w:hAnsi="EB Garamond" w:cs="EB Garamond"/>
          <w:b w:val="0"/>
          <w:i w:val="0"/>
          <w:color w:val="B78B37"/>
          <w:sz w:val="18"/>
          <w:lang w:val="pt-BR" w:bidi="ar-SA"/>
          <w:kern w:val="16"/>
          <w14:ligatures w14:val="standardContextual"/>
        </w:rPr>
        <w:t>━━━━  ◆  ━━━━</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Introdução: os limites temporais do direito previdenciário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direito previdenciário convive com uma tensão estrutural que permeia todo o seu regime jurídico: de um lado, a necessidade de proteger o segurado e seus dependentes contra os riscos sociais que ameaçam a subsistência, o que confere aos benefícios previdenciários natureza alimentar e status de direito fundamental; de outro, a exigência de segurança jurídica, que impõe a estabilização das relações jurídicas e a definitividade dos atos administrativos e judiciais. Essa tensão não é exclusiva do direito previdenciário, mas nele assume feições particularmente agudas. O benefício previdenciário é, muitas vezes, a única fonte de renda do segurado ou de sua família. Submetê-lo a prazos extintivos rígidos pode significar a consolidação de um prejuízo alimentar cristalizado que compromete a dignidade do beneficiário por toda a vida. Ignorar qualquer limite temporal, por outro lado, criaria um ambiente de permanente instabilidade para o INSS, para o sistema previdenciário e, em última análise, para a própria coletividade de segurados.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ordenamento jurídico brasileiro responde a essa tensão com três institutos que, embora próximos, operam em planos distintos. A decadência extingue o direito potestativo de revisar o ato de concessão do benefício. A prescrição extingue a pretensão de cobrar parcelas vencidas e não pagas. A coisa julgada confere imutabilidade à decisão judicial de mérito transitada em julgado. Cada um desses institutos possui regime próprio, prazo próprio, fundamento constitucional próprio e consequências processuais distintas. A confusão entre eles é fonte frequente de erros em petições iniciais, contestações e sentenças nos Juizados Especiais Federais.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No direito previdenciário, a decadência, a prescrição e a coisa julgada sofrem inflexões que as afastam das regras gerais do direito civil e do direito processual civil. A decadência previdenciária incide sobre o ato de concessão, mas não atinge o direito ao benefício em si, conforme assentou o Supremo Tribunal Federal na ADI 6096. A prescrição quinquenal atinge apenas as parcelas vencidas, preservando o fundo de direito nas relações de trato sucessivo, conforme a Súmula 85 do Superior Tribunal de Justiça. A coisa julgada, nas ações por incapacidade, opera sob a cláusula rebus sic stantibus, admitindo nova ação quando se demonstra alteração superveniente no estado de saúde do segurado. Essas particularidades não são meras curiosidades dogmáticas: são regras operacionais que determinam o desfecho de milhares de ações nos JEFs todos os anos.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presente capítulo tem função dogmático-transversal. Diferencia-se do Capítulo 17, que aplica a decadência a cada tese revisional concreta (vida toda, teto, Buraco Negro, art. 29, II, atividades concomitantes), e do Capítulo 23, que examina o procedimento nos JEFs sob o prisma processual. Nosso propósito aqui é desenvolver a teoria geral de cada instituto: evolução legislativa, natureza jurídica, objeto, termo inicial, exceções, causas de interrupção e suspensão, constitucionalidade. Quando a aplicação concreta a uma tese revisional específica já estiver tratada no Capítulo 17, faremos remissão breve. Quando o aspecto procedimental for objeto do Capítulo 23, igualmente remeteremos o leitor.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estrutura do capítulo reflete a tripartição dos institutos. As seções 21.2 a 21.8 tratam da decadência previdenciária: evolução legislativa do art. 103, natureza jurídica, objeto, termo inicial, temas vinculantes e constitucionalidade. As seções 21.9 a 21.14 examinam a prescrição: o prazo quinquenal, a regra do trato sucessivo, o termo inicial, as causas de interrupção e suspensão, a situação dos menores e incapazes e a legitimidade dos herdeiros. As seções 21.15 a 21.21 abordam a coisa julgada previdenciária: suas particularidades nos JEFs, a coisa julgada secundum eventum probationis, a cláusula rebus sic stantibus, a querela nullitatis e a vedação de ação rescisória. A seção final consolida as posições adotadas ao longo do capítulo.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Adotamos a mesma premissa que orienta toda a obra: a exposição deve ser funcional, orientada para a prática dos JEFs, sem sacrificar a densidade teórica que a matéria exige. O magistrado e o advogado previdenciarista precisam de regras claras sobre prazos, termos iniciais e exceções; precisam também compreender os fundamentos que sustentam essas regras, para poderem distinguir os casos em que elas incidem daqueles em que cedem lugar a soluções diversas.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21.2 Art. 103 da Lei 8.213/91: evolução legislativa</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21.2.1 Redação original (1991): ausência de prazo decadencial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Lei 8.213, de 24 de julho de 1991, em sua redação originária, não estabelecia prazo decadencial para a revisão do ato de concessão de benefício previdenciário. O art. 103, em sua versão inicial, limitava-se a fixar o prazo prescricional de cinco anos para a cobrança de prestações vencidas, sem qualquer menção à decadência do direito de revisar o ato concessório. A omissão era coerente com a compreensão então vigente de que o ato de concessão de benefício previdenciário, por envolver direito fundamental de natureza alimentar, não poderia submeter-se a prazos extintivos que atingissem o próprio direito de questionar eventuais erros de cálculo.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Nesse período, o segurado poderia, a qualquer tempo, postular a revisão da renda mensal inicial de seu benefício. O único limite temporal aplicável era a prescrição das parcelas: mesmo que a revisão fosse deferida trinta anos após a concessão, o segurado somente receberia as diferenças dos últimos cinco anos. Na prática, essa ausência de prazo decadencial gerava um cenário de instabilidade permanente para a autarquia previdenciária, obrigada a manter em arquivo a documentação de benefícios concedidos décadas antes, e para o sistema como um todo, sujeito a demandas revisionais que podiam multiplicar-se sem limite temporal.</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21.2.2 MP 1.523-9/1997 e Lei 9.528/1997: introdução do prazo de dez anos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situação mudou com a edição da Medida Provisória 1.523-9, de 27 de junho de 1997, posteriormente convertida na Lei 9.528, de 10 de dezembro de 1997. Pela primeira vez, o legislador inseriu no caput do art. 103 da Lei 8.213/91 um prazo decadencial para a revisão do ato de concessão, fixando-o em dez anos contados do dia primeiro do mês seguinte ao do recebimento da primeira prestação ou, quando for o caso, do dia em que o segurado tomar conhecimento da decisão indeferitória definitiva no âmbito administrativo.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introdução do prazo decadencial representou mudança de paradigma, conforme Ibrahim (2025). Até então, o sistema previdenciário brasileiro operava sob a premissa de que o ato de concessão poderia ser questionado a qualquer tempo. Com a MP 1.523-9/1997, o legislador passou a exigir que o segurado exercesse o direito de revisão dentro de prazo razoável, sob pena de estabilização definitiva do ato. A justificativa oficial da medida provisória apontava a necessidade de compatibilizar a proteção do segurado com a segurança jurídica e a previsibilidade orçamentária do sistema.</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21.2.3 Lei 9.711/1998: redução para cinco anos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estabilidade do prazo decenal durou pouco. A Medida Provisória 1.663-15, de 22 de outubro de 1998, convertida na Lei 9.711, de 20 de novembro de 1998, reduziu o prazo decadencial de dez para cinco anos. A redução acompanhou um momento de austeridade fiscal e de reformas paramétricas no sistema previdenciário, contemporâneo à Emenda Constitucional 20/1998. A opção pelo prazo de cinco anos alinhava-se ao prazo prescricional geral contra a Fazenda Pública (Decreto 20.910/1932) e ao prazo prescricional do próprio art. 103, parágrafo único, da Lei 8.213/91.</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redução foi duramente criticada pela doutrina previdenciarista. O prazo de cinco anos mostrou-se insuficiente para que segurados de baixa escolaridade, residentes em áreas remotas e sem acesso a assessoria jurídica pudessem identificar erros de cálculo em seus benefícios e buscar a tutela jurisdicional adequada. A crítica tinha fundamento empírico: na prática dos JEFs, a identificação do erro de cálculo pelo segurado depende, quase sempre, da intervenção de advogado especializado ou de sindicato, e o acesso a essas entidades não é imediato nem universal. Savaris (2023, p. 215) registra que a redução para cinco anos gerou um cenário de injustiça estrutural, no qual segurados cujos benefícios haviam sido calculados com erro grave não conseguiam exercer o direito de revisão antes do escoamento do prazo.</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21.2.4 Lei 10.839/2004: retorno aos dez anos (redação vigente)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Medida Provisória 138, de 19 de novembro de 2003 — cujo objeto principal tratava de contribuições previdenciárias e outras matérias —, convertida na Lei 10.839, de 5 de fevereiro de 2004, restabeleceu, dentre seus múltiplos dispositivos, o prazo decadencial em dez anos e, aspecto de grande relevância prática, reabriu o prazo para benefícios que já haviam sido atingidos pela decadência quinquenal. A reabertura operou a partir da vigência da MP 138/2003 (19/11/2003), de modo que segurados cujo direito revisional havia decaído sob a vigência do prazo de cinco anos tiveram novo prazo decenal contado daquela data.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reabertura configurou reconhecimento legislativo de que o prazo quinquenal fora excessivamente restritivo. Na prática dos JEFs, a reabertura gerou uma nova leva de ações revisionais, pois segurados que haviam sido informados da decadência de suas pretensões puderam, a partir de novembro de 2003, exercer novamente o direito de revisão. A redação conferida pela Lei 10.839/2004 é a que permanece em vigor até o momento de fechamento desta edição.</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21.2.5 Lei 13.846/2019: tentativa de extensão ao indeferimento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Lei 13.846, de 18 de junho de 2019, resultante da conversão da Medida Provisória 871/2019 (conhecida como "MP do pente-fino"), promoveu alteração ambiciosa no art. 103 da Lei 8.213/91. O art. 24 da Lei 13.846/2019 pretendeu estender o prazo decadencial de dez anos não apenas à revisão do ato de concessão, mas também ao indeferimento, cancelamento e cessação de benefícios. Em outros termos: o segurado que tivesse o benefício indeferido pelo INSS teria dez anos para questionar o indeferimento judicialmente. Transcorrido o prazo, a pretensão de concessão estaria extinta pela decadência.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extensão foi recebida com forte resistência doutrinária e judicial. Aplicar a decadência ao indeferimento significava, na prática, impor prazo fatal para o exercício do direito fundamental à previdência social. O segurado que não conseguisse ajuizar ação no prazo de dez anos após o indeferimento perderia definitivamente o direito ao benefício, independentemente de preencher os requisitos legais. A medida afetaria de modo desproporcional segurados vulneráveis: idosos, analfabetos, moradores de áreas rurais sem acesso ao Judiciário.</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21.2.6 ADI 6096/STF: declaração de inconstitucionalidade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Plenário do Supremo Tribunal Federal, no julgamento da ADI 6096 (Plenário Virtual, sessão encerrada em 1º de julho de 2020 — janela de 19/06 a 01/07/2020 —, Relator Ministro Edson Fachin), declarou a inconstitucionalidade do art. 24 da Lei 13.846/2019 na parte em que estendia a decadência ao indeferimento, cancelamento e cessação de benefícios. O fundamento central do acórdão reside na distinção entre o direito de revisar e o direito de obter: a decadência pode legitimamente atingir o direito potestativo de questionar os parâmetros do ato de concessão, mas não pode extinguir o direito fundamental à obtenção do benefício previdenciário em si. A pretensão de concessão originária é imprescritível em seu fundo de direito, sujeitando-se apenas à prescrição quinquenal das parcelas.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decisão da ADI 6096 reafirmou que o art. 103 da Lei 8.213/91 tem objeto circunscrito: a decadência atinge o direito de revisar o ato de concessão e somente esse direito. Pretensões de concessão, de restabelecimento de benefício cessado e de reconhecimento de direito negado administrativamente não se submetem a prazo decadencial algum. Essa distinção é estruturante para todo o regime de limites temporais em matéria previdenciária e será retomada nas seções seguintes.</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21.2.7 Quadro 21.1 — evolução do art. 103 da Lei 8.213/91</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5F3EF" w:val="clear"/>
            <w:tcBorders>
              <w:top w:val="single" w:sz="7" w:space="0" w:color="A09882"/>
              <w:bottom w:val="single" w:sz="7" w:space="0" w:color="A09882"/>
              <w:right w:val="single" w:sz="7" w:space="0" w:color="A09882"/>
              <w:left w:val="single" w:sz="24" w:space="0" w:color="6B6256"/>
            </w:tcBorders>
          </w:tcPr>
          <w:p>
            <w:pPr>
              <w:spacing w:before="0" w:after="60" w:line="240" w:lineRule="auto"/>
              <w:jc w:val="left"/>
            </w:pPr>
            <w:r>
              <w:rPr>
                <w:rFonts w:ascii="Noto Sans" w:hAnsi="Noto Sans" w:cs="Noto Sans"/>
                <w:b/>
                <w:i w:val="0"/>
                <w:caps/>
                <w:color w:val="6B6256"/>
                <w:sz w:val="16"/>
                <w:lang w:val="pt-BR" w:bidi="ar-SA"/>
                <w:kern w:val="16"/>
                <w14:ligatures w14:val="standardContextual"/>
              </w:rPr>
              <w:t>QUADRO</w:t>
            </w:r>
          </w:p>
          <w:p>
            <w:pPr>
              <w:spacing w:before="0" w:after="60" w:line="247" w:lineRule="auto"/>
              <w:jc w:val="both"/>
            </w:pPr>
            <w:r>
              <w:rPr>
                <w:rFonts w:ascii="EB Garamond" w:hAnsi="EB Garamond" w:cs="EB Garamond"/>
                <w:b/>
                <w:i w:val="0"/>
                <w:color w:val="201B16"/>
                <w:sz w:val="19"/>
                <w:lang w:val="pt-BR" w:bidi="ar-SA"/>
                <w:kern w:val="16"/>
                <w14:ligatures w14:val="standardContextual"/>
              </w:rPr>
              <w:t>Quadro 21.1 — Evolução do art. 103 da Lei 8.213/91 (redações do caput)</w:t>
            </w:r>
          </w:p>
          <w:tbl>
            <w:tblPr>
              <w:tblW w:type="auto" w:w="0"/>
              <w:jc w:val="center"/>
              <w:tblLook w:firstColumn="1" w:firstRow="1" w:lastColumn="0" w:lastRow="0" w:noHBand="0" w:noVBand="1" w:val="04A0"/>
              <w:tblW w:w="5000" w:type="pct"/>
            </w:tblPr>
            <w:tblGrid>
              <w:gridCol w:w="1270"/>
              <w:gridCol w:w="1270"/>
              <w:gridCol w:w="1270"/>
              <w:gridCol w:w="1270"/>
              <w:gridCol w:w="1270"/>
            </w:tblGrid>
            <w:tr>
              <w:trPr>
                <w:tblHeader/>
              </w:trPr>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Norma</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Vigência</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Prazo</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Objeto</w:t>
                  </w:r>
                </w:p>
              </w:tc>
              <w:tc>
                <w:tcPr>
                  <w:tcW w:type="dxa" w:w="1270"/>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Observação</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Redação original (Lei 8.213/91)</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25/07/1991 a 27/06/1997</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Sem prazo decadencial</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Revisão do ato de concessão</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Apenas prescrição quinquenal de parcelas</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MP 1.523-9/1997 (Lei 9.528/97)</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28/06/1997 a 21/11/1998</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10 anos</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Revisão do ato de concessão</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Primeiro prazo decadencial instituído</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MP 1.663-15/1998 (Lei 9.711/98)</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22/10/1998 a 18/11/2003</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5 anos</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Revisão do ato de concessão</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Redução criticada pela doutrina</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MP 138/2003 (Lei 10.839/2004)</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19/11/2003 em diante</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10 anos</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Revisão do ato de concessão</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Redação vigente. Reabriu prazo para benefícios atingidos pelo prazo de 5 anos</w:t>
                  </w:r>
                </w:p>
              </w:tc>
            </w:tr>
            <w:tr>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Lei 13.846/2019 (art. 24)</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18/06/2019 a 01/07/2020</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10 anos</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Revisão, indeferimento, cancelamento, cessação</w:t>
                  </w:r>
                </w:p>
              </w:tc>
              <w:tc>
                <w:tcPr>
                  <w:tcW w:type="dxa" w:w="1270"/>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ADI 6096: inconstitucional na extensão ao indeferimento/cancelamento/cessação</w:t>
                  </w:r>
                </w:p>
              </w:tc>
            </w:tr>
          </w:tbl>
          <w:p/>
          <w:p>
            <w:pPr>
              <w:spacing w:before="0" w:after="0" w:line="240" w:lineRule="auto"/>
            </w:pP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leitura do quadro revela que o legislador oscilou significativamente ao longo de três décadas, transitando da completa ausência de prazo decadencial para um prazo decenal, reduzindo-o a cinco anos, retornando aos dez e tentando, sem sucesso, estendê-lo a hipóteses que extrapolavam a revisão do ato de concessão. Essa instabilidade normativa gerou dificuldades práticas consideráveis para o cálculo do prazo em benefícios concedidos durante os períodos de transição, matéria que examinamos na seção 21.5 ao tratar do termo inicial.</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21.3 Natureza jurídica da decadência previdenciária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decadência do art. 103 da Lei 8.213/91 extingue o direito potestativo do segurado de revisar o ato administrativo de concessão do benefício previdenciário. Trata-se de direito potestativo porque a revisão consiste na faculdade de provocar a modificação de uma situação jurídica preexistente (o ato de concessão) sem que o INSS possa opor-se ao exercício dessa faculdade, desde que o segurado demonstre o erro no cálculo. O transcurso do prazo decenal sem o exercício dessa faculdade acarreta a perda definitiva do direito de questionar os parâmetros do ato concessório.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distinção entre decadência e prescrição governa o regime de limites temporais no direito previdenciário, e a confusão entre os dois institutos é uma das causas mais frequentes de erro nas petições iniciais e nas contestações que tramitam nos JEFs.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prescrição atinge a pretensão, isto é, o poder de exigir o cumprimento de uma obrigação já existente. Quando o INSS concede benefício com valor inferior ao devido, o segurado adquire o direito de cobrar as diferenças. Essa pretensão (cobrar as diferenças) se sujeita ao prazo prescricional de cinco anos. A decadência, diferentemente, atinge o próprio direito de provocar a modificação do ato. O segurado que deixa transcorrer o prazo de dez anos sem questionar o cálculo da RMI perde o direito de revisar o ato. Não se trata de perda da pretensão ao pagamento de diferenças, mas de perda do direito que geraria essas diferenças.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As consequências práticas da distinção são relevantes. Primeiro: a decadência opera de pleno direito e deve ser reconhecida de ofício pelo juiz (art. 210 do Código Civil), independentemente de alegação do INSS na contestação. O art. 332, § 1º, do Código de Processo Civil autoriza o juiz a julgar liminarmente improcedente o pedido quando verificar a ocorrência de decadência. O magistrado dos JEFs que recebe ação revisional com DIB superior a dez anos deve examinar, desde o despacho inicial, se o prazo decadencial já transcorreu. Na prática, muitos juízos federais incluem a verificação da decadência na rotina de triagem das ações revisionais, determinando a emenda da inicial quando a petição não esclarece a DIB e a data do primeiro pagamento.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Segundo: a decadência é irrenunciável (art. 209 do Código Civil). O INSS não pode renunciar ao prazo decadencial em favor do segurado, e eventual declaração nesse sentido não produz efeitos. A irrenunciabilidade decorre do caráter de ordem pública do prazo, que visa à estabilização das relações jurídicas previdenciárias como um todo, e não apenas à proteção dos interesses da autarquia.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Terceiro: a decadência, em regra, não se sujeita a causas de suspensão ou interrupção. Ao contrário da prescrição, que se interrompe pelo ajuizamento da ação, pelo protesto judicial ou pelo requerimento administrativo (art. 202 do Código Civil), a decadência flui ininterruptamente desde o termo inicial. Essa regra geral comporta exceção apenas quando a própria lei que fixa o prazo decadencial prevê causa de impedimento ou suspensão (art. 207 do Código Civil). No caso do art. 103 da Lei 8.213/91, não há previsão de suspensão ou interrupção, o que torna o prazo, em princípio, fatal.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Reconhecimento de ofício da decadência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decadência do art. 103 da Lei 8.213/91 é matéria de ordem pública. O juiz deve reconhecê-la de ofício, ainda que o INSS não a tenha alegado na contestação (art. 210 do CC; art. 332, § 1º, do CPC). O advogado que não atenta para o prazo pode ver a ação extinta liminarmente (art. 332, § 1º, CPC) ou, caso o juiz não a identifique de plano, reconhecida na sentença sem que as partes tenham tido oportunidade de se manifestar especificamente sobre ela. A verificação do prazo decadencial é o primeiro passo da análise de qualquer ação revisional nos JEFs.</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doutrina debate se o prazo do art. 103 constitui verdadeira decadência ou se se aproxima de uma preclusão temporal administrativa. A questão não é meramente acadêmica. Se o prazo fosse de natureza preclusiva (e não decadencial no sentido técnico), poderia haver espaço para a aplicação analógica de causas de impedimento, como a menoridade civil ou a incapacidade absoluta. A posição majoritária, contudo, é de que se trata de autêntica decadência, no sentido técnico-civilístico do termo, o que exclui a incidência de causas de suspensão e interrupção, salvo expressa disposição legal. Essa qualificação encontra apoio no julgamento do RE 626.489/SE (Tema 313): ao reconhecer a constitucionalidade do prazo, o STF partiu da premissa de que se cuida de verdadeira decadência. A partir dessa premissa, a doutrina e a jurisprudência majoritárias afastam a aplicação subsidiária das causas de impedimento e suspensão da prescrição, próprias de instituto diverso. Trata-se, porém, de consequência derivada da natureza decadencial do prazo, e não do enunciado formal vinculante do Tema 313, que se ocupou da constitucionalidade do prazo decenal e de sua aplicação aos benefícios anteriores à MP 1.523-9/1997 (seção 21.8).</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21.4 Objeto da decadência: o que decai e o que não decai</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delimitação precisa do objeto da decadência previdenciária constitui uma das questões mais relevantes da prática nos JEFs. Entender o que está sujeito ao prazo decenal e o que dele escapa é pressuposto para a correta triagem das ações revisionais e para a fundamentação adequada das sentenças.</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21.4.1 O que decai: revisão do ato de concessão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D</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ecai o direito potestativo de revisar o ato administrativo de concessão do benefício previdenciário. O ato de concessão é o ato pelo qual o INSS reconhece o direito do segurado ao benefício e fixa os parâmetros de cálculo: salário de benefício, coeficiente de cálculo, fator previdenciário (quando aplicável), tempo de contribuição computado, período básico de cálculo utilizado e enquadramento de atividade especial. Questionar qualquer desses parâmetros após o transcurso de dez anos da primeira prestação configura pretensão atingida pela decadência.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rotina dos JEFs, as ações revisionais mais comuns referem-se a erros no cômputo de salários de contribuição, na aplicação do fator previdenciário, no enquadramento de atividade especial e na definição do período básico de cálculo. Todas essas pretensões sujeitam-se ao prazo decenal, na medida em que dizem respeito a elementos constitutivos do ato de concessão. A aplicação concreta da decadência a cada tese revisional específica (revisão da vida toda, revisão do teto, revisão do art. 29, II, revisão das atividades concomitantes) é examinada no Capítulo 17, seções 17.2 a 17.9, com quadro funcional que permite ao leitor identificar rapidamente o regime aplicável a cada tese.</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21.4.2 O que não decai: concessão originária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direito à concessão originária do benefício previdenciário não se sujeita a decadência. O segurado que preenche os requisitos legais pode requerer e obter o benefício a qualquer tempo, sem limitação temporal. A única consequência do retardo é a prescrição das parcelas anteriores ao quinquênio que precede o ajuizamento da ação (ou, em caso de requerimento administrativo, o quinquênio anterior ao requerimento, com a ressalva da interrupção da prescrição).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Essa regra foi expressamente confirmada pelo Plenário do STF na ADI 6096. Ao declarar inconstitucional a extensão da decadência ao indeferimento, cancelamento e cessação de benefícios tentada pela Lei 13.846/2019, o Tribunal assentou que o direito à previdência social é direito fundamental e que sujeitar a pretensão de concessão originária a prazo decadencial comprometeria o exercício do direito fundamental em si. A distinção entre revisão (que decai) e concessão (que não decai) é, após a ADI 6096, pedra angular do sistema de limites temporais previdenciários.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No cotidiano das varas, a distinção exige atenção na triagem inicial da ação. Nem sempre a qualificação da pretensão como revisional ou concessória é clara na petição inicial. O segurado pode, por exemplo, postular a "revisão" de benefício que, na realidade, lhe foi indevidamente cessado. Nesse caso, a pretensão é de restabelecimento (equiparável à concessão), e não de revisão, de modo que a decadência não incide. Cabe ao juiz, ao examinar a petição inicial, identificar a verdadeira natureza da pretensão, para além da nomenclatura utilizada pelo advogado.</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21.4.3 O que não decai: revisão de benefício indeferido ou cessado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revisão de benefício indeferido ou cessado não se submete ao prazo decadencial do art. 103. Quando o INSS indefere o requerimento de benefício, não há ato de concessão a ser revisado. O segurado busca, nesse caso, a concessão do benefício negado, e essa pretensão é de natureza concessória, não revisional. O mesmo raciocínio aplica-se ao benefício indevidamente cessado: o segurado busca o restabelecimento da prestação interrompida, e não a modificação dos parâmetros de um ato de concessão vigente.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Sobre essa hipótese incide diretamente o julgado da ADI 6096, cujo fundamento — a decadência atinge a revisão, não a concessão originária — já examinamos nas seções 21.2.6 e 21.4.2. Aplicado ao caso, o segurado cujo benefício foi indeferido em 2012 pode, em 2026, ajuizar ação de concessão, desde que demonstre o preenchimento dos requisitos legais. As parcelas anteriores ao quinquênio prescricional estarão prescritas, mas o direito ao benefício permanece íntegro, justamente porque a pretensão não é revisional e escapa ao art. 103.</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21.4.4 O que não decai: fato superveniente, erro material e fraude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T</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rês outras hipóteses escapam à incidência da decadência. A primeira é o fato superveniente ao ato de concessão. Quando uma circunstância posterior à concessão altera os parâmetros que deveriam integrar o cálculo do benefício, o segurado não está exercendo pretensão de revisão do ato originário. Está, sim, postulando o reconhecimento de efeitos de fato novo. O exemplo clássico é a reclamatória trabalhista: o segurado que obtém decisão judicial reconhecendo vínculos ou verbas remuneratórias que deveriam ter integrado o período básico de cálculo não exerceu pretensão revisional do ato de concessão, pois o fato (decisão trabalhista) é posterior à concessão. Nesses casos, conforme o Tema 975 do STJ, o termo inicial da decadência é o trânsito em julgado da sentença trabalhista, e não a data da primeira prestação.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segunda hipótese é o erro material. O ato de concessão que contém erro material (erro de digitação, erro aritmético, lapso na transcrição de dados do CNIS) pode ser corrigido a qualquer tempo, sem sujeição ao prazo decadencial. Essa exceção decorre do princípio da autotutela administrativa (Súmula 473/STF), do art. 53 da Lei 9.784/99 (que disciplina a anulação de atos administrativos federais) e, por analogia, da regra do art. 494, I, do CPC. A própria natureza do erro material como vício que não gera direito adquirido para nenhuma das partes fundamenta a correção a qualquer tempo. Na prática dos JEFs, é comum que a contestação do INSS reconheça o erro material e concorde com a correção, eliminando a controvérsia.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terceira hipótese é a fraude. O ato de concessão obtido mediante fraude não se beneficia do prazo decadencial. A fraude é vício insanável que contamina o ato desde a origem, impedindo a formação de qualquer expectativa legítima. Essa exceção opera em favor do INSS (que pode revisar o ato fraudulento a qualquer tempo, conforme o art. 103-A da Lei 8.213/91 e a ressalva expressa nele contida) e, em tese, também em favor do segurado, quando a fraude é imputável a agente do INSS que adulterou os dados de concessão em prejuízo do beneficiário.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ADI 6096 (Plenário do STF, Plenário Virtual, j. 01/07/2020, Rel. Min. Edson Fachin)</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Declarou inconstitucional o art. 24 da Lei 13.846/2019 na parte em que estendia o prazo decadencial de dez anos ao indeferimento, cancelamento e cessação de benefícios previdenciários. O fundamento central reside na natureza de direito fundamental da previdência social (art. 6º e art. 201 da CF/88): admitir que a pretensão de concessão originária se extinga por decadência comprometeria o núcleo essencial do direito. A decadência do art. 103 permanece limitada ao direito de revisar o ato de concessão, preservando-se integralmente o direito de obter o benefício quando preenchidos os requisitos legais.</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21.5 Termo inicial do prazo decadencial</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21.5.1 Regra geral: primeiro dia do mês seguinte à primeira prestação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103, caput, da Lei 8.213/91 fixa o termo inicial do prazo decadencial no "primeiro dia do mês seguinte ao do recebimento da primeira prestação". O marco é objetivo e não se confunde com a data do requerimento administrativo (DER), com a data de início do benefício (DIB) ou com a data da carta de concessão. O legislador optou pelo momento do primeiro pagamento efetivo porque, em tese, é a partir do recebimento da primeira prestação que o segurado tem condições de verificar o valor do benefício concedido e confrontá-lo com o que entende ser devido.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No foro, a determinação do primeiro pagamento exige consulta ao extrato de crédito bancário ou ao HISCRE (Histórico de Créditos) do benefício, disponível no sistema do INSS. O primeiro pagamento nem sempre coincide com a competência da DIB, pois pode haver atraso na operacionalização do crédito. Quando a DIB é fixada, por exemplo, em julho de 2015, mas o primeiro crédito ocorre apenas em setembro de 2015 (com retroativos de julho e agosto), o termo inicial da decadência é 1º de outubro de 2015, e o prazo se esgota em 1º de outubro de 2025.</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Um exemplo concreto ilustra a mecânica. Segurado que completa os requisitos para aposentadoria por tempo de contribuição em março de 2014, protocoliza requerimento administrativo em maio de 2014 (DER), obtém concessão com DIB em maio de 2014, mas recebe o primeiro pagamento (crédito bancário) apenas em agosto de 2014. O prazo decadencial inicia-se em 1º de setembro de 2014 e se encerra em 1º de setembro de 2024. Se esse segurado ajuizar ação revisional em outubro de 2024, a pretensão estará fulminada pela decadência.</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21.5.2 Tema 975/STJ: incidência mesmo sem exame de ofício pelo INSS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Tema 975 do STJ (REsp 1.644.191/RS, 1ª Seção, j. 11/12/2019) fixou tese com duas faces. De um lado, estabeleceu que o prazo decadencial de dez anos não se aplica às hipóteses em que a questão controversa não foi objeto de apreciação no ato administrativo de concessão. De outro, confirmou que, quando o INSS examinou a questão (ainda que de forma equivocada), o prazo decadencial incide normalmente a partir do primeiro pagamento.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primeira face do Tema 975 opera como exceção à regra geral: se o INSS, ao conceder o benefício, simplesmente não apreciou determinada questão que deveria ter examinado de ofício (por exemplo, a soma dos salários de contribuição de atividades concomitantes, quando os dados do CNIS evidenciavam a concomitância), o segurado pode pleitear a revisão a qualquer tempo nesse ponto específico, pois o prazo decadencial não se iniciou. A segunda face confirma a regra: se o INSS analisou a questão e decidiu em determinado sentido (ainda que incorretamente), o prazo flui do primeiro pagamento.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Destaca-se a questão da reclamatória trabalhista com reflexos previdenciários. Quando o segurado obtém decisão judicial reconhecendo verbas remuneratórias que deveriam integrar o período básico de cálculo, o fato gerador da revisão é a decisão trabalhista, que é posterior ao ato de concessão. A jurisprudência do STJ, em construção autônoma que se valeu da ratio decidendi do Tema 975 e de precedentes da Primeira Seção — mas que não integra a tese formal vinculante daquele tema —, assentou que o termo inicial da decadência é o trânsito em julgado da sentença trabalhista, e não a data do primeiro pagamento do benefício previdenciário. Registramos a distinção: a tese formal do Tema 975 limita-se à questão não apreciada no ato de concessão; o deslocamento do termo inicial para o trânsito em julgado da reclamatória trabalhista é construção jurisprudencial derivada, prevalecente no STJ, mas que não possui o mesmo grau de vinculação do enunciado repetitivo. A solução é lógica: o segurado não poderia ter pleiteado a revisão antes de obter o título judicial trabalhista, de modo que seria contrário à boa-fé fixar o termo inicial em momento anterior à existência do próprio fato que fundamenta a revisão.</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21.5.3 Questões práticas de apuração do termo inicial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N</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 rotina dos JEFs, a verificação do termo inicial da decadência é operação que deve preceder qualquer análise de mérito em ação revisional. O seguinte roteiro sintetiza os passos necessários: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Passo a passo para verificar se a revisão está dentro do prazo decadencial:</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1. Identificar a DIB (Data de Início do Benefício) na carta de concessão ou no sistema do INSS (PLENUS/PRISMA). 2. Verificar a data do primeiro crédito bancário (HISCRE ou extrato bancário). Atentar: o primeiro crédito pode incluir retroativos e ser posterior à competência da DIB. 3. O termo inicial do prazo decadencial é o primeiro dia do mês seguinte ao mês do primeiro crédito. 4. Contar dez anos a partir desse termo inicial. 5. Verificar exceções que afastam ou deslocam o termo inicial:  a) Fato superveniente (reclamatória trabalhista): termo inicial é o trânsito em julgado da decisão trabalhista (jurisprudência do STJ, a partir da ratio do Tema 975).  b) Questão não examinada de ofício pelo INSS: decadência não se aplica a essa questão específica (Tema 975/STJ).  c) Erro material: não se sujeita a decadência.  d) Fraude: não se sujeita a decadência. 6. Se o prazo estiver esgotado e nenhuma exceção for aplicável, a pretensão revisional está fulminada pela decadência. Consequência: extinção com resolução do mérito (art. 487, II, CPC).</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interação entre a DIB e a DER também gera dúvidas. A DER (Data de Entrada do Requerimento) é a data em que o segurado protocolou o pedido de benefício. A DIB pode coincidir com a DER (regra geral para aposentadorias) ou ser anterior a ela (no caso de auxílio por incapacidade temporária, cuja DIB retroage à data de início da incapacidade). O prazo decadencial, contudo, não corre da DER nem da DIB, mas do primeiro pagamento efetivo. A distinção é relevante porque, em benefícios por incapacidade, o primeiro pagamento pode ocorrer meses após a DIB, ampliando na prática o prazo disponível para o segurado.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Outra questão prática envolve os benefícios concedidos durante a vigência do prazo de cinco anos (Lei 9.711/1998, de novembro de 1998 a novembro de 2003). Para esses benefícios, o prazo decadencial era de cinco anos. Contudo, com a reabertura promovida pela Lei 10.839/2004 (vigente desde 19/11/2003), os segurados cujo prazo quinquenal já havia se esgotado receberam novo prazo de dez anos, contados de 19/11/2003. O segurado que teve benefício concedido em janeiro de 2000, com primeiro pagamento em fevereiro de 2000, teria decadência consumada em março de 2005 sob a regra de cinco anos. Com a reabertura, ganhou novo prazo de dez anos a partir de 19/11/2003, que expirou em 19/11/2013.</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21.6 Tema 966/STJ: decadência e direito ao benefício mais vantajoso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Tema 966 do STJ (REsp 1.631.021/SP, 1ª Seção, Rel. Min. Mauro Campbell Marques, j. 13/02/2019) fixou tese com a seguinte redação: "Incide o prazo decadencial previsto no caput do artigo 103 da Lei 8.213/1991 para reconhecimento do direito adquirido ao benefício previdenciário mais vantajoso."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tese responde a uma questão que se apresentava com frequência nos JEFs: o segurado que, na data do requerimento administrativo, já reunia os requisitos para aposentadoria por mais de uma regra (aposentadoria por idade e aposentadoria por tempo de contribuição, ou aposentadoria com e sem aplicação do fator previdenciário) e obteve concessão por uma delas pode, posteriormente, postular a revisão para que o INSS aplique a regra mais favorável?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resposta do STJ foi afirmativa quanto à existência do direito, mas sujeita ao prazo decadencial. O direito de escolher a regra mais vantajosa integra o ato de concessão, pois a opção por determinada regra é um dos parâmetros que definem a RMI. Assim, o segurado que pretende substituir a regra aplicada por outra mais favorável está, em essência, postulando a revisão do ato de concessão, e essa pretensão sujeita-se ao prazo de dez anos.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posição do STJ é coerente com a sistemática do art. 103. Se o direito ao benefício mais vantajoso constitui faculdade inerente ao ato de concessão, seu exercício deve observar o mesmo prazo fixado para a revisão dos demais parâmetros desse ato. Admitir que a escolha da regra mais vantajosa fosse imprescritível, enquanto a revisão do salário de benefício ou do fator previdenciário decai em dez anos, criaria uma assimetria injustificável.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aplicação prática do Tema 966 nos JEFs envolve, na maioria dos casos, segurados que se aposentaram antes da Emenda Constitucional 103/2019, quando a coexistência de regras diferentes (aposentadoria por tempo integral, proporcional, por idade, com ou sem fator previdenciário) era mais comum. Para benefícios concedidos após a EC 103/2019, o cenário de múltiplas regras de transição ampliou as possibilidades de escolha, mas o prazo decadencial igualmente se aplica.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interface entre o Tema 966 e as teses revisionais específicas já foi examinada no Capítulo 17, seção 17.2, ao qual remetemos o leitor para a análise concreta. Adotamos aqui a seguinte orientação: a decadência do Tema 966 atinge a escolha da regra de cálculo, que é componente do ato de concessão. Não atinge, contudo, o direito ao benefício em si. O segurado que perdeu o prazo para escolher regra mais vantajosa continua titular do benefício concedido pela regra originalmente aplicada. A decadência elimina a faculdade de substituir a regra, não o direito à prestação previdenciária.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o cálculo da vantajosidade exige simulação comparativa entre as diferentes regras, levando em conta não apenas a RMI de cada cenário, mas também a expectativa de vida do segurado, a data de início do benefício e a evolução dos reajustamentos. Essa análise, de natureza atuarial, nem sempre é simples, e o segurado que não contava com assessoria jurídica especializada pode não ter tido, na prática, condições de avaliar a vantajosidade da regra aplicada pelo INSS. A objeção é procedente do ponto de vista social, mas o STJ não acolheu argumento dessa natureza para afastar a decadência. O prazo decenal foi considerado razoável para que o segurado, mesmo sem assessoria imediata, busque orientação sobre a adequação do cálculo de seu benefício.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21.7 Decadência administrativa: o poder-dever de revisão pelo INSS (art. 103-A)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decadência previdenciária não opera apenas em favor do INSS. O art. 103-A da Lei 8.213/91, incluído pela Lei 10.839/2004, estabelece que o INSS deve anular o ato administrativo do qual decorram efeitos favoráveis para os seus beneficiários dentro do prazo de dez anos, contados da data em que foram praticados, salvo comprovada má-fé. Trata-se da decadência do poder-dever de revisão administrativa pelo INSS, simétrica à decadência do direito de revisão pelo segurado (art. 103).</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função do art. 103-A é proteger o segurado contra a instabilidade de benefícios regularmente concedidos. Quando o INSS concede benefício com determinados parâmetros e o mantém em vigor por mais de dez anos sem questionar a regularidade do ato, a confiança legítima do beneficiário na manutenção daqueles parâmetros merece proteção. O decurso do prazo decenal consolida o ato de concessão, impedindo que o INSS o reveja para reduzir o valor do benefício ou cessá-lo por suposta irregularidade.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Tema 445 do STF (RE 636.553/RS, Plenário, j. 19/02/2020, Rel. Min. Gilmar Mendes) fixou tese sobre a decadência do prazo para anulação de aposentadorias pela Administração, assentando que o poder revisional está sujeito ao prazo decadencial previsto em lei, observados o contraditório e a ampla defesa. No mesmo sentido, o Tema 214 do STJ (REsp 1.114.938/AL, 1ª Seção, j. 14/04/2010) já havia estabelecido que a Administração Previdenciária pode revisar o benefício concedido com base em erro, desde que observe o contraditório e a ampla defesa. A revisão administrativa, contudo, está sujeita ao prazo de dez anos do art. 103-A. Ultrapassado o decênio sem que o INSS tenha exercido o poder de revisão, o ato de concessão torna-se definitivo, e qualquer irregularidade que não constitua fraude resta sanada pelo decurso do tempo.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exceção da fraude é expressa no texto legal ("salvo comprovada má-fé"). Quando o benefício foi concedido mediante fraude comprovada judicialmente, o INSS pode rever o ato a qualquer tempo, sem limitação de prazo. A fraude impede a formação de confiança legítima, pois o beneficiário que obteve a concessão por meios ilícitos não pode invocar a estabilidade do ato em seu favor. A comprovação da fraude, contudo, deve ser judicial: o INSS não pode, por ato administrativo unilateral, declarar a existência de fraude e cancelar o benefício após o prazo de dez anos. Essa exigência decorre do devido processo legal e foi reiteradamente afirmada pelo STJ (Tema 214) e pelo STF (Tema 445).</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No cotidiano das varas, a matéria surge quando o segurado impugna ato administrativo do INSS que revogou ou reduziu benefício concedido há mais de dez anos. Nesses casos, o advogado e o juiz devem verificar duas questões. Primeiro: o INSS observou o contraditório prévio, oportunizando ao segurado manifestação antes da revisão? Segundo: o prazo de dez anos já havia se esgotado na data em que o INSS iniciou o procedimento revisional? Se ambas as respostas forem afirmativas (contraditório observado, mas prazo já esgotado), o ato revisional do INSS é ilegal e deve ser anulado pelo Judiciário, com o restabelecimento do benefício nos parâmetros anteriores.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Revisão administrativa de benefício pelo INSS: verificação de prazos</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Quando o segurado recebe notificação do INSS comunicando revisão administrativa do benefício (redução de valor, suspensão ou cessação), o advogado deve verificar imediatamente:</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1. Data da concessão do benefício (ato original).</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2. Data do início do procedimento administrativo revisional (notificação do INSS).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3. Se transcorreram mais de dez anos entre a concessão e o início da revisão: o ato revisional é ilegal, salvo comprovação de fraude judicialmente (art. 103-A da Lei 8.213/91; Tema 445/STF; Tema 214/STJ).</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4. Se há imputação de fraude: exigir comprovação judicial, não mera presunção administrativa.</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5. Em qualquer caso: verificar se o INSS observou o contraditório e a ampla defesa antes da revisão.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impugnação do ato revisional ilegal pode ser veiculada nos JEFs, desde que o valor da causa não ultrapasse 60 salários-mínimos (R$ 97.260,00 em 2026).</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simetria entre o art. 103 e o art. 103-A confirma a coerência do sistema. O legislador estabeleceu prazos idênticos (dez anos) para ambas as partes da relação previdenciária: o segurado tem dez anos para revisar o ato de concessão em seu favor; o INSS tem dez anos para revisar o mesmo ato contra o segurado. Essa simetria confere coerência ao sistema e reforça a função estabilizadora da decadência. Transcorrido o decênio, o ato de concessão consolida-se com os parâmetros originais, não podendo ser questionado por nenhuma das partes, ressalvada a hipótese de fraude.</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21.8 Constitucionalidade do prazo decadencial de 10 anos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constitucionalidade do prazo decadencial fixado pelo art. 103 da Lei 8.213/91 foi questionada desde a introdução do prazo pela MP 1.523-9/1997. O argumento central dos que sustentavam a inconstitucionalidade era o seguinte: se o direito à previdência social é direito fundamental (art. 6º da CF/88), e se o benefício previdenciário tem natureza alimentar, a imposição de prazo que extinga o direito de corrigir eventuais erros de cálculo representaria lesão ao núcleo essencial desse direito fundamental. O segurado que recebe benefício com valor inferior ao devido durante toda a vida, por não ter questionado o cálculo dentro do prazo, sofreria prejuízo de natureza alimentar cristalizado pelo decurso do tempo.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Supremo Tribunal Federal enfrentou a questão no julgamento do RE 626.489/SE, julgado em regime de repercussão geral (Tema 313), em 16 de outubro de 2013. O Plenário, por unanimidade, declarou a constitucionalidade do prazo decadencial de dez anos para a revisão do ato de concessão de benefício previdenciário. O relator, Ministro Roberto Barroso, fundamentou o voto em três pilares.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primeiro pilar é o princípio da segurança jurídica. A estabilização das relações jurídicas previdenciárias atende não apenas ao interesse da autarquia (previsibilidade orçamentária), mas também ao interesse coletivo dos segurados (manutenção do equilíbrio atuarial do sistema). A permanente possibilidade de revisão de benefícios concedidos décadas antes criaria incerteza orçamentária incompatível com a gestão sustentável do RGPS.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segundo pilar é a razoabilidade do prazo. O período de dez anos foi considerado suficiente para que o segurado, ainda que em condições sociais adversas, identifique eventuais irregularidades no cálculo de seu benefício e busque a tutela jurisdicional. O Tribunal ponderou que o prazo de dez anos equivale a 120 prestações mensais recebidas pelo segurado, período que, na visão do Plenário, confere oportunidade adequada para a percepção de discrepâncias.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terceiro pilar é a distinção entre direito ao benefício e direito de revisão. A decadência atinge o direito de questionar os parâmetros do cálculo, não o direito ao benefício em si. O segurado que perde o prazo de revisão continua recebendo o benefício nos parâmetros originais. A perda é qualitativa (a possibilidade de correção), não quantitativa (o benefício em si). Essa distinção foi posteriormente reforçada pela ADI 6096, que confirmou que a decadência não pode atingir a pretensão de concessão originária.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Acompanhamos, neste ponto, a doutrina majoritária e o entendimento do STF. O prazo decenal é razoável e proporcional para a revisão do ato de concessão. Períodos mais curtos, como o prazo de cinco anos vigente entre 1998 e 2003, mostraram-se insuficientes na prática. Períodos superiores a dez anos, por outro lado, comprometeriam a estabilidade do sistema e a previsibilidade orçamentária da autarquia. A chave está nos limites: a constitucionalidade do prazo pressupõe que ele incida exclusivamente sobre a revisão do ato de concessão, jamais sobre o direito fundamental à obtenção do benefício. A ADI 6096 confirmou que o legislador não pode transpor a lógica da decadência revisional para o campo da concessão originária.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Registramos, contudo, uma preocupação que transcende o debate constitucional abstrato. Na atuação forense dos JEFs, a decadência decenal opera com maior rigor sobre segurados de menor escolaridade, residentes em áreas rurais ou periféricas, sem acesso a informação jurídica qualificada. Esses segurados frequentemente desconhecem que o cálculo de seu benefício contém erro e só descobrem o problema quando consultam advogado, o que pode ocorrer após o transcurso do prazo. A constitucionalidade formal do prazo não elimina essa dimensão social, que permanece como desafio para o sistema previdenciário e para as políticas de acesso à justiça. A atuação da Defensoria Pública da União nos JEFs constitui, assim, instrumento indispensável para assegurar que segurados vulneráveis possam exercer o direito de revisão dentro do prazo legal.</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21.9 Prescrição quinquenal: art. 103, parágrafo único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103, parágrafo único, da Lei 8.213/91 estabelece: "Prescreve em cinco anos, a contar da data em que deveriam ter sido pagas, toda e qualquer ação para haver prestações vencidas ou quaisquer restituições ou diferenças devidas pela Previdência Social, ressalvado o direito dos menores, incapazes e ausentes, na forma do Código Civil."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norma institui a prescrição quinquenal das parcelas previdenciárias. Seu objeto é distinto do objeto da decadência: enquanto a decadência extingue o direito potestativo de revisar o ato de concessão (seções 21.2 a 21.8), a prescrição extingue a pretensão de cobrar parcelas já vencidas. A decadência atinge o "direito de mudar"; a prescrição atinge o "direito de cobrar". O segurado que ajuíza ação revisional dentro do prazo decadencial e obtém sentença favorável receberá as diferenças, mas apenas aquelas vencidas nos cinco anos anteriores ao ajuizamento. As diferenças anteriores ao quinquênio estarão prescritas.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prescrição previdenciária quinquenal encontra fundamento adicional no art. 1º do Decreto 20.910, de 6 de janeiro de 1932, que fixa em cinco anos o prazo prescricional para ações contra a Fazenda Pública. A aplicação do Decreto 20.910/32 é subsidiária e reforça o prazo já estabelecido pelo art. 103, parágrafo único, da Lei 8.213/91. Na prática, a invocação do decreto acrescenta pouco, pois o prazo é idêntico ao da lei especial. A dupla fundamentação, contudo, revela a solidez do prazo quinquenal no sistema normativo brasileiro: não se trata de opção isolada do legislador previdenciário, mas de regra geral aplicável a todas as pretensões patrimoniais contra a Fazenda Pública.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distinção funcional entre prescrição e decadência no contexto previdenciário pode ser sintetizada nos seguintes termos. A decadência (dez anos) atinge o direito de revisar o ato de concessão; esgotado o prazo, o segurado não pode mais questionar os parâmetros do cálculo da RMI. A prescrição (cinco anos) atinge as parcelas vencidas; as diferenças anteriores ao quinquênio prescricional não são exigíveis, ainda que o direito de revisão esteja preservado. As duas regras operam em planos distintos e podem produzir consequências combinadas: o segurado que ajuíza ação revisional no nono ano do prazo decadencial obterá a revisão (pois o direito não decaiu), mas receberá diferenças apenas dos últimos cinco anos (pois as anteriores estão prescritas).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prescrição previdenciária tem como sujeito passivo o INSS, que é autarquia federal integrante da Fazenda Pública. As pretensões do INSS contra o segurado (cobrança de valores pagos indevidamente) também se sujeitam ao prazo quinquenal do Decreto 20.910/32. A reciprocidade dos prazos confere equidade ao sistema: nem o segurado pode cobrar parcelas antigas indefinidamente, nem o INSS pode perseguir a devolução de pagamentos indevidos após cinco anos.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Uma questão que surge com frequência nos JEFs envolve a prescrição em ações de concessão (e não de revisão). Quando o segurado ajuíza ação postulando a concessão de benefício que lhe foi indevidamente negado pelo INSS, a prescrição quinquenal atinge as parcelas anteriores ao quinquênio, mas não o direito ao benefício (fundo de direito). Essa regra, consagrada na Súmula 85 do STJ, é o objeto da próxima seção.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ressalva final do art. 103, parágrafo único, em favor dos menores, incapazes e ausentes remete ao regime do Código Civil. A análise dessa ressalva, que envolve a problemática da incapacidade civil após o Estatuto da Pessoa com Deficiência (Lei 13.146/2015), será desenvolvida na seção 21.13.</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21.10 Trato sucessivo e Súmula 85/STJ</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Súmula 85 do Superior Tribunal de Justiça enuncia: "Nas relações jurídicas de trato sucessivo em que a Fazenda Pública figure como devedora, quando não tiver sido negado o próprio direito reclamado, a prescrição atinge apenas as prestações vencidas antes do quinquênio anterior à propositura da 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enunciado consagra regra que permeia todo o contencioso previdenciário nos JEFs e cuja compreensão precisa é indispensável para o correto equacionamento da prescrição em ações previdenciárias. A relação previdenciária é, por excelência, relação de trato sucessivo: o benefício é devido mês a mês, renovando-se a prestação a cada competência. Enquanto o benefício for devido, o direito se renova continuamente, e a prescrição atinge apenas as parcelas já vencidas há mais de cinco anos.</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21.10.1 Fundo de direito imprescritível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Súmula 85 estabelece uma distinção fundamental entre o fundo de direito e as parcelas periódicas. O fundo de direito é o próprio direito ao benefício previdenciário. Esse direito, nas relações de trato sucessivo, não prescreve. O que prescreve são as parcelas vencidas há mais de cinco anos do ajuizamento da ação. A consequência prática é que o segurado pode postular a concessão de benefício a qualquer tempo, desde que demonstre o preenchimento dos requisitos, e o único efeito do retardo será a prescrição das prestações anteriores ao quinquênio.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Considere-se um exemplo. Segurado que preencheu os requisitos para aposentadoria por idade em janeiro de 2016 e jamais protocolou requerimento administrativo. Em maio de 2026, dez anos depois, requer o benefício ao INSS, que o indefere por motivo diverso (não por intempestividade, pois o direito ao benefício é imprescritível). O segurado ajuíza ação de concessão em junho de 2026. O juiz reconhece o direito ao benefício com DIB em janeiro de 2016. As parcelas de janeiro de 2016 a maio de 2021 estão prescritas (anteriores ao quinquênio do ajuizamento). As parcelas de junho de 2021 em diante são devidas integralmente. O fundo de direito (o direito à aposentadoria) permanece intocado; apenas as parcelas mais antigas foram atingidas pela prescrição.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Outro exemplo frequente nos JEFs envolve a concessão de auxílio por incapacidade temporária. Segurado que se tornou incapaz para o trabalho em abril de 2018, requereu o benefício e o teve indeferido por divergência da perícia médica. Em março de 2026, requer novamente, com novos exames. O INSS concede o benefício, mas somente a partir do novo requerimento. O segurado ajuíza ação para que a DIB retroaja a abril de 2018. Se procedente, as parcelas de abril de 2018 a fevereiro de 2021 estarão prescritas; as de março de 2021 em diante serão devidas. O direito ao benefício desde a incapacidade não prescreveu; prescreveram apenas as parcelas antigas.</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21.10.2 Exceção: negativa expressa do direito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Súmula 85 condiciona sua aplicação a uma premissa: que não tenha sido negado o próprio direito reclamado. Quando há negativa expressa do direito pelo INSS (ato formal de indeferimento com ciência ao segurado), o prazo prescricional corre a partir da ciência do segurado, e pode, em tese, atingir o próprio fundo de direito.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interpretação dessa exceção no âmbito previdenciário é, contudo, restritiva. A posição majoritária no STJ é que o mero indeferimento administrativo não configura, por si só, a "negativa do próprio direito reclamado" a que alude a Súmula 85. O indeferimento administrativo nega o pedido concreto do segurado, mas não extingue o direito fundamental à previdência. O segurado pode, a qualquer tempo, formular novo requerimento com documentação complementar ou ajuizar ação judicial. Somente se configuraria a exceção da Súmula 85 quando houvesse ato inequívoco e definitivo de negativa do direito, do qual o segurado tivesse plena ciência, e ainda assim transcorresse o quinquênio sem qualquer providência.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No cotidiano das varas, a aplicação dessa exceção é rara. Os magistrados, em regra, aplicam a Súmula 85 em sua inteireza, reconhecendo a imprescritibilidade do fundo de direito e limitando a prescrição às parcelas anteriores ao quinquênio. A exceção da negativa expressa opera apenas em situações extremas, como a do segurado que, notificado pessoalmente do indeferimento definitivo com todas as vias de recurso esgotadas, permanece inerte por mais de cinco anos.</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21.10.3 Exemplos práticos da aplicação nos JEFs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aplicação da Súmula 85 pode ser ilustrada com situações que se repetem na rotina forense.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Primeiro cenário: segurado que nunca requereu aposentadoria. Maria trabalhou como empregada doméstica de 1990 a 2012. Em 2026, aos 66 anos, procura advogado que identifica que ela preenchia os requisitos para aposentadoria por idade desde 2017 (60 anos de idade e 15 anos de contribuição). Maria nunca requereu o benefício. Ela pode requerer agora, sem qualquer óbice de prescrição ou decadência. Se o INSS indeferir e ela ajuizar ação, o juiz poderá fixar a DIB em 2017. As parcelas de 2017 a 2021 estarão prescritas (cinco anos retroativos ao ajuizamento em 2026), mas as de 2021 em diante serão devidas.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Segundo cenário: segurado que teve benefício indeferido e não recorreu. João requereu auxílio por incapacidade temporária em agosto de 2020, que foi indeferido pela perícia administrativa. João não recorreu nem ajuizou ação. Em janeiro de 2026, com a piora de seu quadro clínico, procura advogado e ajuíza ação nos JEFs postulando a concessão do benefício desde agosto de 2020. A Súmula 85 aplica-se: o direito ao benefício não prescreveu (fundo de direito preservado). As parcelas anteriores a janeiro de 2021 estão prescritas. Se a perícia judicial concluir que João está incapaz desde 2020, a concessão será deferida desde a DIB, descontadas as parcelas prescritas. A exceção da negativa expressa não se aplica, pois o indeferimento administrativo não configura negativa definitiva do direito.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Terceiro cenário: pensão por morte requerida com atraso. Filha de seis anos perde o pai, segurado do RGPS, em 2015. A mãe não requer pensão por morte para a filha. Em 2026, a filha, já com dezesseis anos, procura advogado. O fundo de direito (pensão por morte) não prescreveu. A prescrição das parcelas, contudo, sofre influência da menoridade: a filha era absolutamente incapaz até os dezesseis anos (art. 198, I, CC; art. 3º, CC), período em que a prescrição não corria. A prescrição só começou a correr quando ela completou dezesseis anos, em 2025. Em 2026, com cerca de um ano de prescrição corrida, todas as parcelas desde o óbito do instituidor em 2015 são devidas, pois não havia prescrição a correr contra a absolutamente incapaz. A análise detalhada das causas impeditivas da prescrição em favor de menores e incapazes é objeto da seção 21.13.</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Súmula 85/STJ e sua aplicação no contencioso previdenciário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Súmula 85 do STJ aplica-se integralmente às relações previdenciárias, reconhecidas como relações de trato sucessivo por excelência. O direito ao benefício previdenciário, quando não houver negativa expressa pelo INSS, constitui fundo de direito imprescritível. A prescrição quinquenal atinge apenas as prestações vencidas antes do quinquênio anterior ao ajuizamento da ação (ou ao requerimento administrativo, quando este interrompe a prescrição). O segurado pode requerer o benefício a qualquer tempo, perdendo apenas as parcelas mais antigas. A exceção da negativa expressa é de interpretação restritiva: o mero indeferimento administrativo não a configura, segundo a jurisprudência dominante do STJ.</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interação entre a Súmula 85 e a decadência do art. 103 merece nota final. As duas regras operam em planos distintos e não se confundem. A decadência atinge o direito de revisar o ato de concessão (ações revisionais). A Súmula 85 protege o fundo de direito ao benefício (ações de concessão). Nas ações de concessão, a decadência é inaplicável, e a prescrição atinge apenas as parcelas, conforme a Súmula 85. Nas ações de revisão, a decadência é o primeiro filtro temporal: se o direito de revisar decaiu, sequer se chega à análise da prescrição das parcelas, pois não há diferenças a cobrar. Se o direito de revisar está preservado (dentro do decênio ou em hipótese de exceção), a prescrição opera sobre as parcelas, limitando as diferenças ao quinquênio.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21.11 Termo inicial da prescrição: casuística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fixação do termo inicial da prescrição quinquenal varia conforme a natureza da pretensão previdenciária deduzida em juízo. Diferentemente da decadência, que possui termo inicial único e objetivo (o primeiro dia do mês seguinte ao primeiro pagamento), a prescrição comporta múltiplos termos iniciais, determinados pela configuração fática de cada caso concreto. Essa diversidade de cenários exige do magistrado dos JEFs atenção particularizada na análise do marco prescricional, sob pena de reconhecer prescrição inexistente ou de deixar de aplicá-la quando devida.</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21.11.1 Benefício concedido com valor inferior ao devido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Q</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uando o benefício foi concedido, mas com renda mensal inicial inferior à devida, o segurado faz jus às diferenças entre o valor pago e o valor correto. A prescrição dessas diferenças opera parcela a parcela: cada competência mensal tem prescrição autônoma, contada da data em que a parcela deveria ter sido paga. O segurado que ajuíza ação revisional em março de 2026 pode cobrar as diferenças das parcelas de março de 2021 em diante. As diferenças relativas às competências anteriores a março de 2021 estão prescritas.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Essa mecânica decorre diretamente do art. 103, parágrafo único, da Lei 8.213/91, que fixa o termo inicial da prescrição na data em que as prestações "deveriam ter sido pagas". Como o benefício previdenciário é pago mensalmente, cada parcela gera pretensão autônoma, com prazo prescricional próprio. O resultado prático é que a prescrição funciona como uma janela deslizante de cinco anos: o segurado pode cobrar, a qualquer momento, as diferenças dos últimos cinco anos, perdendo apenas as parcelas mais antigas à medida que o tempo avança.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Um aspecto relevante na prática dos JEFs diz respeito à interrupção da prescrição pelo requerimento administrativo. Se o segurado protocolou pedido de revisão no INSS antes de ajuizar a ação, a prescrição foi interrompida na data do protocolo (art. 202, VI, do CC, c/c art. 4º do Decreto 20.910/32), e o quinquênio deve ser contado retroativamente a partir dessa data, e não do ajuizamento. A diferença pode representar meses ou até anos de parcelas adicionais, conforme a demora entre o requerimento administrativo e o ajuizamento da ação.</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21.11.2 Benefício indeferido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Q</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uando o INSS indefere o requerimento de benefício, o termo inicial da prescrição é a data em que o segurado toma ciência do ato de indeferimento. A contagem opera nos termos do art. 103, parágrafo único, combinado com a Súmula 85 do STJ: o direito ao benefício (fundo de direito) permanece preservado como relação de trato sucessivo, e a prescrição atinge apenas as parcelas vencidas antes do quinquênio anterior ao ajuizamento.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a ciência do indeferimento é documentada pela carta de comunicação do INSS ou pela consulta ao sistema Meu INSS. A data relevante é a data de ciência efetiva pelo segurado, e não a data da decisão administrativa. Em caso de ausência de comprovação da ciência pelo segurado, o INSS tem o ônus de demonstrar quando ocorreu a comunicação. Essa questão assume especial relevância em indeferimentos antigos, nos quais a documentação de comunicação pode ter sido extraviada.</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21.11.3 Benefício cessado indevidamente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segurado cujo benefício foi cessado sem fundamento legal pode postular o restabelecimento a qualquer tempo, pois o direito ao benefício (fundo de direito) não prescreve. A prescrição atinge as parcelas que deveriam ter sido pagas e não foram: todas as competências anteriores a cinco anos do ajuizamento da ação estarão prescritas.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termo inicial, nesse caso, é a data de cada parcela que deixou de ser paga após a cessação. Se o benefício foi cessado em janeiro de 2019 e a ação foi ajuizada em março de 2026, as parcelas de janeiro de 2019 a fevereiro de 2021 estão prescritas, e as de março de 2021 em diante são exigíveis. Essa mecânica tem particular incidência em casos de cessação de auxílio por incapacidade temporária por alta programada ou por conclusão da perícia administrativa pela cessação da incapacidade, quando o segurado permanece, na realidade, incapaz para o trabalho.</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21.11.4 Revisão judicial com trânsito em julgado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pós o trânsito em julgado de sentença que reconhece diferenças em favor do segurado, a execução das parcelas atrasadas tem prescrição própria. A prescrição das parcelas devidas por força da decisão judicial conta de cada competência individualmente, e não do trânsito em julgado da sentença. Esse entendimento se justifica porque a sentença revisional tem natureza declaratória quanto ao direito e condenatória quanto às parcelas, e a prescrição da pretensão executória acompanha o vencimento de cada prestação.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rotina dos JEFs, a execução das sentenças previdenciárias ocorre por RPV (Requisição de Pequeno Valor) ou precatório. O prazo para expedição da RPV após o trânsito em julgado da sentença e a apresentação dos cálculos é processual, e eventual demora administrativa na implantação do benefício revisado não prejudica o segurado, pois as parcelas continuam vencendo e a prescrição se renova a cada competência.</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21.11.5 Reclamatória trabalhista com reflexos previdenciários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Q</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uando o segurado obtém decisão judicial trabalhista que reconhece vínculos empregatícios ou verbas remuneratórias que deveriam ter integrado o período básico de cálculo do benefício, a prescrição do direito de cobrar as diferenças previdenciárias conta do trânsito em julgado da sentença trabalhista. Essa solução segue a mesma lógica adotada pelo Tema 975 do STJ para o termo inicial da decadência: o segurado não poderia exercer a pretensão antes da existência do título judicial que a fundamenta.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dos JEFs, o segurado que obtém decisão trabalhista favorável deve requerer ao INSS a revisão do benefício com base nos novos salários de contribuição reconhecidos judicialmente. Se o INSS indeferir a revisão, o prazo prescricional das diferenças retroage à data de cada competência, mas a contagem somente se inicia após o trânsito em julgado da sentença trabalhista. A combinação entre o prazo decadencial (contado do trânsito em julgado trabalhista, conforme o Tema 975) e o prazo prescricional (igualmente contado do trânsito em julgado) cria uma janela de proteção para o segurado que se beneficiou de decisão judicial trabalhista.</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21.12 Causas de interrupção e suspensão da prescrição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prescrição previdenciária, ao contrário da decadência, admite causas de interrupção e suspensão previstas no Código Civil e no Código de Processo Civil. A correta identificação dessas causas pode ser determinante para o resultado da ação nos JEFs, pois a interrupção ou suspensão do prazo pode significar a diferença entre a procedência parcial (com prescrição de parcelas) e a procedência integral.</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21.12.1 Interrupção pelo requerimento administrativo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interrupção da prescrição pelo requerimento administrativo encontra fundamento no art. 4º do Decreto 20.910/1932 (que prevê a suspensão da prescrição durante a tramitação de pedidos na via administrativa) e na construção jurisprudencial do STJ que, por extensão interpretativa do art. 202, VI, do Código Civil, reconheceu eficácia interruptiva ao ato do segurado que protocola pedido perante o INSS. Embora o inciso VI do art. 202 se refira, em sentido estrito, ao ato do devedor que reconhece o direito do credor, a jurisprudência consolidou o entendimento de que o requerimento administrativo — ato do credor que constitui o devedor em mora — também opera como causa interruptiva da prescrição. O protocolo de requerimento de benefício ou de revisão junto ao INSS interrompe a prescrição quinquenal na data do protocolo.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interrupção tem consequência prática de grande relevância: o prazo prescricional, uma vez interrompido, recomeça do zero (art. 202, parágrafo único, do CC). Se o segurado protocolou requerimento administrativo de revisão em junho de 2022 e ajuizou ação em março de 2026, a prescrição não retroage cinco anos a partir de março de 2026 (que seria março de 2021), mas cinco anos a partir de junho de 2022 (que seria junho de 2017). A diferença pode representar quatro anos e nove meses adicionais de parcelas devidas.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No foro, a verificação de requerimentos administrativos anteriores ao ajuizamento é providência obrigatória na análise da prescrição. A data do protocolo no sistema do INSS é o marco interruptivo, e o advogado diligente deve instruir a inicial com a comprovação do protocolo para obter o benefício da interrupção.</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21.12.2 Interrupção pela citação válida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240, § 1º, do CPC dispõe que a interrupção da prescrição pela citação válida retroage à data do ajuizamento da ação. Nos JEFs, a regra tem aplicação relevante porque o prazo entre o ajuizamento e a citação do INSS pode ser longo, especialmente em varas com acervo elevado. A retroação à data do ajuizamento protege o segurado contra a demora do Judiciário em promover a citação.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o efeito retroativo da citação é particularmente relevante para a contagem do quinquênio prescricional. Se o segurado ajuizou a ação em janeiro de 2026, mas o INSS somente foi citado em agosto de 2026, a prescrição retroage a janeiro de 2026, e as parcelas devidas são contadas a partir de janeiro de 2021. Sem a retroação, o quinquênio retrocederia até agosto de 2021, e o segurado perderia sete meses de parcelas.</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21.12.3 Suspensão pela pendência de recurso administrativo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E</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nquanto pendente recurso administrativo perante o Conselho de Recursos da Previdência Social (CRPS), a prescrição fica suspensa. O fundamento é que o segurado está exercendo legitimamente o direito de impugnar a decisão administrativa, e não pode ser penalizado pela demora do próprio órgão recursal em julgar o recurso. A suspensão perdura desde o protocolo do recurso até a ciência da decisão final pelo CRPS.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Essa causa de suspensão tem relevância crescente nos JEFs, considerando que os prazos de julgamento no CRPS podem se estender por anos. O segurado que protocola recurso administrativo em 2020 e somente recebe a decisão em 2024 tem todo esse período excluído da contagem prescricional. Se, após a decisão desfavorável do CRPS, ajuíza ação no JEF em 2025, o quinquênio prescricional retroage a 2020, excluído o período de tramitação recursal. A aplicação correta da suspensão exige documentação da data de protocolo e da data de ciência da decisão do CRPS.</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21.12.4 Suspensão pela incapacidade civil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198, I, do Código Civil estabelece que não corre prescrição contra os absolutamente incapazes. Após a Lei 13.146/2015 (Estatuto da Pessoa com Deficiência), os absolutamente incapazes para fins civis são apenas os menores de 16 anos (art. 3º do CC). A prescrição fica suspensa durante todo o período de incapacidade absoluta, retomando seu curso quando o titular do direito completa 16 anos ou quando é representado por curador judicialmente nomeado.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questão da incapacidade civil e seus reflexos sobre a prescrição previdenciária recebem tratamento aprofundado na seção 21.13, dedicada à prescrição e menores, incapazes e ausentes.</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21.12.5 COVID-19 e prazos materiais de prescrição e decadência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pandemia de COVID-19 gerou intenso debate sobre a suspensão de prazos prescricionais e decadenciais. As normas emergenciais editadas durante a pandemia (Resolução CNJ 313/2020 e sucessivas) suspenderam prazos processuais, mas não se pronunciaram expressamente sobre prazos materiais como prescrição e decadência. A questão que se coloca é: a suspensão dos prazos processuais durante a pandemia estendeu-se aos prazos de prescrição e decadência previdenciária?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posição que adotamos é negativa. Os prazos de prescrição e decadência são prazos materiais, regulados pelo Código Civil e pela legislação previdenciária, e não se confundem com os prazos processuais suspensos pelas normas emergenciais. A suspensão dos prazos processuais teve por objetivo permitir o funcionamento do Judiciário e a prática de atos processuais durante o período de restrições sanitárias. Os prazos de prescrição e decadência, por sua natureza material, continuaram fluindo normalmente durante a pandemia.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Essa posição encontra respaldo na jurisprudência que se consolidou após o período pandêmico. Os tribunais, de modo geral, rejeitaram a tese de suspensão dos prazos materiais, por entenderem que a pandemia não impediu o segurado de requerer benefícios ou revisões pela via eletrônica (sistema Meu INSS), que permaneceu em funcionamento durante todo o período. A existência de canal digital para o exercício do direito afastou o argumento de impossibilidade de acesso ao INSS. Reconhecemos, todavia, que a questão comporta nuances em situações extremas, como a do segurado residente em área rural sem acesso à internet, mas a regra geral permanece: os prazos materiais não foram suspensos.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Roteiro de verificação de prescrição em ação previdenciária nos JEFs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1. Identificar a natureza da pretensão: concessão originária, revisão ou restabelecimento.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2. Se concessão: verificar data do indeferimento e ciência do segurado. Aplicar Súmula 85/STJ (fundo de direito preservado; prescrição apenas das parcelas anteriores ao quinquênio).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3. Se revisão: verificar primeiro se a decadência atingiu o direito de revisar (art. 103, caput). Se decaiu, a análise da prescrição das parcelas é desnecessária. Se não decaiu, aplicar prescrição quinquenal sobre as diferenças.</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4. Verificar existência de requerimento administrativo que tenha interrompido a prescrição (art. 202, VI, CC; art. 4º do Decreto 20.910/32). Identificar a data do protocolo: o quinquênio recomeça dessa data.</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5. Verificar pendência de recurso administrativo (CRPS): suspende a prescrição durante a tramitação.</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6. Verificar menoridade (menor de 16 anos) ou incapacidade absoluta do beneficiário: suspende a prescrição (art. 198, I, CC).</w:t>
            </w:r>
          </w:p>
          <w:p>
            <w:pPr>
              <w:spacing w:before="0" w:after="30" w:line="240" w:lineRule="auto"/>
              <w:ind w:left="227" w:hanging="142"/>
              <w:jc w:val="both"/>
            </w:pPr>
            <w:r>
              <w:rPr>
                <w:rFonts w:ascii="EB Garamond" w:hAnsi="EB Garamond" w:cs="EB Garamond"/>
                <w:b w:val="0"/>
                <w:i w:val="0"/>
                <w:color w:val="201B16"/>
                <w:sz w:val="19"/>
                <w:lang w:val="pt-BR" w:bidi="ar-SA"/>
                <w:kern w:val="16"/>
                <w14:ligatures w14:val="standardContextual"/>
              </w:rPr>
              <w:t>7. Calcular o quinquênio: parcelas anteriores a cinco anos do ajuizamento (ou do requerimento administrativo, se houve interrupção) estão prescritas.</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21.13 Prescrição e menores, incapazes e ausentes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103, parágrafo único, da Lei 8.213/91 ressalva expressamente "o direito dos menores, incapazes e ausentes, na forma do Código Civil". A ressalva remete ao regime das causas impeditivas da prescrição previstas nos arts. 197 e 198 do Código Civil, com especial atenção ao art. 198, I, que estabelece que a prescrição não corre contra os absolutamente incapazes.</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21.13.1 Absolutamente incapazes: art. 3º do CC após a Lei 13.146/2015</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té a entrada em vigor da Lei 13.146/2015 (Estatuto da Pessoa com Deficiência), em 2 de janeiro de 2016 (180 dias após a publicação, conforme art. 127 da lei), o art. 3º do Código Civil considerava absolutamente incapazes, além dos menores de 16 anos, os que por enfermidade ou deficiência mental não tivessem o necessário discernimento para a prática dos atos da vida civil, e os que, mesmo por causa transitória, não pudessem exprimir sua vontade. A prescrição não corria contra nenhuma dessas pessoas.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Lei 13.146/2015 alterou substancialmente o art. 3º do Código Civil, reduzindo a categoria de absolutamente incapazes exclusivamente aos menores de 16 anos. A regra geral do Estatuto da Pessoa com Deficiência é que a pessoa com deficiência é plenamente capaz para todos os atos da vida civil (art. 6º da Lei 13.146/2015). A incapacidade relativa, nos termos do art. 4º, III, do Código Civil (na redação dada pela Lei 13.146/2015), restringe-se àqueles que, por causa transitória ou permanente, não puderem exprimir sua vontade — critério fático que independe da existência de deficiência e que exige verificação concreta, caso a caso. A alteração teve motivação humanitária: o Estatuto buscou promover a autonomia e a inclusão das pessoas com deficiência, reconhecendo-lhes plena capacidade civil como regra e afastando a automática associação entre deficiência e incapacidade.</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21.13.2 Impacto na proteção prescricional de beneficiários vulneráveis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consequência não antecipada pelo legislador foi a redução da proteção prescricional de beneficiários previdenciários com deficiência intelectual ou mental. Antes da Lei 13.146/2015, a prescrição não corria contra pessoa com deficiência mental grave que fosse beneficiária de pensão por morte ou titular de benefício previdenciário, pois era classificada como absolutamente incapaz. Após o Estatuto, essa pessoa é presumida plenamente capaz, e a prescrição corre contra si normalmente. Somente se enquadra como relativamente incapaz (art. 4º, III, do CC) a pessoa que, por causa transitória ou permanente, não possa exprimir sua vontade, hipótese que exige decisão judicial específica.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dos JEFs, o impacto recai especialmente sobre duas situações. A primeira envolve dependentes com deficiência intelectual que são beneficiários de pensão por morte. Antes do Estatuto, a prescrição do direito de cobrar parcelas atrasadas ficava suspensa indefinidamente. Após o Estatuto, a prescrição corre normalmente, e o dependente pode perder parcelas por decurso de prazo sem sequer ter tido consciência de seu direito. A segunda situação envolve titulares de BPC (benefício de prestação continuada) que poderiam ter direito a benefício previdenciário mais vantajoso: a prescrição corre contra eles sem qualquer proteção especial, a menos que sejam menores de 16 anos.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Reconhecemos que a alteração do Estatuto da Pessoa com Deficiência gerou efeito colateral danoso na proteção prescricional de beneficiários vulneráveis. A intenção do legislador era promover a autonomia, mas o resultado prático, no campo previdenciário, foi retirar proteção prescricional de pessoas que, por sua condição de saúde, podem não ter condições reais de exercer ou acompanhar seus direitos dentro dos prazos legais.</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21.13.3 Curatela como exceção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curatela judicial permanece como instrumento de proteção. Quando o juiz declara, em processo de interdição ou de curatela (arts. 747 a 758 do CPC), que determinada pessoa não tem condições de exercer pessoalmente os atos da vida civil relativos a direitos patrimoniais, o curatelado pode ser equiparado a absolutamente incapaz para fins de suspensão da prescrição. A proteção, contudo, depende de decisão judicial específica e não opera automaticamente em razão da deficiência.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dos JEFs, o magistrado deve estar atento à situação pessoal do autor. Quando a parte autora é pessoa com deficiência intelectual significativa, sem curatela instituída, e a ação envolve parcelas prescritas, cabe ao juiz verificar se a ausência de curatela decorreu de desconhecimento do representante legal ou de negligência, e ponderar a aplicação da prescrição à luz da boa-fé objetiva e da proteção social.</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21.13.4 Menores de 16 anos: proteção integral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P</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ara os menores de 16 anos, a proteção prescricional permanece integral após o Estatuto da Pessoa com Deficiência. A prescrição simplesmente não corre contra o menor absolutamente incapaz. O prazo somente se inicia quando o menor completa 16 anos, passando à condição de relativamente incapaz. A partir dos 16 anos, a prescrição corre normalmente, com prazo integral de cinco anos.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Essa regra tem incidência frequente em ações de pensão por morte nos JEFs. O filho menor de 16 anos que perde o genitor segurado não sofre prescrição de parcelas durante a menoridade. Se a pensão foi requerida tardiamente, todas as parcelas desde o óbito são devidas, sem qualquer limitação prescricional, até que o menor complete 16 anos. A partir dos 16 anos, inicia-se a contagem do quinquênio. Para análise detalhada da pensão por morte e seus aspectos relacionados a menores e incapazes, remetemos ao Capítulo 19. Para a interface com o BPC, remetemos ao Capítulo 18.</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21.14 Tema 1057/STJ: legitimidade de herdeiros e prescrição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Tema 1057 do STJ (REsp 1.856.967/PR, REsp 1.856.968 e REsp 1.856.969, 1ª Seção, Rel. Min.ª Regina Helena Costa, j. 23/06/2021) fixou tese de grande repercussão prática nos JEFs, ao reconhecer a legitimidade de pensionistas e herdeiros para pleitear a revisão da aposentadoria do segurado falecido (instituidor da pensão por morte).</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21.14.1 A tese fixada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Tema 1057 estabeleceu que os pensionistas do segurado falecido têm legitimidade ativa para postular a revisão da aposentadoria do instituidor, caso a revisão repercuta no valor da pensão por morte que recebem. Na ausência de pensionistas, os herdeiros do segurado falecido também detêm legitimidade para pleitear as diferenças decorrentes da revisão, como crédito integrante do espólio.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tese resolve questão que gerava controvérsia nos JEFs. Antes da fixação do Tema, muitos juízos federais extinguiam as ações revisionais ajuizadas por pensionistas ou herdeiros por ilegitimidade ativa, sob o argumento de que o direito de revisar o ato de concessão era personalíssimo do segurado. O STJ afastou essa compreensão: o direito de revisão, enquanto não atingido pela decadência, é transmissível aos pensionistas e, na falta destes, aos herdeiros.</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21.14.2 Interface entre prescrição e decadência na transmissão do direito revisional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transmissão do direito de revisão aos pensionistas e herdeiros não amplia os prazos que corriam contra o instituidor em vida. O prazo decadencial do art. 103 continua sendo contado do primeiro dia do mês seguinte ao primeiro pagamento da aposentadoria do instituidor. Se o segurado faleceu antes do escoamento do prazo decadencial, o saldo remanescente de prazo é transmitido aos pensionistas e herdeiros.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Um exemplo esclarece a mecânica. Segurado que se aposentou em janeiro de 2015 (primeiro pagamento em fevereiro de 2015) tem prazo decadencial que se inicia em 1º de março de 2015 e se encerra em 1º de março de 2025. Se o segurado falece em dezembro de 2020, tendo transcorrido cinco anos e nove meses do prazo, os pensionistas herdam o saldo de quatro anos e três meses para exercer o direito de revisão. Se a pensionista ajuíza ação revisional em julho de 2024, ainda está dentro do prazo decadencial. Se ajuíza em junho de 2025, o direito já terá decaído.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prescrição das parcelas segue a regra geral: são devidas as diferenças dos últimos cinco anos anteriores ao ajuizamento da ação revisional pela pensionista ou pelo herdeiro. As diferenças anteriores ao quinquênio estão prescritas, mesmo que a aposentadoria do instituidor tenha sido concedida décadas antes.</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21.14.3 Distinção entre pensionistas e herdeiros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legitimidade dos pensionistas e a dos herdeiros, embora reconhecidas pelo mesmo tema, operam em bases distintas. O pensionista tem interesse próprio na revisão, pois o valor da pensão por morte é calculado sobre o valor da aposentadoria do instituidor (ou sobre o valor a que ele teria direito se fosse aposentado por incapacidade permanente na data do óbito). A revisão da aposentadoria do instituidor repercute diretamente no valor da pensão, o que confere ao pensionista interesse processual direto.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herdeiro, diferentemente, não é beneficiário de pensão por morte. Seu interesse reside nas diferenças devidas ao segurado em vida e não recebidas, que integram o espólio. O herdeiro pode cobrar as diferenças entre o valor que deveria ter sido pago ao segurado e o valor efetivamente pago, limitadas ao quinquênio prescricional anterior ao ajuizamento da 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No cotidiano forense, a atuação do pensionista é mais frequente que a do herdeiro, pois o pensionista busca não apenas as diferenças pretéritas, mas o aumento prospectivo no valor da pensão. O herdeiro, em regra, busca apenas os valores retroativos não recebidos pelo segurado em vida.</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21.14.4 Exemplo prático detalhado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F</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rancisco aposentou-se por tempo de contribuição em abril de 2013, com primeiro pagamento em maio de 2013. O prazo decadencial iniciou-se em 1º de junho de 2013 e se encerraria em 1º de junho de 2023. Francisco faleceu em agosto de 2021, deixando a esposa Marta como pensionista. Marta recebe pensão por morte desde setembro de 2021.</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Em fevereiro de 2023, Marta, aconselhada por advogado, ajuíza ação revisional da aposentadoria de Francisco nos JEFs, alegando que o INSS não computou corretamente os salários de contribuição do período de 2005 a 2010. A análise procede da seguinte forma: (i) a decadência não se consumou, pois a ação foi ajuizada antes de 1º de junho de 2023; (ii) as diferenças devidas à revisão estão sujeitas à prescrição quinquenal: são exigíveis as parcelas a partir de fevereiro de 2018 (cinco anos antes do ajuizamento); (iii) a revisão, se procedente, terá efeito sobre o valor da pensão por morte de Marta, que passará a receber o benefício calculado sobre a RMI corrigida da aposentadoria de Francisco.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análise complementar da legitimidade de herdeiros e pensionistas no contexto da pensão por morte, remetemos ao Capítulo 19 (seções 19.7 a 19.9, que tratam do rol de dependentes e sua classificação por classes).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21.15 Coisa julgada material nos JEFs: particularidades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terceira parte deste capítulo examina a coisa julgada previdenciária e suas particularidades no âmbito dos Juizados Especiais Federais. Se a decadência e a prescrição são limites temporais impostos pelo legislador, a coisa julgada é limite imposto pela decisão judicial transitada em julgado. Os três institutos compartilham a mesma função estabilizadora, mas operam em planos distintos: a decadência e a prescrição precedem o processo judicial; a coisa julgada sucede a ele.</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21.15.1 Conceito geral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coisa julgada material (art. 502, CPC) vincula as partes quanto ao dispositivo da sentença (art. 504), sem beneficiar ou prejudicar terceiros (art. 506). A decisão judicial que aprecia o mérito da causa previdenciária e transita em julgado impede o reexame da mesma questão em novo processo com as mesmas partes, o mesmo pedido e a mesma causa de pedir. No direito previdenciário, esse regime sofre inflexões relevantes, examinadas a seguir.</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21.15.2 Particularidades previdenciárias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N</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o direito previdenciário, o regime da coisa julgada sofre inflexões que o diferenciam do regime geral do processo civil. Essas inflexões decorrem do caráter alimentar do benefício previdenciário, da proteção constitucional à previdência social como direito fundamental e da natureza dinâmica de certas condições fáticas que fundamentam a concessão de benefícios, especialmente a capacidade laborativa.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Destacamos três particularidades. A primeira é a aplicação da coisa julgada secundum eventum probationis em ações por incapacidade, pela qual a sentença de improcedência fundada em prova insuficiente não impede nova ação com prova nova (seção 21.16). A segunda é a cláusula rebus sic stantibus, que admite nova ação quando fatos supervenientes alteram a situação fática decidida (seção 21.17). A terceira é a inexistência de ação rescisória nos JEFs (art. 59 da Lei 9.099/95), compensada pela admissibilidade da querela nullitatis para vícios transrescisórios (seção 21.19).</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Essas particularidades não significam que a coisa julgada previdenciária seja "enfraquecida" ou "relativizada" em sentido genérico. A coisa julgada material permanece como regra nos JEFs: a sentença de mérito transitada em julgado vincula as partes e impede a rediscussão da causa. As exceções são tipificadas e condicionadas a requisitos específicos. O magistrado dos JEFs que recebe nova ação com a mesma causa de pedir de ação anterior julgada improcedente deve, em primeiro lugar, verificar se alguma das exceções se aplica. Se nenhuma se aplica, a coisa julgada impõe a extinção do processo sem resolução do mérito (art. 485, V, do CPC).</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21.16 Coisa julgada secundum eventum probationis</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21.16.1 Conceito e fundamento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expressão "coisa julgada secundum eventum probationis" designa o regime pelo qual a coisa julgada material somente se forma quando a sentença aprecia o mérito com base em conjunto probatório suficiente. Se a sentença julga improcedente o pedido não por convicção de que o direito é inexistente, mas por insuficiência das provas apresentadas, a coisa julgada não se consolida de modo definitivo, e o autor pode ajuizar nova ação com prova nova capaz de demonstrar o direito alegado.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Esse regime não é criação do direito previdenciário. Tem raízes no direito ambiental e no direito do consumidor (ações coletivas reguladas pela Lei 7.347/85 e pelo CDC), nos quais a coisa julgada opera secundum eventum litis e secundum eventum probationis. No direito previdenciário, o STJ acolheu a aplicação do regime em ações por incapacidade, reconhecendo que a prova pericial produzida em determinado momento pode não captar adequadamente o quadro clínico do segurado, e que nova perícia, com novos elementos, pode conduzir a resultado diverso.</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21.16.2 Tema 629/STJ</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Tema 629 do STJ (REsp 1.352.721/SP, Corte Especial, j. 16/12/2015) foi firmado em ação de aposentadoria rural por idade ajuizada sem início de prova material. A tese, transcrita no box adiante, é processual: a ausência de conteúdo probatório eficaz conduz à extinção sem julgamento do mérito, e não à improcedência, de modo que o autor pode propor novamente a ação quando reunir os elementos necessários. A partir desse precedente, a doutrina e a prática dos JEFs construíram a noção de coisa julgada secundum eventum probationis e a estenderam às ações de benefício por incapacidade: a sentença que rejeita o pedido por insuficiência de prova da incapacidade não impede nova ação amparada em prova nova ou fato novo. Entende-se aqui por prova nova o laudo ou documento capaz de demonstrar alteração no quadro clínico, e por fato novo a piora da condição de saúde posterior à sentença. Trata-se de extensão do precedente, e não do conteúdo literal da tese.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Essa extensão repousa em premissa fática: a capacidade laborativa é condição dinâmica. O segurado que, na data da perícia judicial da primeira ação, apresentava capacidade laborativa preservada (ou incapacidade temporária que havia cessado) pode, posteriormente, sofrer agravamento de sua condição, desenvolver nova patologia ou ter a doença preexistente diagnosticada com maior precisão. Nessas circunstâncias, impedir nova ação significaria cristalizar uma situação de fato que já não corresponde à realidade.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aplicação dessa orientação nos JEFs exige do magistrado a verificação de dois requisitos cumulativos. O primeiro é a existência de prova nova ou fato novo: a simples repetição da ação anterior com os mesmos elementos probatórios esbarra na coisa julgada material. O segurado que obteve laudo pericial desfavorável na primeira ação e ajuíza segunda ação com os mesmos exames e os mesmos laudos não demonstra prova nova. O segundo requisito é a pertinência temporal: a prova nova ou o fato novo devem ser posteriores à sentença da primeira ação ou, ao menos, contemporâneos ao agravamento da condição clínica.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triagem da segunda ação, o magistrado dos JEFs deve examinar a inicial e os documentos médicos anexados para verificar se existe, ao menos em tese, elemento novo que justifique a reabertura da discussão. Se os documentos são os mesmos da ação anterior, ou se os novos atestados reproduzem diagnóstico idêntico sem demonstrar piora, a extinção por coisa julgada é a medida cabível. Se há novos exames, novos laudos ou evidência de agravamento, a ação deve prosseguir para instrução probatória.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Tema 629/STJ (REsp 1.352.721/SP, Corte Especial, j. 16/12/2015)</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Tese fixada (redação oficial): "A ausência de conteúdo probatório eficaz a instruir a inicial, conforme determina o art. 283 do CPC, implica a carência de pressuposto de constituição e desenvolvimento válido do processo, impondo sua extinção sem o julgamento do mérito (art. 267, IV do CPC) e a consequente possibilidade de o autor intentar novamente a ação (art. 268 do CPC), caso reúna os elementos necessários à tal iniciativa."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Aplicação previdenciária: a Corte Especial firmou a tese em contexto de prova material insuficiente, e a prática dos JEFs a estende, por identidade de razão, às ações de concessão de benefício por incapacidade. Assim, a sentença que julga improcedente o pedido por não reconhecer a incapacidade laboral, fundada em insuficiência probatória, não impede o ajuizamento de nova ação com o mesmo objeto, desde que lastreada em prova nova (novo laudo ou documento que demonstre alteração no quadro clínico) ou fato novo (piora efetiva da condição de saúde, posterior ao trânsito em julgado).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Obs.: O Tema 629 não autoriza a mera repetição da ação com as mesmas provas. O ônus de demonstrar a existência de prova nova ou fato novo recai sobre o autor da segunda ação.</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21.16.3 Distinção com a extinção sem resolução do mérito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coisa julgada secundum eventum probationis não se confunde com a ausência de coisa julgada decorrente da extinção sem resolução do mérito. Quando a ação é extinta sem julgamento do mérito (art. 485 do CPC), por exemplo, por falta de interesse processual (ausência de prévio requerimento administrativo, nos termos do RE 631.240/Tema 350/STF), não há coisa julgada material alguma, e o autor pode ajuizar nova ação sem qualquer restrição ou ônus de demonstrar prova nova.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distinção tem consequência prática direta. Na segunda ação ajuizada após extinção sem mérito, o segurado não precisa demonstrar prova nova ou fato novo. Na segunda ação ajuizada após improcedência por insuficiência de provas, o segurado deve demonstrar prova nova ou fato novo (Tema 629). Na segunda ação ajuizada após improcedência com apreciação plena do mérito, o segurado só pode prosseguir se demonstrar fato superveniente que altere a situação fática (cláusula rebus sic stantibus, seção 21.17). A gradação reflete o grau de estabilidade que cada tipo de decisão anterior confere à relação jurídica.</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21.17 Cláusula rebus sic stantibus: fatos supervenientes</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21.17.1 Conceito e aplicação previdenciária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cláusula rebus sic stantibus, no contexto da coisa julgada previdenciária, expressa a ideia de que a decisão judicial vincula as partes enquanto permanecerem inalteradas as circunstâncias de fato que a fundamentaram. Se essas circunstâncias se modificam substancialmente após o trânsito em julgado, a coisa julgada não impede nova ação fundada nos fatos supervenientes, pois a nova demanda tem causa de pedir distinta da anterior.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aplicação da cláusula no direito previdenciário é particularmente relevante nas ações por incapacidade. A capacidade laborativa é condição inerentemente dinâmica: o segurado que se encontrava apto ao trabalho na data da perícia judicial pode, meses ou anos depois, sofrer agravamento de sua condição, desenvolver novas comorbidades ou ter a progressão natural de doença degenerativa comprometendo sua aptidão para o exercício profissional. A decisão judicial que reconheceu a capacidade laborativa em determinado momento reflete um retrato estático de realidade que é, por natureza, mutável.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cláusula rebus sic stantibus não constitui exceção à coisa julgada, mas sim delimitação de seus limites temporais internos. A coisa julgada vincula quanto aos fatos existentes na data da sentença. Fatos posteriores, que alteram substancialmente o quadro fático apreciado, configuram nova causa de pedir e, por conseguinte, nova ação. Não se trata de "relativizar" a coisa julgada, mas de reconhecer que a imutabilidade da decisão pressupõe a permanência das condições de fato sobre as quais ela se pronunciou.</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21.17.2 Distinção com a coisa julgada secundum eventum probationis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distinção entre a cláusula rebus sic stantibus e a coisa julgada secundum eventum probationis é sutil, mas operacionalmente relevante. Na coisa julgada secundum eventum probationis (Tema 629, seção 21.16), o problema reside na insuficiência da prova: a primeira sentença julgou improcedente por falta de demonstração adequada do direito, e a segunda ação traz provas que suprem a deficiência anterior. Na cláusula rebus sic stantibus, o problema reside na alteração dos fatos: a primeira sentença julgou improcedente com apreciação plena e adequada das provas, concluindo corretamente que o segurado não estava incapaz naquela data, e a segunda ação alega que a situação fática mudou desde então.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consequência prática da distinção reflete-se na natureza da prova exigida para a segunda ação. Na aplicação do Tema 629, o segurado deve apresentar prova nova que demonstre que a conclusão da primeira sentença estava equivocada ou incompleta. Na aplicação da cláusula rebus sic stantibus, o segurado deve demonstrar fato superveniente que tenha alterado o quadro fático decidido. A prova, no segundo caso, não é de que a primeira sentença errou, mas de que os fatos mudaram.</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21.17.3 Enunciado 35/FONAJEF</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Enunciado 35 do FONAJEF consagra a aplicação da cláusula rebus sic stantibus nos JEFs, admitindo o ajuizamento de nova ação quando fato superveniente altera a situação fática decidida na sentença anterior. O enunciado reflete a prática consolidada dos Juizados Especiais Federais, nos quais as ações por incapacidade representam parcela significativa do acervo, e a possibilidade de nova ação por fato superveniente é condição de justiça do sistema.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aplicação do enunciado exige rigor na verificação do que constitui fato superveniente. A mera reedição do mesmo pedido com fundamento em atestados médicos de data posterior à sentença anterior, mas que descrevem a mesma condição clínica já avaliada, não configura fato novo. O fato superveniente deve representar alteração qualitativa na situação do segurado: novo diagnóstico, progressão documentada da doença, surgimento de comorbidade, agravamento funcional comprovado por exames objetivos.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O que configura (e o que não configura) fato novo para fins de rebus sic stantibus</w:t>
            </w:r>
          </w:p>
          <w:p>
            <w:pPr>
              <w:spacing w:before="0" w:after="60" w:line="247" w:lineRule="auto"/>
              <w:jc w:val="both"/>
            </w:pPr>
            <w:r>
              <w:rPr>
                <w:rFonts w:ascii="EB Garamond" w:hAnsi="EB Garamond" w:cs="EB Garamond"/>
                <w:b/>
                <w:i w:val="0"/>
                <w:color w:val="201B16"/>
                <w:sz w:val="19"/>
                <w:lang w:val="pt-BR" w:bidi="ar-SA"/>
                <w:kern w:val="16"/>
                <w14:ligatures w14:val="standardContextual"/>
              </w:rPr>
              <w:t>Configura fato novo:</w:t>
            </w:r>
            <w:r>
              <w:rPr>
                <w:rFonts w:ascii="EB Garamond" w:hAnsi="EB Garamond" w:cs="EB Garamond"/>
                <w:b w:val="0"/>
                <w:i w:val="0"/>
                <w:color w:val="201B16"/>
                <w:sz w:val="19"/>
                <w:lang w:val="pt-BR" w:bidi="ar-SA"/>
                <w:kern w:val="16"/>
                <w14:ligatures w14:val="standardContextual"/>
              </w:rPr>
              <w:t xml:space="preserve"> - Agravamento documentado da condição clínica, comprovado por exames de imagem, laudos médicos detalhados ou relatórios de internação posteriores à sentença anterior. - Surgimento de nova patologia que, isoladamente ou em combinação com a condição preexistente, compromete a capacidade laborativa. - Progressão natural de doença degenerativa (esclerose múltipla, Alzheimer, artrose avançada), documentada por exames comparativos. - Procedimento cirúrgico malsucedido que agravou a condição funcional.</w:t>
            </w:r>
          </w:p>
          <w:p>
            <w:pPr>
              <w:spacing w:before="0" w:after="60" w:line="247" w:lineRule="auto"/>
              <w:jc w:val="both"/>
            </w:pPr>
            <w:r>
              <w:rPr>
                <w:rFonts w:ascii="EB Garamond" w:hAnsi="EB Garamond" w:cs="EB Garamond"/>
                <w:b/>
                <w:i w:val="0"/>
                <w:color w:val="201B16"/>
                <w:sz w:val="19"/>
                <w:lang w:val="pt-BR" w:bidi="ar-SA"/>
                <w:kern w:val="16"/>
                <w14:ligatures w14:val="standardContextual"/>
              </w:rPr>
              <w:t>Não configura fato novo:</w:t>
            </w:r>
            <w:r>
              <w:rPr>
                <w:rFonts w:ascii="EB Garamond" w:hAnsi="EB Garamond" w:cs="EB Garamond"/>
                <w:b w:val="0"/>
                <w:i w:val="0"/>
                <w:color w:val="201B16"/>
                <w:sz w:val="19"/>
                <w:lang w:val="pt-BR" w:bidi="ar-SA"/>
                <w:kern w:val="16"/>
                <w14:ligatures w14:val="standardContextual"/>
              </w:rPr>
              <w:t xml:space="preserve"> - Simples obtenção de novo atestado médico com o mesmo diagnóstico da ação anterior. - Contratação de advogado diferente ou elaboração de nova petição com argumentos jurídicos distintos. - Apresentação de laudo de assistente técnico que contraria a perícia judicial da ação anterior, sem demonstrar alteração clínica. - Realização de nova perícia particular que repete os achados da perícia judicial anterior.</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21.17.4 Posição adotada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cláusula rebus sic stantibus aplica-se naturalmente às ações previdenciárias por incapacidade. A saúde humana é, por definição, condição mutável. Decisão judicial que fotografa o estado de saúde do segurado em determinado momento não pode ter a pretensão de cristalizar essa realidade para sempre. O sistema previdenciário, que protege o segurado contra riscos sociais, deve estar apto a responder às alterações da condição fática que motivou a proteção.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Essa posição não implica banalização da coisa julgada. O filtro é rigoroso: somente fatos efetivamente supervenientes e qualitativamente distintos dos apreciados na ação anterior justificam nova demanda. O magistrado dos JEFs tem o poder-dever de examinar, liminarmente, se a segunda ação apresenta elementos que, ao menos em tese, configuram fato novo. A ausência de tais elementos impõe a extinção por coisa julgada (art. 485, V, do CPC).</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21.18 Coisa julgada e benefício por incapacidade: síntese operacional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confluência entre a coisa julgada material, a coisa julgada secundum eventum probationis e a cláusula rebus sic stantibus gera cenários decisórios que o magistrado dos JEFs precisa equacionar com rapidez e segurança. A síntese que se segue organiza as quatro situações possíveis em quadro funcional.</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21.18.1 Quadro decisório: quatro situações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S</w:t>
      </w:r>
    </w:p>
    <w:p>
      <w:pPr>
        <w:spacing w:before="0" w:after="70" w:line="259" w:lineRule="auto"/>
        <w:jc w:val="both"/>
      </w:pPr>
      <w:r>
        <w:rPr>
          <w:rFonts w:ascii="EB Garamond" w:hAnsi="EB Garamond" w:cs="EB Garamond"/>
          <w:b/>
          <w:i w:val="0"/>
          <w:color w:val="201B16"/>
          <w:sz w:val="21"/>
          <w:lang w:val="pt-BR" w:bidi="ar-SA"/>
          <w:kern w:val="16"/>
          <w14:ligatures w14:val="standardContextual"/>
        </w:rPr>
        <w:t>ituação 1</w:t>
      </w:r>
      <w:r>
        <w:rPr>
          <w:rFonts w:ascii="EB Garamond" w:hAnsi="EB Garamond" w:cs="EB Garamond"/>
          <w:b w:val="0"/>
          <w:i w:val="0"/>
          <w:color w:val="201B16"/>
          <w:sz w:val="21"/>
          <w:lang w:val="pt-BR" w:bidi="ar-SA"/>
          <w:kern w:val="16"/>
          <w14:ligatures w14:val="standardContextual"/>
        </w:rPr>
        <w:t>: A primeira ação foi extinta sem resolução do mérito (art. 485 do CPC). Nesse caso, não há coisa julgada material. A segunda ação pode ser livremente ajuizada, sem qualquer ônus adicional de prova nova ou fato superveniente. A causa mais comum de extinção sem mérito em ações de incapacidade é a ausência de prévio requerimento administrativo (Tema 350/STF).</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Situação 2</w:t>
      </w:r>
      <w:r>
        <w:rPr>
          <w:rFonts w:ascii="EB Garamond" w:hAnsi="EB Garamond" w:cs="EB Garamond"/>
          <w:b w:val="0"/>
          <w:i w:val="0"/>
          <w:color w:val="201B16"/>
          <w:sz w:val="21"/>
          <w:lang w:val="pt-BR" w:bidi="ar-SA"/>
          <w:kern w:val="16"/>
          <w14:ligatures w14:val="standardContextual"/>
        </w:rPr>
        <w:t>: A primeira ação foi julgada improcedente por insuficiência de provas. Aplica-se a coisa julgada secundum eventum probationis (Tema 629/STJ). A segunda ação é admissível, desde que instruída com prova nova (novo laudo, novos exames) ou fato novo (piora clínica documentada). A prova nova deve demonstrar que a conclusão da primeira perícia era incompleta ou que o quadro clínico se alterou.</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Situação 3</w:t>
      </w:r>
      <w:r>
        <w:rPr>
          <w:rFonts w:ascii="EB Garamond" w:hAnsi="EB Garamond" w:cs="EB Garamond"/>
          <w:b w:val="0"/>
          <w:i w:val="0"/>
          <w:color w:val="201B16"/>
          <w:sz w:val="21"/>
          <w:lang w:val="pt-BR" w:bidi="ar-SA"/>
          <w:kern w:val="16"/>
          <w14:ligatures w14:val="standardContextual"/>
        </w:rPr>
        <w:t>: A primeira ação foi julgada improcedente com apreciação plena do mérito, concluindo que o segurado não estava incapaz. A coisa julgada material se formou integralmente. A segunda ação somente é admissível se demonstrar fato superveniente que alterou a situação fática decidida (cláusula rebus sic stantibus). A mera repetição da ação com as mesmas provas ou com novos argumentos jurídicos é inadmissível.</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Situação 4</w:t>
      </w:r>
      <w:r>
        <w:rPr>
          <w:rFonts w:ascii="EB Garamond" w:hAnsi="EB Garamond" w:cs="EB Garamond"/>
          <w:b w:val="0"/>
          <w:i w:val="0"/>
          <w:color w:val="201B16"/>
          <w:sz w:val="21"/>
          <w:lang w:val="pt-BR" w:bidi="ar-SA"/>
          <w:kern w:val="16"/>
          <w14:ligatures w14:val="standardContextual"/>
        </w:rPr>
        <w:t>: A primeira ação foi julgada procedente e o benefício foi concedido. A coisa julgada positiva impede que o INSS rediscuta o direito ao benefício em novo processo. A cessação do benefício concedido judicialmente depende de perícia administrativa de reavaliação (nos casos de benefício por incapacidade temporária) ou de decisão judicial em ação própria.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5F3EF" w:val="clear"/>
            <w:tcBorders>
              <w:top w:val="single" w:sz="7" w:space="0" w:color="A09882"/>
              <w:bottom w:val="single" w:sz="7" w:space="0" w:color="A09882"/>
              <w:right w:val="single" w:sz="7" w:space="0" w:color="A09882"/>
              <w:left w:val="single" w:sz="24" w:space="0" w:color="6B6256"/>
            </w:tcBorders>
          </w:tcPr>
          <w:p>
            <w:pPr>
              <w:spacing w:before="0" w:after="60" w:line="240" w:lineRule="auto"/>
              <w:jc w:val="left"/>
            </w:pPr>
            <w:r>
              <w:rPr>
                <w:rFonts w:ascii="Noto Sans" w:hAnsi="Noto Sans" w:cs="Noto Sans"/>
                <w:b/>
                <w:i w:val="0"/>
                <w:caps/>
                <w:color w:val="6B6256"/>
                <w:sz w:val="16"/>
                <w:lang w:val="pt-BR" w:bidi="ar-SA"/>
                <w:kern w:val="16"/>
                <w14:ligatures w14:val="standardContextual"/>
              </w:rPr>
              <w:t>QUADRO</w:t>
            </w:r>
          </w:p>
          <w:p>
            <w:pPr>
              <w:spacing w:before="0" w:after="60" w:line="247" w:lineRule="auto"/>
              <w:jc w:val="both"/>
            </w:pPr>
            <w:r>
              <w:rPr>
                <w:rFonts w:ascii="EB Garamond" w:hAnsi="EB Garamond" w:cs="EB Garamond"/>
                <w:b/>
                <w:i w:val="0"/>
                <w:color w:val="201B16"/>
                <w:sz w:val="19"/>
                <w:lang w:val="pt-BR" w:bidi="ar-SA"/>
                <w:kern w:val="16"/>
                <w14:ligatures w14:val="standardContextual"/>
              </w:rPr>
              <w:t>Quadro 21.2 — Coisa julgada em ações de incapacidade: fluxo decisório</w:t>
            </w:r>
          </w:p>
          <w:tbl>
            <w:tblPr>
              <w:tblW w:type="auto" w:w="0"/>
              <w:jc w:val="center"/>
              <w:tblLook w:firstColumn="1" w:firstRow="1" w:lastColumn="0" w:lastRow="0" w:noHBand="0" w:noVBand="1" w:val="04A0"/>
              <w:tblW w:w="5000" w:type="pct"/>
            </w:tblPr>
            <w:tblGrid>
              <w:gridCol w:w="1587"/>
              <w:gridCol w:w="1587"/>
              <w:gridCol w:w="1587"/>
              <w:gridCol w:w="1587"/>
            </w:tblGrid>
            <w:tr>
              <w:trPr>
                <w:tblHeader/>
              </w:trPr>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Resultado da 1ª ação</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Tipo de coisa julgada</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Possibilidade de nova ação</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Requisito</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Extinção sem mérito (art. 485)</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Nenhuma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Livre</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Nenhum. Ajuizar com o pressuposto faltante suprido</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Improcedência por insuficiência de provas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Secundum eventum probationis (Tema 629)</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Sim</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Prova nova ou fato novo (novo laudo, piora clínica)</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Improcedência com apreciação plena do mérito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Coisa julgada material plena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Apenas com fato superveniente</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Alteração da situação fática (rebus sic stantibus, Enunciado 35/FONAJEF)</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Procedência (benefício concedido)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Coisa julgada positiva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INSS não pode rediscutir</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Cessação depende de perícia de reavaliação ou ação própria</w:t>
                  </w:r>
                </w:p>
              </w:tc>
            </w:tr>
          </w:tbl>
          <w:p/>
          <w:p>
            <w:pPr>
              <w:spacing w:before="0" w:after="0" w:line="240" w:lineRule="auto"/>
            </w:pP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21.18.2 Orientação prática para a triagem</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N</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 triagem de segunda ação por incapacidade, o magistrado dos JEFs deve seguir sequência lógica de verificação. O primeiro passo é consultar o sistema processual para identificar se há ação anterior com o mesmo pedido e a mesma parte. O segundo passo, identificada a ação anterior, é verificar o resultado: extinção sem mérito, improcedência ou procedência. O terceiro passo, em caso de improcedência, é examinar a fundamentação da sentença anterior para classificá-la: improcedência por insuficiência de provas ou improcedência com apreciação plena do mérito. O quarto passo é examinar a documentação da segunda ação para verificar se há prova nova ou fato superveniente que justifique o prosseguimento.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Essa triagem pode ser realizada no despacho inicial, antes mesmo da citação do INSS, o que contribui para a eficiência dos JEFs ao evitar a tramitação desnecessária de ações que esbarram na coisa julgada. A economia processual, nesse ponto, opera tanto em favor do Judiciário quanto do próprio segurado, que obtém decisão célere sobre a admissibilidade de sua pretensão.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21.19 Querela nullitatis nos JEFs</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21.19.1 Conceito e fundamento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querela nullitatis insanabilis é ação declaratória que visa ao reconhecimento da inexistência ou nulidade de sentença eivada de vício transrescisório, isto é, vício tão grave que transcende o prazo e o âmbito da ação rescisória. Diferentemente da ação rescisória, que pressupõe sentença válida e busca desconstituir a coisa julgada por fundamentos específicos (art. 966 do CPC), a querela nullitatis parte da premissa de que a sentença é juridicamente inexistente ou absolutamente nula, e busca a declaração judicial dessa inexistência.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querela nullitatis tem especial relevância nos JEFs porque, conforme veremos na seção 21.20, o art. 59 da Lei 9.099/95 veda expressamente a ação rescisória nas causas que tramitam nos Juizados Especiais. Sem a querela nullitatis, o segurado que fosse vítima de vício transrescisório em sentença proferida por JEF ficaria sem qualquer instrumento para impugnar a decisão, situação que violaria o devido processo legal e o acesso à justiça.</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21.19.2 Hipóteses de cabimento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 hipóteses clássicas de cabimento da querela nullitatis são a ausência de citação válida e a incompetência absoluta do juízo. No contexto previdenciário dos JEFs, a ausência de citação válida pode ocorrer quando o segurado, réu em ação do INSS (por exemplo, ação de cobrança de valores pagos indevidamente), não é regularmente citado e a sentença transita em julgado à revelia. A incompetência absoluta pode configurar-se quando a ação tramita em JEF sem observância dos critérios de competência da Lei 10.259/2001 (valor da causa superior a 60 salários-mínimos ou matéria excluída da competência dos JEFs).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Outras hipóteses, embora menos frequentes, incluem a sentença proferida por juiz impedido (quando o impedimento é de conhecimento posterior e a parte não pôde arguir em tempo hábil) e a sentença proferida contra pessoa absolutamente incapaz sem a devida representação processual. Nesse último caso, a nulidade insanável decorre da falta de pressuposto processual subjetivo (capacidade processual), que vicia o processo desde a origem.</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21.19.3 Competência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querela nullitatis deve ser ajuizada no próprio juízo que proferiu a sentença atacada. Quando a sentença nula foi prolatada por juízo de JEF, a querela deve ser proposta no JEF, observado o limite de valor de causa de 60 salários-mínimos (R$ 97.260,00 em 2026). Se a sentença foi proferida pela Turma Recursal em grau de recurso, a querela deve ser dirigida à própria Turma Recursal. A regra de competência decorre do princípio de que o vício transrescisório é questão de ordem pública que pode ser conhecida pelo próprio juízo que o praticou.</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21.19.4 Imprescritibilidade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querela nullitatis não se sujeita a prazo prescricional ou decadencial. A inexistência jurídica do ato viciado por defeito transrescisório é perpétua: a sentença proferida sem citação válida é nula desde a origem e permanece nula independentemente do transcurso de tempo. Essa imprescritibilidade é consequência lógica da natureza do vício: se a sentença é juridicamente inexistente, ela não pode adquirir existência pelo decurso do tempo. A coisa julgada pressupõe sentença existente e válida; onde não há sentença válida, não há coisa julgada a proteger.</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21.19.5 Forma de veiculação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querela nullitatis pode ser veiculada de duas formas: por ação autônoma declaratória ou como questão prejudicial em outro processo. O STJ, no julgamento do REsp 2.145.294/SC (Terceira Turma, j. 18/06/2024) — precedente de matéria cível, cuja construção processual se transpõe por analogia aos JEFs —, reconheceu que a nulidade transrescisória pode ser suscitada como questão prejudicial em ação distinta, sem necessidade de ajuizamento de ação autônoma. Essa decisão ampliou as possibilidades de veiculação da querela no âmbito dos JEFs.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dos JEFs, a veiculação como questão prejudicial é particularmente útil quando o segurado ajuíza nova ação de concessão de benefício e, na nova ação, alega que a sentença anterior (que indeferiu o pedido) é nula por vício de citação. O juiz da segunda ação pode, então, examinar a nulidade como questão prejudicial e, reconhecendo-a, prosseguir com o julgamento da pretensão de concessão sem que o segurado precise ajuizar ação autônoma de querela nullitatis.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os aspectos procedimentais da querela nullitatis nos JEFs — competência para processamento, rito, legitimidade passiva e forma de instrução —, remetemos ao Capítulo 23, seção 23.35. Para a interface da querela com a revisão de benefícios, remetemos ao Capítulo 17, seção 17.10.</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21.20 Ação rescisória e os JEFs: vedação e alternativas</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21.20.1 A vedação do art. 59 da Lei 9.099/95</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59 da Lei 9.099, de 26 de setembro de 1995, dispõe de forma categórica: "Não se admitirá ação rescisória nas causas sujeitas ao procedimento instituído por esta Lei." A vedação integra a arquitetura dos Juizados Especiais, concebidos como sistema processual simplificado, célere e orientado pela oralidade, no qual a estabilidade das decisões é reforçada pela inexistência do instrumento rescisório.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Lei 10.259, de 12 de julho de 2001, que instituiu os Juizados Especiais Federais, não excepciona a vedação. O art. 1º da Lei 10.259/2001 determina a aplicação subsidiária da Lei 9.099/95 aos JEFs. A vedação de ação rescisória, prevista no art. 59 da Lei 9.099/95, aplica-se integralmente aos JEFs, sem qualquer ressalva.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Enunciado 26 do FONAJEF confirma o entendimento: "Não cabe ação rescisória de sentença proferida nos Juizados Especiais Federais." A posição é pacífica na jurisprudência das Turmas Recursais e do STJ.</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21.20.2 Fundamento da vedação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vedação encontra fundamento no princípio da celeridade que orienta o sistema dos Juizados Especiais. A ação rescisória, com seu prazo de dois anos (art. 975 do CPC), sua complexidade procedimental e sua tramitação perante tribunal de segunda instância, é incompatível com a simplicidade que o legislador pretendeu imprimir aos Juizados. Admitir a rescisória nos JEFs significaria criar canal de acesso à segunda instância federal (TRF) para reexame de mérito de sentenças proferidas por sistema processual que foi concebido para operar com duas instâncias próprias (JEF e Turma Recursal).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vedação, embora coerente com a lógica do sistema, cria lacuna de proteção. O segurado que é vítima de sentença proferida com violação manifesta de norma jurídica (hipótese clássica de rescisória pelo art. 966, V, do CPC) não dispõe, no âmbito dos JEFs, do instrumento que lhe permitiria desconstituir a decisão. Essa lacuna é parcialmente preenchida pelas alternativas examinadas a seguir.</w:t>
      </w:r>
    </w:p>
    <w:p>
      <w:pPr>
        <w:spacing w:before="260" w:after="80" w:line="240" w:lineRule="auto"/>
        <w:jc w:val="left"/>
      </w:pPr>
      <w:r>
        <w:rPr>
          <w:rFonts w:ascii="EB Garamond" w:hAnsi="EB Garamond" w:cs="EB Garamond"/>
          <w:b/>
          <w:i w:val="0"/>
          <w:color w:val="3A3128"/>
          <w:sz w:val="25"/>
          <w:lang w:val="pt-BR" w:bidi="ar-SA"/>
          <w:kern w:val="16"/>
          <w14:ligatures w14:val="standardContextual"/>
        </w:rPr>
        <w:t>21.20.3 Alternativas à ação rescisória nos JEFs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D</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iante da vedação, o sistema processual dos JEFs oferece três instrumentos que, em situações específicas, podem suprir a função que a ação rescisória exerceria no procedimento comum.</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primeiro instrumento é a querela nullitatis (seção 21.19), cabível para vícios transrescisórios (citação nula, incompetência absoluta). A querela não substitui a rescisória em sentido técnico, pois pressupõe vício de natureza distinta (inexistência da sentença, e não erro de julgamento), mas atende aos casos mais graves de nulidade processual.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segundo instrumento é a nova ação com fato superveniente, disponível nas hipóteses de incapacidade laboral em que a situação fática se alterou após o trânsito em julgado (cláusula rebus sic stantibus e Tema 629/STJ). Esse instrumento não rescinde a sentença anterior, mas permite nova decisão sobre questão que, por sua natureza dinâmica, comporta rediscussão.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terceiro instrumento é a reclamação constitucional ao STF (art. 988, III, do CPC), cabível quando a sentença do JEF contraria precedente vinculante do Supremo. A reclamação não é sucedânea da rescisória em sentido amplo, mas permite a correção de sentenças que violem a autoridade de decisões do STF em sede de repercussão geral ou de controle concentrado de constitucionalidade. A via é estreita, mas funcional em casos específicos.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Vedação de ação rescisória nos JEFs: síntese</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sentença de mérito transitada em julgado proferida por Juiz Federal em exercício no JEF não pode ser atacada por ação rescisória (art. 59 da Lei 9.099/95; Enunciado 26/FONAJEF). Essa vedação é absoluta e não comporta exceção interpretativa.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 xml:space="preserve">O advogado que identifica vício na sentença transitada em julgado deve avaliar as alternativas disponíveis: - </w:t>
            </w:r>
            <w:r>
              <w:rPr>
                <w:rFonts w:ascii="EB Garamond" w:hAnsi="EB Garamond" w:cs="EB Garamond"/>
                <w:b/>
                <w:i w:val="0"/>
                <w:color w:val="201B16"/>
                <w:sz w:val="19"/>
                <w:lang w:val="pt-BR" w:bidi="ar-SA"/>
                <w:kern w:val="16"/>
                <w14:ligatures w14:val="standardContextual"/>
              </w:rPr>
              <w:t>Vício de citação ou incompetência absoluta</w:t>
            </w:r>
            <w:r>
              <w:rPr>
                <w:rFonts w:ascii="EB Garamond" w:hAnsi="EB Garamond" w:cs="EB Garamond"/>
                <w:b w:val="0"/>
                <w:i w:val="0"/>
                <w:color w:val="201B16"/>
                <w:sz w:val="19"/>
                <w:lang w:val="pt-BR" w:bidi="ar-SA"/>
                <w:kern w:val="16"/>
                <w14:ligatures w14:val="standardContextual"/>
              </w:rPr>
              <w:t xml:space="preserve">: querela nullitatis (imprescritível). - </w:t>
            </w:r>
            <w:r>
              <w:rPr>
                <w:rFonts w:ascii="EB Garamond" w:hAnsi="EB Garamond" w:cs="EB Garamond"/>
                <w:b/>
                <w:i w:val="0"/>
                <w:color w:val="201B16"/>
                <w:sz w:val="19"/>
                <w:lang w:val="pt-BR" w:bidi="ar-SA"/>
                <w:kern w:val="16"/>
                <w14:ligatures w14:val="standardContextual"/>
              </w:rPr>
              <w:t>Alteração superveniente da condição fática (incapacidade)</w:t>
            </w:r>
            <w:r>
              <w:rPr>
                <w:rFonts w:ascii="EB Garamond" w:hAnsi="EB Garamond" w:cs="EB Garamond"/>
                <w:b w:val="0"/>
                <w:i w:val="0"/>
                <w:color w:val="201B16"/>
                <w:sz w:val="19"/>
                <w:lang w:val="pt-BR" w:bidi="ar-SA"/>
                <w:kern w:val="16"/>
                <w14:ligatures w14:val="standardContextual"/>
              </w:rPr>
              <w:t xml:space="preserve">: nova ação com prova de fato novo (Tema 629/STJ; Enunciado 35/FONAJEF). - </w:t>
            </w:r>
            <w:r>
              <w:rPr>
                <w:rFonts w:ascii="EB Garamond" w:hAnsi="EB Garamond" w:cs="EB Garamond"/>
                <w:b/>
                <w:i w:val="0"/>
                <w:color w:val="201B16"/>
                <w:sz w:val="19"/>
                <w:lang w:val="pt-BR" w:bidi="ar-SA"/>
                <w:kern w:val="16"/>
                <w14:ligatures w14:val="standardContextual"/>
              </w:rPr>
              <w:t>Violação de precedente vinculante do STF</w:t>
            </w:r>
            <w:r>
              <w:rPr>
                <w:rFonts w:ascii="EB Garamond" w:hAnsi="EB Garamond" w:cs="EB Garamond"/>
                <w:b w:val="0"/>
                <w:i w:val="0"/>
                <w:color w:val="201B16"/>
                <w:sz w:val="19"/>
                <w:lang w:val="pt-BR" w:bidi="ar-SA"/>
                <w:kern w:val="16"/>
                <w14:ligatures w14:val="standardContextual"/>
              </w:rPr>
              <w:t>: reclamação constitucional (art. 988, III, CPC).</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Não há instrumento que permita rescindir sentença dos JEFs por violação de norma jurídica federal (hipótese do art. 966, V, CPC). Essa lacuna é consequência estrutural da vedação e deve ser considerada na ponderação sobre a conveniência de ajuizar a ação nos JEFs ou na Justiça Federal comum, quando o valor da causa permite a opção.</w:t>
            </w:r>
          </w:p>
        </w:tc>
      </w:tr>
    </w:tbl>
    <w:p>
      <w:pPr>
        <w:spacing w:before="0" w:after="80" w:line="240" w:lineRule="auto"/>
      </w:pPr>
    </w:p>
    <w:p>
      <w:pPr>
        <w:spacing w:before="260" w:after="80" w:line="240" w:lineRule="auto"/>
        <w:jc w:val="left"/>
      </w:pPr>
      <w:r>
        <w:rPr>
          <w:rFonts w:ascii="EB Garamond" w:hAnsi="EB Garamond" w:cs="EB Garamond"/>
          <w:b/>
          <w:i w:val="0"/>
          <w:color w:val="3A3128"/>
          <w:sz w:val="25"/>
          <w:lang w:val="pt-BR" w:bidi="ar-SA"/>
          <w:kern w:val="16"/>
          <w14:ligatures w14:val="standardContextual"/>
        </w:rPr>
        <w:t>21.20.4 Posição adotada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vedação de ação rescisória nos JEFs é legítima e coerente com o princípio da celeridade que estrutura o sistema. A estabilidade das decisões nos JEFs é reforçada pela inexistência do instrumento rescisório, o que contribui para a segurança jurídica e para a efetividade das sentenças. Reconhecemos, contudo, que a vedação exige contrapartidas: o sistema deve oferecer alternativas eficazes para os casos de vícios graves (querela nullitatis) e de alteração fática superveniente (cláusula rebus sic stantibus). A inexistência dessas alternativas transformaria a vedação da rescisória em obstáculo ao acesso à justiça, resultado incompatível com o art. 5º, XXXV, da Constituição Federal.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advogado e o magistrado devem considerar, na prática, que a vedação de ação rescisória torna ainda mais relevante a qualidade da instrução processual na primeira ação. Nos JEFs, a sentença de mérito é, em regra, definitiva: uma vez transitada em julgado, não há instrumento que permita reexame de mérito por erro de julgamento. Essa realidade impõe ao magistrado o dever de instrução cuidadosa e fundamentação adequada, e ao advogado o dever de produzir prova robusta e de manejar os recursos internos do sistema (recurso inominado para a Turma Recursal, pedido de uniformização) antes do trânsito em julgado.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21.21 Consolidação das posições adotadas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o longo das vinte seções precedentes, examinamos os três institutos que delimitam temporalmente o exercício dos direitos previdenciários nos Juizados Especiais Federais: decadência, prescrição e coisa julgada. A extensão da análise reflete a complexidade da matéria e a frequência com que ela se apresenta na rotina dos JEFs. Consolidamos, a seguir, as dez posições que adotamos neste capítulo, com remissão às seções que as fundamentam.</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Posição 1 — Complementaridade entre decadência e prescrição.</w:t>
      </w:r>
      <w:r>
        <w:rPr>
          <w:rFonts w:ascii="EB Garamond" w:hAnsi="EB Garamond" w:cs="EB Garamond"/>
          <w:b w:val="0"/>
          <w:i w:val="0"/>
          <w:color w:val="201B16"/>
          <w:sz w:val="21"/>
          <w:lang w:val="pt-BR" w:bidi="ar-SA"/>
          <w:kern w:val="16"/>
          <w14:ligatures w14:val="standardContextual"/>
        </w:rPr>
        <w:t xml:space="preserve"> Decadência e prescrição operam em planos distintos e complementares. A decadência (dez anos) extingue o direito potestativo de revisar o ato de concessão. A prescrição (cinco anos) extingue a pretensão de cobrar parcelas vencidas. As duas regras podem incidir simultaneamente sobre a mesma relação jurídica, mas não se confundem nem se substituem. A decadência é o primeiro filtro temporal nas ações revisionais; a prescrição é o segundo. (Seções 21.1, 21.3, 21.9)</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Posição 2 — Objeto da decadência: apenas revisão do ato de concessão.</w:t>
      </w:r>
      <w:r>
        <w:rPr>
          <w:rFonts w:ascii="EB Garamond" w:hAnsi="EB Garamond" w:cs="EB Garamond"/>
          <w:b w:val="0"/>
          <w:i w:val="0"/>
          <w:color w:val="201B16"/>
          <w:sz w:val="21"/>
          <w:lang w:val="pt-BR" w:bidi="ar-SA"/>
          <w:kern w:val="16"/>
          <w14:ligatures w14:val="standardContextual"/>
        </w:rPr>
        <w:t xml:space="preserve"> A decadência do art. 103 da Lei 8.213/91 atinge exclusivamente o direito de revisar o ato de concessão do benefício previdenciário. Não atinge a pretensão de concessão originária, de restabelecimento de benefício cessado ou de reconhecimento de direito negado administrativamente. Essa delimitação foi expressamente fixada pelo STF na ADI 6096, que declarou inconstitucional a extensão da decadência ao indeferimento, cancelamento e cessação de benefícios tentada pela Lei 13.846/2019. (Seção 21.4)</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Posição 3 — Termo inicial: primeiro dia do mês seguinte à primeira prestação.</w:t>
      </w:r>
      <w:r>
        <w:rPr>
          <w:rFonts w:ascii="EB Garamond" w:hAnsi="EB Garamond" w:cs="EB Garamond"/>
          <w:b w:val="0"/>
          <w:i w:val="0"/>
          <w:color w:val="201B16"/>
          <w:sz w:val="21"/>
          <w:lang w:val="pt-BR" w:bidi="ar-SA"/>
          <w:kern w:val="16"/>
          <w14:ligatures w14:val="standardContextual"/>
        </w:rPr>
        <w:t xml:space="preserve"> O prazo decadencial inicia-se no primeiro dia do mês seguinte ao recebimento da primeira prestação do benefício. Exceções: reclamatória trabalhista (termo inicial é o trânsito em julgado da sentença trabalhista, conforme jurisprudência do STJ a partir da ratio do Tema 975) e questão não examinada de ofício pelo INSS (decadência inaplicável a essa questão específica, conforme tese formal do Tema 975). (Seção 21.5)</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Posição 4 — Decadência do benefício mais vantajoso.</w:t>
      </w:r>
      <w:r>
        <w:rPr>
          <w:rFonts w:ascii="EB Garamond" w:hAnsi="EB Garamond" w:cs="EB Garamond"/>
          <w:b w:val="0"/>
          <w:i w:val="0"/>
          <w:color w:val="201B16"/>
          <w:sz w:val="21"/>
          <w:lang w:val="pt-BR" w:bidi="ar-SA"/>
          <w:kern w:val="16"/>
          <w14:ligatures w14:val="standardContextual"/>
        </w:rPr>
        <w:t xml:space="preserve"> O direito potestativo de escolher a regra de cálculo mais favorável é componente do ato de concessão e, como tal, sujeita-se ao prazo decadencial de dez anos (Tema 966/STJ). A decadência atinge a faculdade de substituir a regra, mas não extingue o benefício concedido pela regra originalmente aplicada. (Seção 21.6)</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Posição 5 — Constitucionalidade do prazo decenal.</w:t>
      </w:r>
      <w:r>
        <w:rPr>
          <w:rFonts w:ascii="EB Garamond" w:hAnsi="EB Garamond" w:cs="EB Garamond"/>
          <w:b w:val="0"/>
          <w:i w:val="0"/>
          <w:color w:val="201B16"/>
          <w:sz w:val="21"/>
          <w:lang w:val="pt-BR" w:bidi="ar-SA"/>
          <w:kern w:val="16"/>
          <w14:ligatures w14:val="standardContextual"/>
        </w:rPr>
        <w:t xml:space="preserve"> O prazo decadencial de dez anos para revisão do ato de concessão é constitucional, conforme declarado pelo STF no RE 626.489/SE (Tema 313). O prazo é razoável e proporcional, considerando que incide exclusivamente sobre a revisão do ato concessório e não sobre o direito fundamental ao benefício. A constitucionalidade, contudo, pressupõe a manutenção dos limites estabelecidos pela ADI 6096: o prazo não pode ser estendido à concessão originária. (Seção 21.8)</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Posição 6 — Fundo de direito imprescritível nas relações de trato sucessivo.</w:t>
      </w:r>
      <w:r>
        <w:rPr>
          <w:rFonts w:ascii="EB Garamond" w:hAnsi="EB Garamond" w:cs="EB Garamond"/>
          <w:b w:val="0"/>
          <w:i w:val="0"/>
          <w:color w:val="201B16"/>
          <w:sz w:val="21"/>
          <w:lang w:val="pt-BR" w:bidi="ar-SA"/>
          <w:kern w:val="16"/>
          <w14:ligatures w14:val="standardContextual"/>
        </w:rPr>
        <w:t xml:space="preserve"> Nos termos da Súmula 85 do STJ, conforme exposto na seção 21.10, o direito ao benefício previdenciário não prescreve; somente as parcelas anteriores ao quinquênio estão prescritas. A exceção da negativa expressa do direito é de interpretação restritiva: o simples indeferimento administrativo não a configura. (Seção 21.10)</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Posição 7 — Coisa julgada secundum eventum probationis em ações de incapacidade.</w:t>
      </w:r>
      <w:r>
        <w:rPr>
          <w:rFonts w:ascii="EB Garamond" w:hAnsi="EB Garamond" w:cs="EB Garamond"/>
          <w:b w:val="0"/>
          <w:i w:val="0"/>
          <w:color w:val="201B16"/>
          <w:sz w:val="21"/>
          <w:lang w:val="pt-BR" w:bidi="ar-SA"/>
          <w:kern w:val="16"/>
          <w14:ligatures w14:val="standardContextual"/>
        </w:rPr>
        <w:t xml:space="preserve"> A sentença que julga improcedente ação previdenciária por incapacidade, por não reconhecer a incapacidade laboral, não impede nova ação desde que esta se baseie em prova nova ou fato novo, por extensão da razão de decidir do Tema 629 do STJ. A prova nova deve demonstrar alteração no quadro clínico; o fato novo deve revelar piora efetiva na condição de saúde. A mera repetição da ação com as mesmas provas esbarra na coisa julgada material. (Seção 21.16)</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Posição 8 — Cláusula rebus sic stantibus em ações de incapacidade.</w:t>
      </w:r>
      <w:r>
        <w:rPr>
          <w:rFonts w:ascii="EB Garamond" w:hAnsi="EB Garamond" w:cs="EB Garamond"/>
          <w:b w:val="0"/>
          <w:i w:val="0"/>
          <w:color w:val="201B16"/>
          <w:sz w:val="21"/>
          <w:lang w:val="pt-BR" w:bidi="ar-SA"/>
          <w:kern w:val="16"/>
          <w14:ligatures w14:val="standardContextual"/>
        </w:rPr>
        <w:t xml:space="preserve"> A coisa julgada em ações previdenciárias por incapacidade opera sob a cláusula rebus sic stantibus: a decisão vincula enquanto as circunstâncias fáticas permanecerem inalteradas. Fatos supervenientes que alterem substancialmente o quadro de saúde do segurado configuram nova causa de pedir e legitimam nova ação, independentemente da coisa julgada formada na ação anterior (Enunciado 35/FONAJEF). A cláusula não "relativiza" a coisa julgada, mas reconhece seus limites temporais internos. (Seção 21.17)</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Posição 9 — Querela nullitatis imprescritível como alternativa à ação rescisória vedada.</w:t>
      </w:r>
      <w:r>
        <w:rPr>
          <w:rFonts w:ascii="EB Garamond" w:hAnsi="EB Garamond" w:cs="EB Garamond"/>
          <w:b w:val="0"/>
          <w:i w:val="0"/>
          <w:color w:val="201B16"/>
          <w:sz w:val="21"/>
          <w:lang w:val="pt-BR" w:bidi="ar-SA"/>
          <w:kern w:val="16"/>
          <w14:ligatures w14:val="standardContextual"/>
        </w:rPr>
        <w:t xml:space="preserve"> Diante da vedação de ação rescisória nos JEFs (art. 59 da Lei 9.099/95; Enunciado 26/FONAJEF), a querela nullitatis constitui o principal instrumento para impugnar sentença transitada em julgado eivada de vício transrescisório (citação nula, incompetência absoluta). A querela é imprescritível e pode ser veiculada por ação autônoma ou como questão prejudicial em outra demanda (REsp 2.145.294/SC). (Seções 21.19 e 21.20)</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Posição 10 — Legitimidade de herdeiros e pensionistas para revisão; transmissão dos prazos.</w:t>
      </w:r>
      <w:r>
        <w:rPr>
          <w:rFonts w:ascii="EB Garamond" w:hAnsi="EB Garamond" w:cs="EB Garamond"/>
          <w:b w:val="0"/>
          <w:i w:val="0"/>
          <w:color w:val="201B16"/>
          <w:sz w:val="21"/>
          <w:lang w:val="pt-BR" w:bidi="ar-SA"/>
          <w:kern w:val="16"/>
          <w14:ligatures w14:val="standardContextual"/>
        </w:rPr>
        <w:t xml:space="preserve"> Pensionistas e herdeiros têm legitimidade para pleitear a revisão da aposentadoria do segurado falecido (Tema 1057/STJ). A transmissão do direito de revisão não amplia o prazo decadencial, que continua sendo contado do primeiro pagamento da aposentadoria do instituidor. A prescrição das parcelas opera pelo quinquênio anterior ao ajuizamento. A legitimidade do pensionista funda-se no interesse próprio (repercussão no valor da pensão); a do herdeiro funda-se no direito a créditos do espólio. (Seção 21.14)</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As dez posições consolidadas formam sistema coerente de limites temporais que equilibra a proteção do segurado (natureza alimentar do benefício, caráter de direito fundamental, dinâmica da condição de saúde) com a segurança jurídica (estabilização dos atos administrativos, previsibilidade orçamentária, definitividade das decisões judiciais). O magistrado dos JEFs e o advogado previdenciarista que dominam essas posições dispõem de instrumental sólido para a correta solução das questões temporais que permeiam o contencioso previdenciário.</w:t>
      </w:r>
    </w:p>
    <w:p>
      <w:pPr>
        <w:sectPr>
          <w:headerReference w:type="default" r:id="rId201"/>
          <w:headerReference w:type="even" r:id="rId202"/>
          <w:footerReference w:type="default" r:id="rId203"/>
          <w:footerReference w:type="even" r:id="rId204"/>
          <w:headerReference w:type="first" r:id="rId205"/>
          <w:footerReference w:type="first" r:id="rId206"/>
          <w:pgSz w:w="8391" w:h="11906"/>
          <w:pgMar w:top="935" w:right="879" w:bottom="964" w:left="1162" w:header="454" w:footer="425" w:gutter="0" w:mirrorMargins="1"/>
          <w:cols w:space="720"/>
          <w:titlePg/>
          <w:docGrid w:linePitch="360"/>
        </w:sectPr>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120" w:line="240" w:lineRule="auto"/>
        <w:jc w:val="center"/>
      </w:pPr>
      <w:r>
        <w:rPr>
          <w:rFonts w:ascii="Noto Sans" w:hAnsi="Noto Sans" w:cs="Noto Sans"/>
          <w:b/>
          <w:i w:val="0"/>
          <w:caps/>
          <w:color w:val="8A6A2A"/>
          <w:sz w:val="20"/>
          <w:lang w:val="pt-BR" w:bidi="ar-SA"/>
          <w:kern w:val="16"/>
          <w14:ligatures w14:val="standardContextual"/>
        </w:rPr>
        <w:t>PARTE VI</w:t>
      </w:r>
    </w:p>
    <w:p>
      <w:pPr>
        <w:pStyle w:val="Heading1"/>
        <w:spacing w:before="0" w:after="160" w:line="252" w:lineRule="auto"/>
        <w:jc w:val="center"/>
      </w:pPr>
      <w:r>
        <w:rPr>
          <w:rFonts w:ascii="EB Garamond" w:hAnsi="EB Garamond" w:cs="EB Garamond"/>
          <w:b/>
          <w:i w:val="0"/>
          <w:caps/>
          <w:color w:val="2F2923"/>
          <w:sz w:val="36"/>
          <w:lang w:val="pt-BR" w:bidi="ar-SA"/>
          <w:kern w:val="16"/>
          <w14:ligatures w14:val="standardContextual"/>
        </w:rPr>
        <w:t>Processo Previdenciário nos JEFs</w:t>
      </w:r>
    </w:p>
    <w:p>
      <w:pPr>
        <w:spacing w:before="160" w:after="0" w:line="240" w:lineRule="auto"/>
        <w:jc w:val="center"/>
      </w:pPr>
      <w:r>
        <w:rPr>
          <w:rFonts w:ascii="EB Garamond" w:hAnsi="EB Garamond" w:cs="EB Garamond"/>
          <w:b w:val="0"/>
          <w:i w:val="0"/>
          <w:color w:val="B78B37"/>
          <w:sz w:val="18"/>
          <w:lang w:val="pt-BR" w:bidi="ar-SA"/>
          <w:kern w:val="16"/>
          <w14:ligatures w14:val="standardContextual"/>
        </w:rPr>
        <w:t>━━━━━  ◆  ◆  ◆  ━━━━━</w:t>
      </w:r>
    </w:p>
    <w:p>
      <w:pPr>
        <w:sectPr>
          <w:headerReference w:type="default" r:id="rId207"/>
          <w:headerReference w:type="even" r:id="rId208"/>
          <w:footerReference w:type="default" r:id="rId209"/>
          <w:footerReference w:type="even" r:id="rId210"/>
          <w:headerReference w:type="first" r:id="rId211"/>
          <w:footerReference w:type="first" r:id="rId212"/>
          <w:type w:val="oddPage"/>
          <w:pgSz w:w="8391" w:h="11906"/>
          <w:pgMar w:top="935" w:right="879" w:bottom="964" w:left="1162" w:header="454" w:footer="425" w:gutter="0" w:mirrorMargins="1"/>
          <w:cols w:space="720"/>
          <w:titlePg/>
          <w:docGrid w:linePitch="360"/>
        </w:sectPr>
      </w:pPr>
    </w:p>
    <w:p>
      <w:pPr>
        <w:spacing w:before="240" w:after="80" w:line="240" w:lineRule="auto"/>
        <w:jc w:val="center"/>
        <w:keepNext/>
      </w:pPr>
      <w:r>
        <w:rPr>
          <w:rFonts w:ascii="Noto Sans" w:hAnsi="Noto Sans" w:cs="Noto Sans"/>
          <w:b/>
          <w:i w:val="0"/>
          <w:caps/>
          <w:color w:val="8A6A2A"/>
          <w:sz w:val="19"/>
          <w:lang w:val="pt-BR" w:bidi="ar-SA"/>
          <w:kern w:val="16"/>
          <w14:ligatures w14:val="standardContextual"/>
        </w:rPr>
        <w:t>CAPÍTULO 22</w:t>
      </w:r>
    </w:p>
    <w:p>
      <w:pPr>
        <w:pStyle w:val="Heading2"/>
        <w:spacing w:before="0" w:after="160" w:line="240" w:lineRule="auto"/>
        <w:jc w:val="center"/>
        <w:keepNext/>
      </w:pPr>
      <w:r>
        <w:rPr>
          <w:rFonts w:ascii="EB Garamond" w:hAnsi="EB Garamond" w:cs="EB Garamond"/>
          <w:b/>
          <w:i w:val="0"/>
          <w:caps/>
          <w:color w:val="2F2923"/>
          <w:sz w:val="40"/>
          <w:lang w:val="pt-BR" w:bidi="ar-SA"/>
          <w:kern w:val="16"/>
          <w14:ligatures w14:val="standardContextual"/>
        </w:rPr>
        <w:t>Processo Administrativo Previdenciário</w:t>
      </w:r>
    </w:p>
    <w:p>
      <w:pPr>
        <w:spacing w:before="0" w:after="240" w:line="240" w:lineRule="auto"/>
        <w:jc w:val="center"/>
      </w:pPr>
      <w:r>
        <w:rPr>
          <w:rFonts w:ascii="EB Garamond" w:hAnsi="EB Garamond" w:cs="EB Garamond"/>
          <w:b w:val="0"/>
          <w:i w:val="0"/>
          <w:color w:val="B78B37"/>
          <w:sz w:val="18"/>
          <w:lang w:val="pt-BR" w:bidi="ar-SA"/>
          <w:kern w:val="16"/>
          <w14:ligatures w14:val="standardContextual"/>
        </w:rPr>
        <w:t>━━━━  ◆  ━━━━</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Introdução: o processo administrativo como fase necessária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processo administrativo previdenciário ocupa, na atuação forense do direito previdenciário brasileiro, uma posição que transcende a de mera etapa burocrática antecedente à judicialização. Trata-se do instrumento primário (e, na esmagadora maioria dos casos, exclusivo) de acesso aos direitos previdenciários. A cada ano, o Instituto Nacional do Seguro Social processa volume superior a dez milhões de requerimentos administrativos, dos quais parcela significativa resulta em concessão de benefícios sem qualquer intervenção do Poder Judiciário. Os dados do Boletim Estatístico da Previdência Social de 2025 indicam que a taxa global de concessão administrativa oscila entre 55% e 65%, conforme a espécie de benefício requerido, com tempo médio de análise que, embora formalmente fixado em 30 a 45 dias, oscila na prática entre 45 e 120 dias, a depender da complexidade do requerimento e da região do país.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Esses números revelam uma realidade que advogados e magistrados dos Juizados Especiais Federais não podem ignorar: a via administrativa não é um obstáculo ao direito, mas seu canal natural de efetivação. O segurado que requer aposentadoria por tempo de contribuição, auxílio por incapacidade temporária ou pensão por morte submete-se, em primeiro lugar, à análise do INSS, que detém a competência originária para reconhecer e conceder benefícios previdenciários. A judicialização, nesse cenário, representa a exceção, o remédio para quando o processo administrativo falha, seja por indeferimento indevido, seja por mora na análise, seja por erro na apuração dos requisitos.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compreensão dessa dinâmica é pressuposto para a atuação eficiente nos JEFs previdenciários. O juiz que conhece a estrutura organizacional do INSS, seus sistemas informatizados e os procedimentos de análise de requerimentos instrui os processos com mais precisão, formula quesitos periciais mais adequados, solicita os documentos corretos e produz sentenças mais exequíveis. Uma sentença que determine a implantação de benefício sem especificar a espécie correta (conforme codificação do INSS), a data de início (DIB), a renda mensal inicial (RMI) ou o marco de cessação (DCB, quando aplicável) gera dificuldades na fase de cumprimento que poderiam ser evitadas com o conhecimento do processo administrativo.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Do lado da advocacia previdenciária, o domínio da via administrativa produz resultados ainda mais imediatos. O advogado que conhece os canais de atendimento do INSS, os prazos legais, as modalidades de perícia médica e os recursos administrativos frequentemente resolve a demanda do cliente sem judicializar, reduzindo custos, acelerando o acesso ao benefício e desafogando o Judiciário. A interposição de recurso ordinário ao Conselho de Recursos da Previdência Social (CRPS), por exemplo, pode reverter um indeferimento em prazo inferior ao de uma ação judicial, especialmente quando o erro administrativo é de natureza documental ou cadastral.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Existe, contudo, uma tensão estrutural que alimenta a demanda dos JEFs: o INSS opera sob pressão de volume incompatível com seu quadro de pessoal. São mais de dez milhões de requerimentos anuais processados por uma autarquia que, em 2025, contava com pouco mais de vinte mil servidores ativos na área finalística — número, em qualquer das estimativas disponíveis, significativamente inferior ao necessário para atender a demanda com a celeridade exigida pela lei. Essa defasagem gera morosidade na análise, erros de apuração de tempo de contribuição, perícias médicas superficiais e decisões insuficientemente fundamentadas, vícios que, em última análise, produzem o fluxo de demandas que chega aos JEFs. Não se trata de demonizar a autarquia, mas de reconhecer que o volume de judicialização previdenciária é, em grande medida, reflexo de deficiências estruturais do processo administrativo.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relação entre o processo administrativo e o processo judicial previdenciário não é de subordinação, mas de complementaridade funcional. O STF, ao julgar o Tema 350 (RE 631.240/MG, Tribunal Pleno, rel. Min. Luís Roberto Barroso, julgado em 03/09/2014), assentou que o prévio requerimento administrativo é condição de acesso ao Judiciário previdenciário, mas não porque a via administrativa seja superior à judicial, e sim porque, na ausência de resistência da autarquia (indeferimento expresso ou mora), falta ao segurado o interesse de agir para a demanda judicial. Essa construção jurisprudencial reforça a centralidade do processo administrativo e exige que tanto advogados quanto magistrados conheçam seus meandros com profundidade.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Este capítulo organiza-se em quatro blocos temáticos. O primeiro (seções 22.1 a 22.4) examina o INSS como instituição: sua estrutura organizacional, canais de atendimento e sistemas informatizados, com ênfase na relevância forense dessas informações. O segundo (seções 22.5 a 22.9) percorre o itinerário do requerimento administrativo, desde a formulação do pedido até a decisão de concessão ou indeferimento, passando pela perícia médica e pela alta programada. O terceiro bloco (seções 22.10 a 22.15) trata dos recursos administrativos e da interface entre o processo administrativo e o processo judicial nos JEFs. O quarto bloco (seções 22.16 a 22.23) aborda a cessação administrativa de benefícios, as operações de revisão em massa, o prévio requerimento administrativo em profundidade e os aspectos práticos da atuação nos JEFs previdenciários.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22.2 Estrutura organizacional do INSS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INSS é autarquia federal vinculada ao Ministério da Previdência Social (MPS), instituída pelo Decreto n. 99.350, de 27 de junho de 1990, com personalidade jurídica de direito público, autonomia administrativa e financeira e patrimônio próprio. Sua finalidade institucional é promover o reconhecimento, pela Administração Pública, do direito ao recebimento de benefícios administrados pela autarquia e assegurar os meios necessários ao exercício desses direitos (art. 1º do Decreto n. 10.995/2022, que aprovou a Estrutura Regimental do INSS).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estrutura hierárquica do INSS organiza-se em níveis de atuação que vão da gestão estratégica central até o atendimento direto ao segurado. No topo da pirâmide situa-se a Presidência, assessorada por diretorias temáticas, dentre as quais se destaca a Diretoria de Benefícios (DIRBEN), responsável pela normatização, coordenação e controle da concessão de benefícios em âmbito nacional. A DIRBEN edita as Instruções Normativas que regulamentam o reconhecimento de direitos previdenciários — a mais recente e abrangente, a IN PRES/INSS n. 128/2022, consolidou normas de diversas instruções anteriores e constitui, na prática, o manual operacional da concessão de benefícios.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No nível regional, atuam as Superintendências Regionais (SR), que coordenam a execução das atividades do INSS em suas respectivas jurisdições. A cada Superintendência vinculam-se Gerências Executivas (GEX), que respondem pela gestão operacional em nível estadual ou sub-regional, e a estas se subordinam as Agências da Previdência Social (APS), unidades de atendimento direto ao segurado. Em 2025, o INSS operava cerca de mil e quinhentas APS em todo o território nacional, distribuídas de forma heterogênea, com concentração nas regiões Sul e Sudeste e déficit significativo no Norte e no Nordeste, especialmente em municípios do interior.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Portaria PRES/INSS n. 1.851/2025 promoveu reorganização interna relevante, criando coordenação específica para canais digitais e estabelecendo as Centrais de Análise de Benefícios (Ceabs), unidades de retaguarda que realizam análise remota de requerimentos, desvinculada da APS de protocolo. As Ceabs representaram mudança operacional significativa: o requerimento protocolado em uma APS de município do interior pode ser analisado por servidor lotado em Central de Análise situada em capital de outro estado. Essa descentralização da análise reduz a influência de fatores locais, mas também dificulta o contato pessoal entre segurado e servidor, o que, no cotidiano dos JEFs, se reflete em decisões administrativas menos individualizadas.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Estrutura à parte possui o Departamento de Perícia Médica Federal (PMF), cujos integrantes exercem atribuições de avaliação médico-pericial com autonomia técnica funcional. Os peritos médicos federais são servidores públicos ocupantes de cargo efetivo da carreira de Perito Médico Federal, não se confundindo com médicos contratados ou terceirizados. Sua vinculação funcional é com o INSS, mas a autonomia técnica lhes assegura independência na emissão de conclusões periciais, tema que se conecta diretamente com a perícia judicial, examinada nas seções 22.16 a 22.23.</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Conselho de Recursos da Previdência Social (CRPS), embora frequentemente associado ao INSS, não integra sua estrutura. Trata-se de órgão colegiado vinculado diretamente ao MPS, com competência para julgar recursos contra decisões do INSS em matéria de benefícios (seção 22.10).</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5F3EF" w:val="clear"/>
            <w:tcBorders>
              <w:top w:val="single" w:sz="7" w:space="0" w:color="A09882"/>
              <w:bottom w:val="single" w:sz="7" w:space="0" w:color="A09882"/>
              <w:right w:val="single" w:sz="7" w:space="0" w:color="A09882"/>
              <w:left w:val="single" w:sz="24" w:space="0" w:color="6B6256"/>
            </w:tcBorders>
          </w:tcPr>
          <w:p>
            <w:pPr>
              <w:spacing w:before="0" w:after="60" w:line="240" w:lineRule="auto"/>
              <w:jc w:val="left"/>
            </w:pPr>
            <w:r>
              <w:rPr>
                <w:rFonts w:ascii="Noto Sans" w:hAnsi="Noto Sans" w:cs="Noto Sans"/>
                <w:b/>
                <w:i w:val="0"/>
                <w:caps/>
                <w:color w:val="6B6256"/>
                <w:sz w:val="16"/>
                <w:lang w:val="pt-BR" w:bidi="ar-SA"/>
                <w:kern w:val="16"/>
                <w14:ligatures w14:val="standardContextual"/>
              </w:rPr>
              <w:t>QUADRO</w:t>
            </w:r>
          </w:p>
          <w:p>
            <w:pPr>
              <w:spacing w:before="0" w:after="60" w:line="247" w:lineRule="auto"/>
              <w:jc w:val="both"/>
            </w:pPr>
            <w:r>
              <w:rPr>
                <w:rFonts w:ascii="EB Garamond" w:hAnsi="EB Garamond" w:cs="EB Garamond"/>
                <w:b/>
                <w:i w:val="0"/>
                <w:color w:val="201B16"/>
                <w:sz w:val="19"/>
                <w:lang w:val="pt-BR" w:bidi="ar-SA"/>
                <w:kern w:val="16"/>
                <w14:ligatures w14:val="standardContextual"/>
              </w:rPr>
              <w:t>Quadro 22.1 — Estrutura organizacional do INSS</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Nível</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Órgão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Função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Estratégico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Presidência / DIRBEN</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Normatização, coordenação nacional, edição de Instruções Normativas</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Regional</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Superintendências Regionais (SR)</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Coordenação da execução em âmbito regional</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Gerencial</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Gerências Executivas (GEX)</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Gestão operacional estadual/sub-regional</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Operacional</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Agências da Previdência Social (APS)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Atendimento direto, protocolo de requerimentos, perícias</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Retaguarda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Centrais de Análise de Benefícios (Ceabs)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Análise remota de requerimentos</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Pericial</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Perícia Médica Federal (PMF)</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Avaliação médico-pericial com autonomia técnica</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Recursal</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CRPS (vinculado ao MPS, não ao INSS)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Julgamento de recursos administrativos</w:t>
                  </w:r>
                </w:p>
              </w:tc>
            </w:tr>
          </w:tbl>
          <w:p/>
          <w:p>
            <w:pPr>
              <w:spacing w:before="0" w:after="0" w:line="240" w:lineRule="auto"/>
            </w:pP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P</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ara a atuação nos JEFs, o conhecimento dessa estrutura tem consequências processuais diretas. A intimação do INSS para cumprir obrigação de fazer (implantar benefício, por exemplo) deve ser endereçada à Gerência Executiva competente ou à APS de vinculação do segurado, conforme o caso. A solicitação de documentos (CNIS, processo administrativo, parecer pericial) segue caminhos distintos a depender da natureza da informação. E a compreensão de que a análise do requerimento pode ter sido feita por servidor de Central de Análise distinta da APS de protocolo evita equívocos na instrução processual.</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22.3 Canais de atendimento: meu INSS, central 135 e atendimento presencial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trajetória dos canais de atendimento do INSS nos últimos quinze anos reflete uma transição acelerada do modelo presencial para o digital. Até o final da década de 2010, o segurado que desejasse requerer benefício previdenciário precisava, como regra, comparecer pessoalmente a uma Agência da Previdência Social, enfrentar filas frequentemente longas e submeter documentação física a servidor que realizava análise presencial. A partir de 2017, com o lançamento da primeira versão do aplicativo "Meu INSS", e sobretudo a partir de 2020, quando a pandemia de COVID-19 forçou a digitalização emergencial dos serviços públicos, o cenário alterou-se radicalmente.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Meu INSS, disponível como aplicativo móvel (versão 5.0.0, atualizada em 2025) e portal web (meu.inss.gov.br), consolidou-se como canal principal de interação entre o segurado e a autarquia. Por meio da plataforma, autenticada via conta Gov.br (níveis prata ou ouro), o segurado pode protocolar requerimentos de benefícios, consultar o Cadastro Nacional de Informações Sociais (CNIS), simular tempo de contribuição e valor de aposentadoria, acompanhar o andamento de requerimentos, agendar atendimento presencial, protocolar recursos administrativos e, desde a implantação do sistema Atestmed, submeter documentação médica para análise pericial à distância. Em 2025, a plataforma registrou média da ordem de cento e trinta milhões de acessos mensais, segundo os dados de gestão divulgados pelo INSS, número que evidencia sua penetração entre a população segurada.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autenticação pelo Gov.br introduziu camada de segurança e padronização que trouxe benefícios e dificuldades. O nível prata (validação por biometria facial ou dados bancários) e o nível ouro (validação por certificado digital ou biometria da Justiça Eleitoral) garantem maior segurança na identificação do segurado, mas excluem parcela da população que não consegue elevar o nível de autenticação: idosos sem smartphone com câmera, trabalhadores rurais sem conta bancária digital, pessoas em situação de vulnerabilidade tecnológica. Essa exclusão digital tem repercussão direta nos JEFs, pois parte das ações ajuizadas sem prévio requerimento administrativo decorre não da desídia do autor, mas da impossibilidade concreta de acesso ao Meu INSS.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Central 135 funciona como canal telefônico de atendimento, em operação de segunda a sábado, das 7h às 22h. Pelo telefone, o segurado pode obter informações sobre benefícios, agendar atendimento presencial, protocolar requerimentos de menor complexidade (como pedido de prorrogação de auxílio por incapacidade temporária) e receber orientações procedimentais. A Central exerce papel de inclusão relevante para segurados sem acesso à internet ou sem familiaridade com ferramentas digitais, sendo particularmente utilizada em municípios do interior e por segurados de faixas etárias mais elevadas.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atendimento presencial nas APS, embora tenha perdido a centralidade que possuía até 2019, permanece como canal disponível, agora mediante agendamento prévio obrigatório pelo Meu INSS ou pela Central 135. O atendimento espontâneo (sem agendamento) é limitado a situações excepcionais definidas em normativo interno. Essa restrição, combinada com a redução do número de servidores de atendimento nas APS, gerou reclamações recorrentes de segurados que alegam dificuldade de acesso presencial — argumento recorrente nos JEFs como justificativa para a ausência de prévio requerimento administrativo.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questão da representação por procurador merece nota específica. O Meu INSS permite o cadastro de procurador (mediante instrumento de procuração digitalizado e registrado no sistema), de modo que o advogado ou familiar pode, em nome do segurado, protocolar requerimentos, acompanhar andamento e receber notificações. Essa funcionalidade é particularmente relevante para segurados acamados, hospitalizados ou com dificuldades cognitivas, que não conseguem operar pessoalmente a plataforma. Nos JEFs, o juiz deve estar atento a essa possibilidade ao avaliar alegações de impossibilidade de acesso ao Meu INSS.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Outro canal que se consolidou nos últimos anos é o atendimento por entidades conveniadas. Sindicatos, associações de classe e entidades de assistência social firmam convênios com o INSS para atuar como intermediários no protocolo de requerimentos, especialmente em áreas rurais e periferias urbanas onde a presença da APS é limitada. Esses convênios, regulamentados por resolução do INSS, permitem que a entidade conveniada receba a documentação do segurado e a transmita eletronicamente ao INSS, facilitando o acesso de populações em situação de vulnerabilidade geográfica ou digital.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a prática nos JEFs, a questão central é a comprovação do requerimento administrativo. Nos termos da tese fixada pelo STF no Tema 350 (RE 631.240/MG, Tribunal Pleno, rel. Min. Luís Roberto Barroso, julgado em 03/09/2014), o prévio requerimento administrativo é, em regra, condição para o ajuizamento de ação previdenciária, salvo nos casos de notório indeferimento pelo INSS ou de revisão de benefício já concedido. A prova do requerimento pode ser feita por meio do número de protocolo gerado pelo Meu INSS, por comprovante de agendamento, por prints da tela do aplicativo ou portal, ou pela carta de indeferimento emitida pelo INSS. Nos casos de mora (ausência de decisão no prazo legal), a prova do requerimento seguida da demonstração do decurso do prazo de 45 dias é suficiente para caracterizar o interesse de agir.</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22.4 Sistemas informatizados do INSS e sua relevância forense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 sistemas informatizados do INSS, operados pela DATAPREV (Empresa de Tecnologia e Informações da Previdência Social), constituem a infraestrutura digital sobre a qual se processa o reconhecimento de direitos previdenciários no Brasil. O conhecimento desses sistemas é indispensável para advogados e magistrados que atuam nos JEFs, porque é deles que provêm os documentos utilizados como prova na instrução processual e é por meio deles que as sentenças judiciais são efetivadas.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Cadastro Nacional de Informações Sociais (CNIS) é a base de dados central do sistema previdenciário brasileiro, com dezenas de bilhões de registros acumulados desde sua criação. O CNIS agrega informações sobre vínculos empregatícios, remunerações, contribuições previdenciárias e filiação ao RGPS de todos os segurados, gozando de presunção relativa de veracidade nos termos do art. 29-A da Lei n. 8.213/91 (dispositivo incluído pela Lei n. 10.403/2002). Para a análise detalhada da natureza jurídica, força probatória e questões de impugnação do CNIS, ver Cap. 5, §§ 5.2.1-5.2.4. A consulta ao extrato do CNIS é, na prática, o primeiro passo de qualquer análise previdenciária, tanto na via administrativa quanto na judicial. Os indicadores do CNIS (que sinalizam pendências, divergências cadastrais ou necessidade de comprovação documental) são elementos que o magistrado deve saber interpretar, pois frequentemente justificam exigências administrativas que, se não atendidas, resultam em indeferimento.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sistema PLENUS, operado pela DATAPREV, é a plataforma por meio da qual os servidores do INSS acessam as diversas bases de dados previdenciárias. O PLENUS funciona como portal integrado que permite consulta a subsistemas específicos, cada qual com função definida e relevância probatória própria.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INFBEN (Informações sobre Benefícios) contém os dados cadastrais do benefício: espécie (codificada numericamente — por exemplo, espécie 31 para auxílio por incapacidade temporária e espécie 32 para aposentadoria por incapacidade permanente, código que corresponde à histórica aposentadoria por invalidez, assim redenominada pela EC n. 103/2019), número do benefício (NB), Data de Entrada do Requerimento (DER), Data de Início do Benefício (DIB), Data de Início do Pagamento (DIP), Data de Cessação do Benefício (DCB), renda mensal atual e situação cadastral (ativo, suspenso, cessado). Esse extrato é peça fundamental em qualquer ação previdenciária que envolva benefício já concedido ou cessado.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CONBAS (Contribuições e Bases de Cálculo) registra os salários de contribuição do segurado, o coeficiente de cálculo aplicado e a Renda Mensal Inicial (RMI) do benefício. Esse documento é essencial nas ações revisionais, pois permite verificar se os salários de contribuição foram corretamente apurados e se a fórmula de cálculo observou a legislação vigente à época da concessão.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HISCRE (Histórico de Créditos) contém o registro de todos os pagamentos efetuados ao beneficiário, com datas, valores, competências e dados bancários. O HISCRE é o documento que permite calcular, com precisão, os valores devidos a título de diferenças em ações revisionais e o montante de parcelas vencidas (atrasados) em ações de concessão.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SABI (Sistema de Administração de Benefícios por Incapacidade) registra as perícias médicas realizadas, incluindo conclusões periciais, Datas de Cessação do Benefício (DCBs) fixadas, reavaliações e dados do COPES (Cobertura Previdenciária Estimada, conhecida como alta programada). O acesso ao histórico do SABI é determinante nas ações de restabelecimento de auxílio por incapacidade temporária e nas ações de concessão de aposentadoria por incapacidade permanente.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PRISMA (Programa de Requerimento de Informações Sociais e Monitoramento de Atendimento) é o sistema de gerenciamento de requerimentos administrativos, por meio do qual se acompanha o trâmite do pedido desde o protocolo até a decisão. O GET (Gerenciador de Tarefas) distribui as tarefas de análise entre os servidores, funcionando como sistema de produtividade interna. Embora o PRISMA e o GET sejam sistemas de gestão operacional, seus registros podem ser relevantes em ações judiciais, especialmente para comprovar mora administrativa (demonstrando que o requerimento permaneceu sem análise por período superior ao prazo legal).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Em termos operacionais — Documentos do INSS que o juiz deve solicitar nas ações previdenciárias</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depender da natureza da ação, recomendamos que o magistrado determine ao INSS a juntada dos seguintes documentos:</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Em ações de concessão de benefício: cópia integral do processo administrativo (requerimento, documentos apresentados pelo segurado, análise do servidor, decisão fundamentada); extrato do CNIS atualizado com indicadores; e, em benefícios por incapacidade, o laudo pericial administrativo com conclusões e fundamentação.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Em ações de restabelecimento de benefício por incapacidade: extrato do INFBEN (com histórico de concessões e cessações); extrato do SABI (com histórico de perícias, DCBs e reavaliações); e prontuário médico administrativo, quando existente.</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Em ações revisionais: extrato do CONBAS (com memória de cálculo da RMI); extrato do HISCRE (com histórico completo de créditos); e, quando aplicável, simulação de cálculo com os parâmetros pretendidos pelo autor.</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Em todas as ações: extrato do CNIS atualizado é documento de juntada obrigatória pelo INSS, por constituir a base documental sobre a qual se erguem tanto a decisão administrativa quanto a judicial.</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22.5 Requerimento administrativo: procedimento e documentação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requerimento administrativo constitui o ato pelo qual o segurado ou seu dependente provoca a autarquia previdenciária a analisar e decidir sobre o reconhecimento de direito a benefício. No ordenamento previdenciário brasileiro, vigora o princípio do requerimento: como regra geral, o INSS não concede benefícios de ofício, sendo necessária a provocação formal do interessado (art. 176 do Decreto n. 3.048/99). As hipóteses de atuação de ofício no RGPS são pontuais e operam dentro de um requerimento já em curso: é o caso da conversão do auxílio por incapacidade temporária em aposentadoria por incapacidade permanente quando a perícia médica constata a incapacidade definitiva no exame de um benefício já requerido, e o do dever de conceder o benefício mais vantajoso do que o especificamente pedido (seção 22.9). Não se confunde com tais hipóteses a aposentadoria compulsória aos 75 anos, instituto próprio do servidor público (art. 40, § 1º, II, da CF, e LC n. 152/2015), estranho ao RGPS administrado pelo INSS.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requerimento pode ser formulado por três vias principais. A primeira e predominante é o Meu INSS (aplicativo ou portal web), por meio do qual o segurado preenche formulário eletrônico, indica a espécie de benefício pretendido e anexa documentação digitalizada. A segunda é a Central 135, por telefone, utilizada para requerimentos de menor complexidade ou para agendamento de atendimento presencial. A terceira é o comparecimento presencial à APS, mediante agendamento prévio, utilizada quando a complexidade do caso exige interação direta com o servidor ou quando o segurado não tem acesso aos canais digitais. Há, ainda, o requerimento por intermédio da empresa empregadora via e-Social, aplicável a hipóteses específicas como o auxílio por incapacidade temporária decorrente de afastamento superior a quinze dias.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documentação mínima exigida varia conforme a espécie de benefício (para a documentação exigida na petição judicial, que deve incorporar a documentação administrativa como prova, ver Cap. 23, § 23.11). Para aposentadorias programadas (por idade ou por tempo de contribuição nas regras de transição), exigem-se documento de identidade, CPF, comprovante de endereço, Carteira de Trabalho (física ou digital) e documentação complementar de tempo de contribuição quando houver vínculos não registrados no CNIS (carnês de contribuição, contratos de trabalho, certidões de tempo de serviço público). Para benefícios por incapacidade (auxílio por incapacidade temporária e aposentadoria por incapacidade permanente), acrescenta-se a documentação médica (atestados, laudos, exames, relatórios de tratamento) necessária para subsidiar a avaliação pericial. Para pensão por morte, exigem-se documentos que comprovem a qualidade de segurado do instituidor, a condição de dependente do requerente (certidão de casamento, união estável, nascimento) e a certidão de óbito.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Data de Entrada do Requerimento (DER) funciona como marco temporal fundamental no direito previdenciário. É a partir da DER que se verifica o preenchimento dos requisitos para o benefício, calcula-se a renda mensal inicial e fixa-se a data de início do benefício (DIB), quando não houver retroação legal. A DER coincide com a data de protocolo do requerimento no Meu INSS, na Central 135 ou na APS. Nos casos em que o INSS formula exigência documental (pendência), o segurado dispõe de 30 dias para complementar a documentação, sem prejuízo da DER original (art. 176, § 2º, do Decreto n. 3.048/99). O descumprimento da exigência no prazo resulta no arquivamento do requerimento, exigindo nova entrada — com nova DER e, consequentemente, possível prejuízo ao segurado.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tratamento das exigências formuladas pelo INSS durante a análise tem repercussão direta na prática forense. Quando a documentação apresentada é insuficiente para a decisão, o servidor (ou o sistema automatizado de triagem) emite exigência especificando quais documentos devem ser complementados. O segurado é notificado pelo Meu INSS, pela Central 135 ou por correspondência e dispõe de 30 dias para atender a exigência. Se a exigência é cumprida no prazo, o processo retoma sua tramitação normal, mantida a DER original. Se não é cumprida, o requerimento é arquivado, consequência drástica que, na experiência dos JEFs, gera frequentes ações em que o autor alega não ter recebido a notificação de exigência ou não ter compreendido o que lhe era solicitado. Nesses casos, o juiz deve analisar concretamente se o segurado teve ciência efetiva da exigência e se a comunicação foi adequada.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Nos requerimentos de aposentadoria especial (por exposição a agentes nocivos), a documentação assume complexidade própria. O segurado deve apresentar o Perfil Profissiográfico Previdenciário (PPP), emitido pela empresa empregadora com base no Laudo Técnico de Condições Ambientais do Trabalho (LTCAT), documento que comprova a exposição a agentes nocivos durante o vínculo empregatício. A recusa da empresa em fornecer o PPP ou o fornecimento com informações incompletas é causa frequente de indeferimento administrativo que poderia ser evitada com a atuação preventiva do advogado.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a instrução nos JEFs, o comprovante de protocolo do requerimento administrativo (com número de identificação, data e espécie do benefício requerido) é documento essencial, pois fixa a DER e permite verificar se houve cumprimento do prazo legal de análise. Quando o segurado não dispõe do comprovante de protocolo (situação comum entre segurados de baixa escolaridade ou idade avançada), o magistrado pode determinar ao INSS que informe a DER registrada em seus sistemas.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22.6 Análise do requerimento: prazos legais e mora administrativa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U</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ma vez protocolado o requerimento, o INSS tem o dever legal de analisá-lo e proferir decisão em prazo determinado. A Lei n. 9.784/99, que regula o processo administrativo no âmbito federal, fixa em seu art. 49 o prazo de 30 dias para decisão, prorrogáveis por igual período mediante justificativa expressa. O Decreto n. 3.048/99, em seu art. 174 (com redação atualizada), estabelece prazo de 45 dias para a conclusão do processo administrativo previdenciário, contados da data do requerimento. O Tema 350/STF (RE 631.240/MG) reconheceu que o decurso do prazo legal de análise sem decisão caracteriza a mora apta a gerar o interesse de agir para a ação judicial; o patamar de 45 dias, contudo, não consta da tese, derivando da regulamentação administrativa (o citado art. 174 do Decreto 3.048/99).</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realidade operacional do INSS, contudo, diverge substancialmente dos prazos normativos. O Painel Estatístico de Benefícios mantido pelo MPS revela que, em diversas espécies de benefícios e regiões do país, o tempo médio de análise ultrapassa 90 dias, chegando a 120 ou 150 dias em períodos de maior demanda ou em localidades com déficit de servidores. O auxílio por incapacidade temporária, que depende de perícia médica para concessão, apresenta tempos de espera particularmente longos quando há fila para agendamento de perícia presencial.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mora administrativa configura-se quando o INSS não profere decisão no prazo de 45 dias, contados da DER ou da data em que o segurado cumpriu a última exigência formulada pela autarquia. Configurada a mora, o segurado tem interesse de agir para propor ação judicial, independentemente de ter obtido decisão administrativa — trata-se do chamado indeferimento tácito, que o STF reconheceu no Tema 350. A prova da mora é simples: basta demonstrar o protocolo do requerimento (DER) e o decurso do prazo de 45 dias sem decisão. O extrato de acompanhamento do Meu INSS, que indica o status do requerimento ("em análise", "aguardando perícia", "em exigência"), serve como prova documental da mora.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consequência processual da mora administrativa é dupla. Em primeiro lugar, ela supre a exigência de prévio requerimento para fins de interesse de agir. Em segundo lugar, quando o benefício é concedido judicialmente, a DIB retroage à DER, de modo que o segurado recebe as parcelas vencidas desde a data do requerimento administrativo, e não desde o ajuizamento da ação. Esse efeito retroativo confere relevância prática ao requerimento administrativo mesmo nos casos em que o segurado já sabe que precisará judicializar.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dever do melhor benefício constitui outro aspecto relevante da análise administrativa, consagrado no art. 687 da IN PRES/INSS n. 128/2022. Por esse princípio, ao analisar o requerimento, o INSS deve verificar se o segurado faz jus a benefício mais vantajoso do que o especificamente requerido e, em caso positivo, conceder a prestação mais favorável. Esse dever é de matriz administrativa e não decorre dos repetitivos do STJ que tratam da decadência do art. 103 da Lei n. 8.213/91 sobre o benefício mais vantajoso (a distinção entre os Temas 966 e 975 do STJ é consolidada na seção 22.9). Na prática, o dever do melhor benefício significa que o segurado que requer auxílio por incapacidade temporária pode ter reconhecido o direito à aposentadoria por incapacidade permanente, se os requisitos estiverem preenchidos; ou que o segurado que requer aposentadoria por idade pode ter direito à aposentadoria por tempo de contribuição em condição mais vantajosa.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Um desdobramento prático da mora administrativa que se observa com frequência crescente nos JEFs é o pedido cumulado de indenização por danos morais decorrentes da demora injustificada na análise do requerimento. A jurisprudência das Turmas Recursais tem oscilado: parte dos julgados reconhece que a mera demora, por si só, não configura dano moral indenizável, exigindo prova de situação excepcional de sofrimento ou privação; outra corrente entende que a manutenção do segurado em situação de incerteza sobre sua renda por período superior ao legalmente tolerável configura dano in re ipsa, dispensando prova específica do prejuízo moral. A TNU, em hipóteses análogas de mora ou interrupção de prestação administrativa, tem-se inclinado à primeira corrente: no Tema 242 (PEDILEF 0001436-92.2016.4.01.3807/MG) afastou a responsabilização civil do Estado pela demora excessiva na realização de perícia médica do INSS decorrente de movimento grevista de seus servidores, e no Tema 182 (PEDILEF 0507558-39.2016.4.05.8500/SE) assentou que a suspensão ou o cancelamento indevidos de prestação (ali, do seguro-desemprego) não geram, </w:t>
      </w:r>
      <w:r>
        <w:rPr>
          <w:rFonts w:ascii="EB Garamond" w:hAnsi="EB Garamond" w:cs="EB Garamond"/>
          <w:b w:val="0"/>
          <w:i/>
          <w:color w:val="201B16"/>
          <w:sz w:val="21"/>
          <w:lang w:val="pt-BR" w:bidi="ar-SA"/>
          <w:kern w:val="16"/>
          <w14:ligatures w14:val="standardContextual"/>
        </w:rPr>
        <w:t>ipso facto</w:t>
      </w:r>
      <w:r>
        <w:rPr>
          <w:rFonts w:ascii="EB Garamond" w:hAnsi="EB Garamond" w:cs="EB Garamond"/>
          <w:b w:val="0"/>
          <w:i w:val="0"/>
          <w:color w:val="201B16"/>
          <w:sz w:val="21"/>
          <w:lang w:val="pt-BR" w:bidi="ar-SA"/>
          <w:kern w:val="16"/>
          <w14:ligatures w14:val="standardContextual"/>
        </w:rPr>
        <w:t>, direito à indenização por danos morais. A cumulação do pedido indenizatório com o de concessão ou restabelecimento exige, portanto, que o advogado demonstre concretamente as consequências da mora sobre a vida do segurado — inadimplência de obrigações essenciais, impossibilidade de custeio de tratamento médico, exposição a risco alimentar.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Esse dever, a nosso ver, não se exaure na esfera administrativa: projeta-se igualmente sobre o juiz na esfera judicial. Nos JEFs, quando a instrução processual revela que o autor faz jus a benefício diverso ou mais vantajoso do que o requerido na inicial, o magistrado deve aplicar o princípio jura novit curia e conceder a prestação mais favorável, independentemente de pedido expresso, desde que respeitado o contraditório e observados os limites do pedido quanto à causa de pedir fática.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comunicação do indeferimento ao segurado deve observar os requisitos de fundamentação previstos no art. 50 da Lei n. 9.784/99. A decisão administrativa que nega o benefício é ato administrativo que afeta direito subjetivo do administrado e, como tal, exige motivação expressa, com indicação dos fatos e dos fundamentos jurídicos que sustentam a conclusão. Sob o aspecto prático, os indeferimentos do INSS são comunicados por carta ou pela plataforma Meu INSS, com indicação codificada do motivo (por exemplo, "falta de carência", "não comprovação de atividade especial", "incapacidade não constatada pela perícia médica"). A insuficiência de fundamentação da decisão administrativa pode, por si só, configurar vício que justifica a anulação pelo Judiciário.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Atenção — Prazo para decisão administrativa não é prazo para implantação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prazo de 45 dias refere-se à prolação da decisão (concessão ou indeferimento), não à implantação do pagamento. Após a concessão administrativa, o INSS dispõe de prazo adicional para operacionalizar o pagamento (geração do número de benefício, cadastro bancário, inclusão na folha de pagamento). Esse prazo de implantação, embora não expressamente fixado em lei, deve observar o princípio da razoabilidade. Nos JEFs, a distinção entre prazo de decisão e prazo de implantação é relevante para definir o marco inicial de eventual indenização por mora e para fixar o prazo de cumprimento em tutelas de urgência.</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22.7 Perícia médica administrativa: modalidades e regime jurídico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perícia médica constitui ato determinante para a concessão, manutenção e cessação dos benefícios por incapacidade no RGPS. A avaliação pericial é o instrumento pelo qual o INSS verifica a existência, a natureza, o grau e a duração da incapacidade laborativa do segurado, sendo elemento obrigatório para o deferimento do auxílio por incapacidade temporária (espécie 31), da aposentadoria por incapacidade permanente (espécie 32) e do auxílio-acidente (espécie 36), além de subsidiar a análise de outros benefícios que dependam de constatação médica, como a majoração de 25% da aposentadoria por incapacidade permanente (adicional de grande invalidez) e o BPC para pessoa com deficiência.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perícia é realizada por perito médico federal, integrante de carreira própria criada pela Lei n. 10.876/2004, cujas regras procedimentais e atribuições foram significativamente alteradas pela Lei n. 13.846/2019 (conversão da MP 871/2019). O perito médico federal exerce suas atribuições com autonomia técnica, o que significa que suas conclusões devem basear-se exclusivamente em critérios médico-científicos, sem interferência hierárquica da chefia administrativa. Na prática, essa autonomia é temperada pelas metas de produtividade impostas pela administração (número mínimo de perícias por dia), o que gera tensão permanente entre a qualidade da avaliação e o volume de atendimento.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As modalidades de perícia médica administrativa vigentes em 2026 são três. A primeira é a perícia presencial, realizada na APS ou em local designado pelo INSS, na qual o perito examina o segurado, analisa a documentação médica apresentada e emite parecer fundamentado, com indicação do diagnóstico, do grau de incapacidade e da data provável de recuperação (ou conclusão pela incapacidade permanente). A perícia presencial permanece como a regra geral para casos de maior complexidade ou quando a documentação médica não é suficiente para avaliação à distância.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segunda modalidade é o Atestmed, sistema de avaliação pericial à distância que teve origem emergencial durante a pandemia de COVID-19 (2020-2021) e foi progressivamente institucionalizado pela legislação subsequente. A Portaria Conjunta MPS/INSS n. 13/2026 ("Novo Atestmed") reformulou o sistema, ampliando suas possibilidades e estabelecendo parâmetros mais rigorosos. Pelo Novo Atestmed, o segurado submete documentação médica digitalizada (atestados, laudos, exames) pelo Meu INSS, e o perito médico federal realiza avaliação pericial completa com base exclusivamente na documentação apresentada, sem exame presencial do segurado. A Lei n. 15.265/2025 conferiu base legal ao sistema, estabelecendo que a análise documental é modalidade regular de perícia médica previdenciária.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Novo Atestmed aplica-se a situações com limites temporais definidos: cada análise pode conceder ou prorrogar o benefício por até 90 dias, com limite acumulado de 180 dias. Esgotado o prazo de 180 dias, o segurado que necessitar de prorrogação adicional deve submeter-se a perícia presencial. Essa limitação visa evitar que a avaliação exclusivamente documental se prolongue indefinidamente em casos que exigem exame clínico direto. A documentação exigida pelo Novo Atestmed deve conter, no mínimo, atestado ou laudo médico com identificação do profissional (CRM), diagnóstico codificado (CID), descrição do quadro clínico e indicação do período de afastamento necessário.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terceira modalidade é a perícia de reavaliação (pós-DCB ou COPES), realizada quando o segurado, cujo benefício teve cessação programada, solicita prorrogação. Essa modalidade conecta-se diretamente com o regime da alta programada (seção 22.8) e pode ser presencial ou por Atestmed, a depender do tempo acumulado.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Atenção — Novo Atestmed (Portaria Conjunta MPS/INSS n. 13/2026)</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Portaria Conjunta MPS/INSS n. 13/2026, que instituiu o Novo Atestmed, alterou significativamente o regime da perícia médica à distância. As principais novidades são: (a) possibilidade de avaliação pericial completa (e não apenas triagem) com base exclusiva em documentação médica; (b) limite de 90 dias por análise individual e 180 dias acumulados no Atestmed, após os quais é obrigatória a perícia presencial; (c) exigência de fundamentação pericial expressa na análise documental; (d) possibilidade de o perito, com base nos documentos, reconhecer incapacidade permanente (o que não era possível na versão anterior). A base legal é a Lei n. 15.265/2025. Para os JEFs, a principal repercussão é que a divergência entre a conclusão do Atestmed e a perícia judicial tende a ser mais frequente, pois a avaliação documental não capta elementos clínicos que só o exame presencial revela.</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interface entre a perícia médica administrativa e o processo judicial nos JEFs é um dos pontos de maior tensão prática do contencioso previdenciário (para o regime geral da perícia judicial nos JEFs, ver Cap. 6). Não é incomum que a perícia administrativa conclua pela capacidade laborativa do segurado, enquanto a perícia judicial, realizada por perito nomeado pelo juiz, com parâmetros distintos e, frequentemente, com maior tempo de avaliação, conclua pela incapacidade. Essa divergência não configura, por si só, erro de nenhuma das partes: decorre de diferenças metodológicas, temporais e de contexto. O magistrado deve estar atento a essa dinâmica e evitar presumir que a perícia administrativa é invariavelmente superficial ou que a perícia judicial é invariavelmente mais confiável.</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22.8 Alta programada (COPES): regime jurídico e constitucionalidade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sistema de alta programada, tecnicamente denominado Cobertura Previdenciária Estimada (COPES), consiste na fixação, pelo perito médico federal, de uma Data de Cessação do Benefício (DCB) já no ato de concessão do auxílio por incapacidade temporária. Ao conceder o benefício, o perito avalia a documentação médica e o quadro clínico do segurado e estima a data provável de recuperação da capacidade laborativa, fixando a DCB correspondente. Atingida essa data, o benefício cessa automaticamente, salvo se o segurado solicitar prorrogação dentro do prazo regulamentar.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fundamento normativo da alta programada encontra-se nos §§ 8º e 9º do art. 60 da Lei n. 8.213/91, incluídos pela Lei n. 13.457/2017 e alterados pela Lei n. 13.846/2019. O § 8º autoriza o INSS a estabelecer, mediante avaliação pericial, o prazo que entender suficiente para a recuperação do segurado, findo o qual o benefício será cessado. O § 9º garante ao segurado o direito de solicitar prorrogação antes do término do prazo fixado, sendo-lhe assegurada a manutenção do pagamento até a decisão sobre a prorrogação.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constitucionalidade da alta programada foi questionada perante o STF, que a apreciou no Tema 1.196 da Repercussão Geral (RE 1.347.526, Tribunal Pleno, Rel. Min. Cristiano Zanin, j. 15/09/2025). O Tribunal declarou a constitucionalidade do sistema, fixando que não viola os arts. 62 e 246 da Constituição a estipulação de prazo estimado para a duração do auxílio por incapacidade temporária, na forma dos §§ 8º e 9º do art. 60 da Lei n. 8.213/91, e assentando que a fixação de DCB por estimativa pericial não compromete o direito à proteção social, desde que assegurado ao segurado o direito de solicitar prorrogação e de ter seu pedido analisado antes da cessação efetiva do benefício. A Corte ressaltou que a alta programada é mecanismo de gestão administrativa que visa evitar a manutenção indefinida de benefícios temporários, sem impedir que o segurado demonstre a persistência da incapacidade.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procedimento de prorrogação, disciplinado pela IN PRES/INSS n. 128/2022 e pela Portaria Conjunta MPS/INSS n. 13/2026, deve ser iniciado pelo segurado nos 15 dias anteriores à DCB fixada. O pedido pode ser formulado pelo Meu INSS ou pela Central 135, e o pagamento do benefício é mantido até a decisão sobre a prorrogação, garantia legal que evita a interrupção abrupta da renda do segurado enquanto pendente a reavaliação.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Após a edição da Portaria Conjunta MPS/INSS n. 13/2026 (Novo Atestmed), a prorrogação pode ser analisada por avaliação documental (Atestmed), desde que não ultrapassado o limite acumulado de 180 dias. Esgotado esse limite, a prorrogação exige perícia presencial. Essa regra gera situação prática delicada: o segurado que esteve em auxílio por incapacidade temporária com sucessivas prorrogações por Atestmed ao longo de 180 dias precisará de perícia presencial para a próxima prorrogação, o que pode implicar tempo de espera adicional para agendamento — período durante o qual o pagamento deve ser mantido, mas no qual a incerteza gera angústia ao segurado.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problema mais recorrente na prática é o do segurado que perde a DCB sem ter solicitado prorrogação no prazo regulamentar. Nesses casos, o benefício cessa automaticamente e o segurado precisa formular novo requerimento de prorrogação ou, se já cessado, requerer novo benefício. A jurisprudência dos JEFs tem sido sensível a essas situações, especialmente quando o segurado demonstra que a omissão decorreu de desinformação ou de dificuldade de acesso aos canais do INSS, determinando o restabelecimento retroativo à data da cessação, desde que comprovada a persistência da incapacidade. Remetemos o leitor ao Capítulo 7, seção 7.7, para aprofundamento sobre a alta programada no contexto dos benefícios por incapacidade.</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No dia a dia processual — Passo a passo para pedir prorrogação do benefício por incapacidade</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segurado cujo auxílio por incapacidade temporária tem DCB próxima deve seguir o procedimento abaixo para solicitar prorrogação: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ponto de partida é reunir documentação médica atualizada: atestado ou laudo emitido por médico assistente com data recente (preferencialmente dos últimos 30 dias), contendo CRM do profissional, CID do diagnóstico, descrição do quadro clínico e indicação expressa da necessidade de afastamento com prazo estimado.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De posse desses documentos, o segurado acessa o Meu INSS (aplicativo ou portal web) com conta Gov.br nível prata ou ouro, seleciona a opção "Pedir prorrogação" (disponível na página do benefício ativo) e preenche o formulário eletrônico, anexando a documentação médica digitalizada. Alternativamente, o pedido pode ser feito pela Central 135.</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atenção ao prazo é decisiva: o pedido deve ser formulado nos 15 dias anteriores à DCB. Se observado esse prazo, o pagamento do benefício é mantido automaticamente até a decisão sobre a prorrogação.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Feito o pedido, resta acompanhar o resultado. Deferida a prorrogação (por Atestmed ou por perícia presencial agendada), fixa-se nova DCB. Indeferida, o segurado pode interpor recurso ao CRPS (seção 22.11) ou, conforme o caso, ajuizar ação no JEF com pedido de tutela de urgência para restabelecimento.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Convém, por fim, atentar para o limite do Atestmed: se o benefício já acumula 180 dias de prorrogações concedidas por análise documental, a próxima prorrogação exigirá perícia presencial. Nesse caso, o INSS agendará a perícia e o pagamento continua até a realização do exame e a decisão subsequente.</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22.9 Decisão administrativa: concessão, indeferimento e o dever do melhor benefício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decisão sobre o requerimento de benefício previdenciário é ato administrativo vinculado: preenchidos os requisitos legais, o INSS tem o dever de conceder o benefício; ausente qualquer requisito, deve indeferir com fundamentação expressa. Não há margem de discricionariedade na análise dos requisitos, pois se trata de verificação objetiva de filiação, carência, condição de segurado, incapacidade (quando aplicável) e demais pressupostos legais da espécie requerida.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Como ato administrativo, a decisão previdenciária submete-se aos requisitos gerais de validade: competência (deve ser proferida por servidor com atribuição para tanto), forma (deve observar o procedimento regulamentar), motivo (deve fundar-se na situação fática verificada e nos dispositivos legais aplicáveis), objeto (concessão ou indeferimento do benefício) e finalidade (proteção do direito previdenciário do segurado). O art. 50 da Lei n. 9.784/99 exige que a decisão administrativa que nega, limita ou afeta direito seja expressamente motivada, com indicação dos fatos e fundamentos jurídicos. No contexto previdenciário, essa exigência impõe ao INSS o dever de indicar especificamente qual requisito não foi preenchido e por que a documentação apresentada não o comprova.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dever do melhor benefício, previsto no art. 687 da IN PRES/INSS n. 128/2022, impõe à autarquia a obrigação de orientar o segurado quanto ao benefício mais vantajoso a que tenha direito, independentemente do benefício especificamente requerido. Esse dever decorre do reconhecimento de que o segurado, especialmente o de baixa escolaridade, frequentemente não tem conhecimento técnico para identificar a espécie mais favorável, cabendo à autarquia, que detém todas as informações cadastrais e contributivas, exercê-lo de ofício. Convém demarcar com precisão o alcance da jurisprudência superior nessa matéria: o dever de orientação tem fundamento exclusivamente normativo-administrativo (art. 687 da IN PRES/INSS n. 128/2022), não derivando dos repetitivos do STJ. O Tema 966 (REsp 1.631.021/MG, Primeira Seção, Rel. Min. Mauro Campbell Marques, j. 13/02/2019) e o Tema 975 (j. 11/12/2019) cuidam apenas da incidência do prazo decadencial do art. 103 da Lei n. 8.213/91 sobre o direito ao benefício mais vantajoso, e não do dever de orientar o segurado. A distinção entre os dois temas é detalhada no fecho desta seção.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carta de concessão (ou carta de deferimento) é o documento que formaliza a decisão favorável ao segurado. Contém a espécie do benefício, o número do benefício (NB), a DER, a DIB, a DIP (data do primeiro pagamento), a renda mensal do benefício e o banco/agência de crédito. A obtenção da carta de concessão pelo Meu INSS é prova documental relevante para instruir ações revisionais e para verificar a correção dos parâmetros de cálculo.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comunicação de indeferimento, por sua vez, deve indicar o motivo específico da negativa (por exemplo, falta de carência mínima, incapacidade não constatada pela perícia médica, não comprovação de qualidade de dependente). A comunicação é feita pela plataforma Meu INSS e, em muitos casos, por correspondência postal ao endereço cadastrado. A partir do recebimento da comunicação, abrem-se ao segurado diferentes caminhos: pedido de reconsideração à própria autarquia (sem previsão formal, mas admitido na prática administrativa), recurso ordinário ao CRPS (seção 22.11), novo requerimento com documentação complementar ou ajuizamento de ação judicial.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indeferimento tácito (mora administrativa configurada pelo decurso do prazo de 45 dias sem decisão) produz efeito equivalente ao indeferimento expresso para fins de interesse de agir, conforme consolidado pelo STF no Tema 350. Quando o segurado ajuíza a ação com fundamento na mora, e o INSS posteriormente profere decisão administrativa (concessão ou indeferimento), o processo judicial não perde o objeto automaticamente: cabe ao juiz verificar se a decisão administrativa atendeu integralmente a pretensão do autor. Se houve concessão administrativa, o processo pode ser extinto por perda superveniente do objeto, com pagamento dos atrasados desde a DER. Se houve indeferimento, o processo prossegue para análise do mérito.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pedido de reconsideração, embora sem previsão expressa na legislação previdenciária, é aceito pelo INSS como prática administrativa consolidada. Trata-se de requerimento dirigido à própria autoridade que proferiu a decisão, solicitando nova análise com base em argumentos ou documentos não considerados originalmente. A reconsideração não suspende o prazo para recurso ao CRPS nem para ajuizamento de ação judicial, o que significa que o segurado que opta por esse caminho deve estar atento à fluência simultânea dos prazos recursais. Na dinâmica dos JEFs, a reconsideração é útil quando o indeferimento decorreu de erro material evidente — documento não digitalizado corretamente, vínculo não localizado no CNIS por divergência cadastral ou exigência cumprida mas não registrada no sistema.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novo requerimento com documentação complementar constitui alternativa ao recurso, especialmente quando o segurado obteve, após o indeferimento, documentos que não possuía à época do requerimento original (certidão de tempo de serviço, sentença trabalhista transitada em julgado reconhecendo vínculo, PPP emitido por empresa que inicialmente se recusara a fornecê-lo). O novo requerimento gera nova DER, o que pode ser prejudicial em termos de cálculo do benefício, mas permite instrução mais completa do pedido.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interface entre a decisão administrativa e o processo judicial nos JEFs é disciplinada, no que tange à decadência, pelo Tema 975 do STJ (REsp 1.648.336/RS, 1ª Seção, Rel. Min. Herman Benjamin, j. 11/12/2019). Convém consolidar aqui a distinção entre os dois repetitivos que, ao longo deste capítulo, foram invocados a propósito do benefício mais vantajoso. O Tema 966 (REsp 1.631.021/MG, Rel. Min. Mauro Campbell Marques, j. 13/02/2019) assentou que o direito de optar pela regra de cálculo mais favorável integra o ato de concessão e, como tal, sujeita-se ao prazo decadencial de dez anos do art. 103 da Lei n. 8.213/91. O Tema 975 (j. 11/12/2019), por sua vez, delimitou o termo inicial e o alcance dessa decadência, esclarecendo que ela não incide sobre questão que não foi objeto de apreciação no ato administrativo de concessão. Ambos, portanto, tratam exclusivamente da decadência do art. 103, e nenhum deles funda o dever de orientação do segurado, de matriz administrativa (art. 687 da IN PRES/INSS n. 128/2022, seções 22.6 e 22.9, supra). O termo inicial do prazo decadencial à luz do Tema 975 é aprofundado na seção 21.5.2 do Capítulo 21.</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22.10 Conselho de recursos da previdência social (CRPS): estrutura e competência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Conselho de Recursos da Previdência Social (CRPS) é o órgão colegiado de controle jurisdicional administrativo da Previdência Social, vinculado ao Ministério da Previdência Social, e não ao INSS. Essa distinção orgânica é relevante: o CRPS não integra a estrutura hierárquica da autarquia cujas decisões julga, o que lhe confere, ao menos em tese, a independência funcional necessária para exercer controle efetivo sobre os atos do INSS. A natureza jurídica do CRPS é de tribunal administrativo paritário, com competência para julgar, em última instância administrativa, os recursos contra decisões do INSS em matéria de benefícios previdenciários e de contribuição do segurado (art. 303 do Decreto n. 3.048/99).</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Portaria MPS n. 125/2026 aprovou o novo Regimento Interno do CRPS, promovendo reestruturação significativa do órgão. A estrutura passou a compreender três níveis decisórios: as Juntas de Recursos (1ª instância), as Câmaras de Julgamento (2ª instância) e o Conselho Pleno (instância uniformizadora). As Juntas de Recursos, em número variável conforme a demanda regional, são os órgãos de primeiro grau, competentes para julgar recursos contra decisões das Agências da Previdência Social e das Centrais de Análise. As Câmaras de Julgamento constituem o segundo grau, competentes para julgar recursos especiais contra decisões das Juntas. O Conselho Pleno, composto pelos presidentes das Câmaras e das Juntas, exerce função uniformizadora — havendo divergência entre decisões de Juntas ou Câmaras distintas, o Pleno fixa orientação vinculante.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composição do CRPS inspira-se no princípio da gestão quadripartite da seguridade social (art. 194, parágrafo único, VII, da CF), embora a composição específica das Juntas — paritária entre governo e representantes de segurados/empresas — não corresponda literalmente ao modelo quadripartite ali previsto (trabalhadores, empregadores, aposentados e governo). A Portaria MPS n. 125/2026 exige formação em Direito para todos os conselheiros e mantém a representação paritária: cada Junta de Recursos é composta por membros representantes do governo e das categorias de segurados e empresas. A exigência de formação jurídica, inovação da Portaria 125/2026, visa qualificar os julgamentos e reduzir a taxa de reforma pelo Judiciário.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competência do CRPS abrange o julgamento de recursos em matéria de benefícios previdenciários (concessão, manutenção, revisão, cessação), compensação previdenciária entre regimes e Fator Acidentário de Prevenção (FAP), bem como os recursos relativos ao benefício assistencial de prestação continuada (BPC/LOAS), operacionalizado pelo INSS, cujo indeferimento ou cessação desafia recurso à Junta de Recursos do CRPS (art. 36, § 1º, do Decreto n. 6.214/2007). Estão excluídas de sua competência apenas as matérias de competência exclusiva do Poder Judiciário (declaração de inconstitucionalidade, por exemplo).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 xml:space="preserve">O volume processual do CRPS atingiu, em 2025, mais de um milhão de processos em tramitação. Convém distinguir, desde já, duas figuras temporais que não devem ser confundidas: (i) o </w:t>
      </w:r>
      <w:r>
        <w:rPr>
          <w:rFonts w:ascii="EB Garamond" w:hAnsi="EB Garamond" w:cs="EB Garamond"/>
          <w:b w:val="0"/>
          <w:i/>
          <w:color w:val="201B16"/>
          <w:sz w:val="21"/>
          <w:lang w:val="pt-BR" w:bidi="ar-SA"/>
          <w:kern w:val="16"/>
          <w14:ligatures w14:val="standardContextual"/>
        </w:rPr>
        <w:t>prazo regulamentar máximo</w:t>
      </w:r>
      <w:r>
        <w:rPr>
          <w:rFonts w:ascii="EB Garamond" w:hAnsi="EB Garamond" w:cs="EB Garamond"/>
          <w:b w:val="0"/>
          <w:i w:val="0"/>
          <w:color w:val="201B16"/>
          <w:sz w:val="21"/>
          <w:lang w:val="pt-BR" w:bidi="ar-SA"/>
          <w:kern w:val="16"/>
          <w14:ligatures w14:val="standardContextual"/>
        </w:rPr>
        <w:t xml:space="preserve"> de julgamento, que a Portaria MPS n. 125/2026 (art. 77, § 5º) fixou em 365 dias para os recursos em cada instância — observadas as prioridades definidas em lei e a ordem cronológica de distribuição —, limite jurídico cujo descumprimento caracteriza mora administrativa (seção 22.11); e (ii) o </w:t>
      </w:r>
      <w:r>
        <w:rPr>
          <w:rFonts w:ascii="EB Garamond" w:hAnsi="EB Garamond" w:cs="EB Garamond"/>
          <w:b w:val="0"/>
          <w:i/>
          <w:color w:val="201B16"/>
          <w:sz w:val="21"/>
          <w:lang w:val="pt-BR" w:bidi="ar-SA"/>
          <w:kern w:val="16"/>
          <w14:ligatures w14:val="standardContextual"/>
        </w:rPr>
        <w:t>tempo médio real</w:t>
      </w:r>
      <w:r>
        <w:rPr>
          <w:rFonts w:ascii="EB Garamond" w:hAnsi="EB Garamond" w:cs="EB Garamond"/>
          <w:b w:val="0"/>
          <w:i w:val="0"/>
          <w:color w:val="201B16"/>
          <w:sz w:val="21"/>
          <w:lang w:val="pt-BR" w:bidi="ar-SA"/>
          <w:kern w:val="16"/>
          <w14:ligatures w14:val="standardContextual"/>
        </w:rPr>
        <w:t xml:space="preserve"> de tramitação, que oscila, em geral, entre seis e dezoito meses (seção 22.20), a depender da Junta e do volume de demanda regional. Os dois parâmetros não se contradizem: os 365 dias são o teto regulamentar com que a Portaria 125/2026 buscou disciplinar um contencioso administrativo historicamente lento; a faixa de seis a dezoito meses retrata a realidade prática, não raro superior ao próprio teto, especialmente nas Juntas com maior volume de demanda.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5F3EF" w:val="clear"/>
            <w:tcBorders>
              <w:top w:val="single" w:sz="7" w:space="0" w:color="A09882"/>
              <w:bottom w:val="single" w:sz="7" w:space="0" w:color="A09882"/>
              <w:right w:val="single" w:sz="7" w:space="0" w:color="A09882"/>
              <w:left w:val="single" w:sz="24" w:space="0" w:color="6B6256"/>
            </w:tcBorders>
          </w:tcPr>
          <w:p>
            <w:pPr>
              <w:spacing w:before="0" w:after="60" w:line="240" w:lineRule="auto"/>
              <w:jc w:val="left"/>
            </w:pPr>
            <w:r>
              <w:rPr>
                <w:rFonts w:ascii="Noto Sans" w:hAnsi="Noto Sans" w:cs="Noto Sans"/>
                <w:b/>
                <w:i w:val="0"/>
                <w:caps/>
                <w:color w:val="6B6256"/>
                <w:sz w:val="16"/>
                <w:lang w:val="pt-BR" w:bidi="ar-SA"/>
                <w:kern w:val="16"/>
                <w14:ligatures w14:val="standardContextual"/>
              </w:rPr>
              <w:t>QUADRO</w:t>
            </w:r>
          </w:p>
          <w:p>
            <w:pPr>
              <w:spacing w:before="0" w:after="60" w:line="247" w:lineRule="auto"/>
              <w:jc w:val="both"/>
            </w:pPr>
            <w:r>
              <w:rPr>
                <w:rFonts w:ascii="EB Garamond" w:hAnsi="EB Garamond" w:cs="EB Garamond"/>
                <w:b/>
                <w:i w:val="0"/>
                <w:color w:val="201B16"/>
                <w:sz w:val="19"/>
                <w:lang w:val="pt-BR" w:bidi="ar-SA"/>
                <w:kern w:val="16"/>
                <w14:ligatures w14:val="standardContextual"/>
              </w:rPr>
              <w:t>Quadro 22.2 — Estrutura do CRPS (Portaria MPS n. 125/2026)</w:t>
            </w:r>
          </w:p>
          <w:tbl>
            <w:tblPr>
              <w:tblW w:type="auto" w:w="0"/>
              <w:jc w:val="center"/>
              <w:tblLook w:firstColumn="1" w:firstRow="1" w:lastColumn="0" w:lastRow="0" w:noHBand="0" w:noVBand="1" w:val="04A0"/>
              <w:tblW w:w="5000" w:type="pct"/>
            </w:tblPr>
            <w:tblGrid>
              <w:gridCol w:w="1587"/>
              <w:gridCol w:w="1587"/>
              <w:gridCol w:w="1587"/>
              <w:gridCol w:w="1587"/>
            </w:tblGrid>
            <w:tr>
              <w:trPr>
                <w:tblHeader/>
              </w:trPr>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Instância</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Órgão</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Composição</w:t>
                  </w:r>
                </w:p>
              </w:tc>
              <w:tc>
                <w:tcPr>
                  <w:tcW w:type="dxa" w:w="158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Competência</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1ª instância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Juntas de Recursos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Paritária (governo + segurados/empresas), bacharéis em Direito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Recurso ordinário contra decisões do INSS</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2ª instância</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Câmaras de Julgamento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Paritária, bacharéis em Direito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Recurso especial contra decisões das Juntas</w:t>
                  </w:r>
                </w:p>
              </w:tc>
            </w:tr>
            <w:tr>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Uniformização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Conselho Pleno</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Presidentes das Câmaras e Juntas</w:t>
                  </w:r>
                </w:p>
              </w:tc>
              <w:tc>
                <w:tcPr>
                  <w:tcW w:type="dxa" w:w="158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Fixação de orientação vinculante em caso de divergência</w:t>
                  </w:r>
                </w:p>
              </w:tc>
            </w:tr>
          </w:tbl>
          <w:p/>
          <w:p>
            <w:pPr>
              <w:spacing w:before="0" w:after="0" w:line="240" w:lineRule="auto"/>
            </w:pP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competência do CRPS é delimitada pela natureza da matéria e pelo tipo de decisão recorrida. Estão compreendidos na competência recursal os benefícios previdenciários do RGPS (aposentadorias, auxílios, pensões, salário-maternidade), o benefício assistencial de prestação continuada (BPC/LOAS), operacionalizado pelo INSS e cujo indeferimento desafia recurso à Junta de Recursos do CRPS (art. 36, § 1º, do Decreto n. 6.214/2007), as questões relativas à compensação previdenciária entre regimes e ao Fator Acidentário de Prevenção (FAP). Ficam excluídas de sua competência apenas as questões tributárias relativas a contribuições previdenciárias patronais, que são de competência do contencioso administrativo fiscal (CARF). Essa delimitação de competência é relevante para o advogado que precisa escolher corretamente a via recursal administrativa.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o advogado que atua nos JEFs, o CRPS representa alternativa à judicialização que merece avaliação estratégica caso a caso. Em situações de indeferimento por erro documental, cadastral ou de interpretação normativa, o recurso ao CRPS pode ser mais célere e menos oneroso do que a ação judicial. Em contrapartida, quando a questão envolve matéria fática complexa (divergência pericial sobre incapacidade, por exemplo) ou quando o segurado necessita de tutela de urgência (antecipação de tutela para implantação imediata do benefício), a via judicial nos JEFs tende a ser mais eficaz. A opção por uma via não exclui a outra: o segurado pode, simultaneamente, interpor recurso ao CRPS e ajuizar ação judicial, hipótese em que a decisão judicial prevalece sobre a administrativa em caso de conflito.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22.11 Recurso ordinário às juntas de recursos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recurso ordinário é a via recursal cabível contra decisão do INSS que indefere, cessa ou revisa benefício previdenciário em prejuízo do segurado. Constitui o instrumento por excelência de impugnação administrativa dos atos da autarquia e sua interposição é direito do segurado independentemente de advogado, embora a assistência técnica seja recomendável, especialmente em matérias de maior complexidade.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legitimidade para interpor recurso ordinário é do segurado, de seu dependente ou de procurador legalmente constituído. O prazo é de 30 dias, contados da ciência da decisão recorrida (art. 305 do Decreto n. 3.048/99). A ciência considera-se ocorrida na data de acesso à notificação pelo Meu INSS, na data de recebimento da correspondência postal (aviso de recebimento) ou na data de comparecimento pessoal à APS. Perdido o prazo, opera-se a preclusão administrativa — o segurado não poderá mais recorrer daquela decisão específica, embora possa formular novo requerimento com base em fatos ou documentos novos, ou buscar o Judiciário.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interposição pode ser feita pelo Meu INSS (opção "Recurso" na página do benefício), pela Central 135, por comparecimento presencial à APS (mediante agendamento) ou por correspondência postal dirigida à Junta de Recursos competente. O recurso deve conter a identificação do recorrente, o número do benefício e da decisão recorrida, as razões do inconformismo e os documentos que o instruem. A apresentação de documentos novos na fase recursal é admitida e constitui, na prática, uma das principais vantagens do recurso administrativo: o segurado pode juntar laudos médicos, declarações, certidões e outros documentos que não apresentou na fase inicial, suprindo deficiências da instrução originária.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questão do efeito suspensivo do recurso ordinário gera controvérsia relevante. O art. 305 do Decreto n. 3.048/99, na redação vigente, atribui efeito suspensivo ao recurso, o que significa que, em tese, a decisão recorrida não produz efeitos durante a tramitação recursal. Na atuação forense, essa regra tem aplicação controversa nos casos de cessação de benefício: se o segurado teve o auxílio por incapacidade temporária cessado por decisão pericial e interpõe recurso, o efeito suspensivo deveria impedir a cessação até o julgamento; o INSS, porém, em muitos casos cessa o pagamento independentemente da interposição de recurso, gerando situações de desamparo que acabam sendo levadas ao JEF por via de tutela de urgência.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INSS participa do processo recursal como parte recorrida. A Procuradoria Federal Especializada junto ao INSS é intimada para apresentar contrarrazões, podendo defender a manutenção da decisão recorrida ou, excepcionalmente, reconhecer o direito do segurado e concordar com o provimento do recurso. Esse reconhecimento administrativo, embora raro, é possível e desejável quando o INSS identifica erro na decisão originária.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Portaria MPS n. 125/2026 (art. 77, § 5º) fixou em 365 dias o prazo regulamentar máximo para julgamento dos recursos em cada instância, aí incluído o recurso ordinário pelas Juntas de Recursos, observadas as prioridades definidas em lei e a ordem cronológica de distribuição. O prazo é contado a partir da entrada do recurso no CRPS, excluído o período em que o processo aguarda o cumprimento de diligências (art. 77, § 6º), e seu descumprimento caracteriza mora administrativa. Embora esse prazo-limite de um ano possa parecer longo, aproxima-se do tempo médio de tramitação de ação previdenciária nos JEFs em regiões de maior congestionamento; conforme a matéria e a localidade, o recurso administrativo pode constituir, assim, alternativa estratégica viável (v. O quadro comparativo da seção 22.20).</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Os efeitos do julgamento são os seguintes: se a Junta dá provimento ao recurso, o INSS tem prazo de 60 dias para implantar o benefício ou adotar a providência determinada. Se nega provimento, o segurado pode interpor recurso especial às Câmaras de Julgamento (seção 22.12) ou buscar o Judiciário. A decisão da Junta, quando favorável ao segurado, vincula o INSS, a autarquia não pode deixar de cumprir a decisão do CRPS, salvo por meio de ação judicial (ação anulatória ou ação rescisória administrativa, hipóteses excepcionais).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No cotidiano dos JEFs — Passo a passo para interpor recurso ordinário ao CRPS</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primeira providência é verificar o prazo: o recurso deve ser interposto em 30 dias da ciência da decisão, contados do acesso pelo Meu INSS, do recebimento da correspondência ou do comparecimento presencial. Se o prazo expirou, avalia-se se é caso de novo requerimento ou de ação judicial.</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Reúne-se, em seguida, a documentação: além das razões recursais, convém juntar todos os documentos que reforcem o direito, pois documentos novos são aceitos e frequentemente decisivos — nos benefícios por incapacidade, laudos médicos detalhados e atualizados são essenciais.</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passo seguinte é redigir as razões do recurso, identificando com precisão o motivo do indeferimento (constante na carta de indeferimento ou no Meu INSS) e contrapondo-o com argumentação fática e jurídica. Cita-se a legislação aplicável e, quando pertinente, os enunciados do próprio CRPS que favoreçam a tese.</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Redigidas as razões, protocola-se o recurso pelo Meu INSS (opção "Recurso" na página do benefício) ou pela Central 135 — se necessário, com comparecimento à APS mediante agendamento prévio. No protocolo eletrônico, anexam-se os documentos digitalizados, certificando-se de que os arquivos estão legíveis e completos.</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Gerado o protocolo, guarda-se o número de identificação, indispensável ao acompanhamento, e monitora-se periodicamente a tramitação pelo Meu INSS ou pela Central 135, observado o prazo regulamentar máximo de julgamento de 365 dias fixado pela Portaria MPS n. 125/2026 (art. 77, § 5º), cujos tempos médios reais, na prática, costumam ser superiores.</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Por fim, nos casos de urgência (segurado sem renda, doença grave, risco alimentar), avalia-se estratégia paralela: o ajuizamento simultâneo de ação no JEF com pedido de tutela de urgência, sem prejuízo do recurso administrativo em tramitação.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22.12 Recurso especial às câmaras de julgamento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recurso especial ao CRPS não se confunde com mero segundo grau de jurisdição administrativa. Seu cabimento é restrito e suas hipóteses taxativas, o que o diferencia substancialmente do recurso ordinário. Enquanto o recurso ordinário permite ampla revisão da decisão do INSS (tanto em matéria de fato quanto de direito), o recurso especial às Câmaras de Julgamento destina-se exclusivamente à uniformização da interpretação administrativa.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As hipóteses de cabimento do recurso especial, disciplinadas pelo art. 305, § 2º, do Decreto n. 3.048/99, com a regulamentação da Portaria MPS n. 125/2026, são: (a) divergência da decisão da Junta de Recursos com enunciado editado pelo Conselho Pleno do CRPS; (b) divergência com parecer aprovado pela Procuradoria Federal Especializada junto ao INSS; e (c) divergência com decisão proferida por outra Junta de Recursos em caso análogo. Não cabe recurso especial para reexame de matéria fática já apreciada pela Junta: a Câmara de Julgamento limita-se a verificar se houve divergência com as fontes normativas indicadas.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Essa restrição de cabimento exige do recorrente demonstração analítica da divergência: não basta alegar genericamente que a decisão é injusta ou contrária à lei. É necessário indicar especificamente o enunciado, o parecer ou a decisão divergente e demonstrar que a situação fática e jurídica é análoga. A falta dessa demonstração resulta em inadmissão do recurso, por ausência de pressuposto específico.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prazo para interposição é de 30 dias, contados da ciência da decisão da Junta de Recursos. A legitimidade é do segurado ou do INSS, este último por intermédio da Procuradoria Federal Especializada. O procedimento segue a mesma forma do recurso ordinário (Meu INSS, Central 135, APS ou correspondência), com a diferença de que o recurso é dirigido à Câmara de Julgamento competente, por intermédio da Junta que proferiu a decisão recorrida.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juízo de admissibilidade do recurso especial é exercido pela própria Junta de Recursos, que verifica se estão presentes os pressupostos de cabimento (tempestividade, legitimidade e enquadramento em uma das hipóteses legais). Se a Junta inadmite o recurso, o recorrente pode agravar a decisão perante a Câmara de Julgamento, que exercerá juízo definitivo de admissibilidade. Se admitido, o recurso é processado e julgado pela Câmara, cujas sessões são realizadas em composição paritária.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decisão da Câmara de Julgamento é definitiva na esfera administrativa para o caso concreto. Não há recurso administrativo contra a decisão da Câmara, salvo a hipótese de embargos de declaração para suprir omissão, contradição ou obscuridade, instituto que a Portaria MPS n. 125/2026 incorporou ao rito do CRPS. A parte inconformada com a decisão da Câmara pode buscar o Poder Judiciário, mas deve considerar que a decisão administrativa definitiva, quando favorável ao segurado, vincula o INSS e constitui decisão de cumprimento obrigatório, cabendo à autarquia implantá-la em 60 dias, sob pena de reclamação administrativa pelo segurado e responsabilização funcional do servidor omisso.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perspectiva do JEF, a decisão do CRPS favorável ao segurado e não cumprida pelo INSS pode fundamentar ação de obrigação de fazer com pedido de tutela de urgência, cuja procedência é praticamente certa, vez que o próprio órgão recursal da Previdência reconheceu o direito. Já a decisão desfavorável do CRPS não vincula o Judiciário: o juiz examina a matéria de forma independente, podendo conceder o benefício negado nas duas instâncias administrativas. A coisa julgada administrativa, que se limita à preclusão do direito de recorrer na esfera administrativa, não impede o acesso ao Judiciário (art. 5º, XXXV, da CF), princípio reiteradamente reafirmado pela jurisprudência dos tribunais superiores.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Questão relevante diz respeito ao recurso especial interposto pelo INSS. A Procuradoria Federal Especializada pode recorrer de decisão da Junta que deu provimento ao recurso do segurado, buscando reformar o acórdão favorável ao beneficiário. Nessa hipótese, o segurado é intimado para apresentar contrarrazões e, enquanto pendente o recurso especial do INSS, a decisão favorável da Junta não produz efeitos, em razão do efeito suspensivo. Essa situação gera perplexidade prática: o segurado que obteve provimento na Junta pode ter que aguardar meses ou anos até o julgamento do recurso especial do INSS para ver seu benefício implantado. A alternativa, nesses casos, é buscar o Judiciário com base na decisão favorável da Junta, argumentando que a demora no julgamento do recurso especial configura situação de urgência.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Outra hipótese que merece exame é a do recurso especial com pedido de uniformização. Quando a divergência se dá entre Juntas de diferentes regiões (uma concedendo e outra negando benefício em situações fáticas idênticas), o recurso especial exerce função análoga à do incidente de uniformização de jurisprudência no âmbito judicial. A decisão da Câmara, nesses casos, fixa orientação que as Juntas devem observar em casos futuros, contribuindo para a coerência do sistema administrativo. Os enunciados do Conselho Pleno e as decisões paradigmáticas das Câmaras formam, em conjunto, um corpo de precedentes administrativos que o advogado atento pode utilizar como fundamento tanto no recurso ao CRPS quanto na ação judicial perante o JEF.</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o advogado, o recurso especial ao CRPS é ferramenta de utilidade limitada, dada a restrição de seu cabimento. Sua maior utilidade prática ocorre quando a Junta de Recursos indefere o recurso ordinário com base em interpretação que destoa de enunciado do próprio CRPS ou de parecer da Procuradoria Federal, situação em que o recurso especial tem alta probabilidade de provimento. Fora dessas hipóteses, a via judicial nos JEFs tende a ser mais eficaz, especialmente quando a questão envolve matéria fática (incapacidade, atividade especial, tempo de contribuição rural) que demanda instrução probatória mais ampla do que a disponível na esfera administrativa. O esgotamento da via administrativa não é requisito para o ajuizamento de ação nos JEFs: basta o prévio requerimento e a resistência do INSS (indeferimento expresso ou mora). Assim, o segurado não precisa percorrer todos os graus recursais do CRPS antes de buscar o Judiciário. Essa liberdade de escolha entre vias é garantia constitucional derivada do princípio da inafastabilidade da jurisdição (art. 5º, XXXV, da CF), expressamente reafirmada pelo STF no julgamento do Tema 350.</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22.13 Enunciados do CRPS e sua força normativa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Conselho de Recursos da Previdência Social exerce, além de sua função judicante em grau recursal, uma relevante atribuição normativa: a edição de enunciados interpretativos que uniformizam a aplicação do Direito previdenciário no âmbito administrativo. Esses enunciados são aprovados pelo Conselho Pleno do CRPS, mediante deliberação por maioria qualificada dos conselheiros, e têm por objetivo harmonizar a jurisprudência administrativa, evitando decisões contraditórias entre as Juntas de Recursos e as Câmaras de Julgamento.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natureza jurídica desses enunciados é de orientação vinculante interna corporis. Significa dizer que as Juntas de Recursos e as Câmaras de Julgamento estão obrigadas a observá-los ao decidir os casos submetidos a sua apreciação. Não se trata de ato normativo com eficácia erga omnes, e tampouco de precedente vinculante na acepção do art. 927 do CPC. Sua força obrigatória limita-se ao âmbito do CRPS e, por extensão, orienta a atuação das Agências da Previdência Social na análise dos requerimentos. Para o Poder Judiciário, os enunciados do CRPS constituem elemento de persuasão, jamais de vinculação. O juiz federal que atua no JEF pode e deve conhecer os enunciados como subsídio interpretativo, mas sua decisão se fundamenta na Constituição, na lei e nos precedentes vinculantes do STF e do STJ.</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processo de edição dos enunciados segue rito próprio. A proposta pode partir de qualquer conselheiro, dos Presidentes das Juntas ou das Câmaras, ou do próprio Presidente do CRPS. Após instrução e debate, a matéria é submetida ao Conselho Pleno, que delibera em sessão específica. Uma vez aprovado, o enunciado é publicado no Diário Oficial da União e passa a integrar a base normativa do CRPS. A revisão ou cancelamento observa o mesmo procedimento.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forense, determinados enunciados do CRPS revestem-se de especial relevância para os JEFs. No campo do tempo rural, por exemplo, há enunciados que disciplinam a aceitação de início de prova material e a extensão da prova testemunhal. No tempo especial, orientações sobre enquadramento de atividades e agentes nocivos. No campo da incapacidade, diretrizes sobre a data de início da incapacidade e a fixação da data de cessação do benefício. O advogado previdenciarista atento incorpora esses enunciados a suas petições iniciais, seja como reforço argumentativo, seja para demonstrar que a própria Administração já reconhece determinada interpretação favorável ao segurado. De igual modo, a Procuradoria Federal utiliza os enunciados em contestações para sustentar a regularidade do ato administrativo impugnado.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ponto de tensão surge quando um enunciado do CRPS conflita com precedente vinculante do STJ ou do STF. A defasagem é frequente: o tribunal superior fixa tese em recurso repetitivo ou em repercussão geral, mas o enunciado do CRPS permanece inalterado por meses ou até anos. Nessa hipótese, a prevalência do precedente judicial é incontestável. O enunciado, embora formalmente vigente, torna-se materialmente inaplicável naquilo em que contraria a tese fixada pelo Poder Judiciário. O CRPS deveria, por dever de coerência institucional, promover a revisão do enunciado superado, mas nem sempre o faz com a celeridade necessária. Para o juiz do JEF, a situação é clara: aplica-se o precedente vinculante, independentemente do teor do enunciado administrativo.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questão assume relevância prática em situações concretas. Imagine-se enunciado do CRPS que restrinja o reconhecimento de tempo especial por exposição a determinado agente nocivo, quando o STJ já tenha fixado tese ampliativa em recurso repetitivo. O segurado que teve seu pedido de aposentadoria especial indeferido administrativamente com base nesse enunciado restritivo pode, na petição inicial, demonstrar o descompasso entre a orientação administrativa e o precedente vinculante. O juiz do JEF, ao analisar o caso, sequer precisa discutir o enunciado do CRPS: aplica diretamente a tese do STJ. Essa dinâmica revela a importância de o advogado previdenciarista manter-se atualizado tanto em relação aos enunciados do CRPS quanto à jurisprudência dos tribunais superiores, pois o confronto entre ambos é argumento poderoso na fundamentação da pretensão.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Em termos operacionais dos JEFs:</w:t>
            </w:r>
            <w:r>
              <w:rPr>
                <w:rFonts w:ascii="EB Garamond" w:hAnsi="EB Garamond" w:cs="EB Garamond"/>
                <w:b w:val="0"/>
                <w:i w:val="0"/>
                <w:color w:val="201B16"/>
                <w:sz w:val="19"/>
                <w:lang w:val="pt-BR" w:bidi="ar-SA"/>
                <w:kern w:val="16"/>
                <w14:ligatures w14:val="standardContextual"/>
              </w:rPr>
              <w:t xml:space="preserve"> ao elaborar a petição inicial, o advogado deve verificar os enunciados do CRPS vigentes sobre a matéria discutida. Quando o enunciado for favorável ao segurado, convém citá-lo expressamente como argumento de reforço, demonstrando que a própria Administração Previdenciária reconhece aquela interpretação. Quando o enunciado for contrário, mas existir precedente vinculante do STJ ou STF em sentido diverso, a petição deve apontar a superação do enunciado pelo precedente judicial.</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22.14 Esgotamento da via administrativa vs. Mero requerimento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distinção entre prévio requerimento administrativo e esgotamento da via administrativa constitui um dos temas mais recorrentes na prática dos Juizados Especiais Federais previdenciários. O Tema 350/STF (RE 631.240, Plenário, j. 03/09/2014, Rel. Min. Luís Roberto Barroso) pacificou a controvérsia: o prévio requerimento administrativo é, em regra, condição para o ajuizamento de ação previdenciária de concessão de benefício. O esgotamento das instâncias administrativas, contudo, não o é. São conceitos distintos, com consequências processuais igualmente diversas.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segurado que tem seu benefício indeferido pelo INSS pode ajuizar a ação judicial imediatamente, sem que precise interpor recurso ao CRPS. O indeferimento administrativo já configura a lesão ao direito subjetivo, e a Constituição garante o acesso ao Poder Judiciário sem que se exija do cidadão o percurso integral da via administrativa (art. 5º, XXXV, CF/1988). Exigir o esgotamento significaria impor ao segurado uma condição não prevista em lei e incompatível com o princípio da inafastabilidade da jurisdição.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As exceções são relevantes. Nas ações de revisão, restabelecimento ou manutenção de benefício, sequer o prévio requerimento é exigido, conforme a parte final da tese do Tema 350. Nessas hipóteses, a resistência administrativa já se presume, seja pela existência de ato concreto lesivo (cessação, cancelamento, cálculo incorreto), seja pela notória posição do INSS contrária à pretensão do segurado. A mesma lógica se aplica quando o INSS adota posição reiteradamente contrária à tese do segurado em casos análogos, situação que dispensa inclusive o requerimento de concessão.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recurso ao CRPS, embora não exigido, permanece como opção estratégica legítima. Adotamos a visão de que o advogado previdenciarista deve analisar, caso a caso, as vantagens e desvantagens de cada via. Do lado das vantagens do recurso administrativo: ausência de custas processuais, efeito suspensivo do recurso ordinário (que mantém eventual benefício durante a tramitação), possibilidade de apresentação de prova complementar e, em determinadas matérias documentais, razoável probabilidade de êxito. Do lado das desvantagens: a demora na tramitação, que pode se estender por meses ou anos; a tendência de decisões desfavoráveis nas matérias de incapacidade laboral (em que a perícia do INSS não é substituída por perícia independente); e a ausência de paridade de armas, já que o segurado não dispõe, na via administrativa, das garantias processuais da jurisdição.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Aspecto processual relevante diz respeito à suspensão da prescrição durante a pendência do recurso administrativo. Enquanto tramita o recurso no CRPS, o prazo prescricional para ajuizamento da ação judicial permanece suspenso, retomando seu curso apenas com a ciência da decisão definitiva. O segurado que opta pelo recurso administrativo não é prejudicado pelo tempo de tramitação: as parcelas vencidas durante o período de pendência recursal permanecem protegidas da prescrição quinquenal. O tema é tratado com maior profundidade no Capítulo 21, seção 21.12.3, ao qual remetemos o leitor. A interface com a judicialização é examinada na seção 23.8 do Capítulo 23.</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decisão entre recorrer administrativamente e judicializar de imediato depende de variáveis concretas que examinaremos na seção 22.20. A regra processual, contudo, é inequívoca: o esgotamento da via administrativa não é e nunca foi condição de procedibilidade da ação previdenciária. Trataremos dos desdobramentos do Tema 350 na seção 22.22, ao abordar o prévio requerimento em suas múltiplas dimensões.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O esgotamento da via administrativa não é exigido para judicializar.</w:t>
            </w:r>
            <w:r>
              <w:rPr>
                <w:rFonts w:ascii="EB Garamond" w:hAnsi="EB Garamond" w:cs="EB Garamond"/>
                <w:b w:val="0"/>
                <w:i w:val="0"/>
                <w:color w:val="201B16"/>
                <w:sz w:val="19"/>
                <w:lang w:val="pt-BR" w:bidi="ar-SA"/>
                <w:kern w:val="16"/>
                <w14:ligatures w14:val="standardContextual"/>
              </w:rPr>
              <w:t xml:space="preserve"> O segurado que tem seu benefício indeferido pelo INSS pode ajuizar ação judicial de imediato, sem necessidade de interpor recurso ao CRPS. A exigência limita-se ao prévio requerimento administrativo, conforme o Tema 350/STF. Nas ações de revisão, restabelecimento ou manutenção, sequer o requerimento prévio é necessário.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22.15 Revisão administrativa pelo INSS: autotutela e limites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poder de autotutela da Administração Pública, consagrado nas Súmulas 346 e 473 do STF, autoriza o INSS a rever seus próprios atos administrativos quando eivados de ilegalidade ou quando inconvenientes ao interesse público. Em matéria previdenciária, essa prerrogativa encontra disciplina específica no art. 103-A da Lei 8.213/1991, que fixa o prazo decadencial de dez anos para que a Administração anule atos administrativos de que decorram efeitos favoráveis aos beneficiários. A norma foi introduzida pela Lei 10.839/2004 e representa um equilíbrio entre o poder de autotutela e a segurança jurídica dos administrados.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Sustentamos a necessidade de distinguir com clareza duas situações que a prática forense frequentemente confunde. A primeira é a decadência do direito do segurado de pedir a revisão do seu benefício, prevista no art. 103 da Lei 8.213/1991: dez anos a contar do primeiro dia do mês seguinte ao do recebimento da primeira prestação. A segunda é a decadência do direito da Administração de anular seus próprios atos (art. 103-A): dez anos contados da data em que foram praticados, salvo comprovada má-fé. Os prazos, embora idênticos em extensão, têm natureza, termos iniciais e sujeitos diversos. A confusão entre ambos gera equívocos sérios na análise dos casos concretos, especialmente nos JEFs. Remetemos o leitor à seção 21.7 do Capítulo 21, em que a matéria é examinada sob a perspectiva processual.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STJ, em sede de recurso repetitivo (REsp 1.114.938/AL — Tema 214/STJ, Rel. Min. Napoleão Nunes Maia Filho, 1ª Seção, j. 14/04/2010), fixou parâmetros para o exercício da autotutela pelo INSS. A revisão administrativa deve observar o contraditório e a ampla defesa, mediante instauração de processo administrativo regular, em que o beneficiário é notificado e tem prazo de trinta dias para apresentar defesa. O INSS não pode simplesmente cessar o benefício e comunicar o fato ao segurado; o procedimento exige notificação prévia, oportunidade de manifestação e decisão administrativa motivada. A exceção reside nos casos de comprovada má-fé na obtenção do benefício, hipótese em que não se aplica o prazo decadencial de dez anos.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procedimento de revisão administrativa segue sequência definida. A Agência da Previdência Social identifica indício de irregularidade na concessão do benefício e instaura processo administrativo. O beneficiário é notificado pessoalmente, com descrição clara das irregularidades apontadas, e recebe prazo de trinta dias para defesa escrita, com possibilidade de apresentar documentos e requerer a produção de provas. Após a instrução, a autoridade administrativa profere decisão motivada. Do ato que determinar a cessação ou cancelamento, cabe recurso ao CRPS, com efeito suspensivo na forma regulamentar.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Os limites da autotutela são igualmente claros. O primeiro é temporal: transcorridos dez anos da prática do ato, a Administração decai do direito de anulá-lo, salvo má-fé. O segundo é procedimental: o contraditório é inafastável, e a cessação do benefício antes da conclusão do processo administrativo é medida ilegal, atacável por mandado de segurança ou tutela de urgência no JEF. O terceiro é material: a revisão deve apoiar-se em fundamento concreto de ilegalidade, não bastando mera reavaliação de conveniência ou divergência interpretativa quanto a critérios de concessão.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configuração da má-fé, que afasta a proteção decadencial, exige prova robusta a cargo do INSS. Não se presume a má-fé do beneficiário; ao contrário, a presunção milita em favor de sua boa-fé. A apresentação de documento falso, a omissão dolosa de informação relevante ou a fraude comprovada na obtenção do benefício são hipóteses que autorizam a revisão a qualquer tempo. Fora dessas situações, o prazo de dez anos é peremptório e não admite exceção. Na prática dos JEFs, verificamos com frequência que o INSS invoca a má-fé genericamente, sem demonstrá-la com provas concretas; nessas hipóteses, o beneficiário deve ser protegido pela decadência.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Art. 103-A da Lei 8.213/1991:</w:t>
            </w:r>
            <w:r>
              <w:rPr>
                <w:rFonts w:ascii="EB Garamond" w:hAnsi="EB Garamond" w:cs="EB Garamond"/>
                <w:b w:val="0"/>
                <w:i w:val="0"/>
                <w:color w:val="201B16"/>
                <w:sz w:val="19"/>
                <w:lang w:val="pt-BR" w:bidi="ar-SA"/>
                <w:kern w:val="16"/>
                <w14:ligatures w14:val="standardContextual"/>
              </w:rPr>
              <w:t xml:space="preserve"> "O direito da Previdência Social de anular os atos administrativos de que decorram efeitos favoráveis para os seus beneficiários decai em dez anos, contados da data em que foram praticados, salvo comprovada má-fé."</w:t>
            </w:r>
          </w:p>
          <w:p>
            <w:pPr>
              <w:spacing w:before="0" w:after="60" w:line="247" w:lineRule="auto"/>
              <w:jc w:val="both"/>
            </w:pPr>
            <w:r>
              <w:rPr>
                <w:rFonts w:ascii="EB Garamond" w:hAnsi="EB Garamond" w:cs="EB Garamond"/>
                <w:b/>
                <w:i w:val="0"/>
                <w:color w:val="201B16"/>
                <w:sz w:val="19"/>
                <w:lang w:val="pt-BR" w:bidi="ar-SA"/>
                <w:kern w:val="16"/>
                <w14:ligatures w14:val="standardContextual"/>
              </w:rPr>
              <w:t>REsp 1.114.938/AL — Tema 214/STJ (Rel. Min. Napoleão Nunes Maia Filho, 1ª Seção, j. 14/04/2010):</w:t>
            </w:r>
            <w:r>
              <w:rPr>
                <w:rFonts w:ascii="EB Garamond" w:hAnsi="EB Garamond" w:cs="EB Garamond"/>
                <w:b w:val="0"/>
                <w:i w:val="0"/>
                <w:color w:val="201B16"/>
                <w:sz w:val="19"/>
                <w:lang w:val="pt-BR" w:bidi="ar-SA"/>
                <w:kern w:val="16"/>
                <w14:ligatures w14:val="standardContextual"/>
              </w:rPr>
              <w:t xml:space="preserve"> a revisão administrativa de benefício previdenciário pelo INSS exige a observância do contraditório e da ampla defesa, mediante instauração de processo administrativo prévio, respeitado o prazo decadencial de dez anos, salvo comprovada má-fé do beneficiário.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22.16 Cessação administrativa de benefícios: procedimento e garantias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cessação administrativa de benefícios previdenciários constitui um dos atos que mais intensamente afetam a vida do segurado, pois interrompe a prestação pecuniária que, em muitos casos, constitui sua única fonte de subsistência. As hipóteses de cessação são variadas: término da data de cessação do benefício fixada pela perícia (DCB/COPES), recuperação da capacidade laborativa constatada em reavaliação pericial, constatação de fraude ou irregularidade na concessão, não comparecimento à convocação para exame pericial de reavaliação. Cada hipótese demanda procedimento próprio, mas todas compartilham um denominador comum: a observância do contraditório prévio.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cessação programada ocorre quando a perícia médica fixa, no momento da concessão ou em exame de prorrogação, uma data de cessação do benefício (DCB) vinculada ao prognóstico de recuperação da capacidade laborativa. O Programa COPES (Cobertura Previdenciária Estimada) atribui datas de cessação com base em parâmetros estatísticos, e sua aplicação gera controvérsia frequente nos JEFs, especialmente quando o segurado permanece incapacitado além da data programada. Nessas situações, cabe ao segurado requerer prorrogação ou novo benefício, conforme tratamos nos capítulos anteriores.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cessação por recuperação da capacidade laboral decorre de reavaliação pericial convocada pelo INSS. O perito médico federal examina o segurado e conclui pela cessação da incapacidade. Aqui reside a principal zona de conflito: a cessação deve ser precedida de comunicação ao segurado, com fundamentação técnica adequada, e o beneficiário tem direito a interpor recurso ao CRPS com efeito suspensivo. Sem essa garantia, a cessação é prematura e ilegal.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problemática do chamado "pente-fino" assume dimensão particular. O INSS convoca segurados para reavaliação pericial, frequentemente por carta simples, e a não apresentação no dia e horário agendados pode ensejar a cessação do benefício. As Turmas Recursais e os TRFs — em especial TRF1, TRF3 e TRF4 — consolidaram entendimento no sentido de que a convocação por carta simples, sem aviso de recebimento, não é suficiente para comprovar a ciência do segurado, especialmente quando se trata de beneficiário em situação de vulnerabilidade social ou residente em área rural. A cessação fundada em não comparecimento sem comprovação efetiva de notificação é nula.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As garantias processuais na cessação administrativa podem ser assim sintetizadas: (i) notificação pessoal e efetiva do segurado, com indicação clara do motivo e das consequências da cessação; (ii) oportunidade de defesa antes da efetivação do ato; (iii) decisão motivada, com fundamentação técnica no caso de incapacidade; (iv) manutenção do pagamento do benefício durante a tramitação de recurso administrativo com efeito suspensivo; (v) possibilidade de impugnação judicial imediata. A cessação de benefício pendente recurso administrativo com efeito suspensivo é ilegal e configura violação ao devido processo legal administrativo.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direito à manutenção do pagamento até decisão definitiva, quando pendente recurso com efeito suspensivo, decorre diretamente do sistema recursal do CRPS. Se o recurso ordinário tem efeito suspensivo, a cessação não pode ser implementada até o julgamento. A prática administrativa do INSS de cessar o pagamento antes da conclusão do recurso é recorrente e sistematicamente rechaçada pelo Poder Judiciário.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experiência concreta dos JEFs, o cenário mais frequente envolve o segurado que recebe auxílio por incapacidade temporária, é convocado para reavaliação pericial, e tem o benefício cessado sem comunicação prévia adequada ou sem oportunidade efetiva de contestar a conclusão pericial. O segurado comparece ao Juizado, frequentemente sem advogado, portando apenas a carta de cessação e laudos médicos particulares que atestam a persistência da incapacidade. Nessas circunstâncias, o juiz do JEF deve avaliar, em sede de tutela de urgência, a regularidade formal da cessação (notificação, contraditório, fundamentação) antes mesmo de ingressar no mérito da incapacidade. A irregularidade procedimental, por si só, autoriza o restabelecimento provisório do benefício.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Cessação de benefício exige contraditório prévio.</w:t>
            </w:r>
            <w:r>
              <w:rPr>
                <w:rFonts w:ascii="EB Garamond" w:hAnsi="EB Garamond" w:cs="EB Garamond"/>
                <w:b w:val="0"/>
                <w:i w:val="0"/>
                <w:color w:val="201B16"/>
                <w:sz w:val="19"/>
                <w:lang w:val="pt-BR" w:bidi="ar-SA"/>
                <w:kern w:val="16"/>
                <w14:ligatures w14:val="standardContextual"/>
              </w:rPr>
              <w:t xml:space="preserve"> O INSS não pode cessar benefício previdenciário sem notificação pessoal efetiva do segurado, oportunidade de defesa e decisão fundamentada. A cessação sem observância dessas garantias é nula e pode ser revertida por mandado de segurança ou tutela de urgência no JEF.</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22.17 Tema 1.157/STJ: cancelamento administrativo de benefício concedido judicialmente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1ª Seção do Superior Tribunal de Justiça, em julgamento realizado em 07/05/2026, fixou tese em sede de recurso repetitivo no Tema 1.157, enfrentando questão de elevada repercussão prática, já antecipada por Savaris (2023): pode o INSS cancelar administrativamente, mediante nova avaliação pericial, benefício por incapacidade concedido por decisão judicial transitada em julgado? A resposta, aprovada por unanimidade, foi afirmativa, desde que observados pressupostos específicos.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tese fixada estabelece que o INSS pode revisar administrativamente benefício por incapacidade concedido judicialmente, mediante nova avaliação pericial que constate a recuperação da capacidade laborativa, observado o devido processo legal. O fundamento central reside na natureza do benefício por incapacidade, que opera sob a cláusula rebus sic stantibus: a sentença que concede aposentadoria por incapacidade permanente ou auxílio por incapacidade temporária pressupõe a manutenção do quadro clínico que deu origem à concessão. Sobrevindo alteração, recuperação total ou parcial da capacidade, o benefício pode ser cessado, ainda que originariamente concedido por ordem judicial.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Entendemos que a tese do Tema 1.157 não implica violação da coisa julgada. A sentença condenatória em matéria de incapacidade previdenciária tem eficácia condicionada à persistência do quadro incapacitante. A relação jurídica previdenciária é de trato continuado, e a modificação superveniente dos fatos que fundamentaram a decisão judicial autoriza a Administração a reavaliar a situação do beneficiário. Não se trata de descumprir a sentença, mas de reconhecer que a realidade fática subjacente à decisão judicial sofreu alteração. Remetemos o leitor às seções 21.17 e 21.18 do Capítulo 21, em que examinamos a coisa julgada previdenciária e seus limites temporais.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Os limites fixados pela tese são rigorosos e merecem destaque. A perícia de reavaliação deve ser tecnicamente fundamentada, com exposição detalhada dos motivos pelos quais se conclui pela recuperação da capacidade. A mera divergência de opinião médica entre o perito do INSS e o perito judicial que instruiu a ação originária não é suficiente para fundamentar a cessação. Exige-se alteração efetiva do quadro clínico, comprovada por elementos objetivos. O segurado tem direito ao contraditório, podendo apresentar laudos médicos particulares e requerer complementação da perícia. A decisão de cessação deve ser motivada e passível de recurso.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impacto nos JEFs é significativo. Desde o julgamento do Tema 1.157, verificamos aumento expressivo de mandados de segurança e ações ordinárias impugnando cessações de benefícios por incapacidade originariamente concedidos judicialmente. O controle judicial dessas cessações tende a ser mais intenso do que nas cessações de benefícios concedidos administrativamente, precisamente porque há uma decisão judicial anterior que reconheceu a incapacidade. O juiz do JEF deve examinar com rigor se a perícia administrativa de reavaliação demonstra, com elementos concretos, a efetiva alteração do quadro clínico, e não apenas uma releitura dos mesmos fatos já apreciados pelo Poder Judiciário.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processual, o segurado que tem seu benefício judicialmente concedido cessado administrativamente pode valer-se de tutela de urgência para restabelecimento imediato do pagamento, desde que demonstre a plausibilidade de que a cessação não observou os parâmetros fixados pelo Tema 1.157. A probabilidade do direito será tanto maior quanto mais evidente for o déficit de fundamentação da perícia administrativa ou a violação ao contraditório.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Tema 1.157 suscita, ainda, questão processual sobre a competência. O segurado cujo benefício foi concedido por sentença do JEF e cessado administrativamente pode ajuizar nova ação perante o mesmo juízo? A resposta é afirmativa. Não se trata de execução da sentença original, pois o INSS não a descumpriu; trata-se de impugnação a ato administrativo novo, que demanda cognição própria. A competência do JEF é plena para examinar a legalidade da cessação administrativa, ainda que o benefício tenha sido concedido judicialmente. O juiz pode, inclusive, determinar a juntada do processo judicial originário como prova, a fim de comparar o quadro clínico à época da concessão com o quadro atual descrito na perícia de reavaliação.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Tema 1.157/STJ (1ª Seção, j. 07/05/2026):</w:t>
            </w:r>
            <w:r>
              <w:rPr>
                <w:rFonts w:ascii="EB Garamond" w:hAnsi="EB Garamond" w:cs="EB Garamond"/>
                <w:b w:val="0"/>
                <w:i w:val="0"/>
                <w:color w:val="201B16"/>
                <w:sz w:val="19"/>
                <w:lang w:val="pt-BR" w:bidi="ar-SA"/>
                <w:kern w:val="16"/>
                <w14:ligatures w14:val="standardContextual"/>
              </w:rPr>
              <w:t xml:space="preserve"> o STJ assentou ser lícito ao INSS cancelar administrativamente benefício por incapacidade concedido por decisão judicial transitada em julgado, independentemente de ação revisional, desde que observado o devido processo legal administrativo, com realização de perícia médica. Até o fechamento desta edição o acórdão não havia sido publicado, razão pela qual a tese é aqui descrita, e não transcrita; a redação oficial deve ser conferida no portal de precedentes do STJ. A sentença concessória opera sob a cláusula rebus sic stantibus, de modo que a alteração superveniente do quadro clínico autoriza a Administração a cessar o benefício, sem que isso configure violação da coisa julgada.</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22.18 Programa de combate a fraudes: operações de revisão em massa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 operações de revisão em massa de benefícios previdenciários, genericamente denominadas "pente-fino", constituem política administrativa permanente do INSS, com base legal na Lei 13.846/2019 (conversão da MP 871/2019, denominada "MP Antifraude"). O art. 11 dessa lei determina que o INSS realizará, periodicamente, processo de revisão dos benefícios por incapacidade, mediante convocação dos beneficiários para avaliação pericial. A Lei 13.457/2017 já havia disciplinado mecanismo semelhante para benefícios com mais de dois anos sem perícia de reavaliação.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procedimento segue roteiro padronizado. O INSS identifica o universo de benefícios sujeitos à revisão com base em critérios previamente definidos (tempo de manutenção, ausência de perícia recente, indicadores de irregularidade sistêmica). Os beneficiários são convocados por carta simples para comparecimento à Agência da Previdência Social em data e horário agendados. Na perícia presencial, o perito médico federal avalia a persistência da incapacidade. Constatada a recuperação, o INSS instaura procedimento para cessação, com oportunidade de defesa. Mantida a decisão, o benefício é cessado com prazo de adequação.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Os problemas práticos são numerosos e recorrentes na experiência dos JEFs. A notificação por carta simples, sem confirmação de recebimento, gera incerteza sobre a efetiva ciência do segurado. Beneficiários residentes em áreas rurais, idosos com limitações de deslocamento, pessoas com transtornos mentais graves e analfabetos são grupos especialmente vulneráveis. A cessação por não comparecimento, sem prova robusta de notificação, configura violação ao contraditório.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As perícias realizadas no contexto das operações de massa enfrentam questionamentos quanto à qualidade técnica. O volume de avaliações, frequentemente dezenas por dia para cada perito, compromete a individualização do exame. Laudos padronizados, com campos pré-preenchidos e fundamentação genérica, são a regra. A ausência de exames complementares, de análise do histórico clínico e de consideração sobre as condições socioeconômicas do segurado empobrece a avaliação e gera decisões que não refletem a real situação do beneficiário.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Poder Judiciário — com destaque para os JEFs — tem adotado posição firme no sentido de restabelecer benefícios cessados em operações de pente-fino quando verificada a violação ao devido processo legal. Os fundamentos mais recorrentes são: notificação inadequada, ausência de contraditório efetivo, fundamentação insuficiente da perícia administrativa e cessação anterior à conclusão do processo administrativo. O instrumento processual mais utilizado é o mandado de segurança, pela celeridade e desnecessidade de dilação probatória quando a ilegalidade é manifesta. Nas hipóteses em que a controvérsia envolve mérito da incapacidade, a via adequada é a ação ordinária com pedido de tutela de urgência para restabelecimento imediato.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Sustentamos que o programa de combate a fraudes é legítimo e necessário, pois a concessão irregular de benefícios compromete a higidez financeira do RGPS e desvia recursos de segurados que efetivamente fazem jus à proteção previdenciária. Contudo, a legitimidade do programa não autoriza o atropelo de garantias fundamentais. A eficiência administrativa e o devido processo legal não são valores antagônicos; ao contrário, a observância das garantias procedimentais confere legitimidade às cessações e reduz a judicialização improdutiva.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segurado convocado para reavaliação é, na maioria dos casos, pessoa em situação de vulnerabilidade: portadora de doença crônica, com limitações de mobilidade, residente em área distante da Agência do INSS, com baixa escolaridade e sem acesso a orientação jurídica. A convocação por carta, frequentemente recebida com poucos dias de antecedência, exige deslocamento que pode ser oneroso ou fisicamente inviável. O não comparecimento, longe de indicar fraude, pode resultar de limitações concretas do segurado. O sistema jurídico não pode tratar essas situações com a mesma régua aplicável a hipóteses de fraude deliberada.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Atuação do advogado na defesa contra o pente-fino:</w:t>
            </w:r>
            <w:r>
              <w:rPr>
                <w:rFonts w:ascii="EB Garamond" w:hAnsi="EB Garamond" w:cs="EB Garamond"/>
                <w:b w:val="0"/>
                <w:i w:val="0"/>
                <w:color w:val="201B16"/>
                <w:sz w:val="19"/>
                <w:lang w:val="pt-BR" w:bidi="ar-SA"/>
                <w:kern w:val="16"/>
                <w14:ligatures w14:val="standardContextual"/>
              </w:rPr>
              <w:t xml:space="preserve"> ao receber o segurado cujo benefício foi cessado em operação de revisão em massa, o advogado deve verificar: (i) se a convocação foi efetivamente recebida (solicitar ao INSS comprovante de postagem e AR); (ii) se houve oportunidade de defesa antes da cessação; (iii) se o laudo pericial administrativo contém fundamentação individualizada; (iv) se o segurado possui laudos médicos recentes que atestem a persistência da incapacidade. A irregularidade em qualquer desses pontos fundamenta pedido de restabelecimento por tutela de urgência no JEF.</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22.19 Processo administrativo e benefícios assistenciais (BPC/LOAS)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benefício de prestação continuada (BPC), previsto no art. 203, V, da Constituição Federal e regulamentado pela Lei 8.742/1993 (LOAS), possui particularidades procedimentais que o distinguem dos benefícios previdenciários em sentido estrito. Não se trata de benefício contributivo, mas assistencial, e sua concessão depende da comprovação cumulativa de dois requisitos: deficiência ou idade igual ou superior a 65 anos, e renda familiar per capita igual ou inferior a 1/4 do salário-mínimo (R$ 405,25 em 2026, considerando o SM de R$ 1.621,00).</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avaliação da deficiência para fins de BPC observa modelo próprio — o IF-BPC (Índice de Funcionalidade Brasileiro aplicado ao BPC), de natureza biopsicossocial, conduzido por perito médico e assistente social do INSS, que afere não apenas a condição clínica, mas as barreiras à participação social (Convenção de Nova York, Decreto 6.949/2009). O detalhamento do modelo consta do Cap. 18; no plano administrativo importa o seu reflexo procedimental, a exigir a atuação conjunta das duas áreas tanto na concessão quanto na reavaliação.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inscrição e a manutenção de dados atualizados no CadÚnico são condições operacionais para a concessão e manutenção do BPC. O beneficiário deve estar inscrito no Cadastro Único para Programas Sociais do Governo Federal, e a reavaliação bienal prevista no art. 21 da Lei 8.742/1993 exige a verificação periódica tanto da condição de deficiência ou idade quanto da situação de miserabilidade.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critério objetivo de renda per capita de 1/4 do salário-mínimo é aplicado com temperamento pela jurisprudência, que admite a comprovação da miserabilidade por outros meios quando a renda supera o limite legal (Tema 27/STF, RE 567.985). O exame do critério e de sua flexibilização — e a análise caso a caso das despesas com saúde e subsistência do núcleo familiar — consta do Cap. 18, sede da matéria.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reavaliação bienal do BPC gera contencioso significativo nos JEFs. O INSS convoca os beneficiários para reavaliação e, constatando o descumprimento dos requisitos, instaura processo administrativo para cessação. As garantias procedimentais examinadas nas seções anteriores aplicam-se integralmente: contraditório prévio, oportunidade de defesa, decisão motivada e possibilidade de recurso ao CRPS com efeito suspensivo.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cessação do BPC apresenta particularidades que a distinguem da cessação de benefícios por incapacidade do RGPS. O BPC pode ser cessado tanto por alteração da condição de deficiência quanto por superação do critério de miserabilidade. Na primeira hipótese, a avaliação biopsicossocial de reavaliação deve seguir o mesmo modelo IF-BPC da concessão, com participação de perito médico e assistente social. Na segunda, a verificação de renda demanda atualização do CadÚnico e análise individualizada da composição familiar e das despesas do núcleo. A cessação fundada exclusivamente na superação do critério objetivo de renda (1/4 do SM), sem análise das circunstâncias concretas do caso, colide com a orientação do Tema 27/STF e pode ser revertida judicialmente.</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22.20 Quando judicializar: critérios de decisão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decisão entre permanecer na via administrativa ou judicializar a pretensão previdenciária exige análise estratégica caso a caso, que o advogado, o defensor público ou o próprio segurado devem ponderar com base em critérios objetivos. Não há resposta única: cada caso apresenta variáveis que influenciam a análise de custo-benefício.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Adotamos a seguinte sistematização por tipo de matéria. Nas pretensões de natureza documental, como reconhecimento de tempo rural, tempo especial por enquadramento profissional e averbação de vínculos, o recurso ao CRPS pode ser alternativa viável. Nesses casos, a questão é predominantemente probatória e documental, e o CRPS tem condições técnicas de avaliar a documentação apresentada. A probabilidade de êxito no recurso administrativo é razoável, especialmente quando a decisão de primeira instância administrativa contraria enunciado do próprio CRPS ou orientação normativa vigente.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Nas matérias de incapacidade laboral, a via judicial é quase sempre preferível. A razão é estrutural: no CRPS, a reavaliação da incapacidade se faz com base na perícia realizada pelo próprio INSS, sem perícia independente. Não há paridade de armas. O segurado que discorda do laudo pericial administrativo dificilmente obterá resultado diverso perante junta de recursos que se fundamenta na mesma base probatória. Na via judicial, a perícia é realizada por perito equidistante das partes, nomeado pelo juízo, com possibilidade de quesitos complementares e impugnação técnica. A diferença qualitativa é determinante.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Nos casos de mora administrativa, em que o INSS excede o prazo de 45 dias do art. 174 do Decreto 3.048/99 para decidir o requerimento, o mandado de segurança perante o JEF é o instrumento adequado. O direito líquido e certo à obtenção de resposta administrativa tempestiva dispensa dilação probatória e viabiliza decisão célere. Nas hipóteses de cessação ou cancelamento irregular de benefício, a tutela de urgência no JEF permite o restabelecimento imediato do pagamento, com eficácia que o recurso administrativo raramente alcança em tempo hábil.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análise de custo-benefício contempla múltiplas dimensões. A duração do processo é variável relevante: o recurso ao CRPS pode tramitar por meses sem custos diretos, mas o tempo de espera tem custo de oportunidade para o segurado desassistido de renda. A ação judicial no JEF, embora potencialmente mais célere (especialmente com tutela antecipada), envolve custos com honorários advocatícios e eventual perícia judicial. A probabilidade de êxito varia conforme a matéria, a prova disponível e a jurisprudência consolidada.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situação do segurado desassistido de advogado exige tratamento diferenciado. A Defensoria Pública da União desempenha papel de orientação fundamental, informando o segurado sobre as vias disponíveis e assessorando a escolha estratégica. O acesso direto ao JEF, sem advogado, é direito do jurisdicionado nas causas de até 60 salários-mínimos (R$ 97.260,00 em 2026), mas a complexidade técnica da matéria previdenciária torna o patrocínio profissional fortemente recomendável.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análise deve considerar, ainda, o perfil do benefício pretendido. Benefícios de valor elevado, próximos ao teto do RGPS (R$ 8.475,55 em 2026), justificam investimento maior em instrução probatória e, portanto, tendem a ser mais bem servidos pela via judicial, onde a produção de provas é ampla. Benefícios de menor valor, especialmente quando a controvérsia é documental e objetiva, podem encontrar solução satisfatória no CRPS. A urgência da prestação é fator determinante: o segurado que depende do benefício para subsistência imediata não pode aguardar meses de tramitação administrativa quando a tutela de urgência judicial pode restabelecer o pagamento em dias.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5F3EF" w:val="clear"/>
            <w:tcBorders>
              <w:top w:val="single" w:sz="7" w:space="0" w:color="A09882"/>
              <w:bottom w:val="single" w:sz="7" w:space="0" w:color="A09882"/>
              <w:right w:val="single" w:sz="7" w:space="0" w:color="A09882"/>
              <w:left w:val="single" w:sz="24" w:space="0" w:color="6B6256"/>
            </w:tcBorders>
          </w:tcPr>
          <w:p>
            <w:pPr>
              <w:spacing w:before="0" w:after="60" w:line="240" w:lineRule="auto"/>
              <w:jc w:val="left"/>
            </w:pPr>
            <w:r>
              <w:rPr>
                <w:rFonts w:ascii="Noto Sans" w:hAnsi="Noto Sans" w:cs="Noto Sans"/>
                <w:b/>
                <w:i w:val="0"/>
                <w:caps/>
                <w:color w:val="6B6256"/>
                <w:sz w:val="16"/>
                <w:lang w:val="pt-BR" w:bidi="ar-SA"/>
                <w:kern w:val="16"/>
                <w14:ligatures w14:val="standardContextual"/>
              </w:rPr>
              <w:t>QUADRO</w:t>
            </w:r>
          </w:p>
          <w:p>
            <w:pPr>
              <w:spacing w:before="0" w:after="60" w:line="247" w:lineRule="auto"/>
              <w:jc w:val="both"/>
            </w:pPr>
            <w:r>
              <w:rPr>
                <w:rFonts w:ascii="EB Garamond" w:hAnsi="EB Garamond" w:cs="EB Garamond"/>
                <w:b/>
                <w:i w:val="0"/>
                <w:color w:val="201B16"/>
                <w:sz w:val="19"/>
                <w:lang w:val="pt-BR" w:bidi="ar-SA"/>
                <w:kern w:val="16"/>
                <w14:ligatures w14:val="standardContextual"/>
              </w:rPr>
              <w:t>Quadro comparativo: recurso ao CRPS vs. Judicialização</w:t>
            </w:r>
          </w:p>
          <w:tbl>
            <w:tblPr>
              <w:tblW w:type="auto" w:w="0"/>
              <w:jc w:val="center"/>
              <w:tblLook w:firstColumn="1" w:firstRow="1" w:lastColumn="0" w:lastRow="0" w:noHBand="0" w:noVBand="1" w:val="04A0"/>
              <w:tblW w:w="5000" w:type="pct"/>
            </w:tblPr>
            <w:tblGrid>
              <w:gridCol w:w="2117"/>
              <w:gridCol w:w="2117"/>
              <w:gridCol w:w="2117"/>
            </w:tblGrid>
            <w:tr>
              <w:trPr>
                <w:tblHeader/>
              </w:trPr>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Critério</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Recurso ao CRPS</w:t>
                  </w:r>
                </w:p>
              </w:tc>
              <w:tc>
                <w:tcPr>
                  <w:tcW w:type="dxa" w:w="2117"/>
                  <w:shd w:fill="F0EDE6" w:val="clear"/>
                  <w:tcBorders>
                    <w:top w:val="single" w:sz="4" w:space="0" w:color="D2C9B8"/>
                    <w:bottom w:val="single" w:sz="4" w:space="0" w:color="D2C9B8"/>
                    <w:left w:val="single" w:sz="4" w:space="0" w:color="D2C9B8"/>
                    <w:right w:val="single" w:sz="4" w:space="0" w:color="D2C9B8"/>
                  </w:tcBorders>
                </w:tcPr>
                <w:p>
                  <w:pPr>
                    <w:spacing w:before="30" w:after="30" w:line="240" w:lineRule="auto"/>
                    <w:jc w:val="center"/>
                  </w:pPr>
                  <w:r>
                    <w:rPr>
                      <w:rFonts w:ascii="EB Garamond" w:hAnsi="EB Garamond" w:cs="EB Garamond"/>
                      <w:b/>
                      <w:i w:val="0"/>
                      <w:color w:val="2F2923"/>
                      <w:sz w:val="16"/>
                      <w:lang w:val="pt-BR" w:bidi="ar-SA"/>
                      <w:kern w:val="16"/>
                      <w14:ligatures w14:val="standardContextual"/>
                    </w:rPr>
                    <w:t>Ação judicial no JEF</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Custos diretos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Sem custas, sem honorários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Sem custas; honorários se com advogado</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Duração média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6 a 18 meses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4 a 12 meses (com tutela: dias/semanas)</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Perícia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Mesma base (INSS)</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Perito independente</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Prova complementar</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Limitada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Ampla (testemunhal, documental, pericial)</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Efeito suspensivo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Sim (recurso ordinário)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Tutela de urgência (se deferida)</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Matéria documental</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Razoável probabilidade</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Alta probabilidade</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Matéria incapacidade</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Baixa probabilidade</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Alta probabilidade (perícia independente)</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Mora administrativa</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Ineficaz</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MS com celeridade</w:t>
                  </w:r>
                </w:p>
              </w:tc>
            </w:tr>
            <w:tr>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Cessação irregular</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Recurso com suspensão</w:t>
                  </w:r>
                </w:p>
              </w:tc>
              <w:tc>
                <w:tcPr>
                  <w:tcW w:type="dxa" w:w="2117"/>
                  <w:tcBorders>
                    <w:top w:val="single" w:sz="4" w:space="0" w:color="D2C9B8"/>
                    <w:bottom w:val="single" w:sz="4" w:space="0" w:color="D2C9B8"/>
                    <w:left w:val="single" w:sz="4" w:space="0" w:color="D2C9B8"/>
                    <w:right w:val="single" w:sz="4" w:space="0" w:color="D2C9B8"/>
                  </w:tcBorders>
                </w:tcPr>
                <w:p>
                  <w:pPr>
                    <w:spacing w:before="20" w:after="20" w:line="240" w:lineRule="auto"/>
                    <w:jc w:val="left"/>
                  </w:pPr>
                  <w:r>
                    <w:rPr>
                      <w:rFonts w:ascii="EB Garamond" w:hAnsi="EB Garamond" w:cs="EB Garamond"/>
                      <w:b w:val="0"/>
                      <w:i w:val="0"/>
                      <w:color w:val="201B16"/>
                      <w:sz w:val="16"/>
                      <w:lang w:val="pt-BR" w:bidi="ar-SA"/>
                      <w:kern w:val="16"/>
                      <w14:ligatures w14:val="standardContextual"/>
                    </w:rPr>
                    <w:t>Tutela de urgência imediata</w:t>
                  </w:r>
                </w:p>
              </w:tc>
            </w:tr>
          </w:tbl>
          <w:p/>
          <w:p>
            <w:pPr>
              <w:spacing w:before="0" w:after="0" w:line="240" w:lineRule="auto"/>
            </w:pP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22.21 Instruindo a ação judicial com o processo administrativo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processo administrativo previdenciário constitui peça instrutória de primeira importância para a ação judicial. A documentação produzida no âmbito do INSS contém informações que o Poder Judiciário dificilmente obteria por outra via, e sua juntada à petição inicial qualifica substancialmente a instrução processual. Sustentamos que a ação judicial previdenciária bem instruída começa pela obtenção completa do processo administrativo. Os requisitos formais da petição inicial no JEF são tratados no Cap. 23, § 23.11; aqui consolidamos o checklist de documentos por tipo de 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documentação necessária varia conforme o tipo de ação. Nas ações de concessão, os documentos essenciais são: comprovante de requerimento administrativo com a data de entrada do requerimento (DER), comunicação do indeferimento com a motivação, extrato do Cadastro Nacional de Informações Sociais (CNIS), laudo da perícia médica administrativa (quando houver), e documentos pessoais e profissionais apresentados ao INSS. A DER é particularmente relevante porque fixa, em regra, a data de início do benefício (DIB) e o termo inicial dos efeitos financeiros da condenação.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Nas ações de revisão, o rol documental é mais extenso: carta de concessão do benefício, telas do sistema CONBAS (Consulta de Benefício por Assegurado), extrato do INFBEN (Informações do Benefício), processo administrativo original de concessão, memória de cálculo do INSS e eventual processo de revisão administrativa. Esses documentos permitem ao juiz e ao perito contábil judicial verificar se os salários de contribuição, os índices de correção e os coeficientes de cálculo foram corretamente aplicados.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Nas ações de restabelecimento, a documentação inclui: comunicação de cessação do benefício (com data e fundamento), laudo da perícia administrativa que fundamentou a cessação, eventual recurso interposto ao CRPS e sua decisão, e laudos médicos particulares que contradigam a perícia administrativa. A comprovação de que o benefício foi cessado sem observância do contraditório ou com fundamentação insuficiente configura elemento probatório de peso para o deferimento de tutela de urgência.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o mandado de segurança em caso de mora administrativa, a prova documental é mais enxuta: impressão da tela do Meu INSS demonstrando o protocolo do requerimento e a ausência de decisão, comprovante de protocolo físico (quando houver) e eventual certidão negativa de decisão obtida junto à Agência.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obtenção dos documentos pode ser feita por três vias. O Meu INSS permite ao segurado acessar e baixar boa parte da documentação, incluindo CNIS, cartas de concessão, comunicações de indeferimento e andamento de processos. A Central 135 pode fornecer informações complementares e encaminhar solicitações de cópias. Em último caso, o juiz do JEF pode determinar ao INSS a apresentação do processo administrativo digitalizado, com base no art. 11, § 3º, da Lei 10.259/2001, expedindo ofício para remessa em prazo fixado.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valor probatório do processo administrativo é significativo. Os documentos emanados do INSS gozam de presunção de veracidade, como atos administrativos que são. Essa presunção é relativa e admite prova em contrário, mas impõe ao impugnante o ônus de demonstrar, de forma específica e fundamentada, a incorreção da informação. A impugnação genérica é insuficiente para afastar a presunção.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juntada integral do processo administrativo na petição inicial permite ao juiz do JEF uma compreensão abrangente do histórico contributivo e beneficiário do segurado antes mesmo da contestação. O juiz que examina o CNIS, o laudo pericial administrativo, a carta de indeferimento e os documentos apresentados pelo segurado ao INSS tem condições de formular quesitos mais precisos ao perito judicial, deferir provas pertinentes e, em determinados casos, antecipar a tutela com maior segurança. A incompletude da instrução inicial, ao contrário, gera diligências desnecessárias, ofícios ao INSS para remessa de documentos e atrasos que prejudicam a celeridade característica dos JEFs.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i w:val="0"/>
                <w:color w:val="201B16"/>
                <w:sz w:val="19"/>
                <w:lang w:val="pt-BR" w:bidi="ar-SA"/>
                <w:kern w:val="16"/>
                <w14:ligatures w14:val="standardContextual"/>
              </w:rPr>
              <w:t>Checklist de documentos para instruir a petição inicial no JEF:</w:t>
            </w:r>
            <w:r>
              <w:rPr>
                <w:rFonts w:ascii="EB Garamond" w:hAnsi="EB Garamond" w:cs="EB Garamond"/>
                <w:b w:val="0"/>
                <w:i w:val="0"/>
                <w:color w:val="201B16"/>
                <w:sz w:val="19"/>
                <w:lang w:val="pt-BR" w:bidi="ar-SA"/>
                <w:kern w:val="16"/>
                <w14:ligatures w14:val="standardContextual"/>
              </w:rPr>
              <w:t xml:space="preserve"> 1. Comprovante de requerimento administrativo (DER) obtido no Meu INSS 2. Comunicação de indeferimento/cessação com fundamentação 3. CNIS atualizado (extrato previdenciário completo) 4. Laudo da perícia médica administrativa (quando houver) 5. Laudos, atestados e exames médicos particulares 6. CTPS com registros de vínculos empregatícios 7. Carta de concessão ou telas CONBAS/INFBEN (ações de revisão) 8. Comprovante de recurso ao CRPS e decisão (se interposto) 9. Documentos pessoais (RG, CPF, comprovante de residência) 10. Procuração com poderes especiais e declaração de hipossuficiência</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22.22 Prévio requerimento administrativo: aprofundamento do Tema 350/STF</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Tema 350/STF (RE 631.240, Plenário, j. 03/09/2014, Rel. Min. Luís Roberto Barroso) constitui o marco jurisprudencial definitivo sobre a exigência de prévio requerimento administrativo como condição para o ajuizamento de ações previdenciárias. A tese, com sua regra geral e duas exceções expressas, está reproduzida no box jurisprudencial da seção 23.8 (Cap. 23). Examinamos a seguir seus desdobramentos práticos.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modulação de efeitos fixada pelo STF tem consequências práticas diretas. As ações ajuizadas antes do julgamento do RE 631.240 (03/09/2014) não são atingidas pela exigência, permanecendo válidas independentemente de requerimento prévio. Para as ações posteriores, a tese se aplica integralmente. Para os efeitos processuais do Tema 350 nos JEFs (condição da ação, indeferimento da inicial, regularização superveniente), ver Cap. 23, § 23.8.</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Os desdobramentos jurisprudenciais do Tema 350 são relevantes e ainda se desenvolvem. Se o INSS, citado na ação judicial, contesta o mérito sem arguir a falta de requerimento prévio, entende-se que a questão foi sanada: a resistência à pretensão ficou demonstrada pela própria contestação. Essa solução decorre do próprio Tema 350/STF, cuja tese, no item IV, "b", reconhece que, "caso o INSS já tenha apresentado contestação de mérito, está caracterizado o interesse em agir pela resistência à pretensão". De igual modo, se o segurado formula requerimento administrativo após o ajuizamento da ação, operando-se a regularização superveniente do interesse de agir, o processo não deve ser extinto, pois a exigência foi materialmente atendida. Essas soluções privilegiam a instrumentalidade das formas e a economia processual, evitando a extinção de processos que poderiam ser regularizados sem prejuízo para qualquer das partes.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No JEF previdenciário, a matéria tem nuances práticas específicas. Em ações de concessão de BPC, por exemplo, a exigência do requerimento prévio encontra temperamento na realidade social dos requerentes, frequentemente pessoas em situação de extrema vulnerabilidade, com dificuldade de acesso às agências do INSS e ao Meu INSS. O juiz deve ponderar se a imposição formal do requerimento prévio não constitui, no caso concreto, barreira desproporcional ao acesso à justiça. Trataremos dos reflexos processuais do Tema 350 na seção 23.8 do Capítulo 23, ao abordar a petição inicial nos JEFs.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prova do requerimento prévio incumbe ao autor. O comprovante de protocolo obtido no Meu INSS, o número do benefício (NB) com status de indeferido ou cessado, a carta de indeferimento e até mesmo a consulta ao CNIS com registro de requerimento constituem meios de prova hábeis. Na prática, a juntada da comunicação de indeferimento, com a data, o motivo e o número do protocolo, é suficiente para demonstrar o interesse de agir.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juiz do JEF deve agir com prudência ao extinguir processo por falta de requerimento administrativo, intimando o autor para regularização antes de proferir sentença de extinção (art. 6º do CPC). Para o detalhamento do procedimento de regularização e triagem nos JEFs — e para o enunciado integral da tese —, ver Cap. 23, § 23.8.</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22.23 O processo administrativo como fonte de prova judicial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processo administrativo previdenciário não se esgota em sua função de pressuposto processual; é, acima de tudo, fonte de prova de valor singular para a instrução da ação judicial. Os documentos nele contidos possuem características probatórias próprias que o juiz do JEF deve conhecer e o advogado deve saber explorar.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CNIS ocupa posição de destaque como prova privilegiada. O art. 29-A da Lei 8.213/1991 atribui presunção relativa de veracidade aos dados do Cadastro Nacional de Informações Sociais para fins de cálculo do salário de benefício. Os vínculos, remunerações e contribuições registrados no CNIS presumem-se corretos até prova em contrário. A divergência entre CNIS e CTPS gera questão probatória frequente nos JEFs: quando a CTPS registra vínculo não constante do CNIS, a presunção opera em favor das anotações na carteira profissional (Súmula 75/TNU). Quando o CNIS contém indicadores de pendência ou extemporaneidade, o INSS deve apurar a regularidade da informação antes de utilizá-la para indeferir benefício, e o segurado tem o ônus de esclarecer a divergência na via judicial.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perícia médica administrativa constitui prova complementar relevante, embora não vinculante para o juízo. O laudo pericial do INSS pode ser utilizado como elemento de comparação com a perícia judicial, especialmente para aferir a evolução do quadro clínico entre a data do exame administrativo e a data da perícia judicial. Divergências significativas entre as duas avaliações devem ser objeto de questionamento específico ao perito do juízo.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processo administrativo original, com fichas financeiras, memórias de cálculo e documentos de concessão, é insubstituível nas ações de revisão. Os dados de base do cálculo do benefício, os índices aplicados e os salários de contribuição considerados encontram-se no processo administrativo, e sua obtenção pelo juízo pode ser determinada mediante ofício ao INSS, com base no art. 11, § 3º, da Lei 10.259/2001, que autoriza o juiz a requisitar informações e documentos necessários à instrução processual.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dos JEFs, o ofício ao INSS para remessa do processo administrativo digitalizado é ferramenta de uso corrente. O juiz deve fixar prazo razoável para cumprimento (em geral, 30 dias) e especificar os documentos necessários, evitando solicitações genéricas que resultam em remessas incompletas ou excessivas. A digitalização do acervo administrativo pelo INSS tem facilitado o cumprimento dessas determinações, mas ainda há deficiências, especialmente em processos mais antigos, cujos documentos permanecem em formato físico nos arquivos das Agências. A recusa ou demora injustificada no cumprimento do ofício pode ensejar as medidas coercitivas previstas no CPC, incluindo a aplicação de multa diária ao responsável pelo cumprimento.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22.24 Consolidação das posições adotadas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o longo deste capítulo, fixamos posições sobre os temas centrais do processo administrativo previdenciário e sua interface com a atividade jurisdicional nos JEFs. Consolidamos, a seguir, as posições adotadas, com indicação das seções em que cada uma foi fundamentada.</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Posição 1 — O processo administrativo previdenciário é regido pela Lei 9.784/99, com as especificidades do Decreto 3.048/99.</w:t>
      </w:r>
      <w:r>
        <w:rPr>
          <w:rFonts w:ascii="EB Garamond" w:hAnsi="EB Garamond" w:cs="EB Garamond"/>
          <w:b w:val="0"/>
          <w:i w:val="0"/>
          <w:color w:val="201B16"/>
          <w:sz w:val="21"/>
          <w:lang w:val="pt-BR" w:bidi="ar-SA"/>
          <w:kern w:val="16"/>
          <w14:ligatures w14:val="standardContextual"/>
        </w:rPr>
        <w:t xml:space="preserve"> A Lei 9.784/1999 constitui a lei geral do processo administrativo federal e aplica-se ao INSS de forma subsidiária, naquilo que o Regulamento da Previdência Social não disciplinar de modo especial. As garantias de contraditório, ampla defesa, motivação dos atos administrativos e razoabilidade dos prazos são inafastáveis e constituem parâmetros de controle judicial da atividade administrativa previdenciária. Qualquer ato do INSS que viole essas garantias é passível de anulação pelo Poder Judiciário. (Seção 22.1)</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Posição 2 — O INSS tem o dever de conceder o benefício mais vantajoso.</w:t>
      </w:r>
      <w:r>
        <w:rPr>
          <w:rFonts w:ascii="EB Garamond" w:hAnsi="EB Garamond" w:cs="EB Garamond"/>
          <w:b w:val="0"/>
          <w:i w:val="0"/>
          <w:color w:val="201B16"/>
          <w:sz w:val="21"/>
          <w:lang w:val="pt-BR" w:bidi="ar-SA"/>
          <w:kern w:val="16"/>
          <w14:ligatures w14:val="standardContextual"/>
        </w:rPr>
        <w:t xml:space="preserve"> O art. 687 da IN INSS/PRES nº 128/2022 consagra o dever institucional de a autarquia conceder ao segurado o benefício mais vantajoso dentre aqueles a que faz jus, considerando a data do requerimento e as informações disponíveis. Esse dever é de matriz administrativa e não se confunde com a disciplina da decadência fixada pelos repetitivos do STJ: o Tema 966 (REsp 1.631.021/MG, j. 13/02/2019) submeteu o direito de opção pela regra de cálculo mais favorável ao prazo decadencial de dez anos do art. 103 da Lei 8.213/1991, e o Tema 975/STJ (REsp 1.648.336/RS, 1ª Seção, Rel. Min. Herman Benjamin, j. 11/12/2019) delimitou esse prazo, esclarecendo que a decadência não incide sobre questão que não foi objeto de apreciação no ato administrativo de concessão. O segurado prejudicado pode pleitear a concessão do benefício que se revele mais vantajoso, observado o referido prazo. A distinção entre os dois temas está consolidada na seção 22.9. (Seções 22.6 e 22.9)</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Posição 3 — O prazo razoável para decisão administrativa é de 45 dias.</w:t>
      </w:r>
      <w:r>
        <w:rPr>
          <w:rFonts w:ascii="EB Garamond" w:hAnsi="EB Garamond" w:cs="EB Garamond"/>
          <w:b w:val="0"/>
          <w:i w:val="0"/>
          <w:color w:val="201B16"/>
          <w:sz w:val="21"/>
          <w:lang w:val="pt-BR" w:bidi="ar-SA"/>
          <w:kern w:val="16"/>
          <w14:ligatures w14:val="standardContextual"/>
        </w:rPr>
        <w:t xml:space="preserve"> O patamar de 45 dias para que o INSS analise e decida o requerimento administrativo decorre da regulamentação administrativa e do dever de decidir em prazo razoável (art. 49 da Lei 9.784/99), e não da tese do Tema 350/STF, que se limita a exigir o prévio requerimento e a reconhecer, na mora administrativa, o interesse de agir (v. Seção 22.6 para a base normativa). Transcorrido esse prazo sem resposta, configura-se a mora administrativa, que enseja o ajuizamento de mandado de segurança ou ação ordinária com pedido de tutela de urgência para compelir a autarquia a decidir. O prazo se aplica tanto à decisão sobre concessão quanto à análise de recursos internos e pedidos de revisão. (Seção 22.6)</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Posição 4 — O recurso ao CRPS é opção estratégica, não requisito de judicialização.</w:t>
      </w:r>
      <w:r>
        <w:rPr>
          <w:rFonts w:ascii="EB Garamond" w:hAnsi="EB Garamond" w:cs="EB Garamond"/>
          <w:b w:val="0"/>
          <w:i w:val="0"/>
          <w:color w:val="201B16"/>
          <w:sz w:val="21"/>
          <w:lang w:val="pt-BR" w:bidi="ar-SA"/>
          <w:kern w:val="16"/>
          <w14:ligatures w14:val="standardContextual"/>
        </w:rPr>
        <w:t xml:space="preserve"> O esgotamento das instâncias administrativas não é condição para o ajuizamento de ação previdenciária. O segurado que tem seu benefício indeferido pode acionar diretamente o Poder Judiciário, sem necessidade de interpor recurso ao CRPS. A opção pelo recurso administrativo é escolha estratégica legítima, cujas vantagens e desvantagens devem ser avaliadas caso a caso, considerando o tipo de matéria, a probabilidade de êxito, o tempo de tramitação e a urgência da prestação. (Seção 22.14)</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Posição 5 — O INSS pode revisar administrativamente seus próprios atos, com limites.</w:t>
      </w:r>
      <w:r>
        <w:rPr>
          <w:rFonts w:ascii="EB Garamond" w:hAnsi="EB Garamond" w:cs="EB Garamond"/>
          <w:b w:val="0"/>
          <w:i w:val="0"/>
          <w:color w:val="201B16"/>
          <w:sz w:val="21"/>
          <w:lang w:val="pt-BR" w:bidi="ar-SA"/>
          <w:kern w:val="16"/>
          <w14:ligatures w14:val="standardContextual"/>
        </w:rPr>
        <w:t xml:space="preserve"> A autotutela administrativa, fundada nas Súmulas 346 e 473 do STF, autoriza o INSS a anular atos de concessão eivados de ilegalidade. O art. 103-A da Lei 8.213/1991 fixa o prazo decadencial de dez anos para o exercício dessa prerrogativa. A revisão administrativa exige contraditório obrigatório, com notificação pessoal do beneficiário, oportunidade de defesa em prazo não inferior a trinta dias e decisão motivada. A exceção ao prazo decadencial restringe-se aos casos de comprovada má-fé. (Seção 22.15)</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Posição 6 — O INSS pode cancelar benefício por incapacidade concedido judicialmente, observados os requisitos do Tema 1.157/STJ (seção 22.17).</w:t>
      </w:r>
      <w:r>
        <w:rPr>
          <w:rFonts w:ascii="EB Garamond" w:hAnsi="EB Garamond" w:cs="EB Garamond"/>
          <w:b w:val="0"/>
          <w:i w:val="0"/>
          <w:color w:val="201B16"/>
          <w:sz w:val="21"/>
          <w:lang w:val="pt-BR" w:bidi="ar-SA"/>
          <w:kern w:val="16"/>
          <w14:ligatures w14:val="standardContextual"/>
        </w:rPr>
        <w:t xml:space="preserve"> A sentença concessória opera sob a cláusula rebus sic stantibus; exigem-se fundamentação técnica detalhada, contraditório efetivo e comprovação de mudança concreta na condição de saúde. (Seção 22.17)</w:t>
      </w:r>
    </w:p>
    <w:p>
      <w:pPr>
        <w:spacing w:before="0" w:after="70" w:line="259" w:lineRule="auto"/>
        <w:ind w:firstLine="238"/>
        <w:jc w:val="both"/>
      </w:pPr>
      <w:r>
        <w:rPr>
          <w:rFonts w:ascii="EB Garamond" w:hAnsi="EB Garamond" w:cs="EB Garamond"/>
          <w:b/>
          <w:i w:val="0"/>
          <w:color w:val="201B16"/>
          <w:sz w:val="21"/>
          <w:lang w:val="pt-BR" w:bidi="ar-SA"/>
          <w:kern w:val="16"/>
          <w14:ligatures w14:val="standardContextual"/>
        </w:rPr>
        <w:t>Posição 7 — O processo administrativo é prova essencial da ação judicial.</w:t>
      </w:r>
      <w:r>
        <w:rPr>
          <w:rFonts w:ascii="EB Garamond" w:hAnsi="EB Garamond" w:cs="EB Garamond"/>
          <w:b w:val="0"/>
          <w:i w:val="0"/>
          <w:color w:val="201B16"/>
          <w:sz w:val="21"/>
          <w:lang w:val="pt-BR" w:bidi="ar-SA"/>
          <w:kern w:val="16"/>
          <w14:ligatures w14:val="standardContextual"/>
        </w:rPr>
        <w:t xml:space="preserve"> O advogado previdenciarista deve instruir a petição inicial com a documentação completa do processo administrativo, incluindo requerimento, indeferimento, CNIS, laudos periciais, recursos e decisões. O juiz do JEF, por sua vez, pode e deve requisitar ao INSS o processo administrativo digitalizado quando a instrução se revelar insuficiente. O CNIS goza de presunção relativa de veracidade, a perícia administrativa serve como elemento de comparação, e os documentos de concessão/cálculo são indispensáveis nas ações de revisão. A completude da instrução administrativa reduz a necessidade de diligências judiciais e contribui para a celeridade do processo nos Juizados. (Seções 22.21 e 22.23)</w:t>
      </w:r>
    </w:p>
    <w:p>
      <w:pPr>
        <w:sectPr>
          <w:headerReference w:type="default" r:id="rId213"/>
          <w:headerReference w:type="even" r:id="rId214"/>
          <w:footerReference w:type="default" r:id="rId215"/>
          <w:footerReference w:type="even" r:id="rId216"/>
          <w:headerReference w:type="first" r:id="rId217"/>
          <w:footerReference w:type="first" r:id="rId218"/>
          <w:pgSz w:w="8391" w:h="11906"/>
          <w:pgMar w:top="935" w:right="879" w:bottom="964" w:left="1162" w:header="454" w:footer="425" w:gutter="0" w:mirrorMargins="1"/>
          <w:cols w:space="720"/>
          <w:titlePg/>
          <w:docGrid w:linePitch="360"/>
        </w:sectPr>
      </w:pPr>
    </w:p>
    <w:p>
      <w:pPr>
        <w:spacing w:before="240" w:after="80" w:line="240" w:lineRule="auto"/>
        <w:jc w:val="center"/>
        <w:keepNext/>
      </w:pPr>
      <w:r>
        <w:rPr>
          <w:rFonts w:ascii="Noto Sans" w:hAnsi="Noto Sans" w:cs="Noto Sans"/>
          <w:b/>
          <w:i w:val="0"/>
          <w:caps/>
          <w:color w:val="8A6A2A"/>
          <w:sz w:val="19"/>
          <w:lang w:val="pt-BR" w:bidi="ar-SA"/>
          <w:kern w:val="16"/>
          <w14:ligatures w14:val="standardContextual"/>
        </w:rPr>
        <w:t>CAPÍTULO 23</w:t>
      </w:r>
    </w:p>
    <w:p>
      <w:pPr>
        <w:pStyle w:val="Heading2"/>
        <w:spacing w:before="0" w:after="160" w:line="240" w:lineRule="auto"/>
        <w:jc w:val="center"/>
        <w:keepNext/>
      </w:pPr>
      <w:r>
        <w:rPr>
          <w:rFonts w:ascii="EB Garamond" w:hAnsi="EB Garamond" w:cs="EB Garamond"/>
          <w:b/>
          <w:i w:val="0"/>
          <w:caps/>
          <w:color w:val="2F2923"/>
          <w:sz w:val="40"/>
          <w:lang w:val="pt-BR" w:bidi="ar-SA"/>
          <w:kern w:val="16"/>
          <w14:ligatures w14:val="standardContextual"/>
        </w:rPr>
        <w:t>Competência e Procedimento no JEF</w:t>
      </w:r>
    </w:p>
    <w:p>
      <w:pPr>
        <w:spacing w:before="0" w:after="240" w:line="240" w:lineRule="auto"/>
        <w:jc w:val="center"/>
      </w:pPr>
      <w:r>
        <w:rPr>
          <w:rFonts w:ascii="EB Garamond" w:hAnsi="EB Garamond" w:cs="EB Garamond"/>
          <w:b w:val="0"/>
          <w:i w:val="0"/>
          <w:color w:val="B78B37"/>
          <w:sz w:val="18"/>
          <w:lang w:val="pt-BR" w:bidi="ar-SA"/>
          <w:kern w:val="16"/>
          <w14:ligatures w14:val="standardContextual"/>
        </w:rPr>
        <w:t>━━━━  ◆  ━━━━</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 Juizados Especiais Federais constituem o principal locus de processamento e julgamento das demandas previdenciárias no Brasil. Criados pela Lei n. 10.259, de 12 de julho de 2001, os JEFs absorveram a quase totalidade das ações contra o INSS cujo valor da causa não excede 60 salários-mínimos, concentrando volume expressivo de processos em rito que privilegia a oralidade, a simplicidade, a informalidade, a economia processual e a celeridade (art. 2º da Lei n. 9.099/95, aplicável subsidiariamente por força do art. 1º da Lei n. 10.259/2001).</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domínio das regras de competência e procedimento dos JEFs é pressuposto da atuação eficaz do advogado previdenciarista e do magistrado federal. Erros na fixação da competência, no cálculo do valor da causa, na condução das audiências ou na execução da sentença comprometem o resultado do processo e, em última análise, o acesso do segurado à proteção previdenciária. O presente capítulo examina cada uma dessas questões com a profundidade exigida pela prática forense, articulando a legislação processual com a jurisprudência consolidada dos Tribunais Regionais Federais, da Turma Nacional de Uniformização e do Supremo Tribunal Federal.</w:t>
      </w:r>
    </w:p>
    <w:tbl>
      <w:tblPr>
        <w:tblW w:type="auto" w:w="0"/>
        <w:jc w:val="center"/>
        <w:tblLook w:firstColumn="1" w:firstRow="1" w:lastColumn="0" w:lastRow="0" w:noHBand="0" w:noVBand="1" w:val="04A0"/>
        <w:tblW w:w="4600" w:type="pct"/>
      </w:tblPr>
      <w:tblGrid>
        <w:gridCol w:w="6350"/>
      </w:tblGrid>
      <w:tr>
        <w:tc>
          <w:tcPr>
            <w:tcW w:type="dxa" w:w="6350"/>
            <w:vAlign w:val="top"/>
            <w:tcMar>
              <w:top w:w="100" w:type="dxa"/>
              <w:bottom w:w="100" w:type="dxa"/>
              <w:left w:w="240" w:type="dxa"/>
              <w:right w:w="180" w:type="dxa"/>
            </w:tcMar>
            <w:tcBorders>
              <w:top w:val="none" w:sz="0" w:space="0" w:color="auto"/>
              <w:bottom w:val="none" w:sz="0" w:space="0" w:color="auto"/>
              <w:right w:val="none" w:sz="0" w:space="0" w:color="auto"/>
              <w:left w:val="single" w:sz="16" w:space="0" w:color="B78B37"/>
            </w:tcBorders>
          </w:tcPr>
          <w:p>
            <w:pPr>
              <w:spacing w:before="0" w:after="60" w:line="252" w:lineRule="auto"/>
              <w:jc w:val="both"/>
            </w:pPr>
            <w:r>
              <w:rPr>
                <w:rFonts w:ascii="EB Garamond" w:hAnsi="EB Garamond" w:cs="EB Garamond"/>
                <w:b/>
                <w:i/>
                <w:color w:val="3A3128"/>
                <w:sz w:val="20"/>
                <w:lang w:val="pt-BR" w:bidi="ar-SA"/>
                <w:kern w:val="16"/>
                <w14:ligatures w14:val="standardContextual"/>
              </w:rPr>
              <w:t>Nota metodológica.</w:t>
            </w:r>
            <w:r>
              <w:rPr>
                <w:rFonts w:ascii="EB Garamond" w:hAnsi="EB Garamond" w:cs="EB Garamond"/>
                <w:b w:val="0"/>
                <w:i/>
                <w:color w:val="3A3128"/>
                <w:sz w:val="20"/>
                <w:lang w:val="pt-BR" w:bidi="ar-SA"/>
                <w:kern w:val="16"/>
                <w14:ligatures w14:val="standardContextual"/>
              </w:rPr>
              <w:t xml:space="preserve"> As súmulas, teses e enunciados invocados ao longo deste capítulo foram cotejados com os repositórios oficiais respectivos. A numeração e a redação dos enunciados do FONAJEF, em particular, são periodicamente revistas e consolidadas; antes de qualquer transcrição literal em peça processual, recomendamos a conferência do texto vigente no sítio do FONAJEF/CJF. A mesma cautela vale para teses de repercussão geral e de recursos repetitivos de fixação muito recente, cujo inteiro teor deve ser confrontado com o registro do tribunal de origem. Para não repetir a ressalva a cada citação, ela fica aqui consolidada e é retomada no corpo do texto apenas nos pontos em que a instabilidade da fonte a torna indispensável.</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23.1 Criação e fundamento constitucional dos JEFs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 Juizados Especiais Federais foram instituídos pela Lei n. 10.259/2001, em cumprimento ao mandamento constitucional do art. 98, inciso I, da Constituição Federal, que prevê a criação de juizados especiais pela União no âmbito da Justiça Federal. A Emenda Constitucional n. 22/1999 inseriu o parágrafo único no art. 98, determinando que lei federal disporá sobre a criação de juizados especiais no âmbito da Justiça Federal, dispositivo regulamentado pela Lei n. 10.259/2001, publicada em 13 de julho de 2001 e em vigor seis meses após a publicação (art. 27), ou seja, a partir de 14 de janeiro de 2002.</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finalidade dos JEFs é democratizar o acesso à Justiça Federal, tradicionalmente percebida como distante do cidadão comum. O rito sumaríssimo, a dispensa de advogado em primeiro grau, a gratuidade processual, a oralidade e a busca pela conciliação tornam o JEF instrumento acessível ao segurado que litiga contra o INSS. Na prática, os JEFs transformaram a dinâmica da litigância previdenciária: antes de sua criação, ações de benefícios previdenciários de baixo valor tramitavam nas varas federais comuns, com rito ordinário, prazos extensos e custas processuais, o que desestimulava o acesso judicial de segurados hipossuficientes.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Lei n. 10.259/2001 não constitui sistema normativo autossuficiente. O art. 1º estabelece que são aplicáveis subsidiariamente as disposições da Lei n. 9.099, de 26 de setembro de 1995, no que não conflitarem com a lei especial. A remissão à Lei n. 9.099/95 (Juizados Especiais Cíveis estaduais) importa na aplicação dos princípios gerais, das regras de audiência, de instrução e de julgamento, no que compatíveis com o microssistema federal. A subsidiariedade não é irrestrita: dispositivos da Lei n. 9.099/95 que conflitem com a Lei n. 10.259/2001 ou com as peculiaridades da Justiça Federal são afastados.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Código de Processo Civil de 2015 (Lei n. 13.105/2015) aplica-se aos JEFs de forma residual, quando a Lei n. 10.259/2001 e a Lei n. 9.099/95 não disciplinarem a matéria. O art. 1.062 do CPC/2015 prevê expressamente que o incidente de desconsideração da personalidade jurídica e os dispositivos sobre tutela provisória aplicam-se aos juizados especiais. A integração normativa exige do operador a articulação permanente entre os três diplomas processuais.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Os dados estatísticos revelam a magnitude do sistema. Os JEFs recebem, a cada ano, milhões de ações novas, em sua maior parte voltadas a benefícios previdenciários contra o INSS, de sorte que a matéria previdenciária constitui o núcleo do acervo dos juizados especiais federais, sobretudo nas seções judiciárias de maior porte, como São Paulo, Rio de Janeiro, Minas Gerais e Rio Grande do Sul. Os números atualizados de distribuição e acervo — que oscilam ano a ano e cuja indicação exata extrapolaria a finalidade desta exposição — podem ser consultados nos relatórios "Justiça em Números", do Conselho Nacional de Justiça, e nas estatísticas do Conselho da Justiça Federal, referidos ao respectivo ano-base. A implantação dos JEFs itinerantes (unidades móveis que percorrem comarcas do interior) e das varas federais avançadas (instaladas em municípios que não são sede de subseção judiciária) ampliou a cobertura territorial do sistema, reduzindo a necessidade de deslocamento do segurado até as capitais.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informatização do processo judicial nos JEFs antecedeu a adoção do processo eletrônico pelo restante da Justiça Federal. Os sistemas PJe (Processo Judicial eletrônico) e e-Proc (sistema do TRF da 4ª Região) foram implantados nos JEFs antes de serem estendidos às varas federais comuns e aos tribunais. A experiência dos JEFs serviu de laboratório para a digitalização do Judiciário Federal, confirmando a viabilidade do processo integralmente eletrônico em larga escala.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advogado que atua nos JEFs previdenciários deve dominar a hierarquia normativa do microssistema: primeiro, aplica-se a Lei n. 10.259/2001 (lei especial dos JEFs); na lacuna, aplica-se a Lei n. 9.099/95 (juizados especiais cíveis estaduais), no que compatível; na lacuna de ambas, aplica-se o CPC/2015, de forma supletiva e subsidiária (art. 1.046, § 2º, CPC/2015). Os Enunciados do FONAJEF (Fórum Nacional dos Juizados Especiais Federais) orientam a aplicação prática, embora sem força vinculante. A Resolução CJF n. 390/2004, que regulamenta os JEFs, complementa o arcabouço normativo. A articulação entre essas fontes é tarefa cotidiana do operador do direito previdenciário nos JEFs.</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23.2 Competência material: matéria previdenciária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competência material dos JEFs abrange as causas de competência da Justiça Federal previstas no art. 109 da Constituição Federal, desde que não excluídas pelo art. 3º, § 1º, da Lei n. 10.259/2001. As ações previdenciárias contra o INSS inserem-se na competência federal (art. 109, I, CF/88: causas em que a autarquia federal é interessada), e constituem, numericamente, a maioria das demandas processadas nos JEFs.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competência material do JEF previdenciário abrange um leque amplo de pretensões. Nele se inserem, em primeiro lugar, as ações de concessão de benefícios previdenciários — aposentadorias, pensão por morte, auxílio por incapacidade temporária, salário-maternidade — e, ao lado delas, as ações de revisão de benefícios já concedidos e as de restabelecimento de benefícios cessados. Abrange, ainda, as ações de concessão do BPC/LOAS (benefício assistencial), as ações declaratórias voltadas ao reconhecimento de tempo de contribuição, ao reconhecimento de atividade especial ou à averbação de tempo rural, e as ações de obrigação de fazer contra o INSS, como a retificação do CNIS e a emissão de certidão de tempo de contribuição.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As exclusões de competência previstas no art. 3º, § 1º, da Lei n. 10.259/2001 não alcançam as demandas previdenciárias típicas. As matérias excluídas referem-se a mandados de segurança, ações de desapropriação, ações populares, execuções fiscais, ações de improbidade administrativa e ações sobre direitos difusos ou coletivos. Nenhuma dessas exclusões afeta a competência previdenciária, que é plenamente exercida no âmbito dos JEFs.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pensão por morte acidentária (espécie B93) constitui exceção relevante. Nos termos do art. 109, I, parte final, da CF/88, e da Súmula 501 do STF ("Compete à Justiça ordinária estadual o processo e o julgamento, em ambas as instâncias, das causas de acidente do trabalho, ainda que promovidas contra a União, suas autarquias, empresas públicas ou sociedades de economia mista"), as causas de acidente do trabalho são de competência da Justiça Estadual (cível comum), não da Justiça Federal. A pensão por morte de origem acidentária, por integrar o gênero "causas de acidente do trabalho", é processada e julgada pela Justiça Estadual, fora da competência dos JEFs. A distinção entre pensão por morte previdenciária (B21, competência dos JEFs) e pensão por morte acidentária (B93, competência estadual) é fonte de equívocos na distribuição de ações. Quando houver dúvida sobre a natureza do benefício, o advogado deve requerer o benefício previdenciário comum no JEF e, paralelamente, a pensão acidentária na Justiça Estadual.</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23.3 Competência em razão do valor da causa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3º, caput, da Lei n. 10.259/2001 fixa a competência dos JEFs para causas cujo valor não exceda 60 salários-mínimos. O valor da causa é aferido na data do ajuizamento da ação, tomando-se por referência o salário-mínimo vigente naquele momento. Em 2026, com o salário-mínimo fixado em R$ 1.621,00, o teto do JEF corresponde a R$ 97.260,00.</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natureza da competência em razão do valor é absoluta. O art. 3º, § 3º, da Lei n. 10.259/2001 dispõe que "no foro onde estiver instalada Vara do Juizado Especial, a sua competência é absoluta". O STF, no julgamento do Tema 1.277 (RE 1.426.083, rel. Min. Alexandre de Moraes, julgamento em 25/08/2025), fixou tese definindo que "o art. 3º, § 3º, da Lei 10.259/2001 é compatível com a Constituição Federal, devendo ser interpretado no sentido de que a competência absoluta dos juizados especiais federais se restringe ao valor da causa, havendo a faculdade de escolha do foro pelo demandante na forma do art. 109, § 2º, da CF/88".</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decisão do Tema 1.277 tem três implicações relevantes para a prática previdenciária. Primeira: a competência absoluta refere-se exclusivamente ao critério do valor da causa. Se o valor não excede 60 salários-mínimos e existe JEF instalado, a demanda deve ser obrigatoriamente ajuizada no JEF, sendo vedado o ajuizamento na vara federal comum. Segunda: a competência territorial permanece como faculdade do demandante, que pode escolher o JEF do seu domicílio, do local onde ocorreu o fato ou do Distrito Federal, nos termos do art. 109, § 2º, da CF/88. Terceira: havendo JEF instalado na localidade, o autor deve ajuizar nele, mas pode eleger territorialmente qual JEF utilizará, sem que o INSS possa arguir incompetência territorial.</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STF, Tema 1.277 (RE 1.426.083, rel. Min. Alexandre de Moraes, julgamento em 25/08/2025)</w:t>
            </w:r>
            <w:r>
              <w:rPr>
                <w:rFonts w:ascii="EB Garamond" w:hAnsi="EB Garamond" w:cs="EB Garamond"/>
                <w:b w:val="0"/>
                <w:i w:val="0"/>
                <w:color w:val="201B16"/>
                <w:sz w:val="19"/>
                <w:lang w:val="pt-BR" w:bidi="ar-SA"/>
                <w:kern w:val="16"/>
                <w14:ligatures w14:val="standardContextual"/>
              </w:rPr>
              <w:t>: "O art. 3º, § 3º, da Lei 10.259/2001 é compatível com a Constituição Federal, devendo ser interpretado no sentido de que a competência absoluta dos juizados especiais federais se restringe ao valor da causa, havendo a faculdade de escolha do foro pelo demandante na forma do art. 109, § 2º, da CF/88." A decisão pacificou controvérsia sobre se a competência absoluta dos JEFs abrangia tanto o valor quanto o território, consolidando a distinção: valor é critério absoluto; território é faculdade do autor. O tema teve o mérito julgado, e a redação da tese aqui transcrita reproduz o texto fixado no registro de repercussão geral do STF (Tema 1.277).</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consequência prática da competência absoluta por valor é que a ação previdenciária cujo valor da causa não excede 60 salários-mínimos, ajuizada na vara federal comum em localidade com JEF instalado, deve ser remetida de ofício ao JEF, por tratar-se de incompetência absoluta (cognoscível de ofício, a qualquer tempo e grau de jurisdição). Inversamente, a ação previdenciária cujo valor excede 60 salários-mínimos não pode ser processada pelo JEF: se distribuída por engano, deve ser remetida à vara federal competente.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incompetência absoluta do JEF em razão do valor gera consequências processuais relevantes. Os atos decisórios praticados por juízo absolutamente incompetente podem ser revisados pelo juízo competente, embora o CPC/2015 preveja que, salvo decisão em sentido contrário, os efeitos das decisões proferidas pelo juízo incompetente são preservados até nova decisão pelo juízo competente (art. 64, § 4º, CPC/2015). Os atos ordinatórios e instrutórios, em regra, são aproveitados pelo juízo competente. Na prática previdenciária, a questão surge quando o valor da causa é controverso: o autor atribui valor inferior a 60 salários-mínimos, mas o INSS contesta o valor e demonstra que os atrasados superam o teto. Nesses casos, o juiz do JEF deve intimar o autor para esclarecer se pretende renunciar ao excedente ou se prefere a remessa à vara federal. A decisão é do autor, em respeito ao princípio dispositivo, mas deve ser expressa e fundamentada.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juiz do JEF que reconhece a incompetência absoluta em razão do valor remete os autos à vara federal competente, por decisão fundamentada. O autor pode interpor recurso contra a decisão de remessa, sustentando a adequação do valor da causa ao teto do JEF. A controvérsia sobre o valor da causa é resolvida nos próprios autos, sem necessidade de incidente processual específico.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23.4 Cálculo do valor da causa nas ações previdenciárias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cálculo do valor da causa nas ações previdenciárias é matéria de relevância prática direta, pois dele depende a fixação da competência. O valor da causa em ações de concessão de benefício previdenciário corresponde à soma de 12 parcelas do benefício pretendido, acrescida das parcelas vencidas (atrasados) entre a data de início do benefício (DIB) e a data do ajuizamento.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Nas ações de revisão de benefício, o valor da causa corresponde à diferença entre o valor atualmente recebido e o valor pretendido, multiplicada por 12 (parcelas vincendas), acrescida das diferenças vencidas. Nas ações de restabelecimento, o cálculo segue a mesma lógica das ações de concessão: 12 parcelas do benefício cessado, acrescidas dos atrasados desde a cessação.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complexidade do cálculo reside na apuração dos atrasados. Quando o intervalo entre a DIB e o ajuizamento é longo (o que ocorre com frequência em benefícios indeferidos administrativamente há anos), o valor dos atrasados pode superar o teto de 60 salários-mínimos. Nesses casos, o autor se depara com duas opções: (a) ajuizar na vara federal comum, preservando integralmente o crédito; ou (b) renunciar ao valor excedente e ajuizar no JEF, beneficiando-se do rito mais célere e da isenção de custas e honorários em primeiro grau.</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cálculo do valor da causa deve ser feito com precisão antes do ajuizamento. A fórmula básica para ações de concessão é: VC = (RMB × 12) + Σ parcelas vencidas, onde RMB é a renda mensal do benefício pretendido. Se o segurado pretende aposentadoria de R$ 2.000,00 e a DIB é 24 meses anterior ao ajuizamento, o cálculo seria: VC = (R$ 2.000 × 12) + (R$ 2.000 × 24) = R$ 24.000 + R$ 48.000 = R$ 72.000. Esse valor situa-se abaixo do teto do JEF (R$ 97.260 em 2026), de modo que a ação pode ser ajuizada no juizado sem renúncia. Bastaria, porém, que a DIB recuasse a cerca de 37 meses anteriores ao ajuizamento para que os atrasados elevassem o valor da causa acima do teto, exigindo a opção pela vara federal ou a renúncia ao excedente. Quando o cálculo resultar em valor superior ao teto, cabe à parte, devidamente orientada, decidir entre a vara federal (preservando o crédito integral) e o JEF (com renúncia ao excedente, mas rito mais célere). A decisão deve considerar o valor da renúncia, a complexidade da causa e a estimativa de duração do processo em cada juízo.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23.5 Renúncia ao valor excedente</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possibilidade de o autor renunciar ao valor que excede 60 salários-mínimos para ajuizar no JEF é questão central da prática previdenciária. O art. 3º, § 3º, da Lei n. 10.259/2001, ao fixar a competência absoluta do JEF em razão do valor, não trata expressamente da renúncia. A jurisprudência, contudo, consolidou o entendimento de que a renúncia ao excedente é admissível e constitui faculdade do autor.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fundamento é o princípio dispositivo: o autor pode limitar seu pedido ao valor que entender adequado, inclusive para fins de fixação de competência. A renúncia ao excedente opera no plano do valor da causa (e, por extensão, da competência), não no plano do direito material. O autor renuncia ao crédito que supera 60 salários-mínimos, limitando voluntariamente a pretensão condenatória ao teto do JEF.</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renúncia deve ser expressa e constar da petição inicial. A mera indicação de valor da causa inferior a 60 salários-mínimos, quando os atrasados superam de forma patente esse limite, não substitui a declaração formal de renúncia. O juiz do JEF pode determinar a emenda da inicial para que o autor explicite a renúncia, sob pena de remessa à vara federal por incompetência absoluta.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irrevogabilidade da renúncia é ponto consolidado. Uma vez ajuizada a ação no JEF com renúncia expressa ao excedente, o autor não pode, após a sentença favorável, requerer a complementação dos valores renunciados. A renúncia é ato processual definitivo que vincula o autor e produz efeitos de coisa julgada material quanto ao montante renunciado.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renúncia ao excedente de 60 salários-mínimos refere-se ao valor da causa na data do ajuizamento, não ao valor da condenação. Se a ação foi corretamente distribuída no JEF (com valor da causa inferior a 60 SM na data do ajuizamento), a condenação pode ultrapassar esse limite em razão do acúmulo de parcelas durante a tramitação processual. Nesse caso, não há renúncia ao excedente da condenação: o autor recebe integralmente o valor da condenação, mesmo que superior a 60 SM. A distinção entre valor da causa (critério de competência) e valor da condenação (resultado do processo) é frequentemente negligenciada na prática e já foi objeto de reiterados pronunciamentos do Conselho da Justiça Federal.</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estratégia de renúncia ao excedente deve ser avaliada caso a caso. Para ações de concessão de benefício com atrasados expressivos (anos de indeferimento), a renúncia pode representar perda patrimonial significativa. Nessas hipóteses, a opção pela vara federal pode ser mais vantajosa, apesar do rito mais lento. Para ações de revisão ou restabelecimento com atrasados modestos, o JEF oferece vantagem clara: rito célere, isenção de custas em primeiro grau e possibilidade de tutela antecipada na própria audiência de conciliação.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23.6 Competência territorial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competência territorial nas ações previdenciárias do JEF segue as regras do art. 109, § 2º, da CF/88, aplicável por força da remissão constitucional e da interpretação consolidada pelo STF no Tema 1.277. O segurado pode ajuizar a ação previdenciária: (a) no JEF de seu domicílio; (b) no JEF do local onde ocorreu o fato (data do óbito, data do acidente, local do trabalho); ou (c) no JEF do Distrito Federal.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Súmula 689 do STF consolida essa orientação: "O segurado pode ajuizar ação contra a instituição previdenciária perante o juízo federal do seu domicílio ou nas varas federais da Capital do Estado-membro." A Súmula aplica-se integralmente aos JEFs, por extensão lógica: onde se lê "juízo federal", leia-se "JEF", quando o valor da causa não exceder o teto.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faculdade de escolha territorial é do autor, não do réu. O INSS não pode arguir exceção de incompetência territorial para deslocar a ação do JEF do domicílio do segurado para o JEF da agência que indeferiu o benefício. A competência territorial, no caso, é relativa e se define pela escolha do autor, que exerce direito constitucional de foro.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competência territorial ganha complexidade quando o segurado reside em localidade que não é sede de JEF. Nesse caso, existem duas possibilidades: (a) o JEF da subseção judiciária mais próxima abrange a localidade do segurado, caso em que a ação é ajuizada naquele JEF; ou (b) o segurado pode optar pela competência delegada da Justiça Estadual (art. 109, § 3º, CF/88), quando a comarca de seu domicílio estiver a mais de 70 km de município sede de vara federal (critério introduzido pela Lei n. 13.876/2019).</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questão territorial assume contornos relevantes nas ações que envolvem mudança de domicílio do segurado durante a tramitação. Se o autor se muda para outra localidade após o ajuizamento, a competência territorial permanece fixada no juízo em que a ação foi distribuída (princípio da perpetuatio jurisdictionis, art. 43, CPC/2015). O segurado não pode requerer a remessa dos autos ao JEF do novo domicílio, e o INSS não pode arguir que a mudança de domicílio altera a competência territorial. A regra protege a estabilidade processual e evita manobras dilatórias.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a escolha do foro pelo segurado deve considerar fatores que ultrapassam a conveniência geográfica. O JEF do domicílio oferece facilidade de acesso, mas pode ter acervo maior e prazos de tramitação mais longos. O JEF de subseção judiciária menor pode oferecer tramitação mais célere, porém exige deslocamento do segurado para audiências. Cabe à parte, orientada por seu patrono, sopesar as vantagens e desvantagens de cada opção, levando em conta o volume processual do juízo, o tempo médio de tramitação, a disponibilidade de peritos e a postura interpretativa da Turma Recursal competente.</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distinção entre competência territorial (relativa) e competência por valor (absoluta) tem consequências processuais diferentes. A incompetência territorial relativa não é cognoscível de ofício pelo juiz (Súmula 33/STJ); somente o réu pode arguí-la, no prazo de contestação, sob pena de prorrogação. A incompetência absoluta por valor é cognoscível de ofício, a qualquer tempo e grau de jurisdição, e não admite prorrogação. Na atuação forense dos JEFs previdenciários, o INSS raramente argui incompetência territorial, pois a faculdade de escolha do foro pelo segurado (art. 109, § 2º, CF/88) dificulta o acolhimento da exceção. A incompetência por valor, ao contrário, é arguida com frequência quando o INSS identifica que os atrasados ultrapassam 60 salários-mínimos.</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23.7 Competência delegada à justiça estadual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109, § 3º, da Constituição Federal prevê a delegação de competência à Justiça Estadual para processar e julgar ações previdenciárias nas comarcas que não sejam sede de vara federal. O objetivo é facilitar o acesso à Justiça para segurados residentes em localidades distantes da sede da Justiça Federal.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Lei n. 13.876/2019 restringiu o alcance da competência delegada ao introduzir o critério geográfico: a delegação somente opera quando a comarca de domicílio do autor estiver a mais de 70 km de município sede de vara federal. A restrição visou racionalizar o exercício da competência delegada, evitando que segurados residentes em localidades próximas a varas federais optassem pela Justiça Estadual por conveniência, em detrimento da especialização federal.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STF, no julgamento do Tema 820 (RE 860.508, rel. Min. Marco Aurélio, julgamento em 08/03/2021), fixou a tese de que "a competência prevista no § 3º do artigo 109 da Constituição Federal, da Justiça comum, pressupõe inexistência de Vara Federal na Comarca do domicílio do segurado". O precedente delimita o pressuposto fático da competência delegada — a inexistência de vara federal na comarca de domicílio do segurado —, e dele se extrai que, onde exista vara federal (ou JEF) na própria comarca, não há espaço para a delegação à Justiça Estadual. A faculdade de o segurado optar pela Justiça Estadual de seu domicílio pressupõe, portanto, o preenchimento desse requisito objetivo (associado, após a Lei n. 13.876/2019, ao critério dos 70 km). Presente o pressuposto, o segurado pode optar entre: (a) ajuizar a ação na Justiça Estadual de seu domicílio (competência delegada); ou (b) deslocar-se até a vara federal ou JEF mais próximo.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Na prática, a competência delegada opera da seguinte forma: o segurado residente em comarca a mais de 70 km de município com vara federal ajuíza a ação na vara cível da Justiça Estadual de seu domicílio. O juiz estadual processa e julga a causa aplicando o direito previdenciário federal. O recurso contra a sentença é dirigido ao Tribunal Regional Federal competente (e não ao Tribunal de Justiça estadual). A vantagem para o segurado é a proximidade geográfica; a desvantagem é a menor especialização do juiz estadual em matéria previdenciária. O advogado deve avaliar se a proximidade compensa eventual perda de especialização, considerando que, em comarcas com baixo volume de ações previdenciárias, o juiz estadual pode ter menor familiaridade com temas como CNIS, cálculo de RMI, conversão de tempo especial e valoração de laudo pericial previdenciário.</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competência delegada não se estende aos JEFs: o juiz estadual que exerce competência delegada processa a causa pelo rito ordinário (ou sumário, conforme o CPC/2015), não pelo rito sumaríssimo da Lei n. 10.259/2001. O rito dos JEFs é exclusivo da Justiça Federal. A TNU consolidou esse entendimento, vedando que juizados especiais estaduais processem causas previdenciárias com o rito do JEF.</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recurso contra a sentença proferida pelo juiz estadual no exercício de competência delegada é dirigido ao Tribunal Regional Federal competente, não ao Tribunal de Justiça do Estado (art. 109, § 4º, CF/88). A peculiaridade gera confusão prática: o advogado que atua em competência delegada deve protocolar o recurso perante o juízo estadual, mas endereçá-lo ao TRF. A distribuição do recurso no TRF segue as mesmas regras aplicáveis às apelações das varas federais comuns, e o julgamento é feito por Turma especializada em matéria previdenciária (quando existente) ou por Turma cível com competência previdenciária.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competência delegada levanta questões adicionais sobre atos executórios. A implantação do benefício determinada pelo juiz estadual é cumprida pelo INSS da mesma forma que a determinação do juiz federal: o ofício é dirigido à Gerência Executiva do INSS competente, que processa a implantação no sistema. A execução dos atrasados (RPV ou precatório), contudo, segue rito próprio, com expedição da requisição de pagamento pelo TRF competente, não pelo juízo estadual.</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23.8 Prévio requerimento administrativo: condição da ação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prévio requerimento administrativo como condição para o ajuizamento de ação previdenciária, amplamente debatido pela doutrina, foi objeto do julgamento pelo STF no Tema 350 (RE 631.240, rel. Min. Roberto Barroso, julgamento em 03/09/2014). A decisão, com repercussão geral, fixou balizas que orientam toda a prática previdenciária nos JEFs.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STF estabeleceu que a concessão de benefícios previdenciários depende de requerimento do interessado, não se caracterizando ameaça ou lesão a direito antes da apreciação e indeferimento pelo INSS, ou antes do transcurso de prazo razoável sem decisão. A exigência de prévio requerimento não se confunde com o esgotamento das instâncias administrativas: basta o requerimento inicial e o indeferimento (ou a mora do INSS em decidir) para que se configure o interesse de agir.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decisão comporta exceções relevantes. Primeira: quando a posição da Administração é notória e reiteradamente contrária à pretensão do segurado. Se o INSS possui orientação administrativa consolidada de indeferir determinado tipo de pedido, o requerimento administrativo é dispensado, pois configuraria formalismo inútil. Segunda: nas ações de revisão, restabelecimento ou manutenção de benefício, o prévio requerimento é dispensado, pois o segurado já possui relação jurídica estabelecida com a autarquia, e a resistência à pretensão revisional é presumida.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STF, Tema 350 (RE 631.240, rel. Min. Roberto Barroso, julgamento em 03/09/2014)</w:t>
            </w:r>
            <w:r>
              <w:rPr>
                <w:rFonts w:ascii="EB Garamond" w:hAnsi="EB Garamond" w:cs="EB Garamond"/>
                <w:b w:val="0"/>
                <w:i w:val="0"/>
                <w:color w:val="201B16"/>
                <w:sz w:val="19"/>
                <w:lang w:val="pt-BR" w:bidi="ar-SA"/>
                <w:kern w:val="16"/>
                <w14:ligatures w14:val="standardContextual"/>
              </w:rPr>
              <w:t>: "A concessão de benefícios previdenciários depende de requerimento do interessado, não se caracterizando ameaça ou lesão a direito antes de sua apreciação e indeferimento pelo INSS, ou se excedido o prazo legal para sua análise." A tese vinculante impõe ao segurado o dever de requerer administrativamente o benefício antes de buscar o Judiciário, salvo nos casos de: (a) notório e reiterado posicionamento contrário da autarquia; (b) ações de revisão, restabelecimento ou manutenção de benefício já concedido.</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efeito prático do Tema 350 nos JEFs é relevante. O segurado que ajuíza ação de concessão de benefício sem prévio requerimento administrativo tem a petição inicial indeferida por falta de interesse de agir, salvo nas hipóteses de exceção. O advogado deve instruir a inicial com cópia do requerimento administrativo e da decisão de indeferimento (comunicação de decisão, carta de indeferimento ou extrato do Meu INSS). Na ausência de decisão formal, deve demonstrar o transcurso de prazo razoável sem manifestação da autarquia. O parâmetro de 45 dias usualmente invocado para aferir a mora não consta da tese do Tema 350 (RE 631.240), que se limita a exigir o requerimento prévio e alude genericamente ao decurso do prazo legal de análise; o patamar de 45 dias deriva da regulamentação administrativa do INSS e da praxe, e é o Tema 350 que fornece o fundamento do interesse de agir, ao reconhecer que a mora administrativa configura a pretensão resistida.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questão do requerimento administrativo formulado após o ajuizamento da ação suscita debate. O STF, no próprio Tema 350, admitiu a regularização processual: se o INSS, ao contestar, não se opõe ao mérito (demonstrando que apreciou o pedido), a falta de prévio requerimento resta superada. A orientação evita o formalismo excessivo, privilegiando a instrumentalidade das formas.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Sobre o prazo de 45 dias para decisão administrativa e a configuração da mora, remetemos ao Cap. 22, §22.6, que aprofunda a questão. Na prática, o prazo é frequentemente ultrapassado pelo INSS, especialmente em requerimentos que dependem de perícia médica (auxílio por incapacidade, BPC), reconhecimento de tempo rural ou análise de documentação complexa (conversão de tempo especial). O extrato do sistema Meu INSS, que registra o status do requerimento ("em análise", "em exigência", "concluído"), constitui prova idônea da mora administrativa para fins de ajuizamento da ação no JEF.</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23.9 Jus postulandi: dispensa de advogado em primeiro grau</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art. 10 da Lei n. 10.259/2001 assegura às partes o direito de designar representante para a causa, advogado ou não. A norma consagra o jus postulandi nos JEFs, permitindo que o segurado postule em juízo sem a assistência de advogado. O instituto visa garantir o acesso à Justiça ao segurado hipossuficiente que não dispõe de recursos para contratar patrono.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jus postulandi é exercido em primeiro grau de jurisdição. Em sede recursal (recurso inominado à Turma Recursal), a representação por advogado é obrigatória (art. 41, § 2º, da Lei n. 9.099/95, aplicável subsidiariamente). A distinção é relevante: o segurado pode ingressar com a ação, participar da audiência de conciliação e da audiência de instrução sem advogado, mas, se desejar recorrer da sentença, deve constituir patrono.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o exercício do jus postulandi nos JEFs previdenciários apresenta limitações significativas. O processo previdenciário envolve questões técnicas complexas (cálculo de RMI, conversão de tempo especial, valoração de laudo pericial, aplicação de regras de transição) que dificilmente são dominadas pelo segurado desassistido. A formulação de quesitos periciais, a inquirição de testemunhas e a articulação de argumentos jurídicos na audiência exigem conhecimento especializado que o jus postulandi não supre.</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Embora o jus postulandi permita ao segurado postular sem advogado, a prática demonstra que a assistência jurídica é determinante para o resultado do processo. A experiência forense sugere que partes assistidas por advogado tendem a obter resultados mais favoráveis do que partes desassistidas, tanto na formulação do pedido quanto na instrução probatória, em razão da complexidade técnica das questões previdenciárias. O advogado previdenciarista agrega valor especialmente na fase de instrução: formulação de quesitos periciais, produção de prova complementar, reação ao laudo adverso e elaboração de alegações finais. A Defensoria Pública da União e os núcleos de prática jurídica de universidades conveniadas suprem parcialmente a lacuna, mas a cobertura é insuficiente para atender à demanda.</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questão dos honorários advocatícios nos JEFs vincula-se ao jus postulandi. Em primeiro grau, não há condenação em honorários de sucumbência (art. 55, caput, da Lei n. 9.099/95, aplicável subsidiariamente). A isenção protege tanto o autor vencido (que não paga honorários ao INSS) quanto o INSS vencido (que não paga honorários ao advogado do autor em primeiro grau). Em sede recursal, o recorrente vencido é condenado em honorários de sucumbência. A base normativa da condenação é o art. 55, caput, segunda parte, da Lei n. 9.099/95, que não apenas autoriza a imposição de honorários ao recorrente vencido como já fixa a respectiva faixa: os honorários "serão fixados entre dez por cento e vinte por cento do valor de condenação ou, não havendo condenação, do valor corrigido da causa". O art. 85, § 2º, do CPC/2015, de aplicação subsidiária, serve de referência para os critérios de arbitramento do percentual dentro dessa faixa (grau de zelo, natureza e importância da causa).</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23.10 Procedimento sumaríssimo: princípios e características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procedimento nos JEFs é informado pelos princípios da oralidade, simplicidade, informalidade, economia processual e celeridade (art. 2º da Lei n. 9.099/95), como destaca Savaris (2023). Esses princípios não são meras declarações programáticas: eles condicionam a interpretação das normas processuais e orientam a condução do processo pelo magistrado, que deve privilegiar a solução do conflito em detrimento de formalidades dispensáveis.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oralidade, primeiro desses vetores, manifesta-se na concentração dos atos processuais em audiência. A petição inicial pode ser formulada oralmente perante a secretaria do JEF (art. 14 da Lei n. 9.099/95), que a reduzirá a termo; a contestação pode ser apresentada oralmente na audiência de instrução (embora na prática o INSS apresente contestação escrita padronizada); a prova testemunhal é colhida em audiência; e a sentença pode ser proferida oralmente pelo juiz ao final da audiência de instrução e julgamento. Essa concentração não é mera técnica de oralidade: nela a oralidade e a economia processual operam juntas, pois reunir num único ato a conciliação, a instrução e o julgamento, elimina etapas e movimentações que, no rito comum, se desdobrariam em fases autônomas.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Da simplicidade decorre a desburocratização do processo. Petições complexas, repletas de preliminares e fundamentações extensas, são desnecessárias no JEF. O pedido deve ser claro e direto: "concessão de aposentadoria por idade desde a DER [data do requerimento administrativo], com pagamento dos atrasados". A documentação deve ser organizada e pertinente, evitando juntada indiscriminada de documentos irrelevantes. À simplicidade soma-se a informalidade, que dispensa requisitos formais sem reflexo na validade substancial do ato: uma petição inicial que não indica o valor exato da causa, mas descreve o benefício pretendido e junta documentos suficientes, pode ser aceita pelo JEF, que determinará a complementação se necessário, e erros na qualificação das partes, na indicação do benefício ou na fundamentação legal não geram nulidade se o pedido é compreensível e o contraditório não foi prejudicado.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economia processual, já entrelaçada à oralidade na concentração de atos, projeta-se também na eliminação de etapas desnecessárias: o juiz do JEF pode dispensar a audiência de conciliação quando verificar que o INSS não tem margem para acordo, converter o julgamento em diligência para obter informações complementares sem necessidade de nova audiência ou proferir sentença com base apenas na prova documental, dispensando a instrução quando a controvérsia é exclusivamente de direito. O resultado dessa convergência é a celeridade, vetor que distingue o JEF do juízo federal comum. O prazo médio de tramitação de uma ação previdenciária no JEF é significativamente inferior ao da vara federal, e a meta institucional é que o processo não ultrapasse 12 meses entre o ajuizamento e a sentença. No cotidiano dos JEFs, o prazo varia conforme a subseção judiciária e a complexidade do caso, mas permanece substancialmente inferior ao da vara federal comum.</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irrecorribilidade das decisões interlocutórias nos JEFs (art. 5º da Lei n. 10.259/2001) é decorrência dos princípios da oralidade e da celeridade. No rito sumaríssimo, não cabe agravo de instrumento contra decisões interlocutórias, salvo em hipóteses excepcionais admitidas pela jurisprudência (decisões que concedem ou negam tutela antecipada, decisões que determinam bloqueio de valores, decisões que extinguem o processo sem resolução do mérito). A irrecorribilidade das interlocutórias concentra o debate no recurso inominado, após a sentença, simplificando o procedimento e evitando a fragmentação recursal que caracteriza o rito ordinário.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oralidade nos JEFs não impede o uso de petições escritas, mas dispensa exigências formais rígidas. As petições intermediárias podem ser apresentadas por simples manifestação nos autos (petição de uma página, sem requisitos formais), e o juiz pode decidir questões incidentais por despacho oral em audiência, registrado em ata. A desburocratização dos atos processuais é instrumento de democratização do acesso à justiça, pois permite que o segurado desassistido de advogado participe do processo sem embaraços formais.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concentração de atos em audiência é expressão concreta da oralidade. Nos JEFs bem estruturados, uma audiência pode contemplar: tentativa de conciliação, produção de prova testemunhal, esclarecimentos do perito, debates orais e prolação de sentença. A concentração reduz o número de atos processuais, o volume de movimentação processual e o tempo total de tramitação. A prática, contudo, nem sempre corresponde ao ideal normativo: em JEFs com acervo excessivo, as audiências são fracionadas (conciliação em uma data, instrução em outra, sentença em terceira), comprometendo a efetividade dos princípios orientadores.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23.11 Petição inicial e distribuição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petição inicial no JEF previdenciário segue o modelo simplificado previsto no art. 14 da Lei n. 9.099/95, adaptado às peculiaridades da Justiça Federal. Os requisitos essenciais são: (a) qualificação do autor; (b) indicação do réu (INSS); (c) descrição dos fatos e do pedido; (d) valor da causa; e (e) documentos indispensáveis.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documentação mínima para ações previdenciárias no JEF inclui: (a) documentos pessoais do autor (CPF, RG); (b) comprovante de requerimento administrativo e decisão de indeferimento (comunicação de decisão, carta de indeferimento ou extrato do sistema Meu INSS); (c) documentos que comprovem o direito alegado (CTPS, CNIS, PPP, laudos médicos, certidão de óbito, certidão de casamento, comprovantes de união estável, conforme a espécie de benefício); e (d) procuração, quando a parte estiver representada por advogado. O checklist completo de documentos para instruir a inicial, discriminado por tipo de ação (concessão, revisão, restabelecimento, mandado de segurança), está no Cap. 22, § 22.21.</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distribuição nos JEFs é, em regra, eletrônica. O processo eletrônico (PJe, e-Proc ou sistema equivalente) é adotado em todos os JEFs do País. A petição inicial e os documentos são protocolados eletronicamente, e a distribuição é feita por sistema informatizado que assegura a equitativa repartição entre os juízes. O segurado desassistido de advogado pode apresentar a petição presencialmente na secretaria do JEF, que providenciará a digitalização e a distribuição eletrônica.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petição inicial previdenciária no JEF deve ser concisa e funcional. Recomendamos a seguinte estrutura: (1) qualificação do autor e do réu (INSS — Gerência Executiva competente); (2) breve relato dos fatos (data do requerimento administrativo, motivo do indeferimento, fundamentação do direito); (3) pedido de concessão/revisão/restabelecimento do benefício, com indicação da DIB pretendida; (4) pedido de tutela de urgência, se cabível; (5) pedido de condenação no pagamento dos atrasados com correção e juros; (6) indicação do valor da causa (com renúncia ao excedente, se necessário); (7) requerimento de justiça gratuita. A fundamentação jurídica pode ser sucinta: nos JEFs, o juiz conhece o direito previdenciário aplicável e dispensa exposições doutrinárias extensas. O foco da petição deve ser a demonstração fática do preenchimento dos requisitos do benefício.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23.12 Citação e contestação do INSS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citação do INSS nos JEFs segue procedimento próprio. O art. 7º da Lei n. 10.259/2001 prevê que as citações e intimações da União, autarquias e fundações serão feitas na forma do art. 35 da Lei Complementar n. 73/1993, ou seja, mediante intimação da procuradoria competente. Na prática, a citação do INSS é realizada eletronicamente, por meio do sistema processual, com remessa automática à Procuradoria Federal Especializada junto ao INSS.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prazo para contestação é de 30 dias, mais elástico que o de 15 dias previsto na Lei n. 9.099/95. Convém precisar a base normativa, frequentemente atribuída de forma assertiva ao art. 9º da Lei n. 10.259/2001. Esse dispositivo, a rigor, não fixa o prazo de contestação: ao revés, veda prazo diferenciado para a prática de qualquer ato processual pelas pessoas jurídicas de direito público e determina que a citação para a audiência de conciliação seja efetuada com antecedência mínima de 30 dias. O prazo de 30 dias para contestar não decorre, portanto, de comando literal e expresso do art. 9º, mas de construção regimental e jurisprudencial dos JEFs, que extrai dessa antecedência mínima da citação o lapso razoável para a resposta do INSS antes da audiência. Trata-se de prazo consagrado na praxe, embora não fixado em texto legal expresso com tal redação. A contestação do INSS é, em regra, padronizada: a Procuradoria Federal elabora modelos de contestação por espécie de benefício, adaptados às controvérsias mais frequentes. A individualização da defesa ocorre na audiência, quando o representante do INSS pode articular argumentos específicos ao caso concreto.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revelia do INSS, embora juridicamente possível, é rara em termos operacionais. Se o INSS não contesta, aplica-se o art. 20 da Lei n. 9.099/95: os fatos alegados pelo autor serão tidos como verdadeiros. A revelia, contudo, não produz efeito automático de procedência, pois o juiz deve verificar se os fatos alegados são verossímeis e se os documentos juntados sustentam o pedido. Em ações previdenciárias, a presunção de veracidade decorrente da revelia é atenuada pela indisponibilidade do interesse público e pela necessidade de prova documental ou pericial para a comprovação de determinados requisitos (invalidez, atividade especial, tempo de contribuição).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23.13 Audiência de conciliação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audiência de conciliação é etapa obrigatória do procedimento nos JEFs, prevista no art. 21 da Lei n. 9.099/95, aplicável subsidiariamente. Nos JEFs previdenciários, a conciliação assume importância particular pela possibilidade de acordo entre o segurado e o INSS, com implantação imediata do benefício.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conciliação pode ser conduzida pelo juiz togado ou por conciliador designado. Os conciliadores nos JEFs são recrutados entre bacharéis em Direito, advogados ou servidores da Justiça Federal, com treinamento específico em técnicas de conciliação. O papel do conciliador é facilitar o diálogo entre as partes, apresentar propostas de acordo e esclarecer as consequências jurídicas de cada alternativa.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conciliação previdenciária enfrenta particularidades que a distinguem das demais matérias submetidas aos JEFs. O INSS possui margem limitada para negociação: a concessão do benefício depende do preenchimento de requisitos legais, e a autarquia não pode transigir sobre requisitos legais de elegibilidade. A margem de negociação reside na data de início do benefício (DIB), no valor dos atrasados (com eventual desconto para pagamento imediato) e no reconhecimento parcial do pedido.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Os mutirões de conciliação previdenciária, organizados pelos Tribunais Regionais Federais em parceria com o INSS e a Procuradoria Federal, são instrumento relevante de resolução de demandas. Nesses eventos, representantes do INSS com poderes para transigir participam de audiências concentradas, com análise caso a caso. Os percentuais de acordo variam conforme a região e a espécie de benefício, mas os mutirões têm contribuído para a redução do acervo processual dos JEFs.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Na audiência de conciliação previdenciária, o advogado deve estar preparado para avaliar propostas de acordo do INSS. As propostas mais comuns envolvem: (a) concessão do benefício com DIB na data do ajuizamento (renúncia aos atrasados entre o requerimento administrativo e o ajuizamento); (b) concessão com desconto sobre os atrasados (percentual variável, conforme a margem de transação autorizada à Procuradoria no caso concreto); (c) reconhecimento parcial do pedido (concessão de benefício de espécie diversa da pretendida). Na prática, convém calcular previamente o valor integral do crédito e compará-lo com a proposta de acordo, orientando o cliente sobre as vantagens e desvantagens. A aceitação do acordo implica renúncia ao direito de recorrer sobre as parcelas transacionadas. A recusa do acordo não prejudica o segurado: o processo prossegue normalmente para instrução e julgamento.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23.14 Audiência de instrução e julgamento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N</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ão havendo acordo na audiência de conciliação, o processo segue para a audiência de instrução e julgamento (AIJ). A AIJ é o momento central do processo no JEF, no qual se concentram a produção de provas, os debates orais e, frequentemente, a prolação da sentença.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instrução processual nas ações previdenciárias varia conforme a espécie de benefício e a controvérsia. Em ações de concessão de aposentadoria por incapacidade ou auxílio por incapacidade temporária, a prova pericial é o elemento central. O laudo pericial é produzido antes da AIJ (o juiz designa perícia após a contestação, e o laudo é juntado antes da audiência), e a AIJ serve para esclarecimentos do perito, complementação da prova e debates. Em ações de pensão por morte envolvendo comprovação de união estável, a prova testemunhal é central, e a AIJ concentra a inquirição das testemunhas. Em ações de reconhecimento de tempo rural, a instrução combina prova documental (início de prova material) com prova testemunhal.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número máximo de testemunhas é três para cada parte (art. 34 da Lei n. 9.099/95), salvo ampliação justificada pelo juiz. As testemunhas são ouvidas em audiência, sem compromisso formal (art. 36 da Lei n. 9.099/95), e seus depoimentos são reduzidos a termo ou gravados em mídia audiovisual. A inquirição é conduzida pelo juiz, com possibilidade de perguntas pelas partes (sistema presidencialista de inquirição, não o cross-examination do CPC/2015).</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sentença pode ser proferida na própria audiência, oralmente, reduzida a termo pelo servidor da secretaria. A prolação de sentença em audiência é prática incentivada nos JEFs, por conferir celeridade ao julgamento e permitir que o segurado conheça o resultado imediatamente. Quando a complexidade do caso exige análise mais detida, o juiz pode reservar prazo para prolação de sentença escrita.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prova emprestada é admitida nos JEFs, com fundamento no art. 372 do CPC/2015. Laudos periciais produzidos em ações previdenciárias anteriores do mesmo segurado (ações de auxílio por incapacidade temporária prévias, ações de BPC, ações acidentárias na Justiça Estadual) podem ser aproveitados como prova emprestada, desde que a parte contra quem a prova é utilizada tenha participado do processo originário ou tenha oportunidade de se manifestar. Na prática previdenciária, a prova emprestada é particularmente útil quando o segurado ajuíza nova ação após cessação do benefício: o laudo produzido na ação anterior pode ser aproveitado como início de prova da incapacidade, complementado por laudo atualizado.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oitiva do perito em audiência (esclarecimentos periciais) é instrumento relevante nos JEFs previdenciários. O advogado do segurado pode requerer a intimação do perito para comparecer à audiência e esclarecer pontos do laudo que considera insuficientes ou contraditórios. Os quesitos de esclarecimento devem ser formulados com antecedência e comunicados ao perito, para que possa preparar-se. A oitiva do perito em audiência é, com frequência, momento decisivo para a sorte da ação: o advogado que formula perguntas precisas sobre a capacidade funcional do segurado, sobre a evolução do quadro clínico e sobre a possibilidade de reabilitação pode obter respostas que alterem a conclusão do laudo escrito.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Enunciados do FONAJEF — prova técnica complexa.</w:t>
            </w:r>
            <w:r>
              <w:rPr>
                <w:rFonts w:ascii="EB Garamond" w:hAnsi="EB Garamond" w:cs="EB Garamond"/>
                <w:b w:val="0"/>
                <w:i w:val="0"/>
                <w:color w:val="201B16"/>
                <w:sz w:val="19"/>
                <w:lang w:val="pt-BR" w:bidi="ar-SA"/>
                <w:kern w:val="16"/>
                <w14:ligatures w14:val="standardContextual"/>
              </w:rPr>
              <w:t xml:space="preserve"> O FONAJEF firmou diretriz no sentido de que não cabe a produção de prova técnica de elevada complexidade no âmbito dos JEFs, por incompatível com o rito sumaríssimo. A orientação reflete o entendimento de que perícias que demandem múltiplos peritos, diligências longas ou conhecimento técnico altamente especializado desbordam do procedimento dos juizados. Na rotina previdenciária, a distinção é relevante: perícias médicas judiciais simples (avaliação de incapacidade) são compatíveis com o JEF; perícias contábeis complexas sobre cálculo de RMI com múltiplas atividades concomitantes podem ser consideradas incompatíveis. A tendência jurisprudencial, contudo, é ampliar o conceito de compatibilidade, admitindo nos JEFs a maioria das perícias previdenciárias.</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23.15 Prova pericial nos JEFs previdenciários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prova pericial nos JEFs previdenciários segue regras próprias, disciplinadas pelo art. 12 da Lei n. 10.259/2001. A norma prevê que, para efetuar o exame técnico necessário à conciliação ou ao julgamento da causa, o juiz nomeará pessoa habilitada, que apresentará o laudo até cinco dias antes da audiência.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peculiaridade dos JEFs está no custeio da perícia. Diferentemente do juízo comum, em que a parte requerente adianta os honorários periciais, nos JEFs os honorários do perito são custeados pela Justiça Federal. O segurado beneficiário de justiça gratuita (que constitui a totalidade dos autores em ações previdenciárias) não paga honorários periciais, e o INSS, como autarquia federal, também não adianta. O pagamento é feito pela Justiça Federal ao perito, mediante tabela própria.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indicação de assistente técnico pelas partes é admitida nos JEFs, embora com alcance limitado. O art. 12, parágrafo único, da Lei n. 10.259/2001 prevê que, havendo designação de exame, as partes serão intimadas para, em 10 dias, apresentar quesitos e indicar assistentes. Na prática previdenciária, o INSS frequentemente indica assistente técnico (médico do quadro da autarquia), enquanto o segurado raramente dispõe de recursos para tanto. A formulação de quesitos complementares pelo advogado do segurado é o instrumento mais eficaz para influenciar a perícia nos JEFs.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formulação de quesitos periciais é habilidade essencial do advogado previdenciarista. Nos JEFs, o número de quesitos é tipicamente limitado (5 a 10 por parte, conforme orientação do juízo). Os quesitos devem ser diretos, técnicos e direcionados ao preenchimento dos requisitos legais do benefício. Em ações de incapacidade, os quesitos devem abordar: (a) existência de doença ou lesão; (b) se há incapacidade para o trabalho; (c) se a incapacidade é total ou parcial; (d) se é temporária ou permanente; (e) data de início da incapacidade; (f) se há possibilidade de reabilitação; (g) se a condição é agravada pelo exercício da atividade habitual. Quesitos vagos ("o autor pode trabalhar?") ou jurídicos ("o autor faz jus ao benefício?") devem ser evitados, pois o perito responde sobre fatos técnicos, não sobre questões de direito.</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valoração do laudo pericial pelo juiz do JEF segue o princípio do livre convencimento motivado (art. 371, CPC/2015). O juiz não está vinculado ao laudo pericial, podendo divergir de suas conclusões com base em outros elementos de prova (laudos médicos particulares, relatórios de internação, atestados de médicos assistentes). A jurisprudência da TNU consolidou que o juiz pode acolher laudo pericial desfavorável ao segurado e julgar improcedente a ação, desde que fundamente sua decisão, assim como pode afastar o laudo pericial e conceder o benefício com base em elementos probatórios convergentes.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23.16 Tutela de urgência nos JEFs previdenciários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tutela de urgência nos JEFs previdenciários é disciplinada pelo art. 4º da Lei n. 10.259/2001, que prevê a possibilidade de medidas cautelares e de antecipação de tutela "quando presentes os pressupostos do art. 273 do CPC" (referência ao CPC/1973, hoje correspondente ao art. 300 do CPC/2015).</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concessão de tutela antecipada em ações previdenciárias é frequente e encontra fundamento na natureza alimentar do benefício. O segurado que comprova a probabilidade do direito ao benefício e demonstra o perigo de dano (privação de renda alimentar, impossibilidade de arcar com despesas de saúde, situação de vulnerabilidade) tem direito à implantação provisória do benefício, independentemente do trânsito em julgado.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implantação provisória do benefício é obrigação de fazer, não de pagar. A distinção é relevante: a obrigação de fazer (implantar o benefício, com pagamento de parcelas vincendas) pode ser executada imediatamente, sem sujeição ao regime de precatórios (art. 100, CF/88). O INSS é intimado a implantar o benefício em prazo determinado (geralmente 30 dias), sob pena de multa diária (astreintes) ou de outras medidas coercitivas. Os atrasados (parcelas vencidas entre a DIB e a implantação), por constituírem obrigação de pagar quantia certa, são relegados à execução final (RPV ou precatório), após o trânsito em julgado.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irreversibilidade da tutela antecipada em matéria previdenciária é questão debatida. A jurisprudência majoritária dos TRFs afasta a vedação do art. 300, § 3º, do CPC/2015, adotando a teoria da dupla irreversibilidade: quando ambas as partes sofrem risco de dano irreversível (o segurado, pela privação alimentar; o INSS, pela impossibilidade de recuperar os valores pagos), a tutela deve ser concedida em favor da parte mais vulnerável. Os valores recebidos de boa-fé pelo segurado por força de tutela antecipada são irrepetíveis, conforme entendimento consolidado do STJ.</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tutela antecipada nos JEFs pode ser concedida em três momentos distintos: (a) na própria petição inicial, como pedido de tutela de urgência inaudita altera pars (antes da citação do INSS), quando a urgência é extrema; (b) na audiência de conciliação, quando o juiz verifica que o acordo é inviável mas a probabilidade do direito é alta; (c) na audiência de instrução, após a produção de provas que reforçam a probabilidade do direito. O advogado deve requerer a tutela antecipada desde a inicial, demonstrando a urgência e a probabilidade, e reiterar o pedido nas audiências se não deferido liminarmente. A implantação provisória do benefício assegura renda alimentar ao segurado durante a tramitação do processo, cuja duração pode atingir meses ou anos até o trânsito em julgado.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23.17 Sentença nos JEFs previdenciários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sentença no JEF previdenciário é proferida pelo juiz federal do juizado, observando o rito sumaríssimo. As sentenças nos JEFs são, por expressa disposição legal, dispensadas de relatório (art. 38, caput, da Lei n. 9.099/95, aplicável subsidiariamente). A fundamentação, contudo, é obrigatória: o juiz deve indicar os elementos de convicção que o levaram à decisão, identificando as provas em que se baseou.</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sentença pode ser de procedência total, procedência parcial ou improcedência. Nas ações de concessão de benefício, a sentença de procedência concede o benefício, com indicação da espécie e da DIB, e condena o INSS ao pagamento dos atrasados, acrescidos de correção monetária e juros de mora. Confirma ou revoga, conforme o caso, a tutela antecipada eventualmente deferida no curso do processo e, quando houver condenação em sede recursal, fixa os honorários advocatícios devidos.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sentença de procedência parcial é frequente nas ações previdenciárias. O juiz pode, por exemplo, conceder o benefício com DIB diversa da pretendida (reconhecendo data de início posterior ao requerimento administrativo), conceder benefício de espécie diferente da pedida (aposentadoria por idade em vez de aposentadoria por tempo de contribuição) ou reconhecer tempo de contribuição em período inferior ao alegado. A fungibilidade dos pedidos previdenciários, consagrada na jurisprudência da TNU e dos TRFs, autoriza o juiz a adequar a prestação jurisdicional ao direito comprovado nos autos, sem configurar julgamento ultra ou extra petita. Essa fungibilidade, contudo, não é ilimitada: pressupõe a identidade da causa de pedir e a suficiência do conjunto probatório já produzido. Quando a concessão do benefício diverso exigir a apreciação de fato distinto do alegado na inicial — não submetido ao contraditório —, o juiz deve, antes de decidir, oportunizar às partes a manifestação sobre o novo fundamento, sob pena de decisão surpresa, vedada pelo art. 10 do CPC/2015.</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sentença de improcedência em ação previdenciária não impede o ajuizamento de nova ação com o mesmo pedido quando baseada em fatos supervenientes. Se o segurado teve ação de aposentadoria por incapacidade julgada improcedente porque o perito concluiu pela capacidade laborativa, e posteriormente apresenta agravamento do quadro clínico, pode ajuizar nova ação com base no novo quadro fático. A coisa julgada opera sobre os fatos existentes à data da sentença (cláusula rebus sic stantibus), não sobre fatos supervenientes. No mesmo sentido, o FONAJEF admite o ajuizamento de nova ação no JEF quando há mudança no estado de fato, sem ofensa à coisa julgada anterior.</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sentença nos JEFs deve conter parâmetros suficientes para a liquidação, ainda que dispense o relatório. O dispositivo deve indicar com precisão: (a) o benefício concedido (espécie, NB se já existente); (b) a data de início do benefício (DIB); (c) a renda mensal inicial (RMI), se apurada nos autos, ou a determinação de cálculo pela Contadoria; (d) a obrigação de implantar o benefício em prazo determinado (30 dias, com previsão de multa em caso de descumprimento); (e) os critérios de correção monetária e juros (INPC até 08/12/2021, SELIC a partir de 09/12/2021); (f) a compensação de valores recebidos administrativamente ou por força de tutela antecipada. Sentenças com dispositivo impreciso geram impugnações na fase de liquidação, prolongando a tramitação e frustrando a celeridade do rito sumaríssimo.</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sentença ilíquida é a regra nas ações previdenciárias dos JEFs. O juiz fixa os critérios de apuração do crédito (espécie do benefício, DIB, índice de correção, taxa de juros), e a liquidação é feita em fase posterior pela Contadoria Judicial, cujo procedimento detalhamos na seção 23.25, infra.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recurso cabível contra a sentença do JEF é o recurso inominado, dirigido à Turma Recursal composta por três juízes federais de primeiro grau. O prazo para interposição é de 10 dias (art. 42 da Lei n. 9.099/95), contados da ciência da sentença. O recurso deve ser acompanhado de preparo (custas recursais), exceto quando o recorrente é beneficiário de justiça gratuita (hipótese que abrange a totalidade dos autores em ações previdenciárias).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23.18 Recurso inominado e Turma Recursal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recurso inominado é o recurso cabível contra as sentenças dos JEFs, previsto nos arts. 41 a 46 da Lei n. 9.099/95, aplicáveis subsidiariamente. Trata-se de recurso de fundamentação livre, que devolve à Turma Recursal o exame integral da matéria fática e jurídica decidida em primeiro grau.</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Turma Recursal é composta por três juízes federais de primeiro grau, designados pelo Tribunal Regional Federal (art. 21 da Lei n. 10.259/2001). A composição por juízes de primeiro grau, e não por desembargadores, é característica distintiva do sistema dos juizados: o julgamento do recurso permanece no âmbito do primeiro grau de jurisdição, sem ascender ao tribunal.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efeito do recurso inominado é, em regra, apenas devolutivo (art. 43 da Lei n. 9.099/95). A sentença de procedência produz efeitos imediatos, inclusive com possibilidade de execução provisória (implantação do benefício). O INSS pode requerer a atribuição de efeito suspensivo ao recurso, mas o deferimento depende da demonstração de risco de dano irreversível, o que, em matéria previdenciária, é excepcional.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sessão de julgamento da Turma Recursal, admite-se a sustentação oral pelas partes, em prazo usualmente fixado em até 10 minutos cada, conforme o regimento interno da respectiva Turma Recursal (não há instrumento normativo nacional único, variando a disciplina por região). A decisão da Turma Recursal é irrecorrível por recurso especial ao STJ (Súmula 203 do STJ), mas pode ser objeto de pedido de uniformização à TNU (Turma Nacional de Uniformização) ou de reclamação ao STJ em hipóteses específicas.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composição das Turmas Recursais varia conforme o TRF. Algumas regiões organizam Turmas Recursais especializadas em matéria previdenciária, o que favorece a uniformidade das decisões e a especialização dos julgadores. Outras regiões mantêm Turmas Recursais com competência mista, abrangendo demandas previdenciárias junto com causas de outra natureza, o que pode comprometer a profundidade da análise em matéria previdenciária. A especialização das Turmas Recursais é bandeira de parcela da doutrina processualista, que sustenta que a complexidade técnica do direito previdenciário exige julgadores dedicados, assim como as varas federais especializadas em matéria previdenciária proporcionam decisões de maior qualidade.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acórdão da Turma Recursal deve conter fundamentação suficiente, embora dispensada a extensão típica dos acórdãos de tribunal. A fundamentação pode adotar a técnica de incorporação (o relator declara que adota como razões de decidir os fundamentos da sentença recorrida, complementando com argumentos próprios sobre as questões suscitadas no recurso). A técnica é admitida pela jurisprudência e pelo FONAJEF, por compatível com os princípios da celeridade e da economia processual dos juizados.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Súmula 203/STJ</w:t>
            </w:r>
            <w:r>
              <w:rPr>
                <w:rFonts w:ascii="EB Garamond" w:hAnsi="EB Garamond" w:cs="EB Garamond"/>
                <w:b w:val="0"/>
                <w:i w:val="0"/>
                <w:color w:val="201B16"/>
                <w:sz w:val="19"/>
                <w:lang w:val="pt-BR" w:bidi="ar-SA"/>
                <w:kern w:val="16"/>
                <w14:ligatures w14:val="standardContextual"/>
              </w:rPr>
              <w:t>: "Não cabe recurso especial contra decisão proferida por órgão de segundo grau dos Juizados Especiais." O enunciado aplica-se tanto aos JEFs quanto aos juizados estaduais, vedando o acesso ao STJ por meio de recurso especial. A via adequada para uniformização da jurisprudência dos juizados é o pedido de uniformização (à Turma Regional de Uniformização ou à TNU), disciplinado pelo art. 14 da Lei n. 10.259/2001, ou a reclamação ao STJ quando a decisão da Turma Recursal contrariar súmula ou orientação do STJ (Resolução STJ n. 12/2009).</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23.19 Pedido de uniformização e TNU</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sistema de uniformização da jurisprudência dos JEFs é disciplinado pelo art. 14 da Lei n. 10.259/2001 e opera em três níveis: (a) pedido de uniformização à Turma Regional de Uniformização (TRU), quando houver divergência entre Turmas Recursais da mesma região; (b) pedido de uniformização à Turma Nacional de Uniformização (TNU), quando houver divergência entre Turmas Recursais de regiões diversas ou entre Turma Recursal e súmula/jurisprudência dominante do STJ; (c) incidente de uniformização ao STJ, quando a TNU contrariar súmula ou jurisprudência dominante do STJ.</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TNU é composta por juízes presidentes de Turmas Recursais dos JEFs, sob a presidência do Corregedor-Geral da Justiça Federal, e funciona junto ao Conselho da Justiça Federal (CJF). Suas decisões vinculam as Turmas Recursais de todo o País, assegurando a uniformidade na interpretação da legislação federal aplicada nos JEFs.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pedido de uniformização à TNU é cabível em matéria de direito material, não de direito processual ou de reexame de provas. A Súmula 42 da TNU dispõe que "não se conhece de incidente de uniformização que implique reexame de matéria de fato." A limitação é relevante para a prática previdenciária: questões como a existência de incapacidade, a configuração da união estável ou a comprovação da atividade rural são matérias de fato que não comportam uniformização.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TNU tem produzido jurisprudência de relevância para o direito previdenciário, fixando teses sobre temas recorrentes nos JEFs. As Súmulas da TNU constituem referência obrigatória para o advogado previdenciarista: Súmula 47 (incapacidade parcial e condições pessoais), Súmula 53 (benefício por incapacidade e condições pessoais), Súmula 63 (comprovação de união estável), Súmula 77 (incapacidade e deficiência), Súmula 78 (avaliação biopsicossocial do BPC), entre outras. A consolidação das Súmulas da TNU ao longo dos capítulos anteriores deste livro demonstra a importância da TNU como fonte de uniformização no microssistema dos JEFs.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23.20 Execução da sentença: RPV e precatório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execução da sentença nos JEFs previdenciários segue procedimento próprio, condicionado pelo valor da condenação e pelo regime constitucional de pagamentos contra a Fazenda Pública (art. 100, CF/88). O pagamento é feito por meio de Requisição de Pequeno Valor (RPV) ou de precatório, conforme o montante.</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i w:val="0"/>
                <w:color w:val="201B16"/>
                <w:sz w:val="19"/>
                <w:lang w:val="pt-BR" w:bidi="ar-SA"/>
                <w:kern w:val="16"/>
                <w14:ligatures w14:val="standardContextual"/>
              </w:rPr>
              <w:t>Núcleo do critério de atualização (quadro-síntese).</w:t>
            </w:r>
            <w:r>
              <w:rPr>
                <w:rFonts w:ascii="EB Garamond" w:hAnsi="EB Garamond" w:cs="EB Garamond"/>
                <w:b w:val="0"/>
                <w:i w:val="0"/>
                <w:color w:val="201B16"/>
                <w:sz w:val="19"/>
                <w:lang w:val="pt-BR" w:bidi="ar-SA"/>
                <w:kern w:val="16"/>
                <w14:ligatures w14:val="standardContextual"/>
              </w:rPr>
              <w:t xml:space="preserve"> Como a apuração do crédito antecede a expedição da requisição, convém fixar de antemão o esquema de correção e juros, detalhado na seção 23.38, infra: (a) até 08/12/2021, cada parcela vencida é corrigida pelo INPC (art. 41-A da Lei n. 8.213/91), acrescida de juros de mora conforme o período (1% ao mês até 29/06/2009; juros da poupança a partir daí, no que validado pelo Tema 810/STF); (b) a partir de 09/12/2021, por força do art. 3º da EC n. 113/2021, aplica-se exclusivamente a taxa SELIC, que engloba, em índice único, correção monetária e juros, vedada a cumulação com qualquer outro índice no mesmo período; (c) tratando-se de precatório, a SELIC não incide durante o "período de graça" do art. 100, § 5º, da CF/88, em que o crédito sofre apenas correção monetária (Tema 1.335/STF). O detalhamento dos índices, das transições e das ressalvas consta da seção 23.38.</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RPV é o mecanismo de pagamento para condenações de até 60 salários-mínimos por beneficiário. Os dois parâmetros que a caracterizam têm bases normativas distintas, que convém discriminar: o teto de 60 salários-mínimos decorre do art. 17, § 1º, da Lei n. 10.259/2001 (que, para os efeitos do art. 100, § 3º, da CF/88, fixa o limite da obrigação de pequeno valor no mesmo patamar da competência do JEF, art. 3º, caput); o prazo de pagamento de 60 dias, por sua vez, decorre do art. 17, caput, da Lei n. 10.259/2001, que determina que, transitada em julgado a decisão, o pagamento seja efetuado em 60 dias contados da entrega da requisição, independentemente de precatório. Esse prazo legal nem sempre é observado na prática, em razão da disponibilidade orçamentária e do volume de requisições expedidas.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precatório é o mecanismo de pagamento para condenações que excedem 60 salários-mínimos. O regime de precatórios impõe ordem cronológica de pagamento, com inclusão no orçamento do exercício seguinte (art. 100, caput e §5º, CF/88, na redação da EC n. 113/2021). Sob o aspecto prático, o pagamento por precatório pode demorar anos, tornando essa modalidade significativamente menos vantajosa para o segurado.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distinção entre RPV e precatório no JEF previdenciário gera questão prática relevante: quando a ação tramita no JEF e o valor da condenação (atrasados) excede 60 salários-mínimos, o pagamento deve ser feito por precatório, não por RPV. O JEF permanece competente para a execução (não há remessa à vara federal), mas o mecanismo de pagamento muda.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possibilidade de renúncia ao excedente já na fase de execução — quando os atrasados, acumulados durante a tramitação, superam os 60 salários-mínimos e o segurado prefere receber prontamente por RPV a aguardar o precatório — é tema de alta incidência prática e comporta duas correntes. A primeira admite a renúncia executória: assim como o autor pode renunciar ao excedente na petição inicial para fixar a competência (seção 23.5), poderia fazê-lo na fase de execução, limitando o valor a executar ao teto da RPV, em homenagem ao princípio dispositivo e à natureza alimentar do crédito, que justifica o recebimento célere ainda que com sacrifício patrimonial. A segunda corrente veda a renúncia nesse momento, ao argumento de que o crédito já se incorporou ao patrimônio do segurado pela coisa julgada, de que a renúncia executória contornaria a vedação constitucional de fracionamento do crédito (art. 100, § 8º, CF/88) e de que a competência da RPV se afere pelo valor da condenação, não pela vontade superveniente do credor. A orientação que tem predominado na TNU e nos TRFs admite a renúncia ao excedente também na execução, desde que expressa, inequívoca e formalizada pelo próprio titular do crédito — solução que prestigia a vontade do segurado e a celeridade, sem caracterizar fracionamento vedado, pois a renúncia recai sobre a parcela excedente, e não sobre a divisão de um mesmo crédito entre duas vias de pagamento. A definição tem impacto direto na escolha entre RPV e precatório, e o advogado deve formalizar a renúncia de modo claro e documentado, alertando o cliente sobre o caráter definitivo do ato. Dada a oscilação do tema, recomendamos a verificação da orientação atual da Turma Recursal competente antes de optar por essa via.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pagamento de RPV é feito pela Caixa Econômica Federal, instituição financeira responsável pela operacionalização dos depósitos judiciais federais. O segurado é intimado para comparecer à agência bancária e sacar os valores depositados, mediante apresentação de documento de identidade e alvará de levantamento expedido pelo JEF. Embora o prazo legal seja de 60 dias contados da entrega da requisição (art. 17, caput, da Lei n. 10.259/2001), o intervalo prático entre a expedição da RPV e a efetiva disponibilização dos valores na conta do segurado costuma situar-se entre 60 e 120 dias, conforme a região e o volume de requisições expedidas pela seção judiciária. O parâmetro prático, portanto, frequentemente supera o prazo legal, sem que esse descumprimento, isoladamente, autorize medida coercitiva imediata.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cessão de crédito de RPV é matéria regulada pelo art. 100, §14, da CF/88, na redação vigente após a EC n. 113/2021 (originalmente §13, incluído pela EC n. 62/2009, renumerado pela EC n. 113/2021). O segurado pode ceder o crédito representado pela RPV a terceiros, mediante escritura pública ou instrumento particular com firma reconhecida. A cessão de créditos de RPV tornou-se prática frequente no mercado de direitos creditórios: empresas especializadas adquirem créditos previdenciários de RPV com deságio sobre o valor de face — cuja magnitude varia conforme o prazo estimado de pagamento e o risco da operação —, antecipando recursos ao segurado que não pode aguardar o prazo de pagamento. O juiz do JEF deve verificar a regularidade da cessão e intimar o cessionário para habilitação nos autos.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sequestro de verbas públicas é medida excepcional prevista no art. 100, §6º, da CF/88 (na redação vigente após a EC n. 113/2021), cabível quando o ente público não efetua o pagamento da RPV no prazo de 60 dias. O presidente do tribunal competente determina o sequestro da quantia necessária à satisfação do crédito, que é retirada diretamente da conta do ente devedor. Tratando-se de RPV contra a União, o sequestro raramente se faz necessário, pois o Governo Federal costuma cumprir os prazos de pagamento. Atrasos pontuais são resolvidos mediante ofício ao gestor orçamentário, sem necessidade de medida coercitiva.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vedação de fracionamento do crédito para pagamento parcial por RPV e parcial por precatório é regra constitucional expressa (art. 100, §8º, CF/88, na numeração vigente após a EC n. 113/2021). O segurado não pode dividir artificialmente o crédito para receber parte por RPV e parte por precatório. A exceção são os créditos de natureza alimentar cujos titulares são idosos (60 anos ou mais, nos termos do Estatuto do Idoso), pessoas com deficiência ou portadores de doença grave, que podem receber até o triplo do valor da RPV por essa via preferencial (art. 100, §2º, CF/88, na redação vigente), sendo o excedente pago por precatório. O limite exato da superpreferência e a idade de corte devem ser conferidos na legislação regulamentadora vigente na data de expedição da requisição. Recomenda-se verificar se o cliente se enquadra na superpreferência antes de requerer a expedição da RPV ou do precatório.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23.21 Honorários advocatícios e custas nos JEFs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regime de honorários advocatícios e custas nos JEFs é peculiar e constitui uma das principais vantagens do sistema para o segurado. Em primeiro grau de jurisdição, não há condenação em custas nem em honorários de sucumbência, seja para o autor vencido, seja para o réu vencido (art. 55, caput, primeira parte, da Lei n. 9.099/95, aplicável subsidiariamente).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isenção de custas em primeiro grau é absoluta: independe da condição econômica da parte e abrange todas as despesas processuais (taxa judiciária, custas de citação, honorários periciais, despesas com diligências). O segurado que litiga no JEF não suporta qualquer ônus financeiro em primeiro grau, mesmo que vencido.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Em sede recursal, o regime muda. O recorrente vencido é condenado em custas e honorários de sucumbência, com fundamento no art. 55, caput, segunda parte, da Lei n. 9.099/95, que autoriza essa condenação no microssistema dos juizados. A faixa de 10% a 20% do valor da condenação — ou, não havendo condenação, do valor corrigido da causa — é estabelecida pela própria segunda parte do art. 55 da Lei n. 9.099/95; o art. 85, § 2º, do CPC/2015, de aplicação subsidiária, orienta o arbitramento do percentual dentro dessa faixa. A condenação em honorários em sede recursal visa desestimular recursos meramente protelatórios, sem impedir o legítimo exercício do direito de recorrer.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questão dos honorários contratuais (entre o advogado e o cliente) nos JEFs é disciplinada pelo contrato de honorários firmado entre as partes e pelo Estatuto da Advocacia (Lei n. 8.906/94). O limite de 50% do valor da causa ou da condenação é fixado pela OAB como parâmetro ético. Na prática previdenciária, os honorários contratuais são frequentemente pactuados em percentual sobre o proveito econômico obtido (atrasados + parcelas vincendas), variando de 20% a 30% conforme o contrato.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questão da base de cálculo dos honorários contratuais sobre parcelas vincendas (benefício mensal) é objeto de controvérsia. Parte dos tribunais estaduais e federais reconhece que o advogado tem direito a honorários sobre os atrasados e sobre parcelas vincendas (geralmente 12 ou 24 meses de benefício), conforme pactuado em contrato. A jurisprudência dos JEFs tem admitido a reserva de honorários contratuais sobre os valores depositados em RPV, determinando que o INSS deposite os honorários em conta separada, disponível para levantamento pelo advogado. O juiz do JEF pode determinar a reserva de honorários contratuais na requisição de pagamento, desde que o contrato de honorários esteja juntado aos autos e não contenha cláusulas abusivas.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INSS, como autarquia federal, não é condenado em custas processuais nos JEFs (isenção prevista no art. 4º, I, da Lei n. 9.289/96). A isenção refere-se às custas devidas ao Judiciário, não aos honorários periciais (custeados pela Justiça Federal) nem aos honorários de sucumbência (devidos em sede recursal). A distinção entre isenção de custas (que beneficia o INSS como ente público) e isenção de honorários em primeiro grau (que beneficia ambas as partes) é relevante para a compreensão do regime financeiro do processo nos JEFs.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23.22 Tutela de evidência em matéria previdenciária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tutela de evidência (art. 311 do CPC/2015) é instrumento processual com potencial de aplicação relevante nos JEFs previdenciários, embora sua utilização ainda seja incipiente na prática forense. A tutela de evidência dispensa a demonstração de perigo de dano, exigindo apenas a probabilidade do direito, em hipóteses taxativas.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hipótese mais relevante para o direito previdenciário é a do art. 311, inciso II, do CPC/2015: quando as alegações de fato puderem ser comprovadas apenas documentalmente e houver tese firmada em julgamento de casos repetitivos ou em súmula vinculante. Em matéria previdenciária, diversas teses foram fixadas pelo STF (Temas com repercussão geral), pelo STJ (Temas repetitivos) e pela TNU (Súmulas), cobrindo parcela significativa das controvérsias previdenciárias. Quando o pedido do segurado se amolda a tese já fixada em precedente vinculante e a prova é exclusivamente documental, a tutela de evidência pode ser deferida sem demonstração de urgência.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aplicação prática da tutela de evidência nos JEFs enfrenta resistência institucional. O INSS frequentemente contesta a aplicação do instituto, argumentando que a análise individual de cada caso impede a automatização da concessão. A jurisprudência dos JEFs tem admitido a tutela de evidência em hipóteses restritas, como ações de restabelecimento de benefício cessado por alta programada (quando a TNU já fixou tese favorável ao segurado) ou ações de revisão baseadas em teses já consolidadas (como a revisão da vida toda, enquanto vigente).</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23.23 Desistência, extinção e arquivamento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processo nos JEFs pode ser extinto sem resolução de mérito em diversas hipóteses, sendo as mais frequentes na prática previdenciária: (a) falta de interesse de agir por ausência de prévio requerimento administrativo (Tema 350/STF); (b) incompetência absoluta em razão do valor; (c) litispendência ou coisa julgada; e (d) desistência do autor.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desistência da ação pelo segurado é ato processual unilateral, que independe da concordância do INSS, desde que exercida antes da sentença (art. 485, § 4º, CPC/2015). No JEF, a desistência é frequentemente motivada pela concessão administrativa do benefício durante a tramitação do processo. Se o INSS concede o benefício após o ajuizamento, o segurado pode desistir da ação e requerer apenas o pagamento dos atrasados (parcelas entre a DIB e a implantação administrativa). A desistência parcial (quanto ao pedido de concessão) com prosseguimento da ação quanto aos atrasados é admitida.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não comparecimento do autor à audiência é causa de extinção do processo sem resolução do mérito nos JEFs (art. 51, I, da Lei n. 9.099/95). A regra é rigorosa: a ausência injustificada do autor na audiência de conciliação ou de instrução acarreta a extinção automática do processo. O advogado deve assegurar a presença do cliente em todas as audiências designadas. A jurisprudência dos JEFs tem mitigado o rigor da regra quando a ausência é justificada por motivo de saúde, dificuldade de transporte ou outros impedimentos comprovados, admitindo a redesignação da audiência em lugar da extinção.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arquivamento do processo por não comparecimento à audiência é problema recorrente nos JEFs previdenciários. Recomenda-se adotar as seguintes precauções: (a) confirmar a data e o horário da audiência com o cliente, por meio de comunicação documentada (e-mail, mensagem com comprovante de recebimento); (b) orientar o cliente sobre a importância do comparecimento e as consequências da ausência; (c) em caso de impedimento, requerer a redesignação com antecedência, juntando comprovante do motivo (atestado médico, comprovante de internação, declaração de empregador); (d) se o cliente não compareceu por motivo de força maior, requerer a reconsideração da decisão de extinção, no prazo de 48 horas, demonstrando o impedimento. A extinção por não comparecimento não produz coisa julgada material: o segurado pode ajuizar nova ação com o mesmo objeto.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23.24 Cumprimento de sentença e obrigação de fazer</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cumprimento da sentença nos JEFs previdenciários envolve duas obrigações distintas: (a) a obrigação de fazer (implantação do benefício, com pagamento de parcelas vincendas); e (b) a obrigação de pagar quantia certa (atrasados, com correção monetária e juros de mora). As duas obrigações possuem regimes de execução diferentes.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Para orientar o leitor, convém fixar de antemão o iter completo de liquidação e pagamento, que se desdobra ao longo das próximas seções: (i) implantação do benefício e execução da obrigação de fazer, tratadas nesta seção 23.24; (ii) competência executória e elaboração dos cálculos pela Contadoria Judicial, na seção 23.25; (iii) critérios de correção monetária, juros e atualização do crédito (esquema INPC/SELIC e período de graça do precatório), consolidados na seção 23.38; e (iv) expedição da requisição de pagamento — RPV ou precatório —, com o regime constitucional de pagamentos, já detalhado na seção 23.20. As seções que se seguem remetem a este mapa para evitar a repetição dos critérios em cada ponto.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obrigação de fazer é executada mediante intimação do INSS para implantar o benefício em prazo determinado (geralmente 30 dias). O descumprimento acarreta a incidência de multa diária (astreintes), fixada pelo juiz em valor compatível com a urgência e a capacidade econômica da autarquia. O INSS, de modo geral, cumpre a obrigação de fazer (implantação do benefício) com razoável celeridade, especialmente quando notificado por sistema eletrônico integrado entre a Justiça Federal e a autarquia (CEAB — Central Eletrônica de Atendimento a Beneficiários, ou sistema equivalente).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obrigação de pagar quantia certa é executada por meio de RPV ou precatório, conforme o valor. Após o trânsito em julgado, a Contadoria Judicial elabora os cálculos, as partes se manifestam (impugnação ou concordância), o juiz homologa e expede a requisição de pagamento. O prazo entre o trânsito em julgado e o efetivo recebimento dos atrasados pelo segurado é tipicamente de 6 a 12 meses para RPV, e de 1 a 3 anos para precatório (conforme a ordem cronológica e a disponibilidade orçamentária).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regime de correção monetária e juros de mora segue o esquema INPC/SELIC detalhado na seção 23.38, infra.</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23.25 Competência para execução de título judicial</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competência para a execução do título judicial formado no JEF é do próprio JEF que proferiu a sentença. O art. 3º, caput, da Lei n. 10.259/2001 atribui ao JEF competência para "executar as suas sentenças". A execução permanece no JEF mesmo quando o valor da condenação (atrasados acumulados durante a tramitação) supera 60 salários-mínimos: a competência executória vincula-se ao juízo que proferiu a sentença, não ao valor da condenação.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liquidação de sentença previdenciária nos JEFs é feita pela Contadoria Judicial, órgão auxiliar do juízo composto por contadores com formação em cálculos previdenciários. A Contadoria elabora planilha de cálculo com base nos parâmetros da sentença (espécie do benefício, DIB, RMI, índice de correção, taxa de juros), utilizando dados do CNIS e da folha de pagamento do INSS. As partes podem apresentar impugnação fundamentada, com demonstração aritmética da divergência.</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Após o trânsito em julgado, o operador atento acompanha a fase de liquidação observando os seguintes pontos: (a) conferir se a Contadoria utilizou a DIB e a RMI fixadas na sentença; (b) verificar os índices de correção monetária e juros aplicados (INPC até 08/12/2021, SELIC a partir de 09/12/2021); (c) verificar se os períodos de pagamento estão corretos (descontando parcelas já pagas pelo INSS, se houve implantação provisória do benefício); (d) impugnar os cálculos no prazo fixado pelo juiz (geralmente 5 a 10 dias), com demonstração aritmética precisa da divergência; (e) requerer a expedição de RPV ou precatório após a homologação dos cálculos; (f) verificar se o cliente se enquadra na superpreferência (idoso, deficiente, doente grave) para pagamento prioritário.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23.26 Particularidades da litigância previdenciária nos JEFs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litigância previdenciária nos JEFs apresenta características que a distinguem de outras matérias processadas no mesmo juízo, como as ações contra a União, contra o FGTS ou contra outras autarquias. Essas particularidades decorrem da natureza do direito previdenciário, da vulnerabilidade típica dos segurados e da complexidade técnica das questões envolvidas, e convém percorrê-las em conjunto, pois é da combinação delas que resulta o perfil próprio desse contencioso.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traço de partida é a hipossuficiência do segurado. O autor típico das ações previdenciárias é pessoa de baixa renda, beneficiária de justiça gratuita, com escolaridade reduzida e pouca familiaridade com o sistema judiciário. Essa condição exige do juiz e do advogado sensibilidade na condução do processo: a comunicação com o segurado deve ser clara, as audiências devem ser conduzidas em linguagem acessível e o magistrado deve assegurar a igualdade substancial entre as partes (art. 7º, CPC/2015). A essa hipossuficiência soma-se o caráter massificado das demandas. Os JEFs previdenciários respondem por parcela majoritária do acervo dos juizados especiais federais — conforme as estatísticas já referidas na seção 23.1 —, e essa concentração pressiona a capacidade de julgamento ao gerar demandas repetitivas. Ações fundadas na mesma tese jurídica, como o reconhecimento de tempo especial por ruído ou a aposentadoria rural de segurado especial, são ajuizadas em grande número, o que cria oportunidades para a padronização de decisões e para os mutirões de julgamento.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natureza do réu também singulariza o contencioso. Diferentemente das ações contra a União, em que a AGU atua com margem de negociação limitada, as ações contra o INSS abrem espaço para interlocução direta com a autarquia previdenciária. Programas de conciliação, mutirões de perícia, intercâmbio de informações entre os sistemas (CNIS, HISCRE, PLENUS) e implantação eletrônica de benefícios são instrumentos que dependem dessa cooperação institucional entre o Judiciário e o INSS, e cuja maturidade varia conforme a região e o momento. Nesse contexto, a prova técnica ganha centralidade: a perícia médica judicial é o elemento probatório predominante nas ações de incapacidade e consome parcela significativa do tempo de tramitação. A nomeação de peritos, a realização de exames, a elaboração de laudos e os esclarecimentos periciais alongam o procedimento e tensionam o princípio da celeridade, de modo que os juízos dotados de corpo de peritos permanente ou conveniado apresentam prazos de tramitação sensivelmente menores do que aqueles que dependem de peritos ad hoc.</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Sobre todas essas características projeta-se a relevância social da decisão. A concessão ou a negativa de um benefício previdenciário afeta diretamente a subsistência do segurado e de sua família, e o juiz do JEF previdenciário exerce, por isso, função social de primeira grandeza: suas decisões determinam se idosos, pessoas com deficiência, trabalhadores rurais e dependentes de segurados falecidos terão acesso à renda necessária para viver com dignidade. Essa dimensão impõe ao magistrado cautela redobrada na análise das provas e na interpretação das normas, de modo a evitar tanto a concessão indevida, que compromete o equilíbrio atuarial do sistema, quanto a negativa injusta, que priva o segurado de proteção a que faz jus.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23.27 Questões processuais recorrentes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prática cotidiana nos JEFs previdenciários suscita questões processuais recorrentes que exigem tratamento específico.</w:t>
      </w:r>
    </w:p>
    <w:p>
      <w:pPr>
        <w:spacing w:before="260" w:after="80" w:line="240" w:lineRule="auto"/>
        <w:jc w:val="left"/>
      </w:pPr>
      <w:r>
        <w:rPr>
          <w:rFonts w:ascii="EB Garamond" w:hAnsi="EB Garamond" w:cs="EB Garamond"/>
          <w:b/>
          <w:i w:val="0"/>
          <w:color w:val="3A3128"/>
          <w:sz w:val="25"/>
          <w:lang w:val="pt-BR" w:bidi="ar-SA"/>
          <w:kern w:val="16"/>
          <w14:ligatures w14:val="standardContextual"/>
        </w:rPr>
        <w:t>Litisconsórcio passivo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litisconsórcio passivo é tema frequente. Em ações previdenciárias, o INSS é o único réu, salvo em hipóteses excepcionais: ações de pensão por morte com concorrência entre dependentes (que exige litisconsórcio necessário entre os pretendentes), ações que envolvem empregador (reconhecimento de vínculo empregatício como premissa para o benefício) e ações que envolvem entidades de previdência complementar.</w:t>
      </w:r>
    </w:p>
    <w:p>
      <w:pPr>
        <w:spacing w:before="260" w:after="80" w:line="240" w:lineRule="auto"/>
        <w:jc w:val="left"/>
      </w:pPr>
      <w:r>
        <w:rPr>
          <w:rFonts w:ascii="EB Garamond" w:hAnsi="EB Garamond" w:cs="EB Garamond"/>
          <w:b/>
          <w:i w:val="0"/>
          <w:color w:val="3A3128"/>
          <w:sz w:val="25"/>
          <w:lang w:val="pt-BR" w:bidi="ar-SA"/>
          <w:kern w:val="16"/>
          <w14:ligatures w14:val="standardContextual"/>
        </w:rPr>
        <w:t>Conexão e prevenção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conexão e a prevenção entre ações também suscitam dúvidas recorrentes. É frequente que o mesmo segurado ajuíze mais de uma ação contra o INSS, sobre benefícios distintos ou sobre questões conexas (ação de reconhecimento de tempo especial e ação de concessão de aposentadoria, por exemplo). As ações conexas devem ser reunidas perante o juízo prevento, evitando decisões contraditórias. O juiz do JEF deve verificar, de ofício ou por provocação, a existência de ações conexas no mesmo juízo ou em juízos diversos.</w:t>
      </w:r>
    </w:p>
    <w:p>
      <w:pPr>
        <w:spacing w:before="260" w:after="80" w:line="240" w:lineRule="auto"/>
        <w:jc w:val="left"/>
      </w:pPr>
      <w:r>
        <w:rPr>
          <w:rFonts w:ascii="EB Garamond" w:hAnsi="EB Garamond" w:cs="EB Garamond"/>
          <w:b/>
          <w:i w:val="0"/>
          <w:color w:val="3A3128"/>
          <w:sz w:val="25"/>
          <w:lang w:val="pt-BR" w:bidi="ar-SA"/>
          <w:kern w:val="16"/>
          <w14:ligatures w14:val="standardContextual"/>
        </w:rPr>
        <w:t>Vedação de intervenção de terceiros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chamamento ao processo e a denunciação da lide são vedados nos JEFs. A regra que exclui a intervenção de terceiros, ressalvado o litisconsórcio, é o art. 10 da Lei n. 9.099/95 ("Não se admitirá, no processo, qualquer forma de intervenção de terceiro nem de assistência. Admitir-se-á o litisconsórcio."), aplicável subsidiariamente por força do art. 1º da Lei n. 10.259/2001. Não se confunda esse dispositivo com o art. 10 da Lei n. 10.259/2001, que disciplina matéria diversa — a designação de representante para a causa (jus postulandi), examinado na seção 23.9. A vedação simplifica o processo, evitando a ampliação subjetiva da demanda que poderia comprometer a celeridade do rito sumaríssimo.</w:t>
      </w:r>
    </w:p>
    <w:p>
      <w:pPr>
        <w:spacing w:before="260" w:after="80" w:line="240" w:lineRule="auto"/>
        <w:jc w:val="left"/>
      </w:pPr>
      <w:r>
        <w:rPr>
          <w:rFonts w:ascii="EB Garamond" w:hAnsi="EB Garamond" w:cs="EB Garamond"/>
          <w:b/>
          <w:i w:val="0"/>
          <w:color w:val="3A3128"/>
          <w:sz w:val="25"/>
          <w:lang w:val="pt-BR" w:bidi="ar-SA"/>
          <w:kern w:val="16"/>
          <w14:ligatures w14:val="standardContextual"/>
        </w:rPr>
        <w:t>Fungibilidade do pedido</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fungibilidade do pedido em ações previdenciárias constitui princípio operativo dos JEFs. O princípio da fungibilidade permite ao juiz conceder benefício diverso do pedido, desde que o segurado preencha os requisitos legais. Se o segurado pediu aposentadoria por tempo de contribuição, mas o juiz verifica que não preenche os requisitos para essa espécie, pode conceder aposentadoria por idade se os requisitos estiverem cumpridos. A fungibilidade é expressamente admitida pela TNU e constitui decorrência do princípio da economia processual e da natureza alimentar dos benefícios previdenciários. O instituto opera, todavia, dentro da mesma causa de pedir: pressupõe que o benefício diverso decorra do mesmo conjunto fático e probatório deduzido na inicial. Se o reconhecimento da espécie diversa depender de fato novo, não debatido pelas partes, impõe-se a prévia abertura de contraditório específico (art. 10, CPC/2015), para que a adequação do pedido não se converta em decisão surpresa nem comprometa a ampla defesa do INSS.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TNU, Súmula 77</w:t>
            </w:r>
            <w:r>
              <w:rPr>
                <w:rFonts w:ascii="EB Garamond" w:hAnsi="EB Garamond" w:cs="EB Garamond"/>
                <w:b w:val="0"/>
                <w:i w:val="0"/>
                <w:color w:val="201B16"/>
                <w:sz w:val="19"/>
                <w:lang w:val="pt-BR" w:bidi="ar-SA"/>
                <w:kern w:val="16"/>
                <w14:ligatures w14:val="standardContextual"/>
              </w:rPr>
              <w:t>: "O julgador não é obrigado a analisar as condições pessoais e sociais quando não reconhecer a incapacidade do requerente para a sua atividade habitual." A Súmula delimita o alcance da análise judicial em ações de incapacidade: as condições pessoais (idade, escolaridade, experiência profissional) somente são examinadas quando reconhecida a incapacidade parcial, para fins de verificação da possibilidade de reabilitação. Se o perito conclui pela capacidade plena, o juiz pode julgar improcedente sem examinar as condições pessoais. A interpretação harmoniza-se com a Súmula 47/TNU, que exige a análise das condições pessoais quando há incapacidade parcial.</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23.28 Gratuidade de justiça nos JEFs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gratuidade de justiça nos JEFs é matéria de relevância prática direta, pois a totalidade dos autores em ações previdenciárias é beneficiária do instituto. O art. 54 da Lei n. 9.099/95, aplicável subsidiariamente, isenta de custas em primeiro grau. A gratuidade complementar (honorários periciais, despesas com diligências) decorre do deferimento da justiça gratuita nos termos do art. 98 do CPC/2015.</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presunção de hipossuficiência nas ações previdenciárias dos JEFs é praticamente absoluta. O segurado que litiga contra o INSS pleiteando concessão de benefício demonstra, pela própria natureza do pedido, que não dispõe de renda previdenciária e que sua subsistência depende do benefício pretendido. O INSS raramente impugna o pedido de justiça gratuita em ações previdenciárias, e os juízes dos JEFs concedem a gratuidade de forma rotineira.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gratuidade abrange todas as despesas processuais, incluindo honorários periciais, despesas com certidões, custas de diligências e honorários de sucumbência (em caso de improcedência com condenação em sede recursal). A condenação em honorários de sucumbência contra o beneficiário de justiça gratuita tem exigibilidade suspensa por cinco anos (art. 98, § 3º, CPC/2015): se nesse prazo o credor não demonstrar que a situação econômica do devedor permite o pagamento, a obrigação se extingue.</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23.29 Embargos de declaração nos JEFs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 embargos de declaração nos JEFs são disciplinados pelo art. 48 da Lei n. 9.099/95, aplicável subsidiariamente. O prazo para interposição é de cinco dias, contados da ciência da decisão embargada. O recurso pode ser oposto contra qualquer decisão (sentença, decisão interlocutória ou acórdão de Turma Recursal), quando houver obscuridade, contradição, omissão ou erro material.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previdenciária dos JEFs, os embargos de declaração são utilizados com frequência para suprir omissões na sentença. Omissões típicas incluem: falta de indicação da DIB, falta de fixação dos critérios de correção monetária e juros, falta de determinação de implantação do benefício, falta de análise de pedido formulado na inicial (tutela antecipada, por exemplo) e contradição entre fundamentação e dispositivo. Os embargos de declaração com efeitos infringentes (que alteram o resultado do julgamento) são admitidos excepcionalmente, quando a correção da omissão ou contradição implica modificação da conclusão.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efeito interruptivo dos embargos de declaração (art. 50 da Lei n. 9.099/95) é relevante para a contagem do prazo do recurso inominado. A interposição de embargos de declaração interrompe o prazo para recurso inominado, que recomeça a fluir da intimação da decisão que julgar os embargos. A distinção entre interrupção (prazo recomeça integralmente) e suspensão (prazo continua de onde parou) é fonte de equívocos na atuação forense: nos JEFs, o regime aplicado é o de interrupção, em conformidade com o art. 1.026 do CPC/2015 e com a regra geral do sistema recursal. É certo que a redação literal do art. 50 da Lei n. 9.099/95 alude a "suspensão"; trata-se, contudo, de fórmula historicamente superada. Com a entrada em vigor do CPC/2015, que generalizou o efeito interruptivo dos embargos de declaração, as Turmas Recursais consolidaram a leitura sistemática segundo a qual a oposição dos embargos interrompe — e não meramente suspende — o prazo do recurso inominado. A controvérsia, viva sob o CPC/1973, encontra-se hoje equacionada na prática dos JEFs em favor do regime interruptivo.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Os embargos de declaração protelatórios sujeitam o embargante a multa de até 1% sobre o valor da causa (art. 1.026, § 2º, CPC/2015, aplicável subsidiariamente). No cotidiano previdenciário, a multa é raramente imposta nesses juizados, pois os juízes reconhecem que a maioria dos embargos tem finalidade legítima (suprir omissão, esclarecer contradição). Contudo, a reiteração de embargos com conteúdo idêntico ou a oposição de embargos sem fundamentação específica podem ensejar a aplicação da sanção. O advogado deve assegurar que os embargos contenham indicação precisa da omissão, obscuridade ou contradição, com referência ao ponto específico da decisão que se pretende esclarecer.</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23.30 Contagem de prazos nos JEFs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contagem de prazos nos JEFs observa regras próprias que decorrem da natureza sumaríssima do procedimento e da aplicação subsidiária da Lei n. 9.099/95. Os prazos são, em regra, mais curtos do que os previstos no CPC/2015: recurso inominado em 10 dias (contra 15 dias da apelação), embargos de declaração em 5 dias (igual ao CPC/2015), contestação do INSS em 30 dias (contra 15 dias da regra geral do CPC).</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contagem dos prazos processuais nos JEFs segue a regra do art. 219 do CPC/2015: somente em dias úteis, excluindo-se o dia do início e incluindo-se o dia do vencimento. A extensão dessa contagem ao microssistema dos juizados foi, durante algum tempo, controvertida — discutia-se se a regra do art. 219, voltada à celeridade do processo comum, seria compatível com o princípio da celeridade que rege os juizados. A pacificação não decorreu de lei federal específica, mas dos enunciados do FONAJEF e da jurisprudência dominante das Turmas Recursais e da TNU, que firmaram a aplicação do critério dos dias úteis também no âmbito dos JEFs.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intimação das partes nos JEFs é feita, preferencialmente, por meio eletrônico (sistema PJe, e-Proc ou equivalente). A intimação eletrônica considera-se realizada na data em que o intimado efetua a consulta ao sistema; se não consultar em 10 dias, a intimação é considerada realizada ao final desse prazo (art. 5º, § 3º, da Lei n. 11.419/2006). O segurado desassistido de advogado é intimado pessoalmente, por correspondência ou por mandado, conforme a prática do JEF.</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prerrogativa de prazo em dobro para a Fazenda Pública não se aplica nos JEFs. A vedação tem fundamento normativo expresso: o art. 9º da Lei n. 10.259/2001 dispõe que "não haverá prazo diferenciado para a prática de qualquer ato processual pelas pessoas jurídicas de direito público, inclusive a interposição de recursos", determinando, ainda, que a citação para a audiência de conciliação seja efetuada com antecedência mínima de 30 dias. A generalização que estende a vedação à fase recursal não constitui, portanto, afirmação categórica sem ancoragem: decorre da própria literalidade do dispositivo, que ressalva, de modo textual, "inclusive a interposição de recursos". Como assinalado na seção 23.12, é da antecedência mínima da citação, e não desse comando, que a praxe dos JEFs extrai o prazo de 30 dias para a contestação do INSS. Em consequência, a Advocacia-Geral da União e a Procuradoria Federal não dispõem de prazo em dobro para recorrer nos JEFs, diferentemente do que ocorre nas varas federais comuns (art. 183, CPC/2015) — regra que a TNU e as Turmas Recursais aplicam como decorrência direta da norma especial. A restrição visa preservar a igualdade processual entre as partes e a celeridade do rito sumaríssimo.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Impõe-se ao patrono manter controle rigoroso dos prazos nos JEFs, especialmente porque a contagem em dias úteis pode gerar confusão quando combinada com prazos diferentes dos praticados na Justiça Federal comum. Os prazos mais relevantes são: 30 dias para contestação do INSS; 10 dias para recurso inominado; 5 dias para embargos de declaração; 10 dias para pedido de uniformização à TNU; 5 a 10 dias para impugnação aos cálculos da Contadoria (conforme intimação do juízo); 15 dias para cumprimento de diligências determinadas pelo juiz. A perda de prazo recursal nos JEFs é particularmente grave, pois não há mecanismo de reabertura análogo ao recurso adesivo ou à ação rescisória (que não é cabível no microssistema dos juizados).</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23.31 Prova documental e o CNIS como elemento de prova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prova documental é o alicerce da instrução processual previdenciária nos JEFs. O Cadastro Nacional de Informações Sociais (CNIS) goza de presunção relativa de veracidade (art. 29-A, Lei n. 8.213/91). Para a análise detalhada de sua natureza jurídica, força probatória, inversão do ônus e tratamento de extemporaneidades, remetemos o leitor ao Cap. 5, §§ 5.2.1 a 5.2.4. Nos JEFs, a impugnação do CNIS é frequente: o segurado alega vínculos não registrados, períodos rurais sem contribuição, atividade especial não anotada ou divergências nos valores de contribuição.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produção de prova documental nos JEFs segue a regra de apresentação na petição inicial (documentos do autor) e na contestação (documentos do INSS). A juntada posterior de documentos é admitida, mas deve ser justificada pela impossibilidade de apresentação oportuna ou pela superveniência do documento. O juiz pode determinar, de ofício, a juntada de documentos que considere necessários à instrução, inclusive requisitando informações ao INSS (extrato do CNIS, processo administrativo, HISCRE — Histórico de Créditos).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HISCRE (Histórico de Créditos) é documento indispensável na fase de liquidação, pois contém o registro de todos os pagamentos feitos pelo INSS ao segurado. A Contadoria Judicial utiliza o HISCRE para apurar eventuais compensações (valores já recebidos pelo segurado a título de benefício distinto) e para calcular as diferenças devidas em ações de revisão.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TNU, Súmula 75</w:t>
            </w:r>
            <w:r>
              <w:rPr>
                <w:rFonts w:ascii="EB Garamond" w:hAnsi="EB Garamond" w:cs="EB Garamond"/>
                <w:b w:val="0"/>
                <w:i w:val="0"/>
                <w:color w:val="201B16"/>
                <w:sz w:val="19"/>
                <w:lang w:val="pt-BR" w:bidi="ar-SA"/>
                <w:kern w:val="16"/>
                <w14:ligatures w14:val="standardContextual"/>
              </w:rPr>
              <w:t>: "A Carteira de Trabalho e Previdência Social (CTPS) em relação à qual não se aponta defeito formal que lhe comprometa a fidedignidade goza de presunção relativa de veracidade, formando prova suficiente de tempo de serviço para fins previdenciários, ainda que a anotação de vínculo de emprego não conste no Cadastro Nacional de Informações Sociais (CNIS)." A Súmula resolve questão recorrente nos JEFs: quando a CTPS do segurado apresenta vínculos empregatícios não registrados no CNIS, a CTPS prevalece como prova do tempo de serviço, salvo demonstração de fraude ou irregularidade formal pelo INSS.</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prova do exercício de atividade rural é questão probatória com regras específicas nos JEFs. A Lei n. 8.213/91 exige início de prova material para a comprovação do tempo de serviço rural (art. 55, § 3º), não admitindo prova exclusivamente testemunhal (Súmula 149/STJ). Os documentos aceitos como início de prova material incluem: certidão do INCRA, declaração do sindicato rural homologada pelo INSS, notas fiscais de produtor rural, escritura de imóvel rural, contrato de parceria ou arrendamento, certidão de casamento com qualificação do cônjuge como lavrador, ficha de matrícula escolar dos filhos com indicação de profissão dos pais como agricultor, entre outros.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prova de atividade especial nos JEFs segue regime particular. O PPP (Perfil Profissiográfico Previdenciário), emitido pelo empregador, é o documento-base para a comprovação da exposição a agentes nocivos. Na ausência de PPP, admite-se o LTCAT (Laudo Técnico de Condições Ambientais de Trabalho), formulários antigos (SB-40, DSS-8030, DIRBEN-8030) e, excepcionalmente, prova pericial. O juiz do JEF pode determinar a realização de perícia no local de trabalho quando os documentos são insuficientes ou contraditórios. A jurisprudência da TNU consolidou que o ruído acima de 85 dB (a partir de 19/11/2003, Decreto n. 4.882/2003) caracteriza atividade especial. Quanto ao EPI, o STF, no Tema 555 (ARE 664.335, rel. Min. Luiz Fux, j. 09/12/2014), fixou que, embora o EPI realmente capaz de neutralizar a nocividade afaste o direito à aposentadoria especial, a declaração de eficácia do EPI no PPP não descaracteriza o tempo especial na hipótese de exposição a ruído acima dos limites legais de tolerância. A ressalva específica de que o uso de EPI eficaz não descaracteriza a nocividade no caso de agentes cancerígenos não decorre da tese do Tema 555, mas de orientação administrativa e jurisprudencial posterior (entre outras, a orientação do INSS e os julgados relativos aos agentes do Grupo 1 da LINACH). Adverte-se, ainda, que a caracterização do tempo especial e suas vedações foram afetadas por desenvolvimentos materiais recentes, tratados em profundidade no Cap. 8 (Aposentadoria Especial): a ADI 6.309 (j. 03/06/2026), que declarou inconstitucional a exigência de idade mínima para a aposentadoria especial, mantida, contudo, a vedação à conversão de tempo especial em comum; e o Tema 1.209/STF, relativo à atividade de vigilante. Para que o capítulo processual permaneça alinhado ao estado material da matéria, remetemos o operador àquele capítulo antes de deduzir, no JEF, pretensão fundada em tempo especial.</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23.32 Litispendência e coisa julgada em matéria previdenciária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litispendência e a coisa julgada em matéria previdenciária apresentam peculiaridades que decorrem da natureza continuada dos benefícios e da possibilidade de alteração do quadro fático do segurado. O juiz do JEF deve verificar, de ofício, a existência de litispendência ou coisa julgada (art. 337, § 5º, CPC/2015), determinando a extinção do processo sem resolução do mérito quando configurada (art. 485, V, CPC/2015).</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litispendência ocorre quando duas ações entre as mesmas partes, com o mesmo pedido e a mesma causa de pedir, tramitam simultaneamente. Nos JEFs previdenciários, a litispendência é verificada com frequência quando o segurado ajuíza nova ação de concessão de benefício sem desistir da ação anterior, ou quando ajuíza ações em juízos diferentes (JEF e vara federal, JEF e Justiça Estadual por competência delegada). O INSS argui litispendência na contestação, e o juiz determina a extinção da ação posterior.</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coisa julgada em matéria previdenciária opera com a cláusula rebus sic stantibus, já mencionada na seção 23.17: a sentença de improcedência faz coisa julgada sobre os fatos existentes à data do julgamento. Fatos supervenientes (agravamento de doença, aquisição de tempo de contribuição adicional, mudança de critérios legais, novos documentos obtidos após a sentença) autorizam o ajuizamento de nova ação sem ofensa à coisa julgada.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questão da coisa julgada secundum eventum probationis surge quando a sentença de improcedência é proferida por insuficiência de provas. A doutrina e parte da jurisprudência sustentam que a sentença de improcedência por falta de provas não faz coisa julgada material, permitindo o ajuizamento de nova ação com prova complementar. A TNU, contudo, não adotou essa tese de forma ampla: o entendimento majoritário exige a demonstração de fato novo ou de prova nova para o ajuizamento de segunda ação com o mesmo pedido.</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A verificação de litispendência e coisa julgada nos JEFs previdenciários exige atenção a detalhes que podem passar despercebidos. O mesmo segurado pode ter ações de benefícios diferentes tramitando simultaneamente (ação de aposentadoria e ação de auxílio por incapacidade), sem que se configure litispendência (pedidos distintos). Pode, porém, ter duas ações com o mesmo pedido em juízos diferentes (JEF do domicílio e JEF do local do trabalho), caso em que a litispendência é configurada. O advogado deve consultar o sistema de acompanhamento processual antes de ajuizar nova ação, verificando a existência de processos anteriores com o mesmo objeto. A extinção por litispendência ou coisa julgada não impede o ajuizamento de nova ação quando demonstrada a alteração do quadro fático.</w:t>
            </w:r>
          </w:p>
        </w:tc>
      </w:tr>
    </w:tbl>
    <w:p>
      <w:pPr>
        <w:spacing w:before="0" w:after="80" w:line="240" w:lineRule="auto"/>
      </w:pP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23.33 Cumulação de pedidos no JEF</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cumulação de pedidos no JEF é admitida, desde que observado o limite de competência em razão do valor. O art. 15, caput, da Lei n. 9.099/95, aplicável subsidiariamente, permite a cumulação de pedidos quando o valor total não exceder o teto de competência do juizado. Nos JEFs, a soma dos pedidos cumulados não pode ultrapassar 60 salários-mínimos (art. 3º, caput, da Lei n. 10.259/2001).</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cumulação mais frequente nas ações previdenciárias é a de pedido de concessão de benefício com pedido de pagamento de atrasados. Trata-se de cumulação natural: o pedido de concessão gera, como consequência, o pagamento das parcelas vencidas. Outras formas de cumulação incluem: (a) concessão de benefício e tutela antecipada; (b) reconhecimento de tempo especial e concessão de aposentadoria; (c) reconhecimento de tempo rural e concessão de aposentadoria por idade; (d) revisão de benefício e pagamento de diferenças.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cumulação de pedidos contra réus distintos (litisconsórcio passivo) é restrita nos JEFs. O art. 10 da Lei n. 9.099/95, aplicável subsidiariamente, veda a intervenção de terceiros, exceto o litisconsórcio. A cumulação de pedidos contra o INSS e contra empregador (reconhecimento de vínculo empregatício e concessão de benefício, por exemplo) é admitida quando o empregador aceita a jurisdição do JEF. Na prática, a cumulação com empregador é rara, pois o empregador geralmente não é parte nas ações previdenciárias dos JEFs.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cumulação imprópria (pedidos alternativos ou subsidiários) é admitida. O segurado pode formular pedido principal de aposentadoria por tempo de contribuição e, subsidiariamente, pedido de aposentadoria por idade, caso o juiz entenda que os requisitos da primeira não estão preenchidos. A cumulação subsidiária é instrumento processual relevante em termos operacionais, pois permite ao juiz conceder o benefício mais adequado sem necessidade de novo processo.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23.34 Incidente de uniformização ao STJ</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incidente de uniformização ao STJ é a via recursal que permite ao Superior Tribunal de Justiça controlar a jurisprudência da TNU quando esta contrariar súmula ou jurisprudência dominante do STJ. O art. 14, § 4º, da Lei n. 10.259/2001 prevê que, quando a orientação da TNU contrariar súmula ou jurisprudência dominante do STJ, a parte interessada pode provocar o incidente de uniformização.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processamento do incidente foi regulamentado pela Resolução STJ n. 12/2009. O pedido é dirigido ao presidente da TNU, que verifica a admissibilidade e encaminha ao STJ. O relator no STJ pode admitir ou negar seguimento ao incidente, e, se admitido, o julgamento é feito pela Seção competente do STJ.</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incidente de uniformização ao STJ não se confunde com a reclamação constitucional (art. 105, I, f, CF/88, incluído pela EC n. 45/2004) nem com a reclamação prevista na Resolução STJ n. 12/2009. A reclamação ao STJ é cabível quando a Turma Recursal ou a TNU contrariar súmula do STJ, e constitui via processual autônoma, com rito próprio. Na prática, a reclamação é mais utilizada do que o incidente de uniformização, pela maior agilidade processual.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relevância do incidente de uniformização ao STJ para o direito previdenciário reside na possibilidade de o STJ fixar orientação vinculante sobre temas previdenciários decididos no âmbito dos juizados. Diversas teses previdenciárias relevantes foram definidas nessa via: critérios para a comprovação de atividade rural, parâmetros para avaliação da incapacidade, aplicação de fatores de conversão de tempo especial, entre outras. O advogado previdenciarista deve acompanhar os julgamentos do STJ em sede de incidente de uniformização, pois suas decisões vinculam a TNU e, por extensão, as Turmas Recursais de todo o País.</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23.35 Ação rescisória e querela nullitatis no microssistema dos JEFs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ação rescisória não é cabível no microssistema dos JEFs, descabimento que o FONAJEF também sufraga em enunciado próprio. A vedação decorre da ausência de órgão jurisdicional competente para processar e julgar a ação rescisória no âmbito dos juizados: as Turmas Recursais não exercem competência originária para esse tipo de ação, e o TRF não tem competência sobre os JEFs em grau recursal.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inexistência de ação rescisória nos JEFs gera questão relevante sobre a imutabilidade das decisões. Sentenças proferidas nos JEFs transitam em julgado sem possibilidade de revisão pela via rescisória, mesmo quando eivadas de erro de fato, erro de direito, prova nova ou violação literal de disposição de lei. A limitação é compensada pela cláusula rebus sic stantibus (possibilidade de nova ação com base em fatos supervenientes) e pelo manejo da querela nullitatis.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querela nullitatis é admitida nos JEFs como sucedâneo da ação rescisória nos casos de vícios transrescisórios. Para a natureza jurídica e os fundamentos da querela nullitatis em matéria previdenciária, ver Cap. 21, §21.19. O exemplo mais relevante na prática dos JEFs é a citação nula ou inexistente: se o INSS não foi citado e a sentença foi proferida à revelia, a querela nullitatis pode ser ajuizada a qualquer tempo, sem prazo decadencial.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competência para processar a querela nullitatis no âmbito dos JEFs é controversa. Parte da jurisprudência atribui a competência ao próprio JEF que proferiu a sentença; outra parte sustenta que a competência é da vara federal comum (já que a querela nullitatis é ação autônoma, não recurso interno do JEF). A tendência predominante nos TRFs é reconhecer a competência do JEF para processar a querela, por aplicação do princípio da simetria e por economia processual.</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23.36 Procedimentos específicos do BPC/LOAS no JEF</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Benefício de Prestação Continuada (BPC), previsto no art. 20 da Lei n. 8.742/93 (LOAS), segue, nos JEFs, procedimento que guarda particularidades em relação às demais ações previdenciárias. Embora o BPC não seja benefício previdenciário em sentido estrito (é benefício assistencial, que independe de contribuição), as ações de concessão de BPC são processadas nos JEFs por força da competência federal (art. 109, I, CF/88), pois o INSS é o órgão responsável pela concessão e manutenção do benefício.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Quanto à prova da deficiência, o BPC por deficiência exige comprovação de impedimento de longo prazo, avaliado pelo modelo biopsicossocial (Cap. 18, §§18.6-18.7). Nos JEFs, a perícia judicial deve reproduzir esse modelo, avaliando não apenas a condição clínica, mas o impacto das barreiras sociais, ambientais e atitudinais na participação plena do requerente na sociedade. A composição da equipe pericial (médico e assistente social) e a formulação dos quesitos devem refletir essa perspectiva ampliada.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No tocante à comprovação da miserabilidade, o critério rígido de 1/4 do salário-mínimo foi flexibilizado pela jurisprudência do STF (Tema 27/RE 567.985 e Tema 312/RE 580.963), admitindo-se outros meios de demonstração da vulnerabilidade socioeconômica — matéria cujo aprofundamento consta do Cap. 18, §§18.9-18.10. No recorte processual que interessa a este capítulo, o juiz do JEF determina a realização de estudo social por assistente social da Justiça Federal ou do INSS, que examina as condições reais de vida, moradia, saúde e renda familiar.</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Nas ações de BPC no JEF, recomenda-se requerer: (a) perícia médica para avaliação da deficiência ou incapacidade, com avaliação biopsicossocial; (b) estudo social para avaliação da miserabilidade; (c) juntada do processo administrativo do INSS, que contém a avaliação realizada pela autarquia na via administrativa. Os quesitos periciais devem abordar o tipo e o grau de impedimento, a duração prevista (se superior a dois anos), o impacto nas atividades da vida diária e a existência de barreiras à participação social. O estudo social deve examinar a composição familiar, a renda de cada membro, as despesas com moradia, alimentação, medicamentos e tratamentos de saúde, e as condições habitacionais da família. A complementaridade entre perícia médica e estudo social é essencial para a correta avaliação do direito ao BPC.</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H</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á, por fim, o critério de exclusão de renda familiar. O art. 20, § 14, da LOAS (incluído pela Lei n. 14.176/2021) prevê que devem ser excluídos do cálculo da renda per capita: benefícios assistenciais de outros membros da família, benefícios previdenciários de até um salário-mínimo recebidos por idoso (65 anos ou mais), e o BPC concedido a outro membro da família. A exclusão evita que a concessão de um BPC inviabilize o reconhecimento do direito de outro membro da mesma família. Nos JEFs, o juiz deve aplicar esses critérios de exclusão de ofício, ainda que o autor não os invoque na inicial, por tratar-se de matéria de ordem pública.</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23.37 Recurso extraordinário ao STF em matéria dos JEFs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recurso extraordinário ao STF é cabível contra decisões dos JEFs que contrariem dispositivo da Constituição Federal (art. 102, III, CF/88). Diferentemente do recurso especial ao STJ (vedado pela Súmula 203/STJ), o recurso extraordinário constitui via recursal aberta no microssistema dos juizados, pois o STF exerce jurisdição constitucional sobre todos os órgãos do Judiciário, inclusive sobre as Turmas Recursais dos JEFs.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cabimento do recurso extraordinário contra decisões de Turmas Recursais foi pacificado pelo STF, que reconheceu sua competência para processar e julgar RE oriundo dos juizados especiais. A exigência de repercussão geral (art. 102, § 3º, CF/88) aplica-se integralmente: o recurso extraordinário somente é admitido quando a questão constitucional ultrapassar os interesses subjetivos da causa e possuir relevância econômica, política, social ou jurídica.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Na prática previdenciária, o recurso extraordinário é utilizado para questionar a constitucionalidade de normas previdenciárias aplicadas pelas Turmas Recursais, a violação de direitos fundamentais (devido processo legal, contraditório, ampla defesa) ou a contrariedade a teses fixadas pelo STF em repercussão geral. Os Temas de repercussão geral com incidência direta nos JEFs previdenciários são numerosos: Tema 350 (prévio requerimento administrativo), Tema 1.277 (competência absoluta dos JEFs), Tema 810 (correção monetária e juros contra a Fazenda), entre outros.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interposição do recurso extraordinário nos JEFs é dirigida ao presidente da Turma Recursal, que realiza o juízo de admissibilidade. A negativa de seguimento pode ser impugnada por agravo ao STF (art. 1.042, CPC/2015). O regime de repercussão geral permite que o STF determine a suspensão de processos com a mesma questão constitucional em todos os JEFs do País, com efeito multiplicador da decisão de mérito.</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23.38 Correção monetária, juros e atualização das condenações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correção monetária e os juros de mora nas condenações previdenciárias dos JEFs seguem regime que sofreu alterações significativas ao longo do tempo. O conhecimento dos critérios de atualização é indispensável para o advogado previdenciarista, tanto na fase de conhecimento (para requerer a correta fixação na sentença) quanto na fase de liquidação (para conferir os cálculos da Contadoria).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regime anterior à EC n. 113/2021 distinguia correção monetária e juros de mora. A correção monetária seguia o INPC (art. 41-A da Lei n. 8.213/91), e os juros de mora variavam conforme o período: 1% ao mês (até 29/06/2009), seguidos da aplicação dos juros de caderneta de poupança (art. 1º-F da Lei n. 9.494/97, com redação dada pela Lei n. 11.960/2009, no que validado pelo STF no Tema 810, RE 870.947). A aplicação da TR (Taxa Referencial) como índice de correção monetária foi declarada inconstitucional pelo STF no Tema 810, mantendo-se o INPC para benefícios previdenciários.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EC n. 113/2021 (art. 3º) unificou o regime de atualização das condenações contra a Fazenda Pública. A partir de 09/12/2021 (data de publicação da emenda), aplica-se exclusivamente a taxa SELIC, que engloba, em índice único, tanto a correção monetária quanto os juros de mora. A unificação simplificou o cálculo, eliminando a necessidade de apuração separada de correção e juros. A SELIC incide sobre o valor principal da condenação e é acumulada de forma simples — pela soma dos índices mensais, sem capitalização (juros sobre juros) —, desde o vencimento de cada parcela até o efetivo pagamento. Por abranger correção e juros em um só percentual, a SELIC não se soma a qualquer outro índice de atualização no mesmo período, sob pena de bis in idem; e, como detalhado adiante nesta seção quanto ao Tema 1.335/STF, deixa de incidir durante o prazo constitucional de pagamento do precatório, intervalo em que o crédito sofre exclusivamente correção monetária.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Registramos, ainda, em nota de acompanhamento, que o regime de precatórios do art. 100 da CF/88 permanece sob intensa atividade reformadora, com propostas de emenda constitucional em tramitação voltadas a rever regras de atualização, prazos de pagamento e critérios de compensação. Eventuais alterações supervenientes ao fechamento desta edição — cujo número, data de promulgação e dispositivos efetivamente modificados devem ser conferidos pelo operador no texto constitucional consolidado vigente na data de expedição da requisição — terão potencial impacto direto na correção e no pagamento de condenações previdenciárias. A interação entre a EC n. 113/2021 (SELIC para condenações judiciais) e qualquer reforma futura do regime de precatórios deverá ser acompanhada pela jurisprudência do STF, que poderá fixar teses sobre a aplicação conjunta das normas. O advogado previdenciarista deve atentar tanto para as emendas constitucionais que venham a ser promulgadas quanto para eventuais decisões do STF em controle concentrado ou em repercussão geral que disciplinem a matéria de forma vinculante.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incidência da SELIC sobre o crédito inscrito em precatório, contudo, encontra limite temporal relevante fixado pelo STF. Embora a EC n. 113/2021 tenha unificado correção e juros na taxa SELIC para as condenações contra a Fazenda Pública, o Supremo, no julgamento do Tema 1.335 (RE 1.515.163), definiu que essa taxa não incide durante o prazo constitucional de pagamento do precatório — o denominado "período de graça" do art. 100, § 5º, da CF/88, intervalo que medeia a inscrição do precatório (até 2 de abril) e o pagamento até o final do exercício seguinte. Nesse interregno, o valor inscrito em precatório sofre exclusivamente correção monetária, sem juros e sem SELIC, pois o ente público ainda não está em mora. A distinção tem efeito prático direto na conferência dos cálculos: o crédito previdenciário superior a 60 salários-mínimos, pago por precatório, acumula SELIC apenas até a inscrição; a partir daí, e até o vencimento do prazo de pagamento, incide tão somente correção monetária; eventual atraso no pagamento além do prazo constitucional reabre a fluência de encargos moratórios.</w:t>
      </w: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7F1E6" w:val="clear"/>
            <w:tcBorders>
              <w:top w:val="single" w:sz="7" w:space="0" w:color="D2C9B8"/>
              <w:bottom w:val="single" w:sz="7" w:space="0" w:color="D2C9B8"/>
              <w:right w:val="single" w:sz="7" w:space="0" w:color="D2C9B8"/>
              <w:left w:val="single" w:sz="24" w:space="0" w:color="B78B37"/>
            </w:tcBorders>
          </w:tcPr>
          <w:p>
            <w:pPr>
              <w:spacing w:before="0" w:after="60" w:line="240" w:lineRule="auto"/>
              <w:jc w:val="left"/>
            </w:pPr>
            <w:r>
              <w:rPr>
                <w:rFonts w:ascii="Noto Sans" w:hAnsi="Noto Sans" w:cs="Noto Sans"/>
                <w:b/>
                <w:i w:val="0"/>
                <w:caps/>
                <w:color w:val="B78B37"/>
                <w:sz w:val="16"/>
                <w:lang w:val="pt-BR" w:bidi="ar-SA"/>
                <w:kern w:val="16"/>
                <w14:ligatures w14:val="standardContextual"/>
              </w:rPr>
              <w:t>ATENÇÃO</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"período de graça" do Tema 1.335/STF é o prazo constitucional de pagamento do precatório (art. 100, § 5º, CF/88), instituto de direito financeiro, e não se confunde com o período de graça previdenciário do art. 15 da Lei n. 8.213/91, que prorroga a qualidade de segurado após a cessação das contribuições. A coincidência de nomenclatura não autoriza qualquer transposição entre os institutos: um diz respeito ao intervalo em que a Fazenda pode quitar o precatório sem incidir em mora; o outro, à manutenção da condição de segurado para fins de cobertura previdenciária. O advogado deve evitar a confusão ao deduzir cálculos ou teses, sob pena de erro material na liquidação.</w:t>
            </w: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EEF3F7" w:val="clear"/>
            <w:tcBorders>
              <w:top w:val="single" w:sz="7" w:space="0" w:color="D2C9B8"/>
              <w:bottom w:val="single" w:sz="7" w:space="0" w:color="D2C9B8"/>
              <w:right w:val="single" w:sz="7" w:space="0" w:color="D2C9B8"/>
              <w:left w:val="single" w:sz="24" w:space="0" w:color="4D6F8A"/>
            </w:tcBorders>
          </w:tcPr>
          <w:p>
            <w:pPr>
              <w:spacing w:before="0" w:after="60" w:line="240" w:lineRule="auto"/>
              <w:jc w:val="left"/>
            </w:pPr>
            <w:r>
              <w:rPr>
                <w:rFonts w:ascii="Noto Sans" w:hAnsi="Noto Sans" w:cs="Noto Sans"/>
                <w:b/>
                <w:i w:val="0"/>
                <w:caps/>
                <w:color w:val="4D6F8A"/>
                <w:sz w:val="16"/>
                <w:lang w:val="pt-BR" w:bidi="ar-SA"/>
                <w:kern w:val="16"/>
                <w14:ligatures w14:val="standardContextual"/>
              </w:rPr>
              <w:t>JURISPRUDÊNCIA EM DESTAQUE</w:t>
            </w:r>
          </w:p>
          <w:p>
            <w:pPr>
              <w:spacing w:before="0" w:after="60" w:line="247" w:lineRule="auto"/>
              <w:jc w:val="both"/>
            </w:pPr>
            <w:r>
              <w:rPr>
                <w:rFonts w:ascii="EB Garamond" w:hAnsi="EB Garamond" w:cs="EB Garamond"/>
                <w:b/>
                <w:i w:val="0"/>
                <w:color w:val="201B16"/>
                <w:sz w:val="19"/>
                <w:lang w:val="pt-BR" w:bidi="ar-SA"/>
                <w:kern w:val="16"/>
                <w14:ligatures w14:val="standardContextual"/>
              </w:rPr>
              <w:t>STF, Tema 1.335 (RE 1.515.163, Rel. Min. Presidente — Min. Luís Roberto Barroso, julgamento em 12/10/2024, reafirmação de jurisprudência)</w:t>
            </w:r>
            <w:r>
              <w:rPr>
                <w:rFonts w:ascii="EB Garamond" w:hAnsi="EB Garamond" w:cs="EB Garamond"/>
                <w:b w:val="0"/>
                <w:i w:val="0"/>
                <w:color w:val="201B16"/>
                <w:sz w:val="19"/>
                <w:lang w:val="pt-BR" w:bidi="ar-SA"/>
                <w:kern w:val="16"/>
                <w14:ligatures w14:val="standardContextual"/>
              </w:rPr>
              <w:t>: "1. Não incide a taxa SELIC, prevista no art. 3º da EC nº 113/2021, no prazo constitucional de pagamento de precatórios do § 5º do art. 100 da Constituição. 2. Durante o denominado 'período de graça', os valores inscritos em precatório terão exclusivamente correção monetária, nos termos decididos na ADI 4.357-QO/DF e na ADI 4.425-QO/DF." A tese delimita o alcance temporal da SELIC fixada pela EC n. 113/2021: o prazo constitucional de pagamento do precatório (intervalo entre a inscrição e o final do exercício seguinte) corre sem juros e sem SELIC, sujeitando-se o crédito apenas à correção monetária, porquanto, nesse período, a Fazenda Pública ainda não se encontra em mora. Os metadados aqui indicados (número do RE, relator e data de julgamento) e a redação da tese reproduzem o registro de repercussão geral do STF, com mérito julgado por reafirmação de jurisprudência.</w:t>
            </w:r>
          </w:p>
        </w:tc>
      </w:tr>
    </w:tbl>
    <w:p>
      <w:pPr>
        <w:spacing w:before="0" w:after="80" w:line="240" w:lineRule="auto"/>
      </w:pPr>
    </w:p>
    <w:tbl>
      <w:tblPr>
        <w:tblW w:type="auto" w:w="0"/>
        <w:jc w:val="center"/>
        <w:tblLayout w:type="autofit"/>
        <w:tblLook w:firstColumn="1" w:firstRow="1" w:lastColumn="0" w:lastRow="0" w:noHBand="0" w:noVBand="1" w:val="04A0"/>
        <w:tblW w:w="5000" w:type="pct"/>
        <w:tblLayout w:type="fixed"/>
      </w:tblPr>
      <w:tblGrid>
        <w:gridCol w:w="6350"/>
      </w:tblGrid>
      <w:tr>
        <w:trPr>
          <w:cantSplit/>
        </w:trPr>
        <w:tc>
          <w:tcPr>
            <w:tcW w:type="dxa" w:w="6350"/>
            <w:vAlign w:val="top"/>
            <w:tcMar>
              <w:top w:w="150" w:type="dxa"/>
              <w:bottom w:w="150" w:type="dxa"/>
              <w:left w:w="220" w:type="dxa"/>
              <w:right w:w="180" w:type="dxa"/>
            </w:tcMar>
            <w:shd w:fill="F0F4ED" w:val="clear"/>
            <w:tcBorders>
              <w:top w:val="single" w:sz="7" w:space="0" w:color="D2C9B8"/>
              <w:bottom w:val="single" w:sz="7" w:space="0" w:color="D2C9B8"/>
              <w:right w:val="single" w:sz="7" w:space="0" w:color="D2C9B8"/>
              <w:left w:val="single" w:sz="24" w:space="0" w:color="6E8563"/>
            </w:tcBorders>
          </w:tcPr>
          <w:p>
            <w:pPr>
              <w:spacing w:before="0" w:after="60" w:line="240" w:lineRule="auto"/>
              <w:jc w:val="left"/>
            </w:pPr>
            <w:r>
              <w:rPr>
                <w:rFonts w:ascii="Noto Sans" w:hAnsi="Noto Sans" w:cs="Noto Sans"/>
                <w:b/>
                <w:i w:val="0"/>
                <w:caps/>
                <w:color w:val="6E8563"/>
                <w:sz w:val="16"/>
                <w:lang w:val="pt-BR" w:bidi="ar-SA"/>
                <w:kern w:val="16"/>
                <w14:ligatures w14:val="standardContextual"/>
              </w:rPr>
              <w:t>NA PRÁTICA</w:t>
            </w:r>
          </w:p>
          <w:p>
            <w:pPr>
              <w:spacing w:before="0" w:after="60" w:line="247" w:lineRule="auto"/>
              <w:jc w:val="both"/>
            </w:pPr>
            <w:r>
              <w:rPr>
                <w:rFonts w:ascii="EB Garamond" w:hAnsi="EB Garamond" w:cs="EB Garamond"/>
                <w:b w:val="0"/>
                <w:i w:val="0"/>
                <w:color w:val="201B16"/>
                <w:sz w:val="19"/>
                <w:lang w:val="pt-BR" w:bidi="ar-SA"/>
                <w:kern w:val="16"/>
                <w14:ligatures w14:val="standardContextual"/>
              </w:rPr>
              <w:t>O cálculo de atualização das condenações previdenciárias nos JEFs segue, em síntese, o seguinte esquema: (a) cada parcela vencida (atrasado mensal) é atualizada individualmente desde o seu vencimento; (b) até 08/12/2021, aplica-se correção pelo INPC e juros conforme o período (1% ao mês ou poupança); (c) a partir de 09/12/2021, aplica-se exclusivamente a SELIC; (d) a compensação é feita sobre valores já recebidos pelo segurado a qualquer título (benefício administrativo, tutela antecipada, benefício de outra espécie); (e) o desconto previdenciário (contribuição do segurado sobre as parcelas atrasadas) é retido na fonte pelo INSS no momento do pagamento; (f) o imposto de renda sobre os atrasados segue regime especial de tributação (regime de competência, não de caixa), conforme art. 12-A da Lei n. 7.713/88, incluído pela Lei n. 12.350/2010, que evita a tributação excessiva pela concentração dos rendimentos em um único exercício.</w:t>
            </w:r>
          </w:p>
        </w:tc>
      </w:tr>
    </w:tbl>
    <w:p>
      <w:pPr>
        <w:spacing w:before="0" w:after="80" w:line="240" w:lineRule="auto"/>
      </w:pP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incidência de contribuição previdenciária sobre os atrasados tem impacto financeiro relevante para o segurado. Os valores pagos como atrasados de benefícios previdenciários sofrem retenção da contribuição do segurado (alíquota de 7,5% a 14%, conforme a faixa de contribuição vigente). O desconto é feito pelo INSS no momento da operacionalização do pagamento (RPV ou precatório), abatendo-se o valor da contribuição do montante bruto. O advogado deve alertar o cliente sobre o desconto e incluir a estimativa da retenção na projeção do valor líquido a receber.</w:t>
      </w:r>
    </w:p>
    <w:p>
      <w:pPr>
        <w:spacing w:before="360" w:after="140" w:line="240" w:lineRule="auto"/>
        <w:jc w:val="left"/>
        <w:pBdr>
          <w:bottom w:val="single" w:sz="8" w:space="4" w:color="B89B5E"/>
        </w:pBdr>
        <w:keepNext/>
      </w:pPr>
      <w:r>
        <w:rPr>
          <w:rFonts w:ascii="EB Garamond" w:hAnsi="EB Garamond" w:cs="EB Garamond"/>
          <w:b/>
          <w:i w:val="0"/>
          <w:color w:val="3A3128"/>
          <w:sz w:val="31"/>
          <w:lang w:val="pt-BR" w:bidi="ar-SA"/>
          <w:kern w:val="16"/>
          <w14:ligatures w14:val="standardContextual"/>
        </w:rPr>
        <w:t>23.39 Consolidação das posições adotadas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 posições adotadas ao longo deste capítulo partem de premissa comum: o rito dos JEFs constitui o sistema processual que mais se aproxima do acesso efetivo do segurado à prestação jurisdicional. O rito sumaríssimo, a dispensa de advogado em primeiro grau, a gratuidade processual e a busca pela conciliação constituem instrumentos que concretizam o direito fundamental de acesso à Justiça (art. 5º, XXXV, CF/88) para a população que mais necessita da proteção previdenciária.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competência absoluta dos JEFs, restrita ao valor da causa (Tema 1.277/STF), assegura que toda demanda previdenciária de até 60 salários-mínimos seja processada pelo juízo especializado, com rito adequado à natureza alimentar do benefício. A faculdade de escolha territorial (art. 109, § 2º, CF/88) complementa o sistema, permitindo que o segurado litigue no JEF mais próximo de seu domicílio.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prévio requerimento administrativo (Tema 350/STF) constitui pressuposto processual que equilibra o acesso ao Judiciário com a atuação administrativa da autarquia previdenciária. As exceções (notório posicionamento contrário do INSS, ações de revisão e restabelecimento) asseguram que o requisito não se converta em obstáculo ao acesso à Justiça.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tutela de urgência é instrumento indispensável no processo previdenciário dos JEFs. A natureza alimentar do benefício e a vulnerabilidade do segurado justificam a implantação provisória do benefício desde a fase de conhecimento, relegando o pagamento dos atrasados à execução definitiva. A irrepetibilidade dos valores recebidos de boa-fé protege o segurado contra o risco de devolução em caso de reforma da decisão.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sistema de execução (RPV para condenações de até 60 salários-mínimos, precatório para valores superiores) assegura o pagamento dos atrasados em prazo razoável, embora a prática revele dificuldades na celeridade da liquidação e no cumprimento dos prazos legais. A superpreferência para segurados idosos, pessoas com deficiência e acometidos por doença grave constitui mecanismo de proteção reforçada aos mais vulneráveis.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Entendemos que o JEF previdenciário cumpre função social insubstituível no ordenamento jurídico brasileiro. A democratização do acesso à Justiça Federal, a simplificação procedimental e a especialização dos magistrados em matéria previdenciária transformaram o cenário da litigância previdenciária no País. Os desafios remanescentes — volume excessivo de demandas, demora na execução e na liquidação, insuficiência de estrutura física e de pessoal, especialmente de peritos médicos — exigem investimento contínuo na capacitação dos juízes, na informatização dos processos e na cooperação institucional entre o Judiciário e o INSS. A ampliação do quadro de juízes federais dedicados aos JEFs, a manutenção de corpo permanente de peritos e a integração eletrônica entre os sistemas da Justiça Federal e do INSS são medidas indispensáveis para que o microssistema dos juizados continue cumprindo sua missão constitucional de garantir acesso efetivo à justiça previdenciária.</w:t>
      </w:r>
    </w:p>
    <w:p>
      <w:pPr>
        <w:sectPr>
          <w:headerReference w:type="default" r:id="rId219"/>
          <w:headerReference w:type="even" r:id="rId220"/>
          <w:footerReference w:type="default" r:id="rId221"/>
          <w:footerReference w:type="even" r:id="rId222"/>
          <w:headerReference w:type="first" r:id="rId223"/>
          <w:footerReference w:type="first" r:id="rId224"/>
          <w:pgSz w:w="8391" w:h="11906"/>
          <w:pgMar w:top="935" w:right="879" w:bottom="964" w:left="1162" w:header="454" w:footer="425" w:gutter="0" w:mirrorMargins="1"/>
          <w:cols w:space="720"/>
          <w:titlePg/>
          <w:docGrid w:linePitch="360"/>
        </w:sectPr>
      </w:pPr>
    </w:p>
    <w:p>
      <w:pPr>
        <w:pStyle w:val="Heading2"/>
        <w:spacing w:before="320" w:after="120" w:line="240" w:lineRule="auto"/>
        <w:jc w:val="center"/>
        <w:keepNext/>
      </w:pPr>
      <w:r>
        <w:rPr>
          <w:rFonts w:ascii="EB Garamond" w:hAnsi="EB Garamond" w:cs="EB Garamond"/>
          <w:b/>
          <w:i w:val="0"/>
          <w:caps/>
          <w:color w:val="2F2923"/>
          <w:sz w:val="40"/>
          <w:lang w:val="pt-BR" w:bidi="ar-SA"/>
          <w:kern w:val="16"/>
          <w14:ligatures w14:val="standardContextual"/>
        </w:rPr>
        <w:t>Epílogo</w:t>
      </w:r>
    </w:p>
    <w:p>
      <w:pPr>
        <w:spacing w:before="0" w:after="160" w:line="264" w:lineRule="auto"/>
        <w:jc w:val="center"/>
        <w:keepNext/>
      </w:pPr>
      <w:r>
        <w:rPr>
          <w:rFonts w:ascii="EB Garamond" w:hAnsi="EB Garamond" w:cs="EB Garamond"/>
          <w:b w:val="0"/>
          <w:i/>
          <w:color w:val="3A3128"/>
          <w:sz w:val="24"/>
          <w:lang w:val="pt-BR" w:bidi="ar-SA"/>
          <w:kern w:val="16"/>
          <w14:ligatures w14:val="standardContextual"/>
        </w:rPr>
        <w:t>O direito previdenciário brasileiro entre a proteção social e os desafios do século XXI</w:t>
      </w:r>
    </w:p>
    <w:p>
      <w:pPr>
        <w:spacing w:before="0" w:after="240" w:line="240" w:lineRule="auto"/>
        <w:jc w:val="center"/>
      </w:pPr>
      <w:r>
        <w:rPr>
          <w:rFonts w:ascii="EB Garamond" w:hAnsi="EB Garamond" w:cs="EB Garamond"/>
          <w:b w:val="0"/>
          <w:i w:val="0"/>
          <w:color w:val="B78B37"/>
          <w:sz w:val="18"/>
          <w:lang w:val="pt-BR" w:bidi="ar-SA"/>
          <w:kern w:val="16"/>
          <w14:ligatures w14:val="standardContextual"/>
        </w:rPr>
        <w:t>━━━━  ◆  ━━━━</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o encerrar esta obra, parece-nos oportuno articular, em visão de conjunto, as grandes linhas temáticas que percorremos ao longo dos vinte e três capítulos que a compõem. O percurso não foi casual: reflete a convicção dos autores de que o direito previdenciário brasileiro — campo normativo denso, tecnicamente exigente e socialmente decisivo — demanda tratamento que conjugue rigor dogmático com sensibilidade para a realidade concreta dos segurados que batem às portas dos Juizados Especiais Federais.</w:t>
      </w:r>
    </w:p>
    <w:p>
      <w:pPr>
        <w:spacing w:before="260" w:after="80" w:line="240" w:lineRule="auto"/>
        <w:jc w:val="left"/>
      </w:pPr>
      <w:r>
        <w:rPr>
          <w:rFonts w:ascii="EB Garamond" w:hAnsi="EB Garamond" w:cs="EB Garamond"/>
          <w:b/>
          <w:i w:val="0"/>
          <w:color w:val="3A3128"/>
          <w:sz w:val="25"/>
          <w:lang w:val="pt-BR" w:bidi="ar-SA"/>
          <w:kern w:val="16"/>
          <w14:ligatures w14:val="standardContextual"/>
        </w:rPr>
        <w:t>Síntese temática</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livro organizou-se em seis grandes blocos. O primeiro (Caps. 1 a 5) ocupou-se dos fundamentos: a seguridade social como sistema constitucional e os princípios que a informam, os segurados e seus dependentes, a carência e a manutenção da qualidade de segurado, o custeio do regime e o reconhecimento do tempo de contribuição, com o papel do CNIS como elemento de prova. A compreensão desses alicerces é indispensável porque, na experiência dos JEFs, a maioria das controvérsias previdenciárias nasce de questões aparentemente elementares — a perda da qualidade de segurado por lapso de contribuição, a divergência entre os registros do CNIS e a realidade laboral, a configuração do período de graça em situações atípicas. Sustentamos, ao longo desses capítulos inaugurais, que o domínio dos conceitos básicos é o que distingue o profissional que apenas peticiona daquele que efetivamente tutela direitos.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segundo bloco (Caps. 6 e 7) tratou da incapacidade laboral: a aposentadoria por incapacidade permanente e o auxílio por incapacidade temporária. São os benefícios que mais demandam perícia médica nos JEFs e que, por isso, suscitam as questões probatórias mais complexas. A análise das condições pessoais do segurado — idade, escolaridade, experiência profissional, contexto socioeconômico — como fator de aferição da incapacidade real, e não meramente clínica, foi posição que adotamos com firmeza e que encontra amparo crescente na jurisprudência da TNU e dos TRFs.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terceiro bloco (Caps. 8 a 12) dedicou-se às aposentadorias programadas: a aposentadoria especial, a do segurado rural, a aposentadoria programada e por idade urbana, a aposentadoria por tempo de contribuição com suas regras de transição e a aposentadoria da pessoa com deficiência. As regras de transição introduzidas pela EC n. 103/2019 — pedágio, pontos, idade progressiva — constituem o terreno de maior complexidade operacional para o advogado previdenciarista e para o magistrado dos JEFs. Procuramos demonstrar, com exemplos numéricos e quadros comparativos, que a escolha da regra de transição mais vantajosa é tarefa que exige simulação caso a caso, e que o princípio do melhor benefício impõe ao INSS — e ao Judiciário — o dever de examinar todas as possibilidades antes de fixar a prestação.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quarto bloco (Caps. 13 a 19) examinou os demais benefícios, o cálculo e a proteção assistencial: salário-maternidade, auxílio-reclusão, auxílio-acidente e salário-família, cálculo do salário de benefício e da renda mensal inicial, revisão de benefícios, o BPC/LOAS e a pensão por morte. São temas que conjugam direito material de alta densidade normativa com questões probatórias específicas — a prova da união estável, a comprovação da miserabilidade, a aferição da baixa renda. A nosso ver, o tratamento da pensão por morte e do BPC exige do operador do direito não apenas conhecimento técnico, mas consciência de que, na outra ponta do processo, há famílias em situação de vulnerabilidade cuja subsistência depende do desfecho da demanda.</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quinto bloco (Caps. 20 e 21) abordou os temas transversais que permeiam toda a litigância previdenciária: a acumulação de benefícios, com o escalonamento introduzido pela EC n. 103/2019, a prescrição e a decadência — institutos cuja aplicação incorreta pode extinguir direitos legítimos ou manter indefinidamente situações que deveriam ser estabilizadas —, a coisa julgada previdenciária com suas particularidades (cláusula rebus sic stantibus, querela nullitatis, vedação de ação rescisória nos JEFs).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sexto e último bloco (Caps. 22 e 23) dedicou-se ao processo nos JEFs: o processo administrativo previdenciário, que constitui a antessala da judicialização, e a competência e o procedimento no JEF propriamente dito, que examinamos ao longo deste capítulo final. A opção por encerrar a obra com o processo judicial não foi acidental: acreditamos que a efetividade do direito previdenciário se mede, em última análise, pela capacidade do sistema judicial de entregar a prestação devida ao segurado em tempo razoável e com qualidade decisória.</w:t>
      </w:r>
    </w:p>
    <w:p>
      <w:pPr>
        <w:spacing w:before="260" w:after="80" w:line="240" w:lineRule="auto"/>
        <w:jc w:val="left"/>
      </w:pPr>
      <w:r>
        <w:rPr>
          <w:rFonts w:ascii="EB Garamond" w:hAnsi="EB Garamond" w:cs="EB Garamond"/>
          <w:b/>
          <w:i w:val="0"/>
          <w:color w:val="3A3128"/>
          <w:sz w:val="25"/>
          <w:lang w:val="pt-BR" w:bidi="ar-SA"/>
          <w:kern w:val="16"/>
          <w14:ligatures w14:val="standardContextual"/>
        </w:rPr>
        <w:t>Perspectivas e desafios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 xml:space="preserve"> direito previdenciário brasileiro ingressa na terceira década do século XXI sob pressão de transformações profundas, que exigirão do legislador, do administrador e do Judiciário respostas que ainda não estão dadas.</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envelhecimento acelerado da população brasileira — projeções do IBGE indicam que, até 2060, cerca de um quarto da população terá mais de 65 anos — pressionará o RGPS de forma crescente. O equilíbrio financeiro e atuarial do sistema (art. 201, caput, CF/88) é um imperativo constitucional, mas sua concretização não pode servir de pretexto para a erosão dos direitos dos segurados que preencheram os requisitos legais para a obtenção de benefícios. A tensão entre sustentabilidade fiscal e proteção social é o fio condutor dos debates previdenciários das próximas décadas, e o Judiciário — em particular os JEFs — será chamado a arbitrar, caso a caso, os limites dessa tensão.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digitalização do INSS, acelerada pela pandemia de Covid-19 e consolidada pela Plataforma Meu INSS, transformou a relação entre o segurado e a autarquia. O requerimento administrativo, a perícia médica (Atestmed), a consulta ao CNIS, a emissão de certidões e a comunicação de decisões migraram, em grande medida, para o ambiente digital. Essa transição trouxe ganhos de eficiência, mas também criou barreiras de acesso para segurados com baixa literacia digital — justamente a parcela mais vulnerável da população segurada. Os JEFs têm enfrentado, com frequência crescente, demandas que decorrem de falhas na interface digital do INSS: requerimentos não processados por erro de sistema, perícias canceladas sem comunicação efetiva, indeferimentos por documentação "insuficiente" quando o segurado não conseguiu carregar os arquivos corretamente. A exclusão digital é, cada vez mais, fonte de exclusão previdenciária, e o Judiciário precisa estar atento a essa nova dimensão da vulnerabilidade.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impacto da inteligência artificial na perícia médica previdenciária é tendência que já se materializa. O sistema Atestmed, que dispensa a perícia presencial em determinados casos mediante análise documental, é um primeiro passo na direção da automação de decisões administrativas sobre incapacidade. A utilização de algoritmos preditivos para a triagem de requerimentos, a análise automatizada de laudos médicos e a detecção de inconsistências no CNIS são aplicações que o INSS já explora ou pretende explorar nos próximos anos. A nosso ver, a automação é bem-vinda quando amplia o acesso e a eficiência, mas impõe cautelas: a decisão sobre a incapacidade de um ser humano — com toda a sua complexidade biológica, psicológica e social — não pode ser reduzida a um algoritmo que desconhece o contexto de vida do segurado. O modelo biopsicossocial, que o próprio ordenamento adotou para o BPC, é incompatível com a padronização integral. O Judiciário terá papel central no controle da utilização de inteligência artificial pelo INSS, assegurando que a automação não sacrifique a individualização que o direito previdenciário exige.</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As novas formas de trabalho — plataformas digitais de transporte e entregas, trabalho remoto, economia criativa digital, prestação de serviços por aplicativos — desafiam as categorias tradicionais de segurado do RGPS. O motorista de aplicativo é segurado obrigatório? Contribuinte individual? Segurado especial? A legislação vigente não oferece respostas claras para todas as situações, e a regulamentação do trabalho em plataformas é matéria pendente no Congresso Nacional. Os JEFs já recebem demandas de trabalhadores de plataformas que buscam benefícios previdenciários e se deparam com a dificuldade de comprovar vínculo, contribuição e carência em um modelo de trabalho que não se encaixa nas categorias legais existentes. A doutrina e a jurisprudência precisarão construir, nos próximos anos, respostas adequadas a essa nova realidade laboral.</w:t>
      </w:r>
    </w:p>
    <w:p>
      <w:pPr>
        <w:spacing w:before="260" w:after="80" w:line="240" w:lineRule="auto"/>
        <w:jc w:val="left"/>
      </w:pPr>
      <w:r>
        <w:rPr>
          <w:rFonts w:ascii="EB Garamond" w:hAnsi="EB Garamond" w:cs="EB Garamond"/>
          <w:b/>
          <w:i w:val="0"/>
          <w:color w:val="3A3128"/>
          <w:sz w:val="25"/>
          <w:lang w:val="pt-BR" w:bidi="ar-SA"/>
          <w:kern w:val="16"/>
          <w14:ligatures w14:val="standardContextual"/>
        </w:rPr>
        <w:t>O papel dos Juizados Especiais Federais</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O</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s Juizados Especiais Federais são, como procuramos demonstrar ao longo desta obra, o espaço institucional por excelência de concretização dos direitos previdenciários no Brasil. A maior parte das demandas previdenciárias ajuizadas contra o INSS tramita nos JEFs — e não nas varas federais comuns —, e é ali que a Constituição se converte, ou deixa de se converter, em benefício mensal depositado na conta do segurado.</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 vocação constitucional dos JEFs — facilitar o acesso à Justiça por meio de procedimento sumaríssimo, orientado pela oralidade, simplicidade, informalidade, economia processual e celeridade — é posta à prova diariamente pelo volume de demandas, pela complexidade crescente da legislação previdenciária e pela insuficiência de recursos humanos e materiais. A manutenção de peritos médicos em número suficiente, a capacitação permanente dos magistrados em matéria previdenciária, a integração eletrônica entre os sistemas da Justiça Federal e do INSS e a ampliação das varas federais avançadas são medidas que consideramos indispensáveis para que o sistema cumpra sua promessa constitucional.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Acreditamos, ainda, que a qualidade da prestação jurisdicional nos JEFs depende de algo que transcende a infraestrutura: a consciência de que cada processo representa uma pessoa — ou uma família — cuja dignidade está em jogo. O magistrado que julga ação de aposentadoria por incapacidade permanente decide se o segurado de 55 anos, com lombalgia crônica e baixa escolaridade, terá renda para sobreviver ou será lançado à assistência social. O juiz que analisa pedido de BPC decide se a criança com deficiência intelectual terá acesso a tratamento e acompanhamento ou ficará desamparada. A dimensão humana da jurisdição previdenciária não é retórica: é o fundamento último de todo o arcabouço normativo que examinamos neste livro.</w:t>
      </w:r>
    </w:p>
    <w:p>
      <w:pPr>
        <w:spacing w:before="260" w:after="80" w:line="240" w:lineRule="auto"/>
        <w:jc w:val="left"/>
      </w:pPr>
      <w:r>
        <w:rPr>
          <w:rFonts w:ascii="EB Garamond" w:hAnsi="EB Garamond" w:cs="EB Garamond"/>
          <w:b/>
          <w:i w:val="0"/>
          <w:color w:val="3A3128"/>
          <w:sz w:val="25"/>
          <w:lang w:val="pt-BR" w:bidi="ar-SA"/>
          <w:kern w:val="16"/>
          <w14:ligatures w14:val="standardContextual"/>
        </w:rPr>
        <w:t>Convite ao leitor</w:t>
      </w:r>
    </w:p>
    <w:p>
      <w:pPr>
        <w:spacing w:before="0" w:after="0" w:line="240" w:lineRule="auto"/>
        <w:jc w:val="left"/>
        <w:framePr w:dropCap="drop" w:lines="3" w:wrap="around" w:vAnchor="text" w:hAnchor="text" w:hSpace="28"/>
      </w:pPr>
      <w:r>
        <w:rPr>
          <w:rFonts w:ascii="EB Garamond" w:hAnsi="EB Garamond" w:cs="EB Garamond"/>
          <w:b/>
          <w:i w:val="0"/>
          <w:color w:val="B78B37"/>
          <w:sz w:val="64"/>
          <w:lang w:val="pt-BR" w:bidi="ar-SA"/>
          <w:kern w:val="16"/>
          <w14:ligatures w14:val="standardContextual"/>
        </w:rPr>
        <w:t>A</w:t>
      </w:r>
    </w:p>
    <w:p>
      <w:pPr>
        <w:spacing w:before="0" w:after="70" w:line="259" w:lineRule="auto"/>
        <w:jc w:val="both"/>
      </w:pPr>
      <w:r>
        <w:rPr>
          <w:rFonts w:ascii="EB Garamond" w:hAnsi="EB Garamond" w:cs="EB Garamond"/>
          <w:b w:val="0"/>
          <w:i w:val="0"/>
          <w:color w:val="201B16"/>
          <w:sz w:val="21"/>
          <w:lang w:val="pt-BR" w:bidi="ar-SA"/>
          <w:kern w:val="16"/>
          <w14:ligatures w14:val="standardContextual"/>
        </w:rPr>
        <w:t>o concluir estas páginas, os autores têm a convicção de que a obra cumpriu o propósito a que se propôs: oferecer ao operador do direito previdenciário — magistrado, advogado, defensor público, procurador, servidor — instrumento de consulta que alia profundidade doutrinária a utilidade prática, sem sacrificar nenhuma das duas dimensões. Não pretendemos esgotar a matéria, porque o direito previdenciário é campo vivo, em permanente transformação. Pretendemos, isto sim, fornecer bases sólidas para que o leitor enfrente as questões que a prática lhe apresenta com segurança técnica e sensibilidade social.</w:t>
      </w:r>
    </w:p>
    <w:p>
      <w:pPr>
        <w:spacing w:before="0" w:after="70" w:line="259" w:lineRule="auto"/>
        <w:ind w:firstLine="238"/>
        <w:jc w:val="both"/>
      </w:pPr>
      <w:r>
        <w:rPr>
          <w:rFonts w:ascii="EB Garamond" w:hAnsi="EB Garamond" w:cs="EB Garamond"/>
          <w:b w:val="0"/>
          <w:i w:val="0"/>
          <w:color w:val="201B16"/>
          <w:sz w:val="21"/>
          <w:lang w:val="pt-BR" w:bidi="ar-SA"/>
          <w:kern w:val="16"/>
          <w14:ligatures w14:val="standardContextual"/>
        </w:rPr>
        <w:t>O direito previdenciário brasileiro é, em sua essência, um compromisso civilizatório: a promessa de que nenhum cidadão será abandonado pelo Estado quando a velhice, a doença, o acidente ou a morte lhe retirar a capacidade de prover o próprio sustento ou o de sua família. A concretização desse compromisso é tarefa de todos — legisladores, administradores, juízes, advogados e da própria sociedade. Se esta obra contribuir, ainda que modestamente, para que essa tarefa seja cumprida com mais competência e com mais justiça, os autores se darão por satisfeitos.</w:t>
      </w:r>
    </w:p>
    <w:p>
      <w:pPr>
        <w:sectPr>
          <w:headerReference w:type="default" r:id="rId225"/>
          <w:headerReference w:type="even" r:id="rId226"/>
          <w:footerReference w:type="default" r:id="rId227"/>
          <w:footerReference w:type="even" r:id="rId228"/>
          <w:headerReference w:type="first" r:id="rId229"/>
          <w:footerReference w:type="first" r:id="rId230"/>
          <w:type w:val="oddPage"/>
          <w:pgSz w:w="8391" w:h="11906"/>
          <w:pgMar w:top="935" w:right="879" w:bottom="964" w:left="1162" w:header="454" w:footer="425" w:gutter="0" w:mirrorMargins="1"/>
          <w:cols w:space="720"/>
          <w:titlePg/>
          <w:docGrid w:linePitch="360"/>
        </w:sectPr>
      </w:pPr>
    </w:p>
    <w:p>
      <w:r>
        <w:br w:type="page"/>
      </w:r>
    </w:p>
    <w:p>
      <w:pPr>
        <w:pStyle w:val="Heading1"/>
        <w:spacing w:before="320" w:after="200" w:line="240" w:lineRule="auto"/>
        <w:jc w:val="center"/>
      </w:pPr>
      <w:r>
        <w:rPr>
          <w:rFonts w:ascii="EB Garamond" w:hAnsi="EB Garamond" w:cs="EB Garamond"/>
          <w:b/>
          <w:i w:val="0"/>
          <w:caps/>
          <w:color w:val="2F2923"/>
          <w:sz w:val="32"/>
          <w:lang w:val="pt-BR" w:bidi="ar-SA"/>
          <w:kern w:val="16"/>
          <w14:ligatures w14:val="standardContextual"/>
        </w:rPr>
        <w:t>REFERÊNCIAS</w:t>
      </w:r>
    </w:p>
    <w:p>
      <w:pPr>
        <w:spacing w:before="200" w:after="100" w:line="240" w:lineRule="auto"/>
        <w:jc w:val="left"/>
        <w:keepNext/>
      </w:pPr>
      <w:r>
        <w:rPr>
          <w:rFonts w:ascii="EB Garamond" w:hAnsi="EB Garamond" w:cs="EB Garamond"/>
          <w:b/>
          <w:i w:val="0"/>
          <w:color w:val="3A3128"/>
          <w:sz w:val="23"/>
          <w:lang w:val="pt-BR" w:bidi="ar-SA"/>
          <w:kern w:val="16"/>
          <w14:ligatures w14:val="standardContextual"/>
        </w:rPr>
        <w:t>Legislação</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Decreto Legislativo nº 4.682, de 24 de janeiro de 1923. Cria as Caixas de Aposentadorias e Pensões para os empregados das empresas ferroviárias.</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Decreto n. 11.016, de 29 de março de 2022.</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Decreto n. 11.898, de 22 de janeiro de 2024.</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Decreto n. 12.342, de 30 de dezembro de 2025.</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Decreto n. 12.534, de 2025.</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Decreto n. 12.686, de 2025.</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Decreto n. 3.048, de 6 de maio de 1999. Aprova o Regulamento da Previdência Social. Disponível em: www.planalto.gov.br. Acesso em: 15 maio 2026.</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Decreto n. 6.042, de 12 de fevereiro de 2007.</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Decreto n. 6.214, de 26 de setembro de 2007.</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Decreto n. 6.949, de 25 de agosto de 2009.</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Decreto nº 10.410, de 30 de junho de 2020. Altera o Regulamento da Previdência Social.</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Emenda Constitucional nº 103, de 12 de novembro de 2019. Altera o sistema de previdência social e estabelece regras de transição e disposições transitórias. Diário Oficial da União, Brasília, DF, 13 nov. 2019.</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Emenda Constitucional nº 113, de 8 de dezembro de 2021. Propõe alterações na Constituição Federal e no Ato das Disposições Constitucionais Transitórias para estabelecer o novo regime de pagamentos de precatórios. Diário Oficial da União, Brasília, DF, 9 dez. 2021.</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Emenda Constitucional nº 132, de 20 de dezembro de 2023.</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Emenda Constitucional nº 136, de 9 de setembro de 2025. Art. 100, §12, CF.</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Emenda Constitucional nº 20, de 15 de dezembro de 1998. Modifica o sistema de previdência social, estabelece normas de transição e dá outras providências. Diário Oficial da União, Brasília, DF, 16 dez. 1998.</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Emenda Constitucional nº 41, de 19 de dezembro de 2003. Modifica os arts. 37, 40, 42, 48, 96, 149 e 201 da Constituição Federal, revoga o inciso IX do § 3 do art. 142 da Constituição Federal e dispositivos da Emenda Constitucional nº 20, de 15 de dezembro de 1998, e dá outras providências. Diário Oficial da União, Brasília, DF, 31 dez. 2003.</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Emenda Constitucional nº 47, de 5 de julho de 2005.</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INSS.</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Instrução Normativa INSS/PRES nº 128, de 28 de março de 2022.</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Lei Complementar n. 150, de 1º de junho de 2015. Dispõe sobre o contrato de trabalho doméstico. Disponível em: www.planalto.gov.br. Acesso em: 15 maio 2026.</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Lei Complementar nº 108, de 29 de maio de 2001. Dispõe sobre a relação entre a União, os Estados, o Distrito Federal e os Municípios, suas autarquias, fundações, sociedades de economia mista e outras entidades públicas e suas respectivas entidades fechadas de previdência complementar.</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Lei Complementar nº 109, de 29 de maio de 2001. Dispõe sobre o Regime de Previdência Complementar.</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Lei Complementar nº 11, de 25 de maio de 1971. Institui o Programa de Assistência ao Trabalhador Rural.</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Lei Complementar nº 123, de 14 de dezembro de 2006. Institui o Estatuto Nacional da Microempresa e da Empresa de Pequeno Porte.</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Lei Complementar nº 142, de 8 de maio de 2013. Regulamenta a aposentadoria da pessoa com deficiência segurada do RGPS.</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Lei n. 10.666, de 8 de maio de 2003.</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Lei n. 10.735, de 11 de setembro de 2003.</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Lei n. 10.741, de 1º de outubro de 2003.</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Lei n. 11.430, de 26 de dezembro de 2006.</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Lei n. 12.435, de 6 de julho de 2011.</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Lei n. 12.470, de 31 de agosto de 2011.</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Lei n. 13.146, de 6 de julho de 2015.</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Lei n. 13.445, de 24 de maio de 2017.</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Lei n. 13.457, de 26 de junho de 2017.</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Lei n. 13.982, de 2 de abril de 2020.</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Lei n. 14.176, de 22 de junho de 2021.</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Lei n. 14.601, de 19 de junho de 2023.</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Lei n. 15.077, de 27 de dezembro de 2024.</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Lei n. 15.226, de 2025.</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Lei n. 4.266, de 3 de outubro de 1963. Institui o salário-família do trabalhador. Disponível em: www.planalto.gov.br. Acesso em: 15 maio 2026.</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Lei n. 8.036, de 11 de maio de 1990.</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Lei n. 8.213, de 24 de julho de 1991. Dispõe sobre os Planos de Benefícios da Previdência Social e dá outras providências. Disponível em: www.planalto.gov.br. Acesso em: 15 maio 2026.</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Lei n. 8.742, de 7 de dezembro de 1993.</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Lei n. 9.528, de 10 de dezembro de 1997. Altera dispositivos das Leis n. 8.212 e n. 8.213. Disponível em: www.planalto.gov.br. Acesso em: 15 maio 2026.</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Lei nº 10.259, de 12 de julho de 2001. Dispõe sobre a instituição dos Juizados Especiais Cíveis e Criminais no âmbito da Justiça Federal. Arts. 3º, 11, 17.</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Lei nº 10.839, de 5 de fevereiro de 2004. Altera a Lei nº 8.213/91. Reabertura do prazo decadencial.</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Lei nº 11.960, de 29 de junho de 2009. Altera o art. 1º-F da Lei nº 9.494/97.</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Lei nº 13.105, de 16 de março de 2015. Código de Processo Civil. Arts. 240, 292, 300, 311, 332, 487, 493, 509, 525, 927, 966, 975.</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Lei nº 13.183, de 4 de novembro de 2015. Altera as Leis nºs 8.212 e 8.213, ambas de 24 de julho de 1991, para tratar da associação do segurado especial em cooperativa de crédito rural e, ainda essa última, para atualizar o rol de dependentes, estabelecer regra de não incidência do fator previdenciário, e dá outras providências. Diário Oficial da União, Brasília, DF, 5 nov. 2015.</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Lei nº 13.846, de 18 de junho de 2019. Institui o Programa Especial para Análise de Benefícios com Indícios de Irregularidade e o Programa de Revisão de Benefícios por Incapacidade, altera a Lei nº 8.213/91 e dá outras providências. Diário Oficial da União, Brasília, DF, 19 jun. 2019.</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Lei nº 14.331, de 4 de maio de 2022. Altera a Lei nº 8.213/91, para dispor sobre o cálculo da renda mensal inicial dos benefícios de prestação continuada. Diário Oficial da União, Brasília, DF, 5 maio 2022.</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Lei nº 14.784, de 27 de dezembro de 2023. Prorroga a desoneração da folha de pagamento.</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Lei nº 3.807, de 26 de agosto de 1960. Lei Orgânica da Previdência Social.</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Lei nº 6.439, de 1º de setembro de 1977. Institui o Sistema Nacional de Previdência e Assistência Social.</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Lei nº 8.029, de 12 de abril de 1990. Dispõe sobre a extinção e dissolução de entidades da administração pública federal.</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Lei nº 8.212, de 24 de julho de 1991. Dispõe sobre a organização da Seguridade Social, institui Plano de Custeio e dá outras providências.</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Lei nº 9.032, de 28 de abril de 1995. Dispõe sobre o valor do salário-mínimo, altera dispositivos das Leis nº 8.212 e nº 8.213, ambas de 24 de julho de 1991, e dá outras providências. Diário Oficial da União, Brasília, DF, 29 abr. 1995.</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Lei nº 9.099, de 26 de setembro de 1995. Dispõe sobre os Juizados Especiais Cíveis e Criminais e dá outras providências. Art. 59.</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Lei nº 9.711, de 20 de novembro de 1998. Altera dispositivos da legislação previdenciária.</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Lei nº 9.876, de 26 de novembro de 1999. Dispõe sobre a contribuição previdenciária do contribuinte individual, o cálculo do benefício, altera dispositivos das Leis nºs 8.212 e 8.213, ambas de 24 de julho de 1991, e dá outras providências. Diário Oficial da União, Brasília, DF, 29 nov. 1999.</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Medida Provisória nº 316, de 11 de agosto de 2006. Convertida na Lei nº 11.430, de 26 de dezembro de 2006. Altera as Leis nºs 8.213 e 9.796, de 5 de maio de 1999, aumenta o valor dos benefícios da previdência social; e revoga a Lei nº 6.439, de 1º de setembro de 1977. Diário Oficial da União, Brasília, DF, 27 dez. 2006.</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Portaria Conjunta INSS/MDS n. 34, de 9 de outubro de 2025.</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Portaria Conjunta MDS/MPS/INSS n. 33, de 5 de agosto de 2025.</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Portaria Conjunta MPS/INSS n. 13, de 21 de março de 2026.</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Portaria Interministerial MPS/MF n. 13, de 9 de janeiro de 2026. Dispõe sobre a atualização dos valores do salário-família e demais benefícios previdenciários. Disponível em: www.planalto.gov.br. Acesso em: 15 maio 2026.</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Portaria Interministerial MPS/MF n. 6, de 10 de janeiro de 2026.</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Portaria Interministerial MPS/MF nº 19, de 29 de janeiro de 2004. Fixa o teto do RGPS em R$ 2.400,00 a partir de maio de 2004.</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Portaria MDS/INSS n. 1.695, de 17 de maio de 2024.</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Resolução CMN n. 3.211, de 30 de junho de 2004.</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Resolução CNJ n. 630, de 29 de julho de 2025.</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Constituição da República Federativa do Brasil de 1988.</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Constituição Federal, art. 201, I.</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Código Civil de 2002.</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Código de Processo Civil de 2015, arts. 371, 464 a 480 e 493.</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Decreto 20.910, de 6 de janeiro de 1932.</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Decreto n. 10.410, de 30 de junho de 2020.</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Decreto n. 3.048, de 6 de maio de 1999.</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Decreto n. 6.949, de 25 de agosto de 2009.</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Decreto n. 8.145, de 3 de dezembro de 2013.</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EC 103/2019.</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EC 20/1998.</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EC n. 103, de 12 de novembro de 2019.</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Emenda Constitucional n. 103, de 12 de novembro de 2019, art. 26, §§ 2º e 3º, II.</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IN INSS/PRES n. 128/2022.</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IN INSS/PRES n. 188/2025.</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Instrução Normativa INSS/PRES nº 128, de 28 de março de 2022.</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LC n. 142, de 8 de maio de 2013.</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LC n. 150, de 1º de junho de 2015.</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Lei 10.259, de 12 de julho de 2001.</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Lei 10.839, de 5 de fevereiro de 2004.</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Lei 15.265, de 3 de abril de 2025.</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Lei 9.099, de 26 de setembro de 1995.</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Lei 9.528, de 10 de dezembro de 1997.</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Lei 9.711, de 20 de novembro de 1998.</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Lei 9.784, de 29 de janeiro de 1999.</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Lei n. 10.259/2001.</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Lei n. 10.421, de 15 de abril de 2002.</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Lei n. 10.666, de 8 de maio de 2003.</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Lei n. 11.419/2006.</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Lei n. 11.430, de 26 de dezembro de 2006.</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Lei n. 11.718, de 20 de junho de 2008.</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Lei n. 11.770, de 9 de setembro de 2008.</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Lei n. 12.873, de 24 de outubro de 2013.</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Lei n. 13.105/2015.</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Lei n. 13.135, de 17 de junho de 2015.</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Lei n. 13.146, de 6 de julho de 2015.</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Lei n. 13.183, de 4 de novembro de 2015.</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Lei n. 13.457, de 26 de junho de 2017.</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Lei n. 13.846, de 18 de junho de 2019.</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Lei n. 13.876/2019.</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Lei n. 13.964, de 24 de dezembro de 2019.</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Lei n. 14.126, de 22 de março de 2021.</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Lei n. 14.457, de 21 de setembro de 2022.</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Lei n. 3.807, de 26 de agosto de 1960.</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Lei n. 6.136, de 7 de novembro de 1974.</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Lei n. 6.226, de 14 de julho de 1975, e Lei n. 6.864, de 1º de dezembro de 1980.</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Lei n. 8.212, de 24 de julho de 1991.</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Lei n. 8.213, de 24 de julho de 1991, arts. 25, I; 26, II; 42 a 47; 55, II; 62; 86, § 2º; 89 a 93; 101; e 118.</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Lei n. 8.213/1991.</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Lei n. 8.742, de 7 de dezembro de 1993, art. 20.</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Lei n. 8.861, de 25 de março de 1994.</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Lei n. 9.099/1995.</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Lei n. 9.796, de 5 de maio de 1999.</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Lei n. 9.876, de 26 de novembro de 1999.</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MP 871, de 18 de janeiro de 2019.</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MP n. 871/2019, convertida na Lei n. 13.846, de 18 de junho de 2019.</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Portaria Conjunta MPS/INSS nº 13, de 21 de março de 2026.</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Portaria Interministerial AGU/MPS/MF/SEDH/MP n. 1/2014.</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Portaria Interministerial MPS/MF n. 13, de 09/01/2026.</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Portaria Interministerial MTP/MS n. 22, de 31 de agosto de 2022.</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Portaria MPS nº 125, de 14 de fevereiro de 2026.</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Portaria PRES/INSS nº 1.851, de 17 de novembro de 2025.</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Portarias Interministeriais MPS/MF.</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Resolução CJF n. 390/2004.</w:t>
      </w:r>
    </w:p>
    <w:p>
      <w:pPr>
        <w:spacing w:before="200" w:after="100" w:line="240" w:lineRule="auto"/>
        <w:jc w:val="left"/>
        <w:keepNext/>
      </w:pPr>
      <w:r>
        <w:rPr>
          <w:rFonts w:ascii="EB Garamond" w:hAnsi="EB Garamond" w:cs="EB Garamond"/>
          <w:b/>
          <w:i w:val="0"/>
          <w:color w:val="3A3128"/>
          <w:sz w:val="23"/>
          <w:lang w:val="pt-BR" w:bidi="ar-SA"/>
          <w:kern w:val="16"/>
          <w14:ligatures w14:val="standardContextual"/>
        </w:rPr>
        <w:t>Jurisprudência</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ADI 6096/STF (Plenário Virtual, j. 01/07/2020, Rel. Min. Edson Fachin) — inconstitucionalidade da extensão do art. 103 ao indeferimento/cancelamento/cessação</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Enunciado 26/FONAJEF, vedação de ação rescisória nos JEFs</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Enunciado 35/FONAJEF, fato superveniente e nova ação</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OJ 177/SDI-I/TST, cancelada (aposentadoria e extinção do contrato de trabalho).</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OJ 361/SDI-I/TST (aposentadoria e contrato de trabalho).</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RE 626.489/SE — Tema 313/STF (Plenário, j. 16/10/2013, Rel. Min. Roberto Barroso), constitucionalidade do prazo decadencial de 10 anos</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REsp 1.114.938/AL — Tema 214/STJ (Rel. Min. Napoleão Nunes Maia Filho, 1ª Seção, j. 14/04/2010) — autotutela e prazo decadencial</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REsp 2.145.294/SC (Terceira Turma, j. 18/06/2024), querela nullitatis como questão prejudicial</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STF, ADI 2.110/DF e ADI 2.111/DF, constitucionalidade do art. 3º da Lei 9.876/99 (regra de transição/cálculo da RMI).</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STF, ADI 2.111 — constitucionalidade do fator previdenciário.</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STF, ADI 4.277 e ADPF 132, reconhecimento da união estável homoafetiva.</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STF, ADI 6.309 (Rel. orig. Min. Luís Roberto Barroso, red. p/ acórdão Min. André Mendonça, j. 03/06/2026), constitucionalidade da EC 103/2019: vedação à conversão de tempo especial pós-13/11/2019 mantida; idade mínima da aposentadoria especial declarada inconstitucional; nova forma de cálculo mantida.</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STF, ADIs 2.110 e 2.111, inconstitucionalidade da exigência de carência para CI, facultativa e segurada especial.</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STF, Mandados de Injunção (MI 1.967, MI 1.886, MI 3.357) — mora legislativa na regulamentação do art. 201, § 1º.</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STF, Tema 1.102 — revisão da vida toda (art. 3º, Lei 9.876/99).</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STF, Tema 334 (RE 630.501/RS), direito ao benefício mais vantajoso.</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STF, Tema 350 (RE 631.240) — prévio requerimento administrativo.</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STF, Tema 350 (RE 631.240), prévio requerimento administrativo.</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STF, Tema 503 — vedação da desaposentação.</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STF, Tema 72 da repercussão geral (RE 576.967) — inconstitucionalidade da contribuição patronal sobre salário-maternidade.</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STF, Tema 840 (RE 683.621) — vedação ao tempo fictício ("serviço efetivo, em qualquer regime jurídico" não aproveita tempo ficto).</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STF, Tema 89 (RE 587.365) — renda aferida é a do segurado, não dos dependentes.</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STF, Tema 942 (RE 1.014.286, Rel. Min. Edson Fachin), conversão de tempo especial do RGPS para averbação no RPPS via CTC.</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STF: Tema 529 (RE 1.045.273 — uniões estáveis simultâneas e rateio de pensão); Tema 1.271 (RE 1.442.021 — exclusão do menor sob guarda do rol de dependentes); Tema 350 (RE 631.240 — prévio requerimento administrativo); ADI 4.277/ADPF 132 (reconhecimento da união homoafetiva); ADI 7.051 (constitucionalidade do regime de cotas da EC 103/2019); ADIs 4.878 e 5.083 (constitucionalidade da exclusão do menor sob guarda — controle abstrato).</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STJ, jurisprudência consolidada sobre enquadramento por categoria profissional até 1995 (Decretos 53.831/1964 e 83.080/1979).</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STJ, REsp 1.672.295/RS, prisão domiciliar em regime fechado/semiaberto e manutenção do auxílio-reclusão.</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STJ, Súmula 149 / Tema 297, prova de atividade rural (vedada prova exclusivamente testemunhal); TNU, Temas 11 e 17, flexibilização do início de prova material no salário-maternidade da segurada especial.</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STJ, Tema 1.070 (REsp 1.870.793/RS), soma integral de salários em atividades concomitantes.</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STJ, Tema 1.162 (leading case REsp 1.958.361; REsp 1.971.856 e 1.971.857), 1ª Seção. Afetação relatada pela Min. Assusete Magalhães (ProAfR julgado em 23/08/2022, DJe 01/09/2022); acórdão de mérito relatado pelo Min. Teodoro Silva Santos, julgamento concluído em 12/11/2025 e acórdão publicado em 19/11/2025 — flexibilização do limite de baixa renda (pré-MP 871).</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STJ, Tema 1.188 (REsp 1.938.265, Rel. Min. Benedito Gonçalves, j. 11/09/2024), sentença trabalhista homologatória de acordo como início de prova material apenas com elementos contemporâneos (art. 55, § 3º, Lei 8.213/91).</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STJ, Tema 1.238 (REsp 2.068.311, Rel. Min. Mauro Campbell Marques, j. 06/02/2025), impossibilidade de cômputo do período de aviso prévio indenizado como tempo de serviço para fins previdenciários.</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STJ, Tema 1007 (REsp 1.674.221), aposentadoria por idade híbrida.</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STJ, Tema 422 (REsp 1.151.363/MG, Rel. Min. Jorge Mussi), conversão de tempo especial em comum.</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STJ, Tema 546 (REsp 1.310.034/PR), a lei vigente por ocasião da aposentadoria é a aplicável ao direito à conversão entre tempos de serviço especial e comum.</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STJ, Tema 629 (REsp 1.352.721/SP, Rel. Min. Napoleão Nunes Maia Filho), ausência de início de prova material e extinção do processo sem resolução do mérito (possibilidade de repropositura).</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STJ, Tema 896 (REsp 1.485.417/MS; revisão nos REsp 1.842.985/PR e 1.842.974/PR), Rel. Min. Herman Benjamin, aferição de baixa renda do segurado desempregado.</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STJ, Tema 995 (REsp 1.727.063/SP, Rel. Min. Mauro Campbell Marques, j. 22/10/2019), reafirmação da DER.</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STJ, Tema 995 (REsp 1.727.069/SP e REsp 1.727.063/SP), reafirmação da DER.</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STJ, Temas 422 e 423 (REsp 1.151.363/MG, Rel. Min. Jorge Mussi), conversão de tempo especial em comum: permanência do direito após 28/05/1998 (Tema 422) e natureza meramente matemática do fator de conversão (Tema 423).</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STJ: Súmula 336 (direito do ex-cônjuge que renunciou a alimentos); Súmula 149 (insuficiência de prova exclusivamente testemunhal para atividade rurícola); Súmula 15 (a competência para conhecer das ações decorrentes de acidente do trabalho é da Justiça Estadual); Tema 732 (direito do menor sob guarda à pensão por morte, com prevalência do art. 33, § 3º, do ECA, para óbitos regidos pela legislação anterior à EC 103/2019); Tema 1057 (REsp 1.856.967, rel. Min. Regina Helena Costa — legitimidade de pensionistas e sucessores para ação revisional do benefício do instituidor).</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Súmula 111/STJ, honorários sobre parcelas vencidas até a sentença.</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Súmula 12/TST, presunção de veracidade das anotações em CTPS.</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Súmula 14/TNU, prova documental que não precisa cobrir todo o período de carência.</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Súmula 149/STJ, vedação de prova exclusivamente testemunhal para atividade rural.</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Súmula 203/STJ (descabimento de recurso especial contra decisão de juizado)</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Súmula 24/TNU, cômputo do tempo rural anterior à Lei 8.213/91 sem recolhimento, exceto para carência.</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Súmula 244/TST, estabilidade gestante (natureza objetiva).</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Súmula 272/STJ, segurado especial: tempo de contribuição pós-1991 só com recolhimento facultativo.</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Súmula 34/TNU, início de prova material contemporâneo aos fatos.</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Súmula 44/TNU, marco temporal para aferição da carência (art. 142).</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Súmula 45/TNU, correção monetária do salário-maternidade desde a data do parto.</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Súmula 47/TNU (análise das condições pessoais e sociais na incapacidade parcial)</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Súmula 473/STF, autotutela administrativa</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Súmula 501/STF (competência estadual em ações acidentárias)</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Súmula 53/TNU (incapacidade preexistente ao reingresso no RGPS)</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Súmula 577/STJ, extensão temporal da prova rural antes do documento mais antigo.</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Súmula 689/STF (foro do segurado em ação contra a instituição previdenciária)</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Súmula 75/TNU — CTPS sem defeito como prova suficiente para fins previdenciários.</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Súmula 75/TNU — prevalência das anotações da CTPS sobre o CNIS</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Súmula 77/TNU (dispensa de análise das condições pessoais quando não reconhecida sequer a incapacidade para a atividade habitual)</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Súmula 78/TNU (concessão a portador de HIV diante de incapacidade parcial e estigma social)</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Súmula 85/STJ, prescrição em relações de trato sucessivo</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Súmula 85/STJ, prescrição em relações de trato sucessivo.</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Súmula 96/TCU, aluno-aprendiz em escola pública profissional.</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Súmulas 346 e 473/STF</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Tema 1.013/STJ (REsp 1.786.590/SP, Primeira Seção, j. 24/06/2020 — cumulação de salários e benefício pago retroativamente)</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Tema 1.095/STF (RE 1.221.446, Rel. Min. Dias Toffoli, Plenário, j. 21/06/2021 — adicional de 25% restrito à aposentadoria por incapacidade permanente)</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Tema 1.124/STJ (REsp 1.913.152, Rel. Min. Herman Benjamin, j. 08/10/2025 — interesse de agir e termo inicial dos efeitos financeiros)</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Tema 1.125/STF (RE 1.298.832, Rel. Min. Luiz Fux — então Presidente, Plenário Virtual, reafirmação de jurisprudência, j. 19/02/2021 — cômputo do período de auxílio-doença para fins de carência, desde que intercalado com atividade laborativa)</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Tema 1.157/STJ (1ª Seção, j. 07/05/2026)</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Tema 1.196/STF (RE 1.347.526, Tribunal Pleno, Rel. Min. Cristiano Zanin, j. 15/09/2025) — constitucionalidade da alta programada</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Tema 1.246/STJ (REsp 2.082.395/SP, Rel. Min. Paulo Sérgio Domingues, Primeira Seção, j. 13/11/2024 — inadmissibilidade de recurso especial para rediscutir a incapacidade)</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Tema 1.277/STF (RE 1.426.083 — competência absoluta dos JEFs restrita ao valor da causa)</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Tema 1.300/STF (RE 1.469.150, Rel. Min. Luís Roberto Barroso, j. 18/12/2025 — cálculo da aposentadoria por incapacidade permanente por doença grave após a EC 103/2019)</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Tema 1.335/STF (RE 1.515.163 — não incidência da SELIC no período de graça do precatório; apenas correção monetária)</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Tema 1057/STJ (REsp 1.856.967/PR e outros, 1ª Seção, Rel. Min.ª Regina Helena Costa, j. 23/06/2021), legitimidade de pensionistas e herdeiros</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Tema 182/TNU (PEDILEF 0507558-39.2016.4.05.8500/SE) — suspensão/cancelamento indevido de prestação não gera dano moral por si só</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Tema 214/STJ (REsp 1.114.938/AL, 1ª Seção, j. 14/04/2010), revisão administrativa pelo INSS</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Tema 242/TNU (PEDILEF 0001436-92.2016.4.01.3807/MG) — demora na perícia médica do INSS e responsabilidade civil do Estado</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Tema 27/STF (RE 567.985 — inconstitucionalidade do critério rígido de 1/4 do SM para o BPC/LOAS)</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Tema 274/TNU (PEDILEF 0512288-77.2017.4.05.8300 — doenças estigmatizantes)</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Tema 312/STF (RE 580.963 — inconstitucionalidade por omissão parcial do parágrafo único do art. 34 do Estatuto do Idoso)</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Tema 350/STF (RE 631.240, Plenário, j. 03/09/2014, Rel. Min. Luís Roberto Barroso)</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Tema 350/STF (RE 631.240, Rel. Min. Roberto Barroso, j. 03/09/2014 — prévio requerimento administrativo como condição do interesse de agir)</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Tema 350/STF (RE 631.240/MG — prévio requerimento administrativo)</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Tema 445/STF (RE 636.553/RS, Plenário, j. 19/02/2020, Rel. Min. Gilmar Mendes), decadência do prazo de anulação de aposentadorias pela Administração</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Tema 555/STF (ARE 664.335 — EPI e descaracterização do tempo especial)</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Tema 626/STJ (REsp 1.369.165/SP, Rel. Min. Benedito Gonçalves, Primeira Seção, j. 26/02/2014 — termo inicial na citação válida quando ausente requerimento administrativo prévio)</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Tema 629/STJ (REsp 1.352.721/SP, Corte Especial, j. 16/12/2015), ausência de prova e extinção sem julgamento do mérito (base da coisa julgada secundum eventum probationis)</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Tema 810/STF (RE 870.947 — índices de correção e juros das condenações da Fazenda Pública)</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Tema 820/STF (RE 860.508 — pressuposto fático da competência delegada do art. 109, § 3º, CF/88)</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Tema 966/STJ (REsp 1.631.021/MG, 1ª Seção, Rel. Min. Mauro Campbell Marques, j. 13/02/2019)</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Tema 966/STJ (REsp 1.631.021/SP, 1ª Seção, Rel. Min. Mauro Campbell Marques, j. 13/02/2019), decadência e direito ao benefício mais vantajoso</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Tema 975/STJ (REsp 1.644.191/RS, 1ª Seção, j. 11/12/2019), termo inicial da decadência quando INSS não examinou de ofício</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Tema 975/STJ (REsp 1.648.336/RS, 1ª Seção, Rel. Min. Herman Benjamin, j. 11/12/2019)</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Tema 982/STJ (REsp 1.648.305/RS, Rel. Min. Assusete Magalhães, Primeira Seção, j. 22/08/2018 — extensão do adicional de 25%, posteriormente revertida pelo Tema 1.095/STF)</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TNU, Tema 113, salário-maternidade devido à desempregada, pago diretamente pela Previdência Social (cálculo: TNU Tema 202, art. 73, III).</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TNU, Tema 216, aluno-aprendiz (requisitos restritivos).</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TNU, Tema 217, fungibilidade entre BPC/LOAS e benefícios por incapacidade.</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TNU, Tema 357, monitoração eletrônica e direito adquirido ao auxílio-reclusão (pré-2019).</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TNU, Tema 358, carência como requisito autônomo pós-EC 103/2019.</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TNU: Súmula 63 (comprovação de união estável prescinde de início de prova material para óbitos anteriores à MP 871/2019).</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Superior Tribunal de Justiça. Jurisprudência consolidada sobre a inadimplência do empregador e a manutenção da qualidade de segurado do empregado (art. 30, I, e art. 33, § 5º, da Lei nº 8.212/91).</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Superior Tribunal de Justiça. Jurisprudência em Teses, edição 198 — Auxílio-Acidente. Publicada em 08/09/2022.</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Superior Tribunal de Justiça. Jurisprudência em Teses, edição 199 — Auxílio-Acidente II. Publicada em 16/09/2022.</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xml:space="preserve">BRASIL. Superior Tribunal de Justiça. REsp 1.495.146/MG (Tema 905). Rel. Min. Mauro Campbell Marques. 1ª Seção. Julgado em 22 fev. 2018. </w:t>
      </w:r>
      <w:r>
        <w:rPr>
          <w:rFonts w:ascii="EB Garamond" w:hAnsi="EB Garamond" w:cs="EB Garamond"/>
          <w:b w:val="0"/>
          <w:i/>
          <w:color w:val="201B16"/>
          <w:sz w:val="18"/>
          <w:lang w:val="pt-BR" w:bidi="ar-SA"/>
          <w:kern w:val="16"/>
          <w14:ligatures w14:val="standardContextual"/>
        </w:rPr>
        <w:t>Diário da Justiça Eletrônico</w:t>
      </w:r>
      <w:r>
        <w:rPr>
          <w:rFonts w:ascii="EB Garamond" w:hAnsi="EB Garamond" w:cs="EB Garamond"/>
          <w:b w:val="0"/>
          <w:i w:val="0"/>
          <w:color w:val="201B16"/>
          <w:sz w:val="18"/>
          <w:lang w:val="pt-BR" w:bidi="ar-SA"/>
          <w:kern w:val="16"/>
          <w14:ligatures w14:val="standardContextual"/>
        </w:rPr>
        <w:t>, Brasília, DF, 20 mar. 2018.</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xml:space="preserve">BRASIL. Superior Tribunal de Justiça. REsp 1.870.793/RS e REsp 1.870.815/RS (Tema 1.070). Rel. Min. Sérgio Kukina. 1ª Seção. Julgado em 11 maio 2022. Trânsito em julgado: 13 fev. 2023. </w:t>
      </w:r>
      <w:r>
        <w:rPr>
          <w:rFonts w:ascii="EB Garamond" w:hAnsi="EB Garamond" w:cs="EB Garamond"/>
          <w:b w:val="0"/>
          <w:i/>
          <w:color w:val="201B16"/>
          <w:sz w:val="18"/>
          <w:lang w:val="pt-BR" w:bidi="ar-SA"/>
          <w:kern w:val="16"/>
          <w14:ligatures w14:val="standardContextual"/>
        </w:rPr>
        <w:t>Diário da Justiça Eletrônico</w:t>
      </w:r>
      <w:r>
        <w:rPr>
          <w:rFonts w:ascii="EB Garamond" w:hAnsi="EB Garamond" w:cs="EB Garamond"/>
          <w:b w:val="0"/>
          <w:i w:val="0"/>
          <w:color w:val="201B16"/>
          <w:sz w:val="18"/>
          <w:lang w:val="pt-BR" w:bidi="ar-SA"/>
          <w:kern w:val="16"/>
          <w14:ligatures w14:val="standardContextual"/>
        </w:rPr>
        <w:t>, Brasília, DF, 24 maio 2022.</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xml:space="preserve">BRASIL. Superior Tribunal de Justiça. REsp 1.957.733 e REsp 1.958.465 (Tema 1.140). Rel. Min. Gurgel de Faria. 1ª Seção. Julgado em 14 ago. 2024. </w:t>
      </w:r>
      <w:r>
        <w:rPr>
          <w:rFonts w:ascii="EB Garamond" w:hAnsi="EB Garamond" w:cs="EB Garamond"/>
          <w:b w:val="0"/>
          <w:i/>
          <w:color w:val="201B16"/>
          <w:sz w:val="18"/>
          <w:lang w:val="pt-BR" w:bidi="ar-SA"/>
          <w:kern w:val="16"/>
          <w14:ligatures w14:val="standardContextual"/>
        </w:rPr>
        <w:t>Diário da Justiça Eletrônico</w:t>
      </w:r>
      <w:r>
        <w:rPr>
          <w:rFonts w:ascii="EB Garamond" w:hAnsi="EB Garamond" w:cs="EB Garamond"/>
          <w:b w:val="0"/>
          <w:i w:val="0"/>
          <w:color w:val="201B16"/>
          <w:sz w:val="18"/>
          <w:lang w:val="pt-BR" w:bidi="ar-SA"/>
          <w:kern w:val="16"/>
          <w14:ligatures w14:val="standardContextual"/>
        </w:rPr>
        <w:t>, Brasília, DF, 2024.</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Superior Tribunal de Justiça. Súmula 149. A prova exclusivamente testemunhal não basta à comprovação da atividade rurícola, para efeito da obtenção de benefício previdenciário.</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Superior Tribunal de Justiça. Súmula 44. Aprovada em 1992.</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Superior Tribunal de Justiça. Súmula 507. Aprovada em 26/03/2014.</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Superior Tribunal de Justiça. Tema 533. Extensão da prova material entre integrantes do núcleo familiar em regime de economia familiar e seus limites.</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Superior Tribunal de Justiça. Tema 862. REsp 1.729.555/SP. Rel. Min. Assusete Magalhães. Primeira Seção. Julgado em 09/06/2021. DJe 01/07/2021.</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Superior Tribunal de Justiça. Tema 975. Decadência e matérias não examinadas de ofício pelo INSS.</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xml:space="preserve">BRASIL. Superior Tribunal de Justiça. Tema 995. Rel. Min. Mauro Campbell Marques. 1ª Seção. Julgado em 22 out. 2019. </w:t>
      </w:r>
      <w:r>
        <w:rPr>
          <w:rFonts w:ascii="EB Garamond" w:hAnsi="EB Garamond" w:cs="EB Garamond"/>
          <w:b w:val="0"/>
          <w:i/>
          <w:color w:val="201B16"/>
          <w:sz w:val="18"/>
          <w:lang w:val="pt-BR" w:bidi="ar-SA"/>
          <w:kern w:val="16"/>
          <w14:ligatures w14:val="standardContextual"/>
        </w:rPr>
        <w:t>Diário da Justiça Eletrônico</w:t>
      </w:r>
      <w:r>
        <w:rPr>
          <w:rFonts w:ascii="EB Garamond" w:hAnsi="EB Garamond" w:cs="EB Garamond"/>
          <w:b w:val="0"/>
          <w:i w:val="0"/>
          <w:color w:val="201B16"/>
          <w:sz w:val="18"/>
          <w:lang w:val="pt-BR" w:bidi="ar-SA"/>
          <w:kern w:val="16"/>
          <w14:ligatures w14:val="standardContextual"/>
        </w:rPr>
        <w:t>, Brasília, DF, 2 dez. 2019.</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Superior Tribunal de Justiça. Tema 999. Regra de cálculo do benefício: aplicação do art. 29, I e II, da Lei 8.213/91 em confronto com o art. 3º da Lei 9.876/1999. (Tema sobrestado na origem, atrelado ao desfecho do Tema 1.102/STF.)</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xml:space="preserve">BRASIL. Superior Tribunal de Justiça. </w:t>
      </w:r>
      <w:r>
        <w:rPr>
          <w:rFonts w:ascii="EB Garamond" w:hAnsi="EB Garamond" w:cs="EB Garamond"/>
          <w:b/>
          <w:i w:val="0"/>
          <w:color w:val="201B16"/>
          <w:sz w:val="18"/>
          <w:lang w:val="pt-BR" w:bidi="ar-SA"/>
          <w:kern w:val="16"/>
          <w14:ligatures w14:val="standardContextual"/>
        </w:rPr>
        <w:t>Tema Repetitivo 1.174</w:t>
      </w:r>
      <w:r>
        <w:rPr>
          <w:rFonts w:ascii="EB Garamond" w:hAnsi="EB Garamond" w:cs="EB Garamond"/>
          <w:b w:val="0"/>
          <w:i w:val="0"/>
          <w:color w:val="201B16"/>
          <w:sz w:val="18"/>
          <w:lang w:val="pt-BR" w:bidi="ar-SA"/>
          <w:kern w:val="16"/>
          <w14:ligatures w14:val="standardContextual"/>
        </w:rPr>
        <w:t xml:space="preserve"> (REsp 2.005.029/PR, Rel. Min. Herman Benjamin, 1ª Seção, j. 14/08/2024): as parcelas relativas ao vale-transporte, vale-refeição/alimentação, plano de assistência à saúde, ao IRRF e à contribuição previdenciária dos empregados, descontadas em folha, não integram a base de cálculo da contribuição previdenciária patronal, do SAT e das contribuições a terceiros.</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xml:space="preserve">BRASIL. Superior Tribunal de Justiça. </w:t>
      </w:r>
      <w:r>
        <w:rPr>
          <w:rFonts w:ascii="EB Garamond" w:hAnsi="EB Garamond" w:cs="EB Garamond"/>
          <w:b/>
          <w:i w:val="0"/>
          <w:color w:val="201B16"/>
          <w:sz w:val="18"/>
          <w:lang w:val="pt-BR" w:bidi="ar-SA"/>
          <w:kern w:val="16"/>
          <w14:ligatures w14:val="standardContextual"/>
        </w:rPr>
        <w:t>Tema Repetitivo 1.252</w:t>
      </w:r>
      <w:r>
        <w:rPr>
          <w:rFonts w:ascii="EB Garamond" w:hAnsi="EB Garamond" w:cs="EB Garamond"/>
          <w:b w:val="0"/>
          <w:i w:val="0"/>
          <w:color w:val="201B16"/>
          <w:sz w:val="18"/>
          <w:lang w:val="pt-BR" w:bidi="ar-SA"/>
          <w:kern w:val="16"/>
          <w14:ligatures w14:val="standardContextual"/>
        </w:rPr>
        <w:t xml:space="preserve"> (REsp 2.050.498, Rel. Min. Herman Benjamin, 1ª Seção, j. 20/06/2024): incide a contribuição previdenciária patronal sobre o adicional de insalubridade, em razão de sua natureza remuneratória.</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xml:space="preserve">BRASIL. Superior Tribunal de Justiça. </w:t>
      </w:r>
      <w:r>
        <w:rPr>
          <w:rFonts w:ascii="EB Garamond" w:hAnsi="EB Garamond" w:cs="EB Garamond"/>
          <w:b/>
          <w:i w:val="0"/>
          <w:color w:val="201B16"/>
          <w:sz w:val="18"/>
          <w:lang w:val="pt-BR" w:bidi="ar-SA"/>
          <w:kern w:val="16"/>
          <w14:ligatures w14:val="standardContextual"/>
        </w:rPr>
        <w:t>Tema Repetitivo 1.342</w:t>
      </w:r>
      <w:r>
        <w:rPr>
          <w:rFonts w:ascii="EB Garamond" w:hAnsi="EB Garamond" w:cs="EB Garamond"/>
          <w:b w:val="0"/>
          <w:i w:val="0"/>
          <w:color w:val="201B16"/>
          <w:sz w:val="18"/>
          <w:lang w:val="pt-BR" w:bidi="ar-SA"/>
          <w:kern w:val="16"/>
          <w14:ligatures w14:val="standardContextual"/>
        </w:rPr>
        <w:t xml:space="preserve"> (REsp 2.191.479, Rel. Min. Maria Thereza de Assis Moura, 1ª Seção, j. 13/08/2025): a remuneração decorrente do contrato de aprendizagem (art. 428 da CLT) integra a base de cálculo da contribuição previdenciária patronal, do GILRAT e das contribuições a terceiros.</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Supremo Tribunal Federal. ADI 2.110/DF e ADI 2.111/DF. Declaração de constitucionalidade do art. 3º da Lei 9.876/1999, com modulação de efeitos (ata de julgamento do mérito publicada em 05/04/2024). Afastamento da tese da revisão da vida toda fixada no Tema 1.102/STF.</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xml:space="preserve">BRASIL. Supremo Tribunal Federal. ADI 2.110/DF e ADI 2.111/DF. Rel. Min. Nunes Marques. Plenário. Julgamento concluído em 21 mar. 2024. </w:t>
      </w:r>
      <w:r>
        <w:rPr>
          <w:rFonts w:ascii="EB Garamond" w:hAnsi="EB Garamond" w:cs="EB Garamond"/>
          <w:b w:val="0"/>
          <w:i/>
          <w:color w:val="201B16"/>
          <w:sz w:val="18"/>
          <w:lang w:val="pt-BR" w:bidi="ar-SA"/>
          <w:kern w:val="16"/>
          <w14:ligatures w14:val="standardContextual"/>
        </w:rPr>
        <w:t>Diário da Justiça Eletrônico</w:t>
      </w:r>
      <w:r>
        <w:rPr>
          <w:rFonts w:ascii="EB Garamond" w:hAnsi="EB Garamond" w:cs="EB Garamond"/>
          <w:b w:val="0"/>
          <w:i w:val="0"/>
          <w:color w:val="201B16"/>
          <w:sz w:val="18"/>
          <w:lang w:val="pt-BR" w:bidi="ar-SA"/>
          <w:kern w:val="16"/>
          <w14:ligatures w14:val="standardContextual"/>
        </w:rPr>
        <w:t>, Brasília, DF, 5 abr. 2024.</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Supremo Tribunal Federal. ADI 3.105. Relatora: Min. Ellen Gracie. Relator p/ acórdão: Min. Cezar Peluso. Julgamento: 18/08/2004. Contribuição de inativos no RPPS e princípio da solidariedade.</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Supremo Tribunal Federal. ARE 888938 (Tema 824). A questão relativa ao índice de reajuste aplicável aos benefícios previdenciários, para fins de preservação de seu valor real, tem natureza infraconstitucional e ausência de repercussão geral.</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xml:space="preserve">BRASIL. Supremo Tribunal Federal. RE 1.221.630 (Tema 1.091). Rel. Min. Presidente. Plenário (reafirmação de jurisprudência). Julgado em 5 jun. 2020. </w:t>
      </w:r>
      <w:r>
        <w:rPr>
          <w:rFonts w:ascii="EB Garamond" w:hAnsi="EB Garamond" w:cs="EB Garamond"/>
          <w:b w:val="0"/>
          <w:i/>
          <w:color w:val="201B16"/>
          <w:sz w:val="18"/>
          <w:lang w:val="pt-BR" w:bidi="ar-SA"/>
          <w:kern w:val="16"/>
          <w14:ligatures w14:val="standardContextual"/>
        </w:rPr>
        <w:t>Diário da Justiça Eletrônico</w:t>
      </w:r>
      <w:r>
        <w:rPr>
          <w:rFonts w:ascii="EB Garamond" w:hAnsi="EB Garamond" w:cs="EB Garamond"/>
          <w:b w:val="0"/>
          <w:i w:val="0"/>
          <w:color w:val="201B16"/>
          <w:sz w:val="18"/>
          <w:lang w:val="pt-BR" w:bidi="ar-SA"/>
          <w:kern w:val="16"/>
          <w14:ligatures w14:val="standardContextual"/>
        </w:rPr>
        <w:t>, Brasília, DF, 2020.</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Supremo Tribunal Federal. RE 1.276.977 (Tema 1.102). Relator originário: Min. Marco Aurélio. Redator p/ acórdão: Min. Alexandre de Moraes. Julgamento do mérito: 01/12/2022. Revisão da vida toda: o STF reconheceu, no julgamento de mérito, o direito do segurado a optar pela regra definitiva de cálculo quando mais favorável. Posição superada pela declaração de constitucionalidade do art. 3º da Lei 9.876/1999.</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xml:space="preserve">BRASIL. Supremo Tribunal Federal. RE 1.276.977/RS (Tema 1.102). Rel. p/ acórdão Min. Alexandre de Moraes (julgamento original, dez. 2022); embargos com efeitos infringentes julgados em 26 nov. 2025 (tese revertida). Plenário. </w:t>
      </w:r>
      <w:r>
        <w:rPr>
          <w:rFonts w:ascii="EB Garamond" w:hAnsi="EB Garamond" w:cs="EB Garamond"/>
          <w:b w:val="0"/>
          <w:i/>
          <w:color w:val="201B16"/>
          <w:sz w:val="18"/>
          <w:lang w:val="pt-BR" w:bidi="ar-SA"/>
          <w:kern w:val="16"/>
          <w14:ligatures w14:val="standardContextual"/>
        </w:rPr>
        <w:t>Diário da Justiça Eletrônico</w:t>
      </w:r>
      <w:r>
        <w:rPr>
          <w:rFonts w:ascii="EB Garamond" w:hAnsi="EB Garamond" w:cs="EB Garamond"/>
          <w:b w:val="0"/>
          <w:i w:val="0"/>
          <w:color w:val="201B16"/>
          <w:sz w:val="18"/>
          <w:lang w:val="pt-BR" w:bidi="ar-SA"/>
          <w:kern w:val="16"/>
          <w14:ligatures w14:val="standardContextual"/>
        </w:rPr>
        <w:t>, Brasília, DF, 2025.</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xml:space="preserve">BRASIL. Supremo Tribunal Federal. RE 1.469.150/SC (Tema 1.300). Rel. Min. Luís Roberto Barroso. Plenário. Julgado em 18 dez. 2025. </w:t>
      </w:r>
      <w:r>
        <w:rPr>
          <w:rFonts w:ascii="EB Garamond" w:hAnsi="EB Garamond" w:cs="EB Garamond"/>
          <w:b w:val="0"/>
          <w:i/>
          <w:color w:val="201B16"/>
          <w:sz w:val="18"/>
          <w:lang w:val="pt-BR" w:bidi="ar-SA"/>
          <w:kern w:val="16"/>
          <w14:ligatures w14:val="standardContextual"/>
        </w:rPr>
        <w:t>Diário da Justiça Eletrônico</w:t>
      </w:r>
      <w:r>
        <w:rPr>
          <w:rFonts w:ascii="EB Garamond" w:hAnsi="EB Garamond" w:cs="EB Garamond"/>
          <w:b w:val="0"/>
          <w:i w:val="0"/>
          <w:color w:val="201B16"/>
          <w:sz w:val="18"/>
          <w:lang w:val="pt-BR" w:bidi="ar-SA"/>
          <w:kern w:val="16"/>
          <w14:ligatures w14:val="standardContextual"/>
        </w:rPr>
        <w:t>, Brasília, DF, 2026.</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Supremo Tribunal Federal. RE 376.846 (Pleno, 2003). Preservação do valor real dos benefícios previdenciários e delegação legislativa do índice de correção.</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Supremo Tribunal Federal. RE 564.354 (Tema 76). Relatora: Min. Cármen Lúcia. Julgamento: 08/09/2010. Readequação de benefícios ao novo teto das ECs 20/1998 e 41/2003.</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xml:space="preserve">BRASIL. Supremo Tribunal Federal. RE 564.354/SE (Tema 76). Rel. Min. Cármen Lúcia. Plenário. Julgado em 8 set. 2010. </w:t>
      </w:r>
      <w:r>
        <w:rPr>
          <w:rFonts w:ascii="EB Garamond" w:hAnsi="EB Garamond" w:cs="EB Garamond"/>
          <w:b w:val="0"/>
          <w:i/>
          <w:color w:val="201B16"/>
          <w:sz w:val="18"/>
          <w:lang w:val="pt-BR" w:bidi="ar-SA"/>
          <w:kern w:val="16"/>
          <w14:ligatures w14:val="standardContextual"/>
        </w:rPr>
        <w:t>Diário da Justiça Eletrônico</w:t>
      </w:r>
      <w:r>
        <w:rPr>
          <w:rFonts w:ascii="EB Garamond" w:hAnsi="EB Garamond" w:cs="EB Garamond"/>
          <w:b w:val="0"/>
          <w:i w:val="0"/>
          <w:color w:val="201B16"/>
          <w:sz w:val="18"/>
          <w:lang w:val="pt-BR" w:bidi="ar-SA"/>
          <w:kern w:val="16"/>
          <w14:ligatures w14:val="standardContextual"/>
        </w:rPr>
        <w:t>, Brasília, DF, 15 fev. 2011.</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Supremo Tribunal Federal. RE 631.240 (Tema 350). Relator: Min. Roberto Barroso. Julgamento: 03/09/2014. Dispensa do prévio requerimento administrativo em ações previdenciárias.</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xml:space="preserve">BRASIL. Supremo Tribunal Federal. RE 639.856 (Tema 616). Rel. Min. Gilmar Mendes. Plenário. Julgado em 19 ago. 2025. </w:t>
      </w:r>
      <w:r>
        <w:rPr>
          <w:rFonts w:ascii="EB Garamond" w:hAnsi="EB Garamond" w:cs="EB Garamond"/>
          <w:b w:val="0"/>
          <w:i/>
          <w:color w:val="201B16"/>
          <w:sz w:val="18"/>
          <w:lang w:val="pt-BR" w:bidi="ar-SA"/>
          <w:kern w:val="16"/>
          <w14:ligatures w14:val="standardContextual"/>
        </w:rPr>
        <w:t>Diário da Justiça Eletrônico</w:t>
      </w:r>
      <w:r>
        <w:rPr>
          <w:rFonts w:ascii="EB Garamond" w:hAnsi="EB Garamond" w:cs="EB Garamond"/>
          <w:b w:val="0"/>
          <w:i w:val="0"/>
          <w:color w:val="201B16"/>
          <w:sz w:val="18"/>
          <w:lang w:val="pt-BR" w:bidi="ar-SA"/>
          <w:kern w:val="16"/>
          <w14:ligatures w14:val="standardContextual"/>
        </w:rPr>
        <w:t>, Brasília, DF, 2025.</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Supremo Tribunal Federal. RE 661.256 (Tema 503). Relator: Min. Dias Toffoli. Julgamento: 26/10/2016. Desaposentação.</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xml:space="preserve">BRASIL. Supremo Tribunal Federal. RE 937.595 (Tema 930). Rel. Min. Luís Roberto Barroso. Plenário. Julgado em 3 fev. 2017. </w:t>
      </w:r>
      <w:r>
        <w:rPr>
          <w:rFonts w:ascii="EB Garamond" w:hAnsi="EB Garamond" w:cs="EB Garamond"/>
          <w:b w:val="0"/>
          <w:i/>
          <w:color w:val="201B16"/>
          <w:sz w:val="18"/>
          <w:lang w:val="pt-BR" w:bidi="ar-SA"/>
          <w:kern w:val="16"/>
          <w14:ligatures w14:val="standardContextual"/>
        </w:rPr>
        <w:t>Diário da Justiça Eletrônico</w:t>
      </w:r>
      <w:r>
        <w:rPr>
          <w:rFonts w:ascii="EB Garamond" w:hAnsi="EB Garamond" w:cs="EB Garamond"/>
          <w:b w:val="0"/>
          <w:i w:val="0"/>
          <w:color w:val="201B16"/>
          <w:sz w:val="18"/>
          <w:lang w:val="pt-BR" w:bidi="ar-SA"/>
          <w:kern w:val="16"/>
          <w14:ligatures w14:val="standardContextual"/>
        </w:rPr>
        <w:t>, Brasília, DF, 2017.</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Turma Nacional de Uniformização dos JEFs. Tema 269. PEDILEF 0031628-86.2017.4.02.5054/ES. Rel. p/ acórdão Juiz Federal Ivanir César Ireno Júnior. Julgado em 05/05/2022.</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Turma Nacional de Uniformização dos JEFs. Tema 315. PEDILEF 5063339-35.2020.4.04.7100/RS. Rel. p/ acórdão Juíza Federal Lilian Oliveira da Costa Tourinho. Julgado em 18/10/2023.</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BRASIL. Turma Nacional de Uniformização dos JEFs. Tema 322. PEDILEF 5014634-54.2021.4.04.7202/SC. Rel. Juíza Federal Luciana Ortiz Tavares Costa Zanoni. Julgado em 22/11/2023.</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STF, ADI 1.232/DF (constitucionalidade do critério de 1/4 SM, superado).</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STF, ADIs 6.254, 6.255, 6.258, 6.271, questionam EC 103/2019 (pendentes).</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STF, ARE 664.335 (Tema 555 — EPI e aposentadoria especial). STF, RE 791.961 (Tema 709 — vedação ao trabalho especial). STF, RE 1.368.225 (Tema 1.209 — vigilante não se caracteriza como atividade especial, Rel. orig. Min. Nunes Marques, red. p/ acórdão Min. Alexandre de Moraes, j. 18/02/2026). STF, ADI 6.309 (constitucionalidade da EC 103/2019 — Rel. orig. Min. Luís Roberto Barroso, red. p/ acórdão Min. André Mendonça, j. 03/06/2026; procedência parcial: idade mínima da aposentadoria especial declarada inconstitucional, nova forma de cálculo e vedação à conversão mantidas). STJ, Tema 422. STJ, Tema 534. STJ, Tema 546. STJ, Tema 995. STJ, Tema 1.031 (vigilante — REsp 1.831.371, Rel. Min. Napoleão Nunes Maia Filho, j. 09/12/2020). STJ, Tema 1.070. STJ, Tema 1.090 (EPI no PPP — REsp 2.082.072, Rel. Min. Maria Thereza de Assis Moura, j. 09/04/2025). STJ, Tema 1.291 (contribuinte individual não cooperado — REsp 2.163.429, Rel. Min. Gurgel de Faria, j. 10/09/2025). STJ, Tema 1.307 (penosidade de motoristas/cobradores — REsp 2.164.724, Rel. Min. Gurgel de Faria, j. 07/05/2026). TNU, Súmula 68.</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STF, RE 567.985/MT, Tema 27 (inconstitucionalidade do critério rígido de 1/4 SM).</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STF, RE 580.963/PR, Tema 312 (inconstitucionalidade do parágrafo único do art. 34 do Estatuto do Idoso).</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STF, RE 587.970/SP, Tema 173 (BPC para estrangeiros residentes).</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STF, RE 631.240, Tema 350 (prévio requerimento administrativo).</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STF, RE 761.263 (Tema 723 — constitucionalidade da contribuição do segurado especial). STF, RE 718.874 (Tema 669 — constitucionalidade da contribuição do empregador rural pessoa física, Lei 10.256/2001). STJ, Tema 532 (REsp 1.304.479/SP — atividade urbana intercalada). STJ, Tema 642 (REsp 1.354.908/SP — contemporaneidade da atividade rural). STJ, Tema 1.007 (REsp 1.674.221/SP — aposentadoria híbrida e tempo rural remoto). STJ, Tema 1.115 (REsp 1.947.404/SP — módulos fiscais). STJ, Súmula 149. STJ, Súmula 577. TNU, Súmulas 6, 14, 34 e 41. TNU, Tema 219 (PEDILEF 5008955-78.2018.4.04.7202/SC — cômputo de trabalho rural de menor de 12 anos). TNU, Tema 327.</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STF, RE 870.947, Tema 810 (correção monetária — INPC).</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STF. RE 1.347.526, Tema 1.196 da repercussão geral (constitucionalidade da alta programada). Rel. Min. Cristiano Zanin, j. 15/09/2025.</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STF. RE 631.240, Tema 350 da repercussão geral (exigência de requerimento administrativo prévio). Súmula 501 do STF (competência da Justiça Estadual para acidente do trabalho).</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STJ, REsp 1.112.557/MG, Tema 185 (presunção absoluta de miserabilidade abaixo de 1/4 do salário-mínimo; prova por outros meios acima desse patamar).</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STJ, REsps 1.495.146/MG e 1.492.221/PR, Tema 905 (correção monetária — INPC para condenações previdenciárias; SELIC pós-EC 113/2021).</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STJ, Súmula 507 (DJe 17/03/2014) — acumulação auxílio-acidente + aposentadoria.</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STJ, Tema 1.207 (j. 20/06/2024), compensação de benefícios não acumuláveis mês a mês.</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STJ, Tema 555 (REsp 1.296.673/MG) — mesma tese em repetitivo.</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STJ. Súmula 85 (prescrição quinquenal das parcelas).</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STJ. Tema 1.013 (REsp 1.786.590/SP, Primeira Seção, j. 24/06/2020) — cumulação de rendas do trabalho e do benefício pago retroativamente.</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STJ. Tema 1.246 (REsp 2.082.395/SP, Primeira Seção, j. 13/11/2024) — inadmissibilidade de recurso especial para rediscutir incapacidade. Súmula 7/STJ.</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STJ. Tema 862 (REsp 1.729.555/SP, Primeira Seção, j. 09/06/2021) — termo inicial do auxílio-acidente.</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STJ. Tema 995 (REsp 1.727.063/SP e REsp 1.727.064/SP, Primeira Seção, j. 22/10/2019) — reafirmação da DER.</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SUPERIOR TRIBUNAL DE JUSTIÇA. REsp 1.334.488/SC (Tema 563). Relator Min. Herman Benjamin. 1ª Seção. Julgado em 08/05/2013. Recurso repetitivo. Desaposentação — admitida pelo STJ (posteriormente superada pelo Tema 503/STF).</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SUPERIOR TRIBUNAL DE JUSTIÇA. REsp 1.631.021/RS e REsp 1.612.818/RS (Tema 966). Relator Min. Mauro Campbell Marques. 1ª Seção. Julgado em 13/02/2019. DJe 13/03/2019. Decadência para reconhecimento do direito adquirido ao benefício mais vantajoso.</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SUPERIOR TRIBUNAL DE JUSTIÇA. REsp 1.648.336/RS e REsp 1.644.191/RS (Tema 975). Relator Min. Herman Benjamin. 1ª Seção. Julgado em 11/12/2019. DJe 04/08/2020. Aplicação da decadência às questões não apreciadas no ato administrativo de concessão.</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SUPERIOR TRIBUNAL DE JUSTIÇA. REsp 1.727.063/SP e REsp 1.727.064/SP (Tema 995). Relator Min. Mauro Campbell Marques. 1ª Seção. Julgado em 23/10/2019. DJe 02/12/2019. Reafirmação da DER.</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SUPERIOR TRIBUNAL DE JUSTIÇA. REsp 1.870.793/RS e REsp 1.870.815/RS (Tema 1070). Relator Min. Sérgio Kukina. 1ª Seção. Julgado em 11/05/2022. Trânsito em julgado em 13/02/2023. Atividades concomitantes — soma dos salários de contribuição.</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SUPERIOR TRIBUNAL DE JUSTIÇA. REsp 2.095.463/PR. Relatora Min. Nancy Andrighi. 3ª Turma. Julgado em 18/03/2025. DJe 21/03/2025. Querela nullitatis — pretensão, não procedimento.</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SUPREMO TRIBUNAL FEDERAL. ADI 7873. Relator Min. Luiz Fux. Ajuizamento pela OAB. Pendente de julgamento (junho/2026). Constitucionalidade da EC 136/2025.</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SUPREMO TRIBUNAL FEDERAL. ADIs 2.110 e 2.111. Relator Min. Roberto Barroso. Plenário. Julgamento concluído em 21/03/2024. Constitucionalidade do art. 3º da Lei 9.876/1999.</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SUPREMO TRIBUNAL FEDERAL. RE 1.276.977/RS (Tema 1102). Relator Min. Alexandre de Moraes. Plenário. Julgado em 01/12/2022. Embargos de declaração acolhidos com efeito infringente em 26/11/2025. DJe 29/04/2026. Revisão da vida toda — reversão.</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SUPREMO TRIBUNAL FEDERAL. RE 564.354/SE (Tema 76). Relatora Min. Cármen Lúcia. Plenário. Julgado em 08/09/2010. Revisão do teto — ECs 20/1998 e 41/2003.</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SUPREMO TRIBUNAL FEDERAL. RE 631.240/MG (Tema 350). Relator Min. Roberto Barroso. Plenário. Julgado em 03/09/2014. Prévio requerimento administrativo.</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SUPREMO TRIBUNAL FEDERAL. RE 661.256/SC (Tema 503). Relator originário Min. Roberto Barroso; redator para o acórdão Min. Dias Toffoli. Plenário. Julgado em 26/10/2016. Desaposentação — vedação por ausência de previsão legal.</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SUPREMO TRIBUNAL FEDERAL. RE 870.947/SE (Tema 810). Relator Min. Luiz Fux. Plenário. Julgado em 20/09/2017. Correção monetária e juros nas condenações da Fazenda Pública.</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TNU, PEDILEF 2006.63.01.052381-5/SP, Tema 73 (composição do grupo familiar: interpretação restrita).</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TNU, PEDILEF 5000493-92.2014.4.04.7002/PR, Tema 122 (presunção relativa de miserabilidade).</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TNU, Súmula 29 (incapacidade para vida independente, interpretação ampla).</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TNU, Súmula 78 (HIV, avaliação biopsicossocial ampla).</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TNU, Tema 217 (fungibilidade BPC × benefícios por incapacidade).</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TNU, Tema 253 (inacumulabilidade BPC × auxílio-acidente).</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TNU, Tema 253, inacumulabilidade BPC × auxílio-acidente.</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TNU, Tema 274 — PEDILEF 0512288-77.2017.4.05.8300/PE (aposentadoria por invalidez em doenças estigmatizantes não relacionadas ao HIV).</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TNU, Tema 284 (renúncia a cota de pensão por morte para receber BPC).</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TNU, Tema 284, renúncia a pensão para receber BPC.</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TNU. Súmula 47 (condições pessoais e sociais na incapacidade parcial); Súmula 53 (incapacidade preexistente ao reingresso); Súmula 72 (atividade remunerada durante a incapacidade); Súmula 78 (doenças estigmatizantes).</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TNU. Tema 300 (manutenção da qualidade de segurado durante o limbo previdenciário).</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TRF4 (5004698-26.2021.4.04.7001), autoaplicabilidade do art. 24.</w:t>
      </w:r>
    </w:p>
    <w:p>
      <w:pPr>
        <w:spacing w:before="200" w:after="100" w:line="240" w:lineRule="auto"/>
        <w:jc w:val="left"/>
        <w:keepNext/>
      </w:pPr>
      <w:r>
        <w:rPr>
          <w:rFonts w:ascii="EB Garamond" w:hAnsi="EB Garamond" w:cs="EB Garamond"/>
          <w:b/>
          <w:i w:val="0"/>
          <w:color w:val="3A3128"/>
          <w:sz w:val="23"/>
          <w:lang w:val="pt-BR" w:bidi="ar-SA"/>
          <w:kern w:val="16"/>
          <w14:ligatures w14:val="standardContextual"/>
        </w:rPr>
        <w:t>Doutrina</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xml:space="preserve">- AMADO, Frederico. </w:t>
      </w:r>
      <w:r>
        <w:rPr>
          <w:rFonts w:ascii="EB Garamond" w:hAnsi="EB Garamond" w:cs="EB Garamond"/>
          <w:b w:val="0"/>
          <w:i/>
          <w:color w:val="201B16"/>
          <w:sz w:val="18"/>
          <w:lang w:val="pt-BR" w:bidi="ar-SA"/>
          <w:kern w:val="16"/>
          <w14:ligatures w14:val="standardContextual"/>
        </w:rPr>
        <w:t>Curso de Direito e Processo Previdenciário</w:t>
      </w:r>
      <w:r>
        <w:rPr>
          <w:rFonts w:ascii="EB Garamond" w:hAnsi="EB Garamond" w:cs="EB Garamond"/>
          <w:b w:val="0"/>
          <w:i w:val="0"/>
          <w:color w:val="201B16"/>
          <w:sz w:val="18"/>
          <w:lang w:val="pt-BR" w:bidi="ar-SA"/>
          <w:kern w:val="16"/>
          <w14:ligatures w14:val="standardContextual"/>
        </w:rPr>
        <w:t>. 19. ed. Salvador: JusPodivm, 2025.</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xml:space="preserve">- CASTRO, Carlos Alberto Pereira de; LAZZARI, João Batista. </w:t>
      </w:r>
      <w:r>
        <w:rPr>
          <w:rFonts w:ascii="EB Garamond" w:hAnsi="EB Garamond" w:cs="EB Garamond"/>
          <w:b w:val="0"/>
          <w:i/>
          <w:color w:val="201B16"/>
          <w:sz w:val="18"/>
          <w:lang w:val="pt-BR" w:bidi="ar-SA"/>
          <w:kern w:val="16"/>
          <w14:ligatures w14:val="standardContextual"/>
        </w:rPr>
        <w:t>Manual de Direito Previdenciário</w:t>
      </w:r>
      <w:r>
        <w:rPr>
          <w:rFonts w:ascii="EB Garamond" w:hAnsi="EB Garamond" w:cs="EB Garamond"/>
          <w:b w:val="0"/>
          <w:i w:val="0"/>
          <w:color w:val="201B16"/>
          <w:sz w:val="18"/>
          <w:lang w:val="pt-BR" w:bidi="ar-SA"/>
          <w:kern w:val="16"/>
          <w14:ligatures w14:val="standardContextual"/>
        </w:rPr>
        <w:t>. 28. ed. Rio de Janeiro: Forense, 2025.</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xml:space="preserve">- IBRAHIM, Fábio Zambitte. </w:t>
      </w:r>
      <w:r>
        <w:rPr>
          <w:rFonts w:ascii="EB Garamond" w:hAnsi="EB Garamond" w:cs="EB Garamond"/>
          <w:b w:val="0"/>
          <w:i/>
          <w:color w:val="201B16"/>
          <w:sz w:val="18"/>
          <w:lang w:val="pt-BR" w:bidi="ar-SA"/>
          <w:kern w:val="16"/>
          <w14:ligatures w14:val="standardContextual"/>
        </w:rPr>
        <w:t>Curso de Direito Previdenciário</w:t>
      </w:r>
      <w:r>
        <w:rPr>
          <w:rFonts w:ascii="EB Garamond" w:hAnsi="EB Garamond" w:cs="EB Garamond"/>
          <w:b w:val="0"/>
          <w:i w:val="0"/>
          <w:color w:val="201B16"/>
          <w:sz w:val="18"/>
          <w:lang w:val="pt-BR" w:bidi="ar-SA"/>
          <w:kern w:val="16"/>
          <w14:ligatures w14:val="standardContextual"/>
        </w:rPr>
        <w:t>. 27. ed. Niterói: Impetus, 2025.</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xml:space="preserve">- IBRAHIM, Fábio Zambitte. </w:t>
      </w:r>
      <w:r>
        <w:rPr>
          <w:rFonts w:ascii="EB Garamond" w:hAnsi="EB Garamond" w:cs="EB Garamond"/>
          <w:b w:val="0"/>
          <w:i/>
          <w:color w:val="201B16"/>
          <w:sz w:val="18"/>
          <w:lang w:val="pt-BR" w:bidi="ar-SA"/>
          <w:kern w:val="16"/>
          <w14:ligatures w14:val="standardContextual"/>
        </w:rPr>
        <w:t>Curso de Direito Previdenciário</w:t>
      </w:r>
      <w:r>
        <w:rPr>
          <w:rFonts w:ascii="EB Garamond" w:hAnsi="EB Garamond" w:cs="EB Garamond"/>
          <w:b w:val="0"/>
          <w:i w:val="0"/>
          <w:color w:val="201B16"/>
          <w:sz w:val="18"/>
          <w:lang w:val="pt-BR" w:bidi="ar-SA"/>
          <w:kern w:val="16"/>
          <w14:ligatures w14:val="standardContextual"/>
        </w:rPr>
        <w:t>. 28. ed. Niterói: Impetus, 2025.</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xml:space="preserve">- IBRAHIM, Fábio Zambitte; BRAGANÇA, Kerlly Huback; FOLMANN, Melissa. </w:t>
      </w:r>
      <w:r>
        <w:rPr>
          <w:rFonts w:ascii="EB Garamond" w:hAnsi="EB Garamond" w:cs="EB Garamond"/>
          <w:b w:val="0"/>
          <w:i/>
          <w:color w:val="201B16"/>
          <w:sz w:val="18"/>
          <w:lang w:val="pt-BR" w:bidi="ar-SA"/>
          <w:kern w:val="16"/>
          <w14:ligatures w14:val="standardContextual"/>
        </w:rPr>
        <w:t>Curso de Direito Previdenciário</w:t>
      </w:r>
      <w:r>
        <w:rPr>
          <w:rFonts w:ascii="EB Garamond" w:hAnsi="EB Garamond" w:cs="EB Garamond"/>
          <w:b w:val="0"/>
          <w:i w:val="0"/>
          <w:color w:val="201B16"/>
          <w:sz w:val="18"/>
          <w:lang w:val="pt-BR" w:bidi="ar-SA"/>
          <w:kern w:val="16"/>
          <w14:ligatures w14:val="standardContextual"/>
        </w:rPr>
        <w:t>. 28. ed. Niterói: Impetus, 2025.</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xml:space="preserve">- KERTZMAN, Ivan. </w:t>
      </w:r>
      <w:r>
        <w:rPr>
          <w:rFonts w:ascii="EB Garamond" w:hAnsi="EB Garamond" w:cs="EB Garamond"/>
          <w:b w:val="0"/>
          <w:i/>
          <w:color w:val="201B16"/>
          <w:sz w:val="18"/>
          <w:lang w:val="pt-BR" w:bidi="ar-SA"/>
          <w:kern w:val="16"/>
          <w14:ligatures w14:val="standardContextual"/>
        </w:rPr>
        <w:t>Curso Prático de Direito Previdenciário</w:t>
      </w:r>
      <w:r>
        <w:rPr>
          <w:rFonts w:ascii="EB Garamond" w:hAnsi="EB Garamond" w:cs="EB Garamond"/>
          <w:b w:val="0"/>
          <w:i w:val="0"/>
          <w:color w:val="201B16"/>
          <w:sz w:val="18"/>
          <w:lang w:val="pt-BR" w:bidi="ar-SA"/>
          <w:kern w:val="16"/>
          <w14:ligatures w14:val="standardContextual"/>
        </w:rPr>
        <w:t>. 23. ed. Salvador: JusPodivm, 2025.</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xml:space="preserve">- PORTO, Rafael Duarte de Oliveira. </w:t>
      </w:r>
      <w:r>
        <w:rPr>
          <w:rFonts w:ascii="EB Garamond" w:hAnsi="EB Garamond" w:cs="EB Garamond"/>
          <w:b w:val="0"/>
          <w:i/>
          <w:color w:val="201B16"/>
          <w:sz w:val="18"/>
          <w:lang w:val="pt-BR" w:bidi="ar-SA"/>
          <w:kern w:val="16"/>
          <w14:ligatures w14:val="standardContextual"/>
        </w:rPr>
        <w:t>Manual de Direito Previdenciário</w:t>
      </w:r>
      <w:r>
        <w:rPr>
          <w:rFonts w:ascii="EB Garamond" w:hAnsi="EB Garamond" w:cs="EB Garamond"/>
          <w:b w:val="0"/>
          <w:i w:val="0"/>
          <w:color w:val="201B16"/>
          <w:sz w:val="18"/>
          <w:lang w:val="pt-BR" w:bidi="ar-SA"/>
          <w:kern w:val="16"/>
          <w14:ligatures w14:val="standardContextual"/>
        </w:rPr>
        <w:t>. 2. ed. São Paulo: JusPodivm, 2024.</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xml:space="preserve">- SANTOS, Marisa Ferreira dos; CALEJON, Celia. </w:t>
      </w:r>
      <w:r>
        <w:rPr>
          <w:rFonts w:ascii="EB Garamond" w:hAnsi="EB Garamond" w:cs="EB Garamond"/>
          <w:b w:val="0"/>
          <w:i/>
          <w:color w:val="201B16"/>
          <w:sz w:val="18"/>
          <w:lang w:val="pt-BR" w:bidi="ar-SA"/>
          <w:kern w:val="16"/>
          <w14:ligatures w14:val="standardContextual"/>
        </w:rPr>
        <w:t>Direito Previdenciário Esquematizado</w:t>
      </w:r>
      <w:r>
        <w:rPr>
          <w:rFonts w:ascii="EB Garamond" w:hAnsi="EB Garamond" w:cs="EB Garamond"/>
          <w:b w:val="0"/>
          <w:i w:val="0"/>
          <w:color w:val="201B16"/>
          <w:sz w:val="18"/>
          <w:lang w:val="pt-BR" w:bidi="ar-SA"/>
          <w:kern w:val="16"/>
          <w14:ligatures w14:val="standardContextual"/>
        </w:rPr>
        <w:t>. 15. ed. São Paulo: Saraiva, 2025.</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xml:space="preserve">- SANTOS, Marisa Ferreira dos; CALEJON, Célia. </w:t>
      </w:r>
      <w:r>
        <w:rPr>
          <w:rFonts w:ascii="EB Garamond" w:hAnsi="EB Garamond" w:cs="EB Garamond"/>
          <w:b w:val="0"/>
          <w:i/>
          <w:color w:val="201B16"/>
          <w:sz w:val="18"/>
          <w:lang w:val="pt-BR" w:bidi="ar-SA"/>
          <w:kern w:val="16"/>
          <w14:ligatures w14:val="standardContextual"/>
        </w:rPr>
        <w:t>Direito Previdenciário Esquematizado</w:t>
      </w:r>
      <w:r>
        <w:rPr>
          <w:rFonts w:ascii="EB Garamond" w:hAnsi="EB Garamond" w:cs="EB Garamond"/>
          <w:b w:val="0"/>
          <w:i w:val="0"/>
          <w:color w:val="201B16"/>
          <w:sz w:val="18"/>
          <w:lang w:val="pt-BR" w:bidi="ar-SA"/>
          <w:kern w:val="16"/>
          <w14:ligatures w14:val="standardContextual"/>
        </w:rPr>
        <w:t>. 16. ed. São Paulo: Saraiva, 2025.</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xml:space="preserve">- SAVARIS, José Antonio. </w:t>
      </w:r>
      <w:r>
        <w:rPr>
          <w:rFonts w:ascii="EB Garamond" w:hAnsi="EB Garamond" w:cs="EB Garamond"/>
          <w:b w:val="0"/>
          <w:i/>
          <w:color w:val="201B16"/>
          <w:sz w:val="18"/>
          <w:lang w:val="pt-BR" w:bidi="ar-SA"/>
          <w:kern w:val="16"/>
          <w14:ligatures w14:val="standardContextual"/>
        </w:rPr>
        <w:t>Direito Processual Previdenciário</w:t>
      </w:r>
      <w:r>
        <w:rPr>
          <w:rFonts w:ascii="EB Garamond" w:hAnsi="EB Garamond" w:cs="EB Garamond"/>
          <w:b w:val="0"/>
          <w:i w:val="0"/>
          <w:color w:val="201B16"/>
          <w:sz w:val="18"/>
          <w:lang w:val="pt-BR" w:bidi="ar-SA"/>
          <w:kern w:val="16"/>
          <w14:ligatures w14:val="standardContextual"/>
        </w:rPr>
        <w:t>. 10. ed. Curitiba: Alteridade, 2023.</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xml:space="preserve">- SAVARIS, José Antonio. </w:t>
      </w:r>
      <w:r>
        <w:rPr>
          <w:rFonts w:ascii="EB Garamond" w:hAnsi="EB Garamond" w:cs="EB Garamond"/>
          <w:b w:val="0"/>
          <w:i/>
          <w:color w:val="201B16"/>
          <w:sz w:val="18"/>
          <w:lang w:val="pt-BR" w:bidi="ar-SA"/>
          <w:kern w:val="16"/>
          <w14:ligatures w14:val="standardContextual"/>
        </w:rPr>
        <w:t>Direito Processual Previdenciário</w:t>
      </w:r>
      <w:r>
        <w:rPr>
          <w:rFonts w:ascii="EB Garamond" w:hAnsi="EB Garamond" w:cs="EB Garamond"/>
          <w:b w:val="0"/>
          <w:i w:val="0"/>
          <w:color w:val="201B16"/>
          <w:sz w:val="18"/>
          <w:lang w:val="pt-BR" w:bidi="ar-SA"/>
          <w:kern w:val="16"/>
          <w14:ligatures w14:val="standardContextual"/>
        </w:rPr>
        <w:t>. 11. ed. Curitiba: Alteridade, 2023.</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xml:space="preserve">- SAVARIS, José Antonio. </w:t>
      </w:r>
      <w:r>
        <w:rPr>
          <w:rFonts w:ascii="EB Garamond" w:hAnsi="EB Garamond" w:cs="EB Garamond"/>
          <w:b w:val="0"/>
          <w:i/>
          <w:color w:val="201B16"/>
          <w:sz w:val="18"/>
          <w:lang w:val="pt-BR" w:bidi="ar-SA"/>
          <w:kern w:val="16"/>
          <w14:ligatures w14:val="standardContextual"/>
        </w:rPr>
        <w:t>Direito Processual Previdenciário</w:t>
      </w:r>
      <w:r>
        <w:rPr>
          <w:rFonts w:ascii="EB Garamond" w:hAnsi="EB Garamond" w:cs="EB Garamond"/>
          <w:b w:val="0"/>
          <w:i w:val="0"/>
          <w:color w:val="201B16"/>
          <w:sz w:val="18"/>
          <w:lang w:val="pt-BR" w:bidi="ar-SA"/>
          <w:kern w:val="16"/>
          <w14:ligatures w14:val="standardContextual"/>
        </w:rPr>
        <w:t>. 9. ed. Curitiba: Alteridade, 2023.</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AMADO, Frederico. Curso de Direito e Processo Previdenciário. 19. ed. Salvador: JusPodivm, 2025.</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BALERA, Wagner. Sistema de Seguridade Social. 9. ed. São Paulo: LTr, 2023.</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xml:space="preserve">BALERA, Wagner; MUSSI, Cristiane Miziara. </w:t>
      </w:r>
      <w:r>
        <w:rPr>
          <w:rFonts w:ascii="EB Garamond" w:hAnsi="EB Garamond" w:cs="EB Garamond"/>
          <w:b w:val="0"/>
          <w:i/>
          <w:color w:val="201B16"/>
          <w:sz w:val="18"/>
          <w:lang w:val="pt-BR" w:bidi="ar-SA"/>
          <w:kern w:val="16"/>
          <w14:ligatures w14:val="standardContextual"/>
        </w:rPr>
        <w:t>Direito Previdenciário</w:t>
      </w:r>
      <w:r>
        <w:rPr>
          <w:rFonts w:ascii="EB Garamond" w:hAnsi="EB Garamond" w:cs="EB Garamond"/>
          <w:b w:val="0"/>
          <w:i w:val="0"/>
          <w:color w:val="201B16"/>
          <w:sz w:val="18"/>
          <w:lang w:val="pt-BR" w:bidi="ar-SA"/>
          <w:kern w:val="16"/>
          <w14:ligatures w14:val="standardContextual"/>
        </w:rPr>
        <w:t>. 15. ed. Rio de Janeiro: Método, 2025.</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xml:space="preserve">BOCHENEK, Antônio César; NASCIMENTO, Márcio Augusto. </w:t>
      </w:r>
      <w:r>
        <w:rPr>
          <w:rFonts w:ascii="EB Garamond" w:hAnsi="EB Garamond" w:cs="EB Garamond"/>
          <w:b w:val="0"/>
          <w:i/>
          <w:color w:val="201B16"/>
          <w:sz w:val="18"/>
          <w:lang w:val="pt-BR" w:bidi="ar-SA"/>
          <w:kern w:val="16"/>
          <w14:ligatures w14:val="standardContextual"/>
        </w:rPr>
        <w:t>Juizados Especiais Federais Cíveis</w:t>
      </w:r>
      <w:r>
        <w:rPr>
          <w:rFonts w:ascii="EB Garamond" w:hAnsi="EB Garamond" w:cs="EB Garamond"/>
          <w:b w:val="0"/>
          <w:i w:val="0"/>
          <w:color w:val="201B16"/>
          <w:sz w:val="18"/>
          <w:lang w:val="pt-BR" w:bidi="ar-SA"/>
          <w:kern w:val="16"/>
          <w14:ligatures w14:val="standardContextual"/>
        </w:rPr>
        <w:t>. 4. ed. Curitiba: Juruá, 2024.</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CASTRO, Carlos Alberto Pereira de; LAZZARI, João Batista. Manual de Direito Previdenciário. 28. ed. Rio de Janeiro: Forense, 2025.</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xml:space="preserve">CASTRO, Carlos Alberto Pereira de; LAZZARI, João Batista. </w:t>
      </w:r>
      <w:r>
        <w:rPr>
          <w:rFonts w:ascii="EB Garamond" w:hAnsi="EB Garamond" w:cs="EB Garamond"/>
          <w:b w:val="0"/>
          <w:i/>
          <w:color w:val="201B16"/>
          <w:sz w:val="18"/>
          <w:lang w:val="pt-BR" w:bidi="ar-SA"/>
          <w:kern w:val="16"/>
          <w14:ligatures w14:val="standardContextual"/>
        </w:rPr>
        <w:t>Manual de Direito Previdenciário</w:t>
      </w:r>
      <w:r>
        <w:rPr>
          <w:rFonts w:ascii="EB Garamond" w:hAnsi="EB Garamond" w:cs="EB Garamond"/>
          <w:b w:val="0"/>
          <w:i w:val="0"/>
          <w:color w:val="201B16"/>
          <w:sz w:val="18"/>
          <w:lang w:val="pt-BR" w:bidi="ar-SA"/>
          <w:kern w:val="16"/>
          <w14:ligatures w14:val="standardContextual"/>
        </w:rPr>
        <w:t>. 28. ed. São Paulo: Forense, 2025.</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xml:space="preserve">GOES, Hugo. </w:t>
      </w:r>
      <w:r>
        <w:rPr>
          <w:rFonts w:ascii="EB Garamond" w:hAnsi="EB Garamond" w:cs="EB Garamond"/>
          <w:b/>
          <w:i w:val="0"/>
          <w:color w:val="201B16"/>
          <w:sz w:val="18"/>
          <w:lang w:val="pt-BR" w:bidi="ar-SA"/>
          <w:kern w:val="16"/>
          <w14:ligatures w14:val="standardContextual"/>
        </w:rPr>
        <w:t>Manual de Direito Previdenciário.</w:t>
      </w:r>
      <w:r>
        <w:rPr>
          <w:rFonts w:ascii="EB Garamond" w:hAnsi="EB Garamond" w:cs="EB Garamond"/>
          <w:b w:val="0"/>
          <w:i w:val="0"/>
          <w:color w:val="201B16"/>
          <w:sz w:val="18"/>
          <w:lang w:val="pt-BR" w:bidi="ar-SA"/>
          <w:kern w:val="16"/>
          <w14:ligatures w14:val="standardContextual"/>
        </w:rPr>
        <w:t xml:space="preserve"> 19. ed. Rio de Janeiro: Ferreira, 2025.</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xml:space="preserve">HORVATH JÚNIOR, Miguel. </w:t>
      </w:r>
      <w:r>
        <w:rPr>
          <w:rFonts w:ascii="EB Garamond" w:hAnsi="EB Garamond" w:cs="EB Garamond"/>
          <w:b/>
          <w:i w:val="0"/>
          <w:color w:val="201B16"/>
          <w:sz w:val="18"/>
          <w:lang w:val="pt-BR" w:bidi="ar-SA"/>
          <w:kern w:val="16"/>
          <w14:ligatures w14:val="standardContextual"/>
        </w:rPr>
        <w:t>Direito Previdenciário</w:t>
      </w:r>
      <w:r>
        <w:rPr>
          <w:rFonts w:ascii="EB Garamond" w:hAnsi="EB Garamond" w:cs="EB Garamond"/>
          <w:b w:val="0"/>
          <w:i w:val="0"/>
          <w:color w:val="201B16"/>
          <w:sz w:val="18"/>
          <w:lang w:val="pt-BR" w:bidi="ar-SA"/>
          <w:kern w:val="16"/>
          <w14:ligatures w14:val="standardContextual"/>
        </w:rPr>
        <w:t>. 13. ed. São Paulo: Quartier Latin, 2024.</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xml:space="preserve">HORVATH JÚNIOR, Miguel. </w:t>
      </w:r>
      <w:r>
        <w:rPr>
          <w:rFonts w:ascii="EB Garamond" w:hAnsi="EB Garamond" w:cs="EB Garamond"/>
          <w:b/>
          <w:i w:val="0"/>
          <w:color w:val="201B16"/>
          <w:sz w:val="18"/>
          <w:lang w:val="pt-BR" w:bidi="ar-SA"/>
          <w:kern w:val="16"/>
          <w14:ligatures w14:val="standardContextual"/>
        </w:rPr>
        <w:t>Direito Previdenciário</w:t>
      </w:r>
      <w:r>
        <w:rPr>
          <w:rFonts w:ascii="EB Garamond" w:hAnsi="EB Garamond" w:cs="EB Garamond"/>
          <w:b w:val="0"/>
          <w:i w:val="0"/>
          <w:color w:val="201B16"/>
          <w:sz w:val="18"/>
          <w:lang w:val="pt-BR" w:bidi="ar-SA"/>
          <w:kern w:val="16"/>
          <w14:ligatures w14:val="standardContextual"/>
        </w:rPr>
        <w:t>. 13. ed. São Paulo: Rideel, 2022.</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xml:space="preserve">HORVATH JÚNIOR, Miguel. </w:t>
      </w:r>
      <w:r>
        <w:rPr>
          <w:rFonts w:ascii="EB Garamond" w:hAnsi="EB Garamond" w:cs="EB Garamond"/>
          <w:b/>
          <w:i w:val="0"/>
          <w:color w:val="201B16"/>
          <w:sz w:val="18"/>
          <w:lang w:val="pt-BR" w:bidi="ar-SA"/>
          <w:kern w:val="16"/>
          <w14:ligatures w14:val="standardContextual"/>
        </w:rPr>
        <w:t>Direito Previdenciário</w:t>
      </w:r>
      <w:r>
        <w:rPr>
          <w:rFonts w:ascii="EB Garamond" w:hAnsi="EB Garamond" w:cs="EB Garamond"/>
          <w:b w:val="0"/>
          <w:i w:val="0"/>
          <w:color w:val="201B16"/>
          <w:sz w:val="18"/>
          <w:lang w:val="pt-BR" w:bidi="ar-SA"/>
          <w:kern w:val="16"/>
          <w14:ligatures w14:val="standardContextual"/>
        </w:rPr>
        <w:t>. 14. ed. São Paulo: Quartier Latin, 2022.</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HORVATH JÚNIOR, Miguel. Direito Previdenciário. 14. ed. São Paulo: Quartier Latin, 2025.</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xml:space="preserve">HORVATH JÚNIOR, Miguel. </w:t>
      </w:r>
      <w:r>
        <w:rPr>
          <w:rFonts w:ascii="EB Garamond" w:hAnsi="EB Garamond" w:cs="EB Garamond"/>
          <w:b/>
          <w:i w:val="0"/>
          <w:color w:val="201B16"/>
          <w:sz w:val="18"/>
          <w:lang w:val="pt-BR" w:bidi="ar-SA"/>
          <w:kern w:val="16"/>
          <w14:ligatures w14:val="standardContextual"/>
        </w:rPr>
        <w:t>Direito Previdenciário</w:t>
      </w:r>
      <w:r>
        <w:rPr>
          <w:rFonts w:ascii="EB Garamond" w:hAnsi="EB Garamond" w:cs="EB Garamond"/>
          <w:b w:val="0"/>
          <w:i w:val="0"/>
          <w:color w:val="201B16"/>
          <w:sz w:val="18"/>
          <w:lang w:val="pt-BR" w:bidi="ar-SA"/>
          <w:kern w:val="16"/>
          <w14:ligatures w14:val="standardContextual"/>
        </w:rPr>
        <w:t>. 14. ed. São Paulo: Rideel, 2025.</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xml:space="preserve">HORVATH JÚNIOR, Miguel. </w:t>
      </w:r>
      <w:r>
        <w:rPr>
          <w:rFonts w:ascii="EB Garamond" w:hAnsi="EB Garamond" w:cs="EB Garamond"/>
          <w:b/>
          <w:i w:val="0"/>
          <w:color w:val="201B16"/>
          <w:sz w:val="18"/>
          <w:lang w:val="pt-BR" w:bidi="ar-SA"/>
          <w:kern w:val="16"/>
          <w14:ligatures w14:val="standardContextual"/>
        </w:rPr>
        <w:t>Direito Previdenciário</w:t>
      </w:r>
      <w:r>
        <w:rPr>
          <w:rFonts w:ascii="EB Garamond" w:hAnsi="EB Garamond" w:cs="EB Garamond"/>
          <w:b w:val="0"/>
          <w:i w:val="0"/>
          <w:color w:val="201B16"/>
          <w:sz w:val="18"/>
          <w:lang w:val="pt-BR" w:bidi="ar-SA"/>
          <w:kern w:val="16"/>
          <w14:ligatures w14:val="standardContextual"/>
        </w:rPr>
        <w:t>. 15. ed. São Paulo: Rideel, 2025.</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xml:space="preserve">IBRAHIM, Fábio Zambitte. </w:t>
      </w:r>
      <w:r>
        <w:rPr>
          <w:rFonts w:ascii="EB Garamond" w:hAnsi="EB Garamond" w:cs="EB Garamond"/>
          <w:b/>
          <w:i w:val="0"/>
          <w:color w:val="201B16"/>
          <w:sz w:val="18"/>
          <w:lang w:val="pt-BR" w:bidi="ar-SA"/>
          <w:kern w:val="16"/>
          <w14:ligatures w14:val="standardContextual"/>
        </w:rPr>
        <w:t>Curso de Direito Previdenciário</w:t>
      </w:r>
      <w:r>
        <w:rPr>
          <w:rFonts w:ascii="EB Garamond" w:hAnsi="EB Garamond" w:cs="EB Garamond"/>
          <w:b w:val="0"/>
          <w:i w:val="0"/>
          <w:color w:val="201B16"/>
          <w:sz w:val="18"/>
          <w:lang w:val="pt-BR" w:bidi="ar-SA"/>
          <w:kern w:val="16"/>
          <w14:ligatures w14:val="standardContextual"/>
        </w:rPr>
        <w:t>. 27. ed. Niterói: Impetus, 2025.</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xml:space="preserve">IBRAHIM, Fábio Zambitte. </w:t>
      </w:r>
      <w:r>
        <w:rPr>
          <w:rFonts w:ascii="EB Garamond" w:hAnsi="EB Garamond" w:cs="EB Garamond"/>
          <w:b w:val="0"/>
          <w:i/>
          <w:color w:val="201B16"/>
          <w:sz w:val="18"/>
          <w:lang w:val="pt-BR" w:bidi="ar-SA"/>
          <w:kern w:val="16"/>
          <w14:ligatures w14:val="standardContextual"/>
        </w:rPr>
        <w:t>Curso de Direito Previdenciário</w:t>
      </w:r>
      <w:r>
        <w:rPr>
          <w:rFonts w:ascii="EB Garamond" w:hAnsi="EB Garamond" w:cs="EB Garamond"/>
          <w:b w:val="0"/>
          <w:i w:val="0"/>
          <w:color w:val="201B16"/>
          <w:sz w:val="18"/>
          <w:lang w:val="pt-BR" w:bidi="ar-SA"/>
          <w:kern w:val="16"/>
          <w14:ligatures w14:val="standardContextual"/>
        </w:rPr>
        <w:t>. 27. ed. Rio de Janeiro: Impetus, 2024.</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xml:space="preserve">IBRAHIM, Fábio Zambitte. </w:t>
      </w:r>
      <w:r>
        <w:rPr>
          <w:rFonts w:ascii="EB Garamond" w:hAnsi="EB Garamond" w:cs="EB Garamond"/>
          <w:b w:val="0"/>
          <w:i/>
          <w:color w:val="201B16"/>
          <w:sz w:val="18"/>
          <w:lang w:val="pt-BR" w:bidi="ar-SA"/>
          <w:kern w:val="16"/>
          <w14:ligatures w14:val="standardContextual"/>
        </w:rPr>
        <w:t>Curso de Direito Previdenciário</w:t>
      </w:r>
      <w:r>
        <w:rPr>
          <w:rFonts w:ascii="EB Garamond" w:hAnsi="EB Garamond" w:cs="EB Garamond"/>
          <w:b w:val="0"/>
          <w:i w:val="0"/>
          <w:color w:val="201B16"/>
          <w:sz w:val="18"/>
          <w:lang w:val="pt-BR" w:bidi="ar-SA"/>
          <w:kern w:val="16"/>
          <w14:ligatures w14:val="standardContextual"/>
        </w:rPr>
        <w:t>. 28. ed. Rio de Janeiro: Impetus, 2025.</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IBRAHIM, Fábio Zambitte; BRAGANÇA, Kerlly Huback; FOLMANN, Melissa. Curso de Direito Previdenciário. 28. ed. Niterói: Impetus, 2025.</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KERTZMAN, Ivan. Curso Prático de Direito Previdenciário. 23. ed. Salvador: JusPodivm, 2025.</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LAZZARI, João Batista; CASTRO, Carlos Alberto Pereira de. Manual de Direito Previdenciário. 28. ed. Rio de Janeiro: Forense, 2025.</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MARTINEZ, Wladimir Novaes. Princípios de Direito Previdenciário. 7. ed. São Paulo: LTr, 2023.</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xml:space="preserve">PENALVA, Janaína; DINIZ, Débora; MEDEIROS, Marcelo. O Benefício de Prestação Continuada no Supremo Tribunal Federal. </w:t>
      </w:r>
      <w:r>
        <w:rPr>
          <w:rFonts w:ascii="EB Garamond" w:hAnsi="EB Garamond" w:cs="EB Garamond"/>
          <w:b w:val="0"/>
          <w:i/>
          <w:color w:val="201B16"/>
          <w:sz w:val="18"/>
          <w:lang w:val="pt-BR" w:bidi="ar-SA"/>
          <w:kern w:val="16"/>
          <w14:ligatures w14:val="standardContextual"/>
        </w:rPr>
        <w:t>Sociedade e Estado</w:t>
      </w:r>
      <w:r>
        <w:rPr>
          <w:rFonts w:ascii="EB Garamond" w:hAnsi="EB Garamond" w:cs="EB Garamond"/>
          <w:b w:val="0"/>
          <w:i w:val="0"/>
          <w:color w:val="201B16"/>
          <w:sz w:val="18"/>
          <w:lang w:val="pt-BR" w:bidi="ar-SA"/>
          <w:kern w:val="16"/>
          <w14:ligatures w14:val="standardContextual"/>
        </w:rPr>
        <w:t>, Brasília, v. 25, n. 1, p. 53-70, jan./abr. 2010.</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xml:space="preserve">PORTO, Luiz Guilherme Moreira. </w:t>
      </w:r>
      <w:r>
        <w:rPr>
          <w:rFonts w:ascii="EB Garamond" w:hAnsi="EB Garamond" w:cs="EB Garamond"/>
          <w:b w:val="0"/>
          <w:i/>
          <w:color w:val="201B16"/>
          <w:sz w:val="18"/>
          <w:lang w:val="pt-BR" w:bidi="ar-SA"/>
          <w:kern w:val="16"/>
          <w14:ligatures w14:val="standardContextual"/>
        </w:rPr>
        <w:t>Direito da Seguridade Social</w:t>
      </w:r>
      <w:r>
        <w:rPr>
          <w:rFonts w:ascii="EB Garamond" w:hAnsi="EB Garamond" w:cs="EB Garamond"/>
          <w:b w:val="0"/>
          <w:i w:val="0"/>
          <w:color w:val="201B16"/>
          <w:sz w:val="18"/>
          <w:lang w:val="pt-BR" w:bidi="ar-SA"/>
          <w:kern w:val="16"/>
          <w14:ligatures w14:val="standardContextual"/>
        </w:rPr>
        <w:t>. 3. ed. São Paulo: Saraiva, 2024.</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xml:space="preserve">PORTO, Rafael Duarte de Oliveira. </w:t>
      </w:r>
      <w:r>
        <w:rPr>
          <w:rFonts w:ascii="EB Garamond" w:hAnsi="EB Garamond" w:cs="EB Garamond"/>
          <w:b/>
          <w:i w:val="0"/>
          <w:color w:val="201B16"/>
          <w:sz w:val="18"/>
          <w:lang w:val="pt-BR" w:bidi="ar-SA"/>
          <w:kern w:val="16"/>
          <w14:ligatures w14:val="standardContextual"/>
        </w:rPr>
        <w:t>Manual de Direito Previdenciário</w:t>
      </w:r>
      <w:r>
        <w:rPr>
          <w:rFonts w:ascii="EB Garamond" w:hAnsi="EB Garamond" w:cs="EB Garamond"/>
          <w:b w:val="0"/>
          <w:i w:val="0"/>
          <w:color w:val="201B16"/>
          <w:sz w:val="18"/>
          <w:lang w:val="pt-BR" w:bidi="ar-SA"/>
          <w:kern w:val="16"/>
          <w14:ligatures w14:val="standardContextual"/>
        </w:rPr>
        <w:t>. 2. ed. São Paulo: Editora JusPodivm, 2024.</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xml:space="preserve">PORTO, Rafael Duarte de Oliveira. </w:t>
      </w:r>
      <w:r>
        <w:rPr>
          <w:rFonts w:ascii="EB Garamond" w:hAnsi="EB Garamond" w:cs="EB Garamond"/>
          <w:b/>
          <w:i w:val="0"/>
          <w:color w:val="201B16"/>
          <w:sz w:val="18"/>
          <w:lang w:val="pt-BR" w:bidi="ar-SA"/>
          <w:kern w:val="16"/>
          <w14:ligatures w14:val="standardContextual"/>
        </w:rPr>
        <w:t>Manual de Direito Previdenciário</w:t>
      </w:r>
      <w:r>
        <w:rPr>
          <w:rFonts w:ascii="EB Garamond" w:hAnsi="EB Garamond" w:cs="EB Garamond"/>
          <w:b w:val="0"/>
          <w:i w:val="0"/>
          <w:color w:val="201B16"/>
          <w:sz w:val="18"/>
          <w:lang w:val="pt-BR" w:bidi="ar-SA"/>
          <w:kern w:val="16"/>
          <w14:ligatures w14:val="standardContextual"/>
        </w:rPr>
        <w:t>. 3. ed. São Paulo: Editora JusPodivm, 2025.</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xml:space="preserve">PORTO, Vanessa Aparecida Garcia. </w:t>
      </w:r>
      <w:r>
        <w:rPr>
          <w:rFonts w:ascii="EB Garamond" w:hAnsi="EB Garamond" w:cs="EB Garamond"/>
          <w:b w:val="0"/>
          <w:i/>
          <w:color w:val="201B16"/>
          <w:sz w:val="18"/>
          <w:lang w:val="pt-BR" w:bidi="ar-SA"/>
          <w:kern w:val="16"/>
          <w14:ligatures w14:val="standardContextual"/>
        </w:rPr>
        <w:t>O Processo Previdenciário nos Juizados Especiais Federais</w:t>
      </w:r>
      <w:r>
        <w:rPr>
          <w:rFonts w:ascii="EB Garamond" w:hAnsi="EB Garamond" w:cs="EB Garamond"/>
          <w:b w:val="0"/>
          <w:i w:val="0"/>
          <w:color w:val="201B16"/>
          <w:sz w:val="18"/>
          <w:lang w:val="pt-BR" w:bidi="ar-SA"/>
          <w:kern w:val="16"/>
          <w14:ligatures w14:val="standardContextual"/>
        </w:rPr>
        <w:t>. 2. ed. Curitiba: Alteridade, 2024.</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xml:space="preserve">SANTOS, Marisa Ferreira dos. </w:t>
      </w:r>
      <w:r>
        <w:rPr>
          <w:rFonts w:ascii="EB Garamond" w:hAnsi="EB Garamond" w:cs="EB Garamond"/>
          <w:b w:val="0"/>
          <w:i/>
          <w:color w:val="201B16"/>
          <w:sz w:val="18"/>
          <w:lang w:val="pt-BR" w:bidi="ar-SA"/>
          <w:kern w:val="16"/>
          <w14:ligatures w14:val="standardContextual"/>
        </w:rPr>
        <w:t>Direito Previdenciário Esquematizado</w:t>
      </w:r>
      <w:r>
        <w:rPr>
          <w:rFonts w:ascii="EB Garamond" w:hAnsi="EB Garamond" w:cs="EB Garamond"/>
          <w:b w:val="0"/>
          <w:i w:val="0"/>
          <w:color w:val="201B16"/>
          <w:sz w:val="18"/>
          <w:lang w:val="pt-BR" w:bidi="ar-SA"/>
          <w:kern w:val="16"/>
          <w14:ligatures w14:val="standardContextual"/>
        </w:rPr>
        <w:t>. 15. ed. São Paulo: Saraiva, 2025.</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xml:space="preserve">SANTOS, Marisa Ferreira dos; CALEJON, Celia. </w:t>
      </w:r>
      <w:r>
        <w:rPr>
          <w:rFonts w:ascii="EB Garamond" w:hAnsi="EB Garamond" w:cs="EB Garamond"/>
          <w:b/>
          <w:i w:val="0"/>
          <w:color w:val="201B16"/>
          <w:sz w:val="18"/>
          <w:lang w:val="pt-BR" w:bidi="ar-SA"/>
          <w:kern w:val="16"/>
          <w14:ligatures w14:val="standardContextual"/>
        </w:rPr>
        <w:t>Direito Previdenciário Esquematizado.</w:t>
      </w:r>
      <w:r>
        <w:rPr>
          <w:rFonts w:ascii="EB Garamond" w:hAnsi="EB Garamond" w:cs="EB Garamond"/>
          <w:b w:val="0"/>
          <w:i w:val="0"/>
          <w:color w:val="201B16"/>
          <w:sz w:val="18"/>
          <w:lang w:val="pt-BR" w:bidi="ar-SA"/>
          <w:kern w:val="16"/>
          <w14:ligatures w14:val="standardContextual"/>
        </w:rPr>
        <w:t xml:space="preserve"> 15. ed. São Paulo: Saraiva, 2025.</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xml:space="preserve">SANTOS, Marisa Ferreira dos; CALEJON, Celia. </w:t>
      </w:r>
      <w:r>
        <w:rPr>
          <w:rFonts w:ascii="EB Garamond" w:hAnsi="EB Garamond" w:cs="EB Garamond"/>
          <w:b w:val="0"/>
          <w:i/>
          <w:color w:val="201B16"/>
          <w:sz w:val="18"/>
          <w:lang w:val="pt-BR" w:bidi="ar-SA"/>
          <w:kern w:val="16"/>
          <w14:ligatures w14:val="standardContextual"/>
        </w:rPr>
        <w:t>Direito Previdenciário Esquematizado</w:t>
      </w:r>
      <w:r>
        <w:rPr>
          <w:rFonts w:ascii="EB Garamond" w:hAnsi="EB Garamond" w:cs="EB Garamond"/>
          <w:b w:val="0"/>
          <w:i w:val="0"/>
          <w:color w:val="201B16"/>
          <w:sz w:val="18"/>
          <w:lang w:val="pt-BR" w:bidi="ar-SA"/>
          <w:kern w:val="16"/>
          <w14:ligatures w14:val="standardContextual"/>
        </w:rPr>
        <w:t>. 16. ed. São Paulo: Saraiva, 2025.</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xml:space="preserve">SANTOS, Marisa Ferreira dos; CALEJON, Rodrigo. </w:t>
      </w:r>
      <w:r>
        <w:rPr>
          <w:rFonts w:ascii="EB Garamond" w:hAnsi="EB Garamond" w:cs="EB Garamond"/>
          <w:b/>
          <w:i w:val="0"/>
          <w:color w:val="201B16"/>
          <w:sz w:val="18"/>
          <w:lang w:val="pt-BR" w:bidi="ar-SA"/>
          <w:kern w:val="16"/>
          <w14:ligatures w14:val="standardContextual"/>
        </w:rPr>
        <w:t>Direito Previdenciário Esquematizado</w:t>
      </w:r>
      <w:r>
        <w:rPr>
          <w:rFonts w:ascii="EB Garamond" w:hAnsi="EB Garamond" w:cs="EB Garamond"/>
          <w:b w:val="0"/>
          <w:i w:val="0"/>
          <w:color w:val="201B16"/>
          <w:sz w:val="18"/>
          <w:lang w:val="pt-BR" w:bidi="ar-SA"/>
          <w:kern w:val="16"/>
          <w14:ligatures w14:val="standardContextual"/>
        </w:rPr>
        <w:t>. 15. ed. São Paulo: SaraivaJur, 2025.</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SANTOS, Wanderley Guilherme dos. Cidadania e Justiça: A Política Social na Ordem Brasileira. 2. ed. Rio de Janeiro: Campus, 1987.</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xml:space="preserve">SAVARIS, José Antonio. </w:t>
      </w:r>
      <w:r>
        <w:rPr>
          <w:rFonts w:ascii="EB Garamond" w:hAnsi="EB Garamond" w:cs="EB Garamond"/>
          <w:b/>
          <w:i w:val="0"/>
          <w:color w:val="201B16"/>
          <w:sz w:val="18"/>
          <w:lang w:val="pt-BR" w:bidi="ar-SA"/>
          <w:kern w:val="16"/>
          <w14:ligatures w14:val="standardContextual"/>
        </w:rPr>
        <w:t>Direito Previdenciário: Fundamentos de Interpretação e Aplicação</w:t>
      </w:r>
      <w:r>
        <w:rPr>
          <w:rFonts w:ascii="EB Garamond" w:hAnsi="EB Garamond" w:cs="EB Garamond"/>
          <w:b w:val="0"/>
          <w:i w:val="0"/>
          <w:color w:val="201B16"/>
          <w:sz w:val="18"/>
          <w:lang w:val="pt-BR" w:bidi="ar-SA"/>
          <w:kern w:val="16"/>
          <w14:ligatures w14:val="standardContextual"/>
        </w:rPr>
        <w:t>. 2. ed. Curitiba: Alteridade, 2019.</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xml:space="preserve">SAVARIS, José Antonio. </w:t>
      </w:r>
      <w:r>
        <w:rPr>
          <w:rFonts w:ascii="EB Garamond" w:hAnsi="EB Garamond" w:cs="EB Garamond"/>
          <w:b/>
          <w:i w:val="0"/>
          <w:color w:val="201B16"/>
          <w:sz w:val="18"/>
          <w:lang w:val="pt-BR" w:bidi="ar-SA"/>
          <w:kern w:val="16"/>
          <w14:ligatures w14:val="standardContextual"/>
        </w:rPr>
        <w:t>Direito Processual Previdenciário</w:t>
      </w:r>
      <w:r>
        <w:rPr>
          <w:rFonts w:ascii="EB Garamond" w:hAnsi="EB Garamond" w:cs="EB Garamond"/>
          <w:b w:val="0"/>
          <w:i w:val="0"/>
          <w:color w:val="201B16"/>
          <w:sz w:val="18"/>
          <w:lang w:val="pt-BR" w:bidi="ar-SA"/>
          <w:kern w:val="16"/>
          <w14:ligatures w14:val="standardContextual"/>
        </w:rPr>
        <w:t>. 11. ed. Curitiba: Alteridade, 2023.</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xml:space="preserve">SAVARIS, José Antonio. </w:t>
      </w:r>
      <w:r>
        <w:rPr>
          <w:rFonts w:ascii="EB Garamond" w:hAnsi="EB Garamond" w:cs="EB Garamond"/>
          <w:b w:val="0"/>
          <w:i/>
          <w:color w:val="201B16"/>
          <w:sz w:val="18"/>
          <w:lang w:val="pt-BR" w:bidi="ar-SA"/>
          <w:kern w:val="16"/>
          <w14:ligatures w14:val="standardContextual"/>
        </w:rPr>
        <w:t>Traços Elementares do Sistema de Seguridade Social Brasileiro</w:t>
      </w:r>
      <w:r>
        <w:rPr>
          <w:rFonts w:ascii="EB Garamond" w:hAnsi="EB Garamond" w:cs="EB Garamond"/>
          <w:b w:val="0"/>
          <w:i w:val="0"/>
          <w:color w:val="201B16"/>
          <w:sz w:val="18"/>
          <w:lang w:val="pt-BR" w:bidi="ar-SA"/>
          <w:kern w:val="16"/>
          <w14:ligatures w14:val="standardContextual"/>
        </w:rPr>
        <w:t>. Curitiba: Alteridade, 2022.</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xml:space="preserve">SPOSATI, Aldaíza. </w:t>
      </w:r>
      <w:r>
        <w:rPr>
          <w:rFonts w:ascii="EB Garamond" w:hAnsi="EB Garamond" w:cs="EB Garamond"/>
          <w:b w:val="0"/>
          <w:i/>
          <w:color w:val="201B16"/>
          <w:sz w:val="18"/>
          <w:lang w:val="pt-BR" w:bidi="ar-SA"/>
          <w:kern w:val="16"/>
          <w14:ligatures w14:val="standardContextual"/>
        </w:rPr>
        <w:t>Os direitos (dos desassistidos) sociais</w:t>
      </w:r>
      <w:r>
        <w:rPr>
          <w:rFonts w:ascii="EB Garamond" w:hAnsi="EB Garamond" w:cs="EB Garamond"/>
          <w:b w:val="0"/>
          <w:i w:val="0"/>
          <w:color w:val="201B16"/>
          <w:sz w:val="18"/>
          <w:lang w:val="pt-BR" w:bidi="ar-SA"/>
          <w:kern w:val="16"/>
          <w14:ligatures w14:val="standardContextual"/>
        </w:rPr>
        <w:t>. 8. ed. São Paulo: Cortez, 2022.</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xml:space="preserve">TAVARES, Marcelo Leonardo. </w:t>
      </w:r>
      <w:r>
        <w:rPr>
          <w:rFonts w:ascii="EB Garamond" w:hAnsi="EB Garamond" w:cs="EB Garamond"/>
          <w:b w:val="0"/>
          <w:i/>
          <w:color w:val="201B16"/>
          <w:sz w:val="18"/>
          <w:lang w:val="pt-BR" w:bidi="ar-SA"/>
          <w:kern w:val="16"/>
          <w14:ligatures w14:val="standardContextual"/>
        </w:rPr>
        <w:t>Direito Previdenciário: Regime Geral de Previdência Social e Regras Constitucionais dos Regimes Próprios de Previdência Social</w:t>
      </w:r>
      <w:r>
        <w:rPr>
          <w:rFonts w:ascii="EB Garamond" w:hAnsi="EB Garamond" w:cs="EB Garamond"/>
          <w:b w:val="0"/>
          <w:i w:val="0"/>
          <w:color w:val="201B16"/>
          <w:sz w:val="18"/>
          <w:lang w:val="pt-BR" w:bidi="ar-SA"/>
          <w:kern w:val="16"/>
          <w14:ligatures w14:val="standardContextual"/>
        </w:rPr>
        <w:t>. 17. ed. Rio de Janeiro: Impetus, 2024.</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xml:space="preserve">VIANNA, Cláudia Salles Vilela. </w:t>
      </w:r>
      <w:r>
        <w:rPr>
          <w:rFonts w:ascii="EB Garamond" w:hAnsi="EB Garamond" w:cs="EB Garamond"/>
          <w:b/>
          <w:i w:val="0"/>
          <w:color w:val="201B16"/>
          <w:sz w:val="18"/>
          <w:lang w:val="pt-BR" w:bidi="ar-SA"/>
          <w:kern w:val="16"/>
          <w14:ligatures w14:val="standardContextual"/>
        </w:rPr>
        <w:t>Previdência Social: Custeio e Benefícios.</w:t>
      </w:r>
      <w:r>
        <w:rPr>
          <w:rFonts w:ascii="EB Garamond" w:hAnsi="EB Garamond" w:cs="EB Garamond"/>
          <w:b w:val="0"/>
          <w:i w:val="0"/>
          <w:color w:val="201B16"/>
          <w:sz w:val="18"/>
          <w:lang w:val="pt-BR" w:bidi="ar-SA"/>
          <w:kern w:val="16"/>
          <w14:ligatures w14:val="standardContextual"/>
        </w:rPr>
        <w:t xml:space="preserve"> 6. ed. São Paulo: LTr, 2025.</w:t>
      </w:r>
    </w:p>
    <w:p>
      <w:pPr>
        <w:spacing w:before="0" w:after="48" w:line="240" w:lineRule="auto"/>
        <w:ind w:left="272" w:hanging="272"/>
        <w:jc w:val="left"/>
      </w:pPr>
      <w:r>
        <w:rPr>
          <w:rFonts w:ascii="EB Garamond" w:hAnsi="EB Garamond" w:cs="EB Garamond"/>
          <w:b w:val="0"/>
          <w:i w:val="0"/>
          <w:color w:val="201B16"/>
          <w:sz w:val="18"/>
          <w:lang w:val="pt-BR" w:bidi="ar-SA"/>
          <w:kern w:val="16"/>
          <w14:ligatures w14:val="standardContextual"/>
        </w:rPr>
        <w:t xml:space="preserve">VIEIRA, Marco André Ramos. </w:t>
      </w:r>
      <w:r>
        <w:rPr>
          <w:rFonts w:ascii="EB Garamond" w:hAnsi="EB Garamond" w:cs="EB Garamond"/>
          <w:b w:val="0"/>
          <w:i/>
          <w:color w:val="201B16"/>
          <w:sz w:val="18"/>
          <w:lang w:val="pt-BR" w:bidi="ar-SA"/>
          <w:kern w:val="16"/>
          <w14:ligatures w14:val="standardContextual"/>
        </w:rPr>
        <w:t>Manual de Direito Previdenciário</w:t>
      </w:r>
      <w:r>
        <w:rPr>
          <w:rFonts w:ascii="EB Garamond" w:hAnsi="EB Garamond" w:cs="EB Garamond"/>
          <w:b w:val="0"/>
          <w:i w:val="0"/>
          <w:color w:val="201B16"/>
          <w:sz w:val="18"/>
          <w:lang w:val="pt-BR" w:bidi="ar-SA"/>
          <w:kern w:val="16"/>
          <w14:ligatures w14:val="standardContextual"/>
        </w:rPr>
        <w:t>. 12. ed. Rio de Janeiro: Impetus, 2023.</w:t>
      </w:r>
    </w:p>
    <w:p>
      <w:pPr>
        <w:sectPr>
          <w:headerReference w:type="default" r:id="rId231"/>
          <w:headerReference w:type="even" r:id="rId232"/>
          <w:footerReference w:type="default" r:id="rId233"/>
          <w:footerReference w:type="even" r:id="rId234"/>
          <w:headerReference w:type="first" r:id="rId235"/>
          <w:footerReference w:type="first" r:id="rId236"/>
          <w:type w:val="oddPage"/>
          <w:pgSz w:w="8391" w:h="11906"/>
          <w:pgMar w:top="935" w:right="879" w:bottom="964" w:left="1162" w:header="454" w:footer="425" w:gutter="0" w:mirrorMargins="1"/>
          <w:cols w:space="720"/>
          <w:titlePg/>
          <w:docGrid w:linePitch="360"/>
        </w:sectPr>
      </w:pPr>
    </w:p>
    <w:p>
      <w:pPr>
        <w:spacing w:before="320" w:after="160" w:line="240" w:lineRule="auto"/>
        <w:jc w:val="center"/>
      </w:pPr>
      <w:r>
        <w:rPr>
          <w:rFonts w:ascii="EB Garamond" w:hAnsi="EB Garamond" w:cs="EB Garamond"/>
          <w:b/>
          <w:i w:val="0"/>
          <w:color w:val="2F2923"/>
          <w:sz w:val="36"/>
          <w:lang w:val="pt-BR" w:bidi="ar-SA"/>
          <w:kern w:val="16"/>
          <w14:ligatures w14:val="standardContextual"/>
        </w:rPr>
        <w:t>ÍNDICE REMISSIVO</w:t>
      </w:r>
    </w:p>
    <w:p>
      <w:pPr>
        <w:spacing w:before="0" w:after="240" w:line="240" w:lineRule="auto"/>
        <w:jc w:val="center"/>
      </w:pPr>
      <w:r>
        <w:rPr>
          <w:rFonts w:ascii="EB Garamond" w:hAnsi="EB Garamond" w:cs="EB Garamond"/>
          <w:b w:val="0"/>
          <w:i w:val="0"/>
          <w:color w:val="B78B37"/>
          <w:sz w:val="18"/>
          <w:lang w:val="pt-BR" w:bidi="ar-SA"/>
          <w:kern w:val="16"/>
          <w14:ligatures w14:val="standardContextual"/>
        </w:rPr>
        <w:t>◆</w:t>
      </w:r>
    </w:p>
    <w:p>
      <w:pPr>
        <w:spacing w:before="240" w:after="80" w:line="240" w:lineRule="auto"/>
        <w:jc w:val="left"/>
        <w:pBdr>
          <w:bottom w:val="single" w:sz="8" w:space="4" w:color="D7CDBB"/>
        </w:pBdr>
      </w:pPr>
      <w:r>
        <w:rPr>
          <w:rFonts w:ascii="EB Garamond" w:hAnsi="EB Garamond" w:cs="EB Garamond"/>
          <w:b/>
          <w:i w:val="0"/>
          <w:color w:val="3A3128"/>
          <w:sz w:val="24"/>
          <w:lang w:val="pt-BR" w:bidi="ar-SA"/>
          <w:kern w:val="16"/>
          <w14:ligatures w14:val="standardContextual"/>
        </w:rPr>
        <w:t>Legislação</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Decreto 10.188/2019</w:t>
      </w:r>
      <w:r>
        <w:rPr>
          <w:rFonts w:ascii="EB Garamond" w:hAnsi="EB Garamond" w:cs="EB Garamond"/>
          <w:b w:val="0"/>
          <w:i w:val="0"/>
          <w:color w:val="6B6256"/>
          <w:sz w:val="18"/>
          <w:lang w:val="pt-BR" w:bidi="ar-SA"/>
          <w:kern w:val="16"/>
          <w14:ligatures w14:val="standardContextual"/>
        </w:rPr>
        <w:t xml:space="preserve">  Cap. 4, 5</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Decreto 10.410/2020</w:t>
      </w:r>
      <w:r>
        <w:rPr>
          <w:rFonts w:ascii="EB Garamond" w:hAnsi="EB Garamond" w:cs="EB Garamond"/>
          <w:b w:val="0"/>
          <w:i w:val="0"/>
          <w:color w:val="6B6256"/>
          <w:sz w:val="18"/>
          <w:lang w:val="pt-BR" w:bidi="ar-SA"/>
          <w:kern w:val="16"/>
          <w14:ligatures w14:val="standardContextual"/>
        </w:rPr>
        <w:t xml:space="preserve">  Cap. 2, 3, 4, 5, 6, 7, 8, 9, 10, 19</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Decreto 10.995/2022</w:t>
      </w:r>
      <w:r>
        <w:rPr>
          <w:rFonts w:ascii="EB Garamond" w:hAnsi="EB Garamond" w:cs="EB Garamond"/>
          <w:b w:val="0"/>
          <w:i w:val="0"/>
          <w:color w:val="6B6256"/>
          <w:sz w:val="18"/>
          <w:lang w:val="pt-BR" w:bidi="ar-SA"/>
          <w:kern w:val="16"/>
          <w14:ligatures w14:val="standardContextual"/>
        </w:rPr>
        <w:t xml:space="preserve">  Cap. 22</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Decreto 11.016/2022</w:t>
      </w:r>
      <w:r>
        <w:rPr>
          <w:rFonts w:ascii="EB Garamond" w:hAnsi="EB Garamond" w:cs="EB Garamond"/>
          <w:b w:val="0"/>
          <w:i w:val="0"/>
          <w:color w:val="6B6256"/>
          <w:sz w:val="18"/>
          <w:lang w:val="pt-BR" w:bidi="ar-SA"/>
          <w:kern w:val="16"/>
          <w14:ligatures w14:val="standardContextual"/>
        </w:rPr>
        <w:t xml:space="preserve">  Cap. 18</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Decreto 11.063/2022</w:t>
      </w:r>
      <w:r>
        <w:rPr>
          <w:rFonts w:ascii="EB Garamond" w:hAnsi="EB Garamond" w:cs="EB Garamond"/>
          <w:b w:val="0"/>
          <w:i w:val="0"/>
          <w:color w:val="6B6256"/>
          <w:sz w:val="18"/>
          <w:lang w:val="pt-BR" w:bidi="ar-SA"/>
          <w:kern w:val="16"/>
          <w14:ligatures w14:val="standardContextual"/>
        </w:rPr>
        <w:t xml:space="preserve">  Cap. 6</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Decreto 11.791/2023</w:t>
      </w:r>
      <w:r>
        <w:rPr>
          <w:rFonts w:ascii="EB Garamond" w:hAnsi="EB Garamond" w:cs="EB Garamond"/>
          <w:b w:val="0"/>
          <w:i w:val="0"/>
          <w:color w:val="6B6256"/>
          <w:sz w:val="18"/>
          <w:lang w:val="pt-BR" w:bidi="ar-SA"/>
          <w:kern w:val="16"/>
          <w14:ligatures w14:val="standardContextual"/>
        </w:rPr>
        <w:t xml:space="preserve">  Cap. 4</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Decreto 11.898/2024</w:t>
      </w:r>
      <w:r>
        <w:rPr>
          <w:rFonts w:ascii="EB Garamond" w:hAnsi="EB Garamond" w:cs="EB Garamond"/>
          <w:b w:val="0"/>
          <w:i w:val="0"/>
          <w:color w:val="6B6256"/>
          <w:sz w:val="18"/>
          <w:lang w:val="pt-BR" w:bidi="ar-SA"/>
          <w:kern w:val="16"/>
          <w14:ligatures w14:val="standardContextual"/>
        </w:rPr>
        <w:t xml:space="preserve">  Cap. 18</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Decreto 12.534/2025</w:t>
      </w:r>
      <w:r>
        <w:rPr>
          <w:rFonts w:ascii="EB Garamond" w:hAnsi="EB Garamond" w:cs="EB Garamond"/>
          <w:b w:val="0"/>
          <w:i w:val="0"/>
          <w:color w:val="6B6256"/>
          <w:sz w:val="18"/>
          <w:lang w:val="pt-BR" w:bidi="ar-SA"/>
          <w:kern w:val="16"/>
          <w14:ligatures w14:val="standardContextual"/>
        </w:rPr>
        <w:t xml:space="preserve">  Cap. 18</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Decreto 12.686/2025</w:t>
      </w:r>
      <w:r>
        <w:rPr>
          <w:rFonts w:ascii="EB Garamond" w:hAnsi="EB Garamond" w:cs="EB Garamond"/>
          <w:b w:val="0"/>
          <w:i w:val="0"/>
          <w:color w:val="6B6256"/>
          <w:sz w:val="18"/>
          <w:lang w:val="pt-BR" w:bidi="ar-SA"/>
          <w:kern w:val="16"/>
          <w14:ligatures w14:val="standardContextual"/>
        </w:rPr>
        <w:t xml:space="preserve">  Cap. 18</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Decreto 12.797/2025</w:t>
      </w:r>
      <w:r>
        <w:rPr>
          <w:rFonts w:ascii="EB Garamond" w:hAnsi="EB Garamond" w:cs="EB Garamond"/>
          <w:b w:val="0"/>
          <w:i w:val="0"/>
          <w:color w:val="6B6256"/>
          <w:sz w:val="18"/>
          <w:lang w:val="pt-BR" w:bidi="ar-SA"/>
          <w:kern w:val="16"/>
          <w14:ligatures w14:val="standardContextual"/>
        </w:rPr>
        <w:t xml:space="preserve">  Cap. 16</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Decreto 2.172/1997</w:t>
      </w:r>
      <w:r>
        <w:rPr>
          <w:rFonts w:ascii="EB Garamond" w:hAnsi="EB Garamond" w:cs="EB Garamond"/>
          <w:b w:val="0"/>
          <w:i w:val="0"/>
          <w:color w:val="6B6256"/>
          <w:sz w:val="18"/>
          <w:lang w:val="pt-BR" w:bidi="ar-SA"/>
          <w:kern w:val="16"/>
          <w14:ligatures w14:val="standardContextual"/>
        </w:rPr>
        <w:t xml:space="preserve">  Cap. 5, 8</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Decreto 20.910/1932</w:t>
      </w:r>
      <w:r>
        <w:rPr>
          <w:rFonts w:ascii="EB Garamond" w:hAnsi="EB Garamond" w:cs="EB Garamond"/>
          <w:b w:val="0"/>
          <w:i w:val="0"/>
          <w:color w:val="6B6256"/>
          <w:sz w:val="18"/>
          <w:lang w:val="pt-BR" w:bidi="ar-SA"/>
          <w:kern w:val="16"/>
          <w14:ligatures w14:val="standardContextual"/>
        </w:rPr>
        <w:t xml:space="preserve">  Cap. 21</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Decreto 3.048/1999</w:t>
      </w:r>
      <w:r>
        <w:rPr>
          <w:rFonts w:ascii="EB Garamond" w:hAnsi="EB Garamond" w:cs="EB Garamond"/>
          <w:b w:val="0"/>
          <w:i w:val="0"/>
          <w:color w:val="6B6256"/>
          <w:sz w:val="18"/>
          <w:lang w:val="pt-BR" w:bidi="ar-SA"/>
          <w:kern w:val="16"/>
          <w14:ligatures w14:val="standardContextual"/>
        </w:rPr>
        <w:t xml:space="preserve">  Cap. 2, 3, 4, 5, 6, 7, 8, 9, 10, 11, 12, 13, 14, 15, 20, 22</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Decreto 3.112/1999</w:t>
      </w:r>
      <w:r>
        <w:rPr>
          <w:rFonts w:ascii="EB Garamond" w:hAnsi="EB Garamond" w:cs="EB Garamond"/>
          <w:b w:val="0"/>
          <w:i w:val="0"/>
          <w:color w:val="6B6256"/>
          <w:sz w:val="18"/>
          <w:lang w:val="pt-BR" w:bidi="ar-SA"/>
          <w:kern w:val="16"/>
          <w14:ligatures w14:val="standardContextual"/>
        </w:rPr>
        <w:t xml:space="preserve">  Cap. 4, 5</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Decreto 3.298/1999</w:t>
      </w:r>
      <w:r>
        <w:rPr>
          <w:rFonts w:ascii="EB Garamond" w:hAnsi="EB Garamond" w:cs="EB Garamond"/>
          <w:b w:val="0"/>
          <w:i w:val="0"/>
          <w:color w:val="6B6256"/>
          <w:sz w:val="18"/>
          <w:lang w:val="pt-BR" w:bidi="ar-SA"/>
          <w:kern w:val="16"/>
          <w14:ligatures w14:val="standardContextual"/>
        </w:rPr>
        <w:t xml:space="preserve">  Cap. 12</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Decreto 4.882/2003</w:t>
      </w:r>
      <w:r>
        <w:rPr>
          <w:rFonts w:ascii="EB Garamond" w:hAnsi="EB Garamond" w:cs="EB Garamond"/>
          <w:b w:val="0"/>
          <w:i w:val="0"/>
          <w:color w:val="6B6256"/>
          <w:sz w:val="18"/>
          <w:lang w:val="pt-BR" w:bidi="ar-SA"/>
          <w:kern w:val="16"/>
          <w14:ligatures w14:val="standardContextual"/>
        </w:rPr>
        <w:t xml:space="preserve">  Cap. 8,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Decreto 5.296/2004</w:t>
      </w:r>
      <w:r>
        <w:rPr>
          <w:rFonts w:ascii="EB Garamond" w:hAnsi="EB Garamond" w:cs="EB Garamond"/>
          <w:b w:val="0"/>
          <w:i w:val="0"/>
          <w:color w:val="6B6256"/>
          <w:sz w:val="18"/>
          <w:lang w:val="pt-BR" w:bidi="ar-SA"/>
          <w:kern w:val="16"/>
          <w14:ligatures w14:val="standardContextual"/>
        </w:rPr>
        <w:t xml:space="preserve">  Cap. 12</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Decreto 5.722/2006</w:t>
      </w:r>
      <w:r>
        <w:rPr>
          <w:rFonts w:ascii="EB Garamond" w:hAnsi="EB Garamond" w:cs="EB Garamond"/>
          <w:b w:val="0"/>
          <w:i w:val="0"/>
          <w:color w:val="6B6256"/>
          <w:sz w:val="18"/>
          <w:lang w:val="pt-BR" w:bidi="ar-SA"/>
          <w:kern w:val="16"/>
          <w14:ligatures w14:val="standardContextual"/>
        </w:rPr>
        <w:t xml:space="preserve">  Cap. 5</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Decreto 53.831/1964</w:t>
      </w:r>
      <w:r>
        <w:rPr>
          <w:rFonts w:ascii="EB Garamond" w:hAnsi="EB Garamond" w:cs="EB Garamond"/>
          <w:b w:val="0"/>
          <w:i w:val="0"/>
          <w:color w:val="6B6256"/>
          <w:sz w:val="18"/>
          <w:lang w:val="pt-BR" w:bidi="ar-SA"/>
          <w:kern w:val="16"/>
          <w14:ligatures w14:val="standardContextual"/>
        </w:rPr>
        <w:t xml:space="preserve">  Cap. 8</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Decreto 6.042/2007</w:t>
      </w:r>
      <w:r>
        <w:rPr>
          <w:rFonts w:ascii="EB Garamond" w:hAnsi="EB Garamond" w:cs="EB Garamond"/>
          <w:b w:val="0"/>
          <w:i w:val="0"/>
          <w:color w:val="6B6256"/>
          <w:sz w:val="18"/>
          <w:lang w:val="pt-BR" w:bidi="ar-SA"/>
          <w:kern w:val="16"/>
          <w14:ligatures w14:val="standardContextual"/>
        </w:rPr>
        <w:t xml:space="preserve">  Cap. 4, 6, 7</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Decreto 6.214/2007</w:t>
      </w:r>
      <w:r>
        <w:rPr>
          <w:rFonts w:ascii="EB Garamond" w:hAnsi="EB Garamond" w:cs="EB Garamond"/>
          <w:b w:val="0"/>
          <w:i w:val="0"/>
          <w:color w:val="6B6256"/>
          <w:sz w:val="18"/>
          <w:lang w:val="pt-BR" w:bidi="ar-SA"/>
          <w:kern w:val="16"/>
          <w14:ligatures w14:val="standardContextual"/>
        </w:rPr>
        <w:t xml:space="preserve">  Cap. 6, 18, 22</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Decreto 6.481/2008</w:t>
      </w:r>
      <w:r>
        <w:rPr>
          <w:rFonts w:ascii="EB Garamond" w:hAnsi="EB Garamond" w:cs="EB Garamond"/>
          <w:b w:val="0"/>
          <w:i w:val="0"/>
          <w:color w:val="6B6256"/>
          <w:sz w:val="18"/>
          <w:lang w:val="pt-BR" w:bidi="ar-SA"/>
          <w:kern w:val="16"/>
          <w14:ligatures w14:val="standardContextual"/>
        </w:rPr>
        <w:t xml:space="preserve">  Cap. 2</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Decreto 6.949/2009</w:t>
      </w:r>
      <w:r>
        <w:rPr>
          <w:rFonts w:ascii="EB Garamond" w:hAnsi="EB Garamond" w:cs="EB Garamond"/>
          <w:b w:val="0"/>
          <w:i w:val="0"/>
          <w:color w:val="6B6256"/>
          <w:sz w:val="18"/>
          <w:lang w:val="pt-BR" w:bidi="ar-SA"/>
          <w:kern w:val="16"/>
          <w14:ligatures w14:val="standardContextual"/>
        </w:rPr>
        <w:t xml:space="preserve">  Cap. 12, 18, 22</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Decreto 6.957/2009</w:t>
      </w:r>
      <w:r>
        <w:rPr>
          <w:rFonts w:ascii="EB Garamond" w:hAnsi="EB Garamond" w:cs="EB Garamond"/>
          <w:b w:val="0"/>
          <w:i w:val="0"/>
          <w:color w:val="6B6256"/>
          <w:sz w:val="18"/>
          <w:lang w:val="pt-BR" w:bidi="ar-SA"/>
          <w:kern w:val="16"/>
          <w14:ligatures w14:val="standardContextual"/>
        </w:rPr>
        <w:t xml:space="preserve">  Cap. 4</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Decreto 7.702/2012</w:t>
      </w:r>
      <w:r>
        <w:rPr>
          <w:rFonts w:ascii="EB Garamond" w:hAnsi="EB Garamond" w:cs="EB Garamond"/>
          <w:b w:val="0"/>
          <w:i w:val="0"/>
          <w:color w:val="6B6256"/>
          <w:sz w:val="18"/>
          <w:lang w:val="pt-BR" w:bidi="ar-SA"/>
          <w:kern w:val="16"/>
          <w14:ligatures w14:val="standardContextual"/>
        </w:rPr>
        <w:t xml:space="preserve">  Cap. 5</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Decreto 71.885/1973</w:t>
      </w:r>
      <w:r>
        <w:rPr>
          <w:rFonts w:ascii="EB Garamond" w:hAnsi="EB Garamond" w:cs="EB Garamond"/>
          <w:b w:val="0"/>
          <w:i w:val="0"/>
          <w:color w:val="6B6256"/>
          <w:sz w:val="18"/>
          <w:lang w:val="pt-BR" w:bidi="ar-SA"/>
          <w:kern w:val="16"/>
          <w14:ligatures w14:val="standardContextual"/>
        </w:rPr>
        <w:t xml:space="preserve">  Cap. 2</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Decreto 77.077/1976</w:t>
      </w:r>
      <w:r>
        <w:rPr>
          <w:rFonts w:ascii="EB Garamond" w:hAnsi="EB Garamond" w:cs="EB Garamond"/>
          <w:b w:val="0"/>
          <w:i w:val="0"/>
          <w:color w:val="6B6256"/>
          <w:sz w:val="18"/>
          <w:lang w:val="pt-BR" w:bidi="ar-SA"/>
          <w:kern w:val="16"/>
          <w14:ligatures w14:val="standardContextual"/>
        </w:rPr>
        <w:t xml:space="preserve">  Cap. 14</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Decreto 8.145/2013</w:t>
      </w:r>
      <w:r>
        <w:rPr>
          <w:rFonts w:ascii="EB Garamond" w:hAnsi="EB Garamond" w:cs="EB Garamond"/>
          <w:b w:val="0"/>
          <w:i w:val="0"/>
          <w:color w:val="6B6256"/>
          <w:sz w:val="18"/>
          <w:lang w:val="pt-BR" w:bidi="ar-SA"/>
          <w:kern w:val="16"/>
          <w14:ligatures w14:val="standardContextual"/>
        </w:rPr>
        <w:t xml:space="preserve">  Cap. 10, 12</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Decreto 83.080/1979</w:t>
      </w:r>
      <w:r>
        <w:rPr>
          <w:rFonts w:ascii="EB Garamond" w:hAnsi="EB Garamond" w:cs="EB Garamond"/>
          <w:b w:val="0"/>
          <w:i w:val="0"/>
          <w:color w:val="6B6256"/>
          <w:sz w:val="18"/>
          <w:lang w:val="pt-BR" w:bidi="ar-SA"/>
          <w:kern w:val="16"/>
          <w14:ligatures w14:val="standardContextual"/>
        </w:rPr>
        <w:t xml:space="preserve">  Cap. 8</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Decreto 89.312/1984</w:t>
      </w:r>
      <w:r>
        <w:rPr>
          <w:rFonts w:ascii="EB Garamond" w:hAnsi="EB Garamond" w:cs="EB Garamond"/>
          <w:b w:val="0"/>
          <w:i w:val="0"/>
          <w:color w:val="6B6256"/>
          <w:sz w:val="18"/>
          <w:lang w:val="pt-BR" w:bidi="ar-SA"/>
          <w:kern w:val="16"/>
          <w14:ligatures w14:val="standardContextual"/>
        </w:rPr>
        <w:t xml:space="preserve">  Cap. 7, 14, 17</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Decreto 9.064/2017</w:t>
      </w:r>
      <w:r>
        <w:rPr>
          <w:rFonts w:ascii="EB Garamond" w:hAnsi="EB Garamond" w:cs="EB Garamond"/>
          <w:b w:val="0"/>
          <w:i w:val="0"/>
          <w:color w:val="6B6256"/>
          <w:sz w:val="18"/>
          <w:lang w:val="pt-BR" w:bidi="ar-SA"/>
          <w:kern w:val="16"/>
          <w14:ligatures w14:val="standardContextual"/>
        </w:rPr>
        <w:t xml:space="preserve">  Cap. 9</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Decreto 9.422/2018</w:t>
      </w:r>
      <w:r>
        <w:rPr>
          <w:rFonts w:ascii="EB Garamond" w:hAnsi="EB Garamond" w:cs="EB Garamond"/>
          <w:b w:val="0"/>
          <w:i w:val="0"/>
          <w:color w:val="6B6256"/>
          <w:sz w:val="18"/>
          <w:lang w:val="pt-BR" w:bidi="ar-SA"/>
          <w:kern w:val="16"/>
          <w14:ligatures w14:val="standardContextual"/>
        </w:rPr>
        <w:t xml:space="preserve">  Cap. 5</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Decreto 99.350/1990</w:t>
      </w:r>
      <w:r>
        <w:rPr>
          <w:rFonts w:ascii="EB Garamond" w:hAnsi="EB Garamond" w:cs="EB Garamond"/>
          <w:b w:val="0"/>
          <w:i w:val="0"/>
          <w:color w:val="6B6256"/>
          <w:sz w:val="18"/>
          <w:lang w:val="pt-BR" w:bidi="ar-SA"/>
          <w:kern w:val="16"/>
          <w14:ligatures w14:val="standardContextual"/>
        </w:rPr>
        <w:t xml:space="preserve">  Cap. 1</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Decreto-Lei 5.452/1943</w:t>
      </w:r>
      <w:r>
        <w:rPr>
          <w:rFonts w:ascii="EB Garamond" w:hAnsi="EB Garamond" w:cs="EB Garamond"/>
          <w:b w:val="0"/>
          <w:i w:val="0"/>
          <w:color w:val="6B6256"/>
          <w:sz w:val="18"/>
          <w:lang w:val="pt-BR" w:bidi="ar-SA"/>
          <w:kern w:val="16"/>
          <w14:ligatures w14:val="standardContextual"/>
        </w:rPr>
        <w:t xml:space="preserve">  Cap. 4</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EC 103</w:t>
      </w:r>
      <w:r>
        <w:rPr>
          <w:rFonts w:ascii="EB Garamond" w:hAnsi="EB Garamond" w:cs="EB Garamond"/>
          <w:b w:val="0"/>
          <w:i w:val="0"/>
          <w:color w:val="6B6256"/>
          <w:sz w:val="18"/>
          <w:lang w:val="pt-BR" w:bidi="ar-SA"/>
          <w:kern w:val="16"/>
          <w14:ligatures w14:val="standardContextual"/>
        </w:rPr>
        <w:t xml:space="preserve">  Cap. 1, 6, 16, 17</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EC 103/2019</w:t>
      </w:r>
      <w:r>
        <w:rPr>
          <w:rFonts w:ascii="EB Garamond" w:hAnsi="EB Garamond" w:cs="EB Garamond"/>
          <w:b w:val="0"/>
          <w:i w:val="0"/>
          <w:color w:val="6B6256"/>
          <w:sz w:val="18"/>
          <w:lang w:val="pt-BR" w:bidi="ar-SA"/>
          <w:kern w:val="16"/>
          <w14:ligatures w14:val="standardContextual"/>
        </w:rPr>
        <w:t xml:space="preserve">  Cap. 7, 8, 9, 10, 15, 20, 21</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EC 113</w:t>
      </w:r>
      <w:r>
        <w:rPr>
          <w:rFonts w:ascii="EB Garamond" w:hAnsi="EB Garamond" w:cs="EB Garamond"/>
          <w:b w:val="0"/>
          <w:i w:val="0"/>
          <w:color w:val="6B6256"/>
          <w:sz w:val="18"/>
          <w:lang w:val="pt-BR" w:bidi="ar-SA"/>
          <w:kern w:val="16"/>
          <w14:ligatures w14:val="standardContextual"/>
        </w:rPr>
        <w:t xml:space="preserve">  Cap. 16, 17</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EC 132</w:t>
      </w:r>
      <w:r>
        <w:rPr>
          <w:rFonts w:ascii="EB Garamond" w:hAnsi="EB Garamond" w:cs="EB Garamond"/>
          <w:b w:val="0"/>
          <w:i w:val="0"/>
          <w:color w:val="6B6256"/>
          <w:sz w:val="18"/>
          <w:lang w:val="pt-BR" w:bidi="ar-SA"/>
          <w:kern w:val="16"/>
          <w14:ligatures w14:val="standardContextual"/>
        </w:rPr>
        <w:t xml:space="preserve">  Cap. 1</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EC 136</w:t>
      </w:r>
      <w:r>
        <w:rPr>
          <w:rFonts w:ascii="EB Garamond" w:hAnsi="EB Garamond" w:cs="EB Garamond"/>
          <w:b w:val="0"/>
          <w:i w:val="0"/>
          <w:color w:val="6B6256"/>
          <w:sz w:val="18"/>
          <w:lang w:val="pt-BR" w:bidi="ar-SA"/>
          <w:kern w:val="16"/>
          <w14:ligatures w14:val="standardContextual"/>
        </w:rPr>
        <w:t xml:space="preserve">  Cap. 1, 17</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EC 20</w:t>
      </w:r>
      <w:r>
        <w:rPr>
          <w:rFonts w:ascii="EB Garamond" w:hAnsi="EB Garamond" w:cs="EB Garamond"/>
          <w:b w:val="0"/>
          <w:i w:val="0"/>
          <w:color w:val="6B6256"/>
          <w:sz w:val="18"/>
          <w:lang w:val="pt-BR" w:bidi="ar-SA"/>
          <w:kern w:val="16"/>
          <w14:ligatures w14:val="standardContextual"/>
        </w:rPr>
        <w:t xml:space="preserve">  Cap. 1, 15, 17</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EC 20/1998</w:t>
      </w:r>
      <w:r>
        <w:rPr>
          <w:rFonts w:ascii="EB Garamond" w:hAnsi="EB Garamond" w:cs="EB Garamond"/>
          <w:b w:val="0"/>
          <w:i w:val="0"/>
          <w:color w:val="6B6256"/>
          <w:sz w:val="18"/>
          <w:lang w:val="pt-BR" w:bidi="ar-SA"/>
          <w:kern w:val="16"/>
          <w14:ligatures w14:val="standardContextual"/>
        </w:rPr>
        <w:t xml:space="preserve">  Cap. 2, 4, 16, 21</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EC 22/1999</w:t>
      </w:r>
      <w:r>
        <w:rPr>
          <w:rFonts w:ascii="EB Garamond" w:hAnsi="EB Garamond" w:cs="EB Garamond"/>
          <w:b w:val="0"/>
          <w:i w:val="0"/>
          <w:color w:val="6B6256"/>
          <w:sz w:val="18"/>
          <w:lang w:val="pt-BR" w:bidi="ar-SA"/>
          <w:kern w:val="16"/>
          <w14:ligatures w14:val="standardContextual"/>
        </w:rPr>
        <w:t xml:space="preserve">  Cap.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EC 41</w:t>
      </w:r>
      <w:r>
        <w:rPr>
          <w:rFonts w:ascii="EB Garamond" w:hAnsi="EB Garamond" w:cs="EB Garamond"/>
          <w:b w:val="0"/>
          <w:i w:val="0"/>
          <w:color w:val="6B6256"/>
          <w:sz w:val="18"/>
          <w:lang w:val="pt-BR" w:bidi="ar-SA"/>
          <w:kern w:val="16"/>
          <w14:ligatures w14:val="standardContextual"/>
        </w:rPr>
        <w:t xml:space="preserve">  Cap. 1, 16, 17</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EC 41/2003</w:t>
      </w:r>
      <w:r>
        <w:rPr>
          <w:rFonts w:ascii="EB Garamond" w:hAnsi="EB Garamond" w:cs="EB Garamond"/>
          <w:b w:val="0"/>
          <w:i w:val="0"/>
          <w:color w:val="6B6256"/>
          <w:sz w:val="18"/>
          <w:lang w:val="pt-BR" w:bidi="ar-SA"/>
          <w:kern w:val="16"/>
          <w14:ligatures w14:val="standardContextual"/>
        </w:rPr>
        <w:t xml:space="preserve">  Cap. 4</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EC 47</w:t>
      </w:r>
      <w:r>
        <w:rPr>
          <w:rFonts w:ascii="EB Garamond" w:hAnsi="EB Garamond" w:cs="EB Garamond"/>
          <w:b w:val="0"/>
          <w:i w:val="0"/>
          <w:color w:val="6B6256"/>
          <w:sz w:val="18"/>
          <w:lang w:val="pt-BR" w:bidi="ar-SA"/>
          <w:kern w:val="16"/>
          <w14:ligatures w14:val="standardContextual"/>
        </w:rPr>
        <w:t xml:space="preserve">  Cap. 1</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EC 72</w:t>
      </w:r>
      <w:r>
        <w:rPr>
          <w:rFonts w:ascii="EB Garamond" w:hAnsi="EB Garamond" w:cs="EB Garamond"/>
          <w:b w:val="0"/>
          <w:i w:val="0"/>
          <w:color w:val="6B6256"/>
          <w:sz w:val="18"/>
          <w:lang w:val="pt-BR" w:bidi="ar-SA"/>
          <w:kern w:val="16"/>
          <w14:ligatures w14:val="standardContextual"/>
        </w:rPr>
        <w:t xml:space="preserve">  Cap. 2</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IN 128/2022</w:t>
      </w:r>
      <w:r>
        <w:rPr>
          <w:rFonts w:ascii="EB Garamond" w:hAnsi="EB Garamond" w:cs="EB Garamond"/>
          <w:b w:val="0"/>
          <w:i w:val="0"/>
          <w:color w:val="6B6256"/>
          <w:sz w:val="18"/>
          <w:lang w:val="pt-BR" w:bidi="ar-SA"/>
          <w:kern w:val="16"/>
          <w14:ligatures w14:val="standardContextual"/>
        </w:rPr>
        <w:t xml:space="preserve">  Cap. 2</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IN 77/2015</w:t>
      </w:r>
      <w:r>
        <w:rPr>
          <w:rFonts w:ascii="EB Garamond" w:hAnsi="EB Garamond" w:cs="EB Garamond"/>
          <w:b w:val="0"/>
          <w:i w:val="0"/>
          <w:color w:val="6B6256"/>
          <w:sz w:val="18"/>
          <w:lang w:val="pt-BR" w:bidi="ar-SA"/>
          <w:kern w:val="16"/>
          <w14:ligatures w14:val="standardContextual"/>
        </w:rPr>
        <w:t xml:space="preserve">  Cap. 13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LC 123/2006</w:t>
      </w:r>
      <w:r>
        <w:rPr>
          <w:rFonts w:ascii="EB Garamond" w:hAnsi="EB Garamond" w:cs="EB Garamond"/>
          <w:b w:val="0"/>
          <w:i w:val="0"/>
          <w:color w:val="6B6256"/>
          <w:sz w:val="18"/>
          <w:lang w:val="pt-BR" w:bidi="ar-SA"/>
          <w:kern w:val="16"/>
          <w14:ligatures w14:val="standardContextual"/>
        </w:rPr>
        <w:t xml:space="preserve">  Cap. 2</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LC 142/2013</w:t>
      </w:r>
      <w:r>
        <w:rPr>
          <w:rFonts w:ascii="EB Garamond" w:hAnsi="EB Garamond" w:cs="EB Garamond"/>
          <w:b w:val="0"/>
          <w:i w:val="0"/>
          <w:color w:val="6B6256"/>
          <w:sz w:val="18"/>
          <w:lang w:val="pt-BR" w:bidi="ar-SA"/>
          <w:kern w:val="16"/>
          <w14:ligatures w14:val="standardContextual"/>
        </w:rPr>
        <w:t xml:space="preserve">  Cap. 8</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LC 150/2015</w:t>
      </w:r>
      <w:r>
        <w:rPr>
          <w:rFonts w:ascii="EB Garamond" w:hAnsi="EB Garamond" w:cs="EB Garamond"/>
          <w:b w:val="0"/>
          <w:i w:val="0"/>
          <w:color w:val="6B6256"/>
          <w:sz w:val="18"/>
          <w:lang w:val="pt-BR" w:bidi="ar-SA"/>
          <w:kern w:val="16"/>
          <w14:ligatures w14:val="standardContextual"/>
        </w:rPr>
        <w:t xml:space="preserve">  Cap. 15</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LC 187/2021</w:t>
      </w:r>
      <w:r>
        <w:rPr>
          <w:rFonts w:ascii="EB Garamond" w:hAnsi="EB Garamond" w:cs="EB Garamond"/>
          <w:b w:val="0"/>
          <w:i w:val="0"/>
          <w:color w:val="6B6256"/>
          <w:sz w:val="18"/>
          <w:lang w:val="pt-BR" w:bidi="ar-SA"/>
          <w:kern w:val="16"/>
          <w14:ligatures w14:val="standardContextual"/>
        </w:rPr>
        <w:t xml:space="preserve">  Cap. 4</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LC 73/1993</w:t>
      </w:r>
      <w:r>
        <w:rPr>
          <w:rFonts w:ascii="EB Garamond" w:hAnsi="EB Garamond" w:cs="EB Garamond"/>
          <w:b w:val="0"/>
          <w:i w:val="0"/>
          <w:color w:val="6B6256"/>
          <w:sz w:val="18"/>
          <w:lang w:val="pt-BR" w:bidi="ar-SA"/>
          <w:kern w:val="16"/>
          <w14:ligatures w14:val="standardContextual"/>
        </w:rPr>
        <w:t xml:space="preserve">  Cap.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10.101/2000</w:t>
      </w:r>
      <w:r>
        <w:rPr>
          <w:rFonts w:ascii="EB Garamond" w:hAnsi="EB Garamond" w:cs="EB Garamond"/>
          <w:b w:val="0"/>
          <w:i w:val="0"/>
          <w:color w:val="6B6256"/>
          <w:sz w:val="18"/>
          <w:lang w:val="pt-BR" w:bidi="ar-SA"/>
          <w:kern w:val="16"/>
          <w14:ligatures w14:val="standardContextual"/>
        </w:rPr>
        <w:t xml:space="preserve">  Cap. 4</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10.243/2001</w:t>
      </w:r>
      <w:r>
        <w:rPr>
          <w:rFonts w:ascii="EB Garamond" w:hAnsi="EB Garamond" w:cs="EB Garamond"/>
          <w:b w:val="0"/>
          <w:i w:val="0"/>
          <w:color w:val="6B6256"/>
          <w:sz w:val="18"/>
          <w:lang w:val="pt-BR" w:bidi="ar-SA"/>
          <w:kern w:val="16"/>
          <w14:ligatures w14:val="standardContextual"/>
        </w:rPr>
        <w:t xml:space="preserve">  Cap. 4</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10.256/2001</w:t>
      </w:r>
      <w:r>
        <w:rPr>
          <w:rFonts w:ascii="EB Garamond" w:hAnsi="EB Garamond" w:cs="EB Garamond"/>
          <w:b w:val="0"/>
          <w:i w:val="0"/>
          <w:color w:val="6B6256"/>
          <w:sz w:val="18"/>
          <w:lang w:val="pt-BR" w:bidi="ar-SA"/>
          <w:kern w:val="16"/>
          <w14:ligatures w14:val="standardContextual"/>
        </w:rPr>
        <w:t xml:space="preserve">  Cap. 4, 9</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10.259/2001</w:t>
      </w:r>
      <w:r>
        <w:rPr>
          <w:rFonts w:ascii="EB Garamond" w:hAnsi="EB Garamond" w:cs="EB Garamond"/>
          <w:b w:val="0"/>
          <w:i w:val="0"/>
          <w:color w:val="6B6256"/>
          <w:sz w:val="18"/>
          <w:lang w:val="pt-BR" w:bidi="ar-SA"/>
          <w:kern w:val="16"/>
          <w14:ligatures w14:val="standardContextual"/>
        </w:rPr>
        <w:t xml:space="preserve">  Cap. 4, 5, 6, 7, 8, 9, 10, 11, 12, 13, 15, 17, 18, 19, 20, 21, 22,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10.403/2002</w:t>
      </w:r>
      <w:r>
        <w:rPr>
          <w:rFonts w:ascii="EB Garamond" w:hAnsi="EB Garamond" w:cs="EB Garamond"/>
          <w:b w:val="0"/>
          <w:i w:val="0"/>
          <w:color w:val="6B6256"/>
          <w:sz w:val="18"/>
          <w:lang w:val="pt-BR" w:bidi="ar-SA"/>
          <w:kern w:val="16"/>
          <w14:ligatures w14:val="standardContextual"/>
        </w:rPr>
        <w:t xml:space="preserve">  Cap. 2, 10, 22</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10.421/2002</w:t>
      </w:r>
      <w:r>
        <w:rPr>
          <w:rFonts w:ascii="EB Garamond" w:hAnsi="EB Garamond" w:cs="EB Garamond"/>
          <w:b w:val="0"/>
          <w:i w:val="0"/>
          <w:color w:val="6B6256"/>
          <w:sz w:val="18"/>
          <w:lang w:val="pt-BR" w:bidi="ar-SA"/>
          <w:kern w:val="16"/>
          <w14:ligatures w14:val="standardContextual"/>
        </w:rPr>
        <w:t xml:space="preserve">  Cap. 13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10.666/2003</w:t>
      </w:r>
      <w:r>
        <w:rPr>
          <w:rFonts w:ascii="EB Garamond" w:hAnsi="EB Garamond" w:cs="EB Garamond"/>
          <w:b w:val="0"/>
          <w:i w:val="0"/>
          <w:color w:val="6B6256"/>
          <w:sz w:val="18"/>
          <w:lang w:val="pt-BR" w:bidi="ar-SA"/>
          <w:kern w:val="16"/>
          <w14:ligatures w14:val="standardContextual"/>
        </w:rPr>
        <w:t xml:space="preserve">  Cap. 3, 4, 7, 10, 14, 19</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10.710/2003</w:t>
      </w:r>
      <w:r>
        <w:rPr>
          <w:rFonts w:ascii="EB Garamond" w:hAnsi="EB Garamond" w:cs="EB Garamond"/>
          <w:b w:val="0"/>
          <w:i w:val="0"/>
          <w:color w:val="6B6256"/>
          <w:sz w:val="18"/>
          <w:lang w:val="pt-BR" w:bidi="ar-SA"/>
          <w:kern w:val="16"/>
          <w14:ligatures w14:val="standardContextual"/>
        </w:rPr>
        <w:t xml:space="preserve">  Cap. 13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10.735/2003</w:t>
      </w:r>
      <w:r>
        <w:rPr>
          <w:rFonts w:ascii="EB Garamond" w:hAnsi="EB Garamond" w:cs="EB Garamond"/>
          <w:b w:val="0"/>
          <w:i w:val="0"/>
          <w:color w:val="6B6256"/>
          <w:sz w:val="18"/>
          <w:lang w:val="pt-BR" w:bidi="ar-SA"/>
          <w:kern w:val="16"/>
          <w14:ligatures w14:val="standardContextual"/>
        </w:rPr>
        <w:t xml:space="preserve">  Cap. 18</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10.741/2003</w:t>
      </w:r>
      <w:r>
        <w:rPr>
          <w:rFonts w:ascii="EB Garamond" w:hAnsi="EB Garamond" w:cs="EB Garamond"/>
          <w:b w:val="0"/>
          <w:i w:val="0"/>
          <w:color w:val="6B6256"/>
          <w:sz w:val="18"/>
          <w:lang w:val="pt-BR" w:bidi="ar-SA"/>
          <w:kern w:val="16"/>
          <w14:ligatures w14:val="standardContextual"/>
        </w:rPr>
        <w:t xml:space="preserve">  Cap. 10, 18</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10.779/2003</w:t>
      </w:r>
      <w:r>
        <w:rPr>
          <w:rFonts w:ascii="EB Garamond" w:hAnsi="EB Garamond" w:cs="EB Garamond"/>
          <w:b w:val="0"/>
          <w:i w:val="0"/>
          <w:color w:val="6B6256"/>
          <w:sz w:val="18"/>
          <w:lang w:val="pt-BR" w:bidi="ar-SA"/>
          <w:kern w:val="16"/>
          <w14:ligatures w14:val="standardContextual"/>
        </w:rPr>
        <w:t xml:space="preserve">  Cap. 9</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10.839/2004</w:t>
      </w:r>
      <w:r>
        <w:rPr>
          <w:rFonts w:ascii="EB Garamond" w:hAnsi="EB Garamond" w:cs="EB Garamond"/>
          <w:b w:val="0"/>
          <w:i w:val="0"/>
          <w:color w:val="6B6256"/>
          <w:sz w:val="18"/>
          <w:lang w:val="pt-BR" w:bidi="ar-SA"/>
          <w:kern w:val="16"/>
          <w14:ligatures w14:val="standardContextual"/>
        </w:rPr>
        <w:t xml:space="preserve">  Cap. 17, 21, 22</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10.876/2004</w:t>
      </w:r>
      <w:r>
        <w:rPr>
          <w:rFonts w:ascii="EB Garamond" w:hAnsi="EB Garamond" w:cs="EB Garamond"/>
          <w:b w:val="0"/>
          <w:i w:val="0"/>
          <w:color w:val="6B6256"/>
          <w:sz w:val="18"/>
          <w:lang w:val="pt-BR" w:bidi="ar-SA"/>
          <w:kern w:val="16"/>
          <w14:ligatures w14:val="standardContextual"/>
        </w:rPr>
        <w:t xml:space="preserve">  Cap. 22</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10.887/2004</w:t>
      </w:r>
      <w:r>
        <w:rPr>
          <w:rFonts w:ascii="EB Garamond" w:hAnsi="EB Garamond" w:cs="EB Garamond"/>
          <w:b w:val="0"/>
          <w:i w:val="0"/>
          <w:color w:val="6B6256"/>
          <w:sz w:val="18"/>
          <w:lang w:val="pt-BR" w:bidi="ar-SA"/>
          <w:kern w:val="16"/>
          <w14:ligatures w14:val="standardContextual"/>
        </w:rPr>
        <w:t xml:space="preserve">  Cap. 2</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11.301/2006</w:t>
      </w:r>
      <w:r>
        <w:rPr>
          <w:rFonts w:ascii="EB Garamond" w:hAnsi="EB Garamond" w:cs="EB Garamond"/>
          <w:b w:val="0"/>
          <w:i w:val="0"/>
          <w:color w:val="6B6256"/>
          <w:sz w:val="18"/>
          <w:lang w:val="pt-BR" w:bidi="ar-SA"/>
          <w:kern w:val="16"/>
          <w14:ligatures w14:val="standardContextual"/>
        </w:rPr>
        <w:t xml:space="preserve">  Cap. 11</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11.419/2006</w:t>
      </w:r>
      <w:r>
        <w:rPr>
          <w:rFonts w:ascii="EB Garamond" w:hAnsi="EB Garamond" w:cs="EB Garamond"/>
          <w:b w:val="0"/>
          <w:i w:val="0"/>
          <w:color w:val="6B6256"/>
          <w:sz w:val="18"/>
          <w:lang w:val="pt-BR" w:bidi="ar-SA"/>
          <w:kern w:val="16"/>
          <w14:ligatures w14:val="standardContextual"/>
        </w:rPr>
        <w:t xml:space="preserve">  Cap.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11.430/2006</w:t>
      </w:r>
      <w:r>
        <w:rPr>
          <w:rFonts w:ascii="EB Garamond" w:hAnsi="EB Garamond" w:cs="EB Garamond"/>
          <w:b w:val="0"/>
          <w:i w:val="0"/>
          <w:color w:val="6B6256"/>
          <w:sz w:val="18"/>
          <w:lang w:val="pt-BR" w:bidi="ar-SA"/>
          <w:kern w:val="16"/>
          <w14:ligatures w14:val="standardContextual"/>
        </w:rPr>
        <w:t xml:space="preserve">  Cap. 1, 7, 16</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11.457/2007</w:t>
      </w:r>
      <w:r>
        <w:rPr>
          <w:rFonts w:ascii="EB Garamond" w:hAnsi="EB Garamond" w:cs="EB Garamond"/>
          <w:b w:val="0"/>
          <w:i w:val="0"/>
          <w:color w:val="6B6256"/>
          <w:sz w:val="18"/>
          <w:lang w:val="pt-BR" w:bidi="ar-SA"/>
          <w:kern w:val="16"/>
          <w14:ligatures w14:val="standardContextual"/>
        </w:rPr>
        <w:t xml:space="preserve">  Cap. 4</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11.718/2008</w:t>
      </w:r>
      <w:r>
        <w:rPr>
          <w:rFonts w:ascii="EB Garamond" w:hAnsi="EB Garamond" w:cs="EB Garamond"/>
          <w:b w:val="0"/>
          <w:i w:val="0"/>
          <w:color w:val="6B6256"/>
          <w:sz w:val="18"/>
          <w:lang w:val="pt-BR" w:bidi="ar-SA"/>
          <w:kern w:val="16"/>
          <w14:ligatures w14:val="standardContextual"/>
        </w:rPr>
        <w:t xml:space="preserve">  Cap. 2, 5, 9, 10</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11.770/2008</w:t>
      </w:r>
      <w:r>
        <w:rPr>
          <w:rFonts w:ascii="EB Garamond" w:hAnsi="EB Garamond" w:cs="EB Garamond"/>
          <w:b w:val="0"/>
          <w:i w:val="0"/>
          <w:color w:val="6B6256"/>
          <w:sz w:val="18"/>
          <w:lang w:val="pt-BR" w:bidi="ar-SA"/>
          <w:kern w:val="16"/>
          <w14:ligatures w14:val="standardContextual"/>
        </w:rPr>
        <w:t xml:space="preserve">  Cap. 13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11.788/2008</w:t>
      </w:r>
      <w:r>
        <w:rPr>
          <w:rFonts w:ascii="EB Garamond" w:hAnsi="EB Garamond" w:cs="EB Garamond"/>
          <w:b w:val="0"/>
          <w:i w:val="0"/>
          <w:color w:val="6B6256"/>
          <w:sz w:val="18"/>
          <w:lang w:val="pt-BR" w:bidi="ar-SA"/>
          <w:kern w:val="16"/>
          <w14:ligatures w14:val="standardContextual"/>
        </w:rPr>
        <w:t xml:space="preserve">  Cap. 2, 4</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11.959/2009</w:t>
      </w:r>
      <w:r>
        <w:rPr>
          <w:rFonts w:ascii="EB Garamond" w:hAnsi="EB Garamond" w:cs="EB Garamond"/>
          <w:b w:val="0"/>
          <w:i w:val="0"/>
          <w:color w:val="6B6256"/>
          <w:sz w:val="18"/>
          <w:lang w:val="pt-BR" w:bidi="ar-SA"/>
          <w:kern w:val="16"/>
          <w14:ligatures w14:val="standardContextual"/>
        </w:rPr>
        <w:t xml:space="preserve">  Cap. 9</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11.960/2009</w:t>
      </w:r>
      <w:r>
        <w:rPr>
          <w:rFonts w:ascii="EB Garamond" w:hAnsi="EB Garamond" w:cs="EB Garamond"/>
          <w:b w:val="0"/>
          <w:i w:val="0"/>
          <w:color w:val="6B6256"/>
          <w:sz w:val="18"/>
          <w:lang w:val="pt-BR" w:bidi="ar-SA"/>
          <w:kern w:val="16"/>
          <w14:ligatures w14:val="standardContextual"/>
        </w:rPr>
        <w:t xml:space="preserve">  Cap. 9, 17,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12.023/2009</w:t>
      </w:r>
      <w:r>
        <w:rPr>
          <w:rFonts w:ascii="EB Garamond" w:hAnsi="EB Garamond" w:cs="EB Garamond"/>
          <w:b w:val="0"/>
          <w:i w:val="0"/>
          <w:color w:val="6B6256"/>
          <w:sz w:val="18"/>
          <w:lang w:val="pt-BR" w:bidi="ar-SA"/>
          <w:kern w:val="16"/>
          <w14:ligatures w14:val="standardContextual"/>
        </w:rPr>
        <w:t xml:space="preserve">  Cap. 2</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12.101/2009</w:t>
      </w:r>
      <w:r>
        <w:rPr>
          <w:rFonts w:ascii="EB Garamond" w:hAnsi="EB Garamond" w:cs="EB Garamond"/>
          <w:b w:val="0"/>
          <w:i w:val="0"/>
          <w:color w:val="6B6256"/>
          <w:sz w:val="18"/>
          <w:lang w:val="pt-BR" w:bidi="ar-SA"/>
          <w:kern w:val="16"/>
          <w14:ligatures w14:val="standardContextual"/>
        </w:rPr>
        <w:t xml:space="preserve">  Cap. 4</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12.350/2010</w:t>
      </w:r>
      <w:r>
        <w:rPr>
          <w:rFonts w:ascii="EB Garamond" w:hAnsi="EB Garamond" w:cs="EB Garamond"/>
          <w:b w:val="0"/>
          <w:i w:val="0"/>
          <w:color w:val="6B6256"/>
          <w:sz w:val="18"/>
          <w:lang w:val="pt-BR" w:bidi="ar-SA"/>
          <w:kern w:val="16"/>
          <w14:ligatures w14:val="standardContextual"/>
        </w:rPr>
        <w:t xml:space="preserve">  Cap.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12.435/2011</w:t>
      </w:r>
      <w:r>
        <w:rPr>
          <w:rFonts w:ascii="EB Garamond" w:hAnsi="EB Garamond" w:cs="EB Garamond"/>
          <w:b w:val="0"/>
          <w:i w:val="0"/>
          <w:color w:val="6B6256"/>
          <w:sz w:val="18"/>
          <w:lang w:val="pt-BR" w:bidi="ar-SA"/>
          <w:kern w:val="16"/>
          <w14:ligatures w14:val="standardContextual"/>
        </w:rPr>
        <w:t xml:space="preserve">  Cap. 18</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12.470/2011</w:t>
      </w:r>
      <w:r>
        <w:rPr>
          <w:rFonts w:ascii="EB Garamond" w:hAnsi="EB Garamond" w:cs="EB Garamond"/>
          <w:b w:val="0"/>
          <w:i w:val="0"/>
          <w:color w:val="6B6256"/>
          <w:sz w:val="18"/>
          <w:lang w:val="pt-BR" w:bidi="ar-SA"/>
          <w:kern w:val="16"/>
          <w14:ligatures w14:val="standardContextual"/>
        </w:rPr>
        <w:t xml:space="preserve">  Cap. 1, 2, 4, 10, 18</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12.506/2011</w:t>
      </w:r>
      <w:r>
        <w:rPr>
          <w:rFonts w:ascii="EB Garamond" w:hAnsi="EB Garamond" w:cs="EB Garamond"/>
          <w:b w:val="0"/>
          <w:i w:val="0"/>
          <w:color w:val="6B6256"/>
          <w:sz w:val="18"/>
          <w:lang w:val="pt-BR" w:bidi="ar-SA"/>
          <w:kern w:val="16"/>
          <w14:ligatures w14:val="standardContextual"/>
        </w:rPr>
        <w:t xml:space="preserve">  Cap. 5</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12.546/2011</w:t>
      </w:r>
      <w:r>
        <w:rPr>
          <w:rFonts w:ascii="EB Garamond" w:hAnsi="EB Garamond" w:cs="EB Garamond"/>
          <w:b w:val="0"/>
          <w:i w:val="0"/>
          <w:color w:val="6B6256"/>
          <w:sz w:val="18"/>
          <w:lang w:val="pt-BR" w:bidi="ar-SA"/>
          <w:kern w:val="16"/>
          <w14:ligatures w14:val="standardContextual"/>
        </w:rPr>
        <w:t xml:space="preserve">  Cap. 4</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12.740/2012</w:t>
      </w:r>
      <w:r>
        <w:rPr>
          <w:rFonts w:ascii="EB Garamond" w:hAnsi="EB Garamond" w:cs="EB Garamond"/>
          <w:b w:val="0"/>
          <w:i w:val="0"/>
          <w:color w:val="6B6256"/>
          <w:sz w:val="18"/>
          <w:lang w:val="pt-BR" w:bidi="ar-SA"/>
          <w:kern w:val="16"/>
          <w14:ligatures w14:val="standardContextual"/>
        </w:rPr>
        <w:t xml:space="preserve">  Cap. 8</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12.815/2013</w:t>
      </w:r>
      <w:r>
        <w:rPr>
          <w:rFonts w:ascii="EB Garamond" w:hAnsi="EB Garamond" w:cs="EB Garamond"/>
          <w:b w:val="0"/>
          <w:i w:val="0"/>
          <w:color w:val="6B6256"/>
          <w:sz w:val="18"/>
          <w:lang w:val="pt-BR" w:bidi="ar-SA"/>
          <w:kern w:val="16"/>
          <w14:ligatures w14:val="standardContextual"/>
        </w:rPr>
        <w:t xml:space="preserve">  Cap. 2</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12.873/2013</w:t>
      </w:r>
      <w:r>
        <w:rPr>
          <w:rFonts w:ascii="EB Garamond" w:hAnsi="EB Garamond" w:cs="EB Garamond"/>
          <w:b w:val="0"/>
          <w:i w:val="0"/>
          <w:color w:val="6B6256"/>
          <w:sz w:val="18"/>
          <w:lang w:val="pt-BR" w:bidi="ar-SA"/>
          <w:kern w:val="16"/>
          <w14:ligatures w14:val="standardContextual"/>
        </w:rPr>
        <w:t xml:space="preserve">  Cap. 2, 9, 13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13.105/2015</w:t>
      </w:r>
      <w:r>
        <w:rPr>
          <w:rFonts w:ascii="EB Garamond" w:hAnsi="EB Garamond" w:cs="EB Garamond"/>
          <w:b w:val="0"/>
          <w:i w:val="0"/>
          <w:color w:val="6B6256"/>
          <w:sz w:val="18"/>
          <w:lang w:val="pt-BR" w:bidi="ar-SA"/>
          <w:kern w:val="16"/>
          <w14:ligatures w14:val="standardContextual"/>
        </w:rPr>
        <w:t xml:space="preserve">  Cap.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13.135/2015</w:t>
      </w:r>
      <w:r>
        <w:rPr>
          <w:rFonts w:ascii="EB Garamond" w:hAnsi="EB Garamond" w:cs="EB Garamond"/>
          <w:b w:val="0"/>
          <w:i w:val="0"/>
          <w:color w:val="6B6256"/>
          <w:sz w:val="18"/>
          <w:lang w:val="pt-BR" w:bidi="ar-SA"/>
          <w:kern w:val="16"/>
          <w14:ligatures w14:val="standardContextual"/>
        </w:rPr>
        <w:t xml:space="preserve">  Cap. 6, 14, 19</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13.146/2015</w:t>
      </w:r>
      <w:r>
        <w:rPr>
          <w:rFonts w:ascii="EB Garamond" w:hAnsi="EB Garamond" w:cs="EB Garamond"/>
          <w:b w:val="0"/>
          <w:i w:val="0"/>
          <w:color w:val="6B6256"/>
          <w:sz w:val="18"/>
          <w:lang w:val="pt-BR" w:bidi="ar-SA"/>
          <w:kern w:val="16"/>
          <w14:ligatures w14:val="standardContextual"/>
        </w:rPr>
        <w:t xml:space="preserve">  Cap. 6, 12, 18, 19, 21</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13.183/2015</w:t>
      </w:r>
      <w:r>
        <w:rPr>
          <w:rFonts w:ascii="EB Garamond" w:hAnsi="EB Garamond" w:cs="EB Garamond"/>
          <w:b w:val="0"/>
          <w:i w:val="0"/>
          <w:color w:val="6B6256"/>
          <w:sz w:val="18"/>
          <w:lang w:val="pt-BR" w:bidi="ar-SA"/>
          <w:kern w:val="16"/>
          <w14:ligatures w14:val="standardContextual"/>
        </w:rPr>
        <w:t xml:space="preserve">  Cap. 1, 9, 11, 16, 19</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13.429/2017</w:t>
      </w:r>
      <w:r>
        <w:rPr>
          <w:rFonts w:ascii="EB Garamond" w:hAnsi="EB Garamond" w:cs="EB Garamond"/>
          <w:b w:val="0"/>
          <w:i w:val="0"/>
          <w:color w:val="6B6256"/>
          <w:sz w:val="18"/>
          <w:lang w:val="pt-BR" w:bidi="ar-SA"/>
          <w:kern w:val="16"/>
          <w14:ligatures w14:val="standardContextual"/>
        </w:rPr>
        <w:t xml:space="preserve">  Cap. 2</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13.445/2017</w:t>
      </w:r>
      <w:r>
        <w:rPr>
          <w:rFonts w:ascii="EB Garamond" w:hAnsi="EB Garamond" w:cs="EB Garamond"/>
          <w:b w:val="0"/>
          <w:i w:val="0"/>
          <w:color w:val="6B6256"/>
          <w:sz w:val="18"/>
          <w:lang w:val="pt-BR" w:bidi="ar-SA"/>
          <w:kern w:val="16"/>
          <w14:ligatures w14:val="standardContextual"/>
        </w:rPr>
        <w:t xml:space="preserve">  Cap. 18</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13.457/2017</w:t>
      </w:r>
      <w:r>
        <w:rPr>
          <w:rFonts w:ascii="EB Garamond" w:hAnsi="EB Garamond" w:cs="EB Garamond"/>
          <w:b w:val="0"/>
          <w:i w:val="0"/>
          <w:color w:val="6B6256"/>
          <w:sz w:val="18"/>
          <w:lang w:val="pt-BR" w:bidi="ar-SA"/>
          <w:kern w:val="16"/>
          <w14:ligatures w14:val="standardContextual"/>
        </w:rPr>
        <w:t xml:space="preserve">  Cap. 3, 6, 7, 22</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13.467/2017</w:t>
      </w:r>
      <w:r>
        <w:rPr>
          <w:rFonts w:ascii="EB Garamond" w:hAnsi="EB Garamond" w:cs="EB Garamond"/>
          <w:b w:val="0"/>
          <w:i w:val="0"/>
          <w:color w:val="6B6256"/>
          <w:sz w:val="18"/>
          <w:lang w:val="pt-BR" w:bidi="ar-SA"/>
          <w:kern w:val="16"/>
          <w14:ligatures w14:val="standardContextual"/>
        </w:rPr>
        <w:t xml:space="preserve">  Cap. 4, 13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13.606/2018</w:t>
      </w:r>
      <w:r>
        <w:rPr>
          <w:rFonts w:ascii="EB Garamond" w:hAnsi="EB Garamond" w:cs="EB Garamond"/>
          <w:b w:val="0"/>
          <w:i w:val="0"/>
          <w:color w:val="6B6256"/>
          <w:sz w:val="18"/>
          <w:lang w:val="pt-BR" w:bidi="ar-SA"/>
          <w:kern w:val="16"/>
          <w14:ligatures w14:val="standardContextual"/>
        </w:rPr>
        <w:t xml:space="preserve">  Cap. 4, 9</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13.670/2018</w:t>
      </w:r>
      <w:r>
        <w:rPr>
          <w:rFonts w:ascii="EB Garamond" w:hAnsi="EB Garamond" w:cs="EB Garamond"/>
          <w:b w:val="0"/>
          <w:i w:val="0"/>
          <w:color w:val="6B6256"/>
          <w:sz w:val="18"/>
          <w:lang w:val="pt-BR" w:bidi="ar-SA"/>
          <w:kern w:val="16"/>
          <w14:ligatures w14:val="standardContextual"/>
        </w:rPr>
        <w:t xml:space="preserve">  Cap. 4</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13.846/2019</w:t>
      </w:r>
      <w:r>
        <w:rPr>
          <w:rFonts w:ascii="EB Garamond" w:hAnsi="EB Garamond" w:cs="EB Garamond"/>
          <w:b w:val="0"/>
          <w:i w:val="0"/>
          <w:color w:val="6B6256"/>
          <w:sz w:val="18"/>
          <w:lang w:val="pt-BR" w:bidi="ar-SA"/>
          <w:kern w:val="16"/>
          <w14:ligatures w14:val="standardContextual"/>
        </w:rPr>
        <w:t xml:space="preserve">  Cap. 2, 3, 4, 5, 7, 8, 9, 10, 14, 16, 19, 21, 22</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13.874/2019</w:t>
      </w:r>
      <w:r>
        <w:rPr>
          <w:rFonts w:ascii="EB Garamond" w:hAnsi="EB Garamond" w:cs="EB Garamond"/>
          <w:b w:val="0"/>
          <w:i w:val="0"/>
          <w:color w:val="6B6256"/>
          <w:sz w:val="18"/>
          <w:lang w:val="pt-BR" w:bidi="ar-SA"/>
          <w:kern w:val="16"/>
          <w14:ligatures w14:val="standardContextual"/>
        </w:rPr>
        <w:t xml:space="preserve">  Cap. 9</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13.876/2019</w:t>
      </w:r>
      <w:r>
        <w:rPr>
          <w:rFonts w:ascii="EB Garamond" w:hAnsi="EB Garamond" w:cs="EB Garamond"/>
          <w:b w:val="0"/>
          <w:i w:val="0"/>
          <w:color w:val="6B6256"/>
          <w:sz w:val="18"/>
          <w:lang w:val="pt-BR" w:bidi="ar-SA"/>
          <w:kern w:val="16"/>
          <w14:ligatures w14:val="standardContextual"/>
        </w:rPr>
        <w:t xml:space="preserve">  Cap.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13.964/2019</w:t>
      </w:r>
      <w:r>
        <w:rPr>
          <w:rFonts w:ascii="EB Garamond" w:hAnsi="EB Garamond" w:cs="EB Garamond"/>
          <w:b w:val="0"/>
          <w:i w:val="0"/>
          <w:color w:val="6B6256"/>
          <w:sz w:val="18"/>
          <w:lang w:val="pt-BR" w:bidi="ar-SA"/>
          <w:kern w:val="16"/>
          <w14:ligatures w14:val="standardContextual"/>
        </w:rPr>
        <w:t xml:space="preserve">  Cap. 14</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13.982/2020</w:t>
      </w:r>
      <w:r>
        <w:rPr>
          <w:rFonts w:ascii="EB Garamond" w:hAnsi="EB Garamond" w:cs="EB Garamond"/>
          <w:b w:val="0"/>
          <w:i w:val="0"/>
          <w:color w:val="6B6256"/>
          <w:sz w:val="18"/>
          <w:lang w:val="pt-BR" w:bidi="ar-SA"/>
          <w:kern w:val="16"/>
          <w14:ligatures w14:val="standardContextual"/>
        </w:rPr>
        <w:t xml:space="preserve">  Cap. 6, 18</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14.126/2021</w:t>
      </w:r>
      <w:r>
        <w:rPr>
          <w:rFonts w:ascii="EB Garamond" w:hAnsi="EB Garamond" w:cs="EB Garamond"/>
          <w:b w:val="0"/>
          <w:i w:val="0"/>
          <w:color w:val="6B6256"/>
          <w:sz w:val="18"/>
          <w:lang w:val="pt-BR" w:bidi="ar-SA"/>
          <w:kern w:val="16"/>
          <w14:ligatures w14:val="standardContextual"/>
        </w:rPr>
        <w:t xml:space="preserve">  Cap. 12</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14.131/2021</w:t>
      </w:r>
      <w:r>
        <w:rPr>
          <w:rFonts w:ascii="EB Garamond" w:hAnsi="EB Garamond" w:cs="EB Garamond"/>
          <w:b w:val="0"/>
          <w:i w:val="0"/>
          <w:color w:val="6B6256"/>
          <w:sz w:val="18"/>
          <w:lang w:val="pt-BR" w:bidi="ar-SA"/>
          <w:kern w:val="16"/>
          <w14:ligatures w14:val="standardContextual"/>
        </w:rPr>
        <w:t xml:space="preserve">  Cap. 9</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14.176/2021</w:t>
      </w:r>
      <w:r>
        <w:rPr>
          <w:rFonts w:ascii="EB Garamond" w:hAnsi="EB Garamond" w:cs="EB Garamond"/>
          <w:b w:val="0"/>
          <w:i w:val="0"/>
          <w:color w:val="6B6256"/>
          <w:sz w:val="18"/>
          <w:lang w:val="pt-BR" w:bidi="ar-SA"/>
          <w:kern w:val="16"/>
          <w14:ligatures w14:val="standardContextual"/>
        </w:rPr>
        <w:t xml:space="preserve">  Cap. 12, 18, 20,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14.260/2021</w:t>
      </w:r>
      <w:r>
        <w:rPr>
          <w:rFonts w:ascii="EB Garamond" w:hAnsi="EB Garamond" w:cs="EB Garamond"/>
          <w:b w:val="0"/>
          <w:i w:val="0"/>
          <w:color w:val="6B6256"/>
          <w:sz w:val="18"/>
          <w:lang w:val="pt-BR" w:bidi="ar-SA"/>
          <w:kern w:val="16"/>
          <w14:ligatures w14:val="standardContextual"/>
        </w:rPr>
        <w:t xml:space="preserve">  Cap. 4</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14.331/2022</w:t>
      </w:r>
      <w:r>
        <w:rPr>
          <w:rFonts w:ascii="EB Garamond" w:hAnsi="EB Garamond" w:cs="EB Garamond"/>
          <w:b w:val="0"/>
          <w:i w:val="0"/>
          <w:color w:val="6B6256"/>
          <w:sz w:val="18"/>
          <w:lang w:val="pt-BR" w:bidi="ar-SA"/>
          <w:kern w:val="16"/>
          <w14:ligatures w14:val="standardContextual"/>
        </w:rPr>
        <w:t xml:space="preserve">  Cap. 16, 17</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14.457/2022</w:t>
      </w:r>
      <w:r>
        <w:rPr>
          <w:rFonts w:ascii="EB Garamond" w:hAnsi="EB Garamond" w:cs="EB Garamond"/>
          <w:b w:val="0"/>
          <w:i w:val="0"/>
          <w:color w:val="6B6256"/>
          <w:sz w:val="18"/>
          <w:lang w:val="pt-BR" w:bidi="ar-SA"/>
          <w:kern w:val="16"/>
          <w14:ligatures w14:val="standardContextual"/>
        </w:rPr>
        <w:t xml:space="preserve">  Cap. 13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14.601/2023</w:t>
      </w:r>
      <w:r>
        <w:rPr>
          <w:rFonts w:ascii="EB Garamond" w:hAnsi="EB Garamond" w:cs="EB Garamond"/>
          <w:b w:val="0"/>
          <w:i w:val="0"/>
          <w:color w:val="6B6256"/>
          <w:sz w:val="18"/>
          <w:lang w:val="pt-BR" w:bidi="ar-SA"/>
          <w:kern w:val="16"/>
          <w14:ligatures w14:val="standardContextual"/>
        </w:rPr>
        <w:t xml:space="preserve">  Cap. 18</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14.784/2023</w:t>
      </w:r>
      <w:r>
        <w:rPr>
          <w:rFonts w:ascii="EB Garamond" w:hAnsi="EB Garamond" w:cs="EB Garamond"/>
          <w:b w:val="0"/>
          <w:i w:val="0"/>
          <w:color w:val="6B6256"/>
          <w:sz w:val="18"/>
          <w:lang w:val="pt-BR" w:bidi="ar-SA"/>
          <w:kern w:val="16"/>
          <w14:ligatures w14:val="standardContextual"/>
        </w:rPr>
        <w:t xml:space="preserve">  Cap. 1, 4</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14.973/2024</w:t>
      </w:r>
      <w:r>
        <w:rPr>
          <w:rFonts w:ascii="EB Garamond" w:hAnsi="EB Garamond" w:cs="EB Garamond"/>
          <w:b w:val="0"/>
          <w:i w:val="0"/>
          <w:color w:val="6B6256"/>
          <w:sz w:val="18"/>
          <w:lang w:val="pt-BR" w:bidi="ar-SA"/>
          <w:kern w:val="16"/>
          <w14:ligatures w14:val="standardContextual"/>
        </w:rPr>
        <w:t xml:space="preserve">  Cap. 4</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15.077/2024</w:t>
      </w:r>
      <w:r>
        <w:rPr>
          <w:rFonts w:ascii="EB Garamond" w:hAnsi="EB Garamond" w:cs="EB Garamond"/>
          <w:b w:val="0"/>
          <w:i w:val="0"/>
          <w:color w:val="6B6256"/>
          <w:sz w:val="18"/>
          <w:lang w:val="pt-BR" w:bidi="ar-SA"/>
          <w:kern w:val="16"/>
          <w14:ligatures w14:val="standardContextual"/>
        </w:rPr>
        <w:t xml:space="preserve">  Cap. 18</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15.108/2025</w:t>
      </w:r>
      <w:r>
        <w:rPr>
          <w:rFonts w:ascii="EB Garamond" w:hAnsi="EB Garamond" w:cs="EB Garamond"/>
          <w:b w:val="0"/>
          <w:i w:val="0"/>
          <w:color w:val="6B6256"/>
          <w:sz w:val="18"/>
          <w:lang w:val="pt-BR" w:bidi="ar-SA"/>
          <w:kern w:val="16"/>
          <w14:ligatures w14:val="standardContextual"/>
        </w:rPr>
        <w:t xml:space="preserve">  Cap. 2</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15.222/2025</w:t>
      </w:r>
      <w:r>
        <w:rPr>
          <w:rFonts w:ascii="EB Garamond" w:hAnsi="EB Garamond" w:cs="EB Garamond"/>
          <w:b w:val="0"/>
          <w:i w:val="0"/>
          <w:color w:val="6B6256"/>
          <w:sz w:val="18"/>
          <w:lang w:val="pt-BR" w:bidi="ar-SA"/>
          <w:kern w:val="16"/>
          <w14:ligatures w14:val="standardContextual"/>
        </w:rPr>
        <w:t xml:space="preserve">  Cap. 13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15.226/2025</w:t>
      </w:r>
      <w:r>
        <w:rPr>
          <w:rFonts w:ascii="EB Garamond" w:hAnsi="EB Garamond" w:cs="EB Garamond"/>
          <w:b w:val="0"/>
          <w:i w:val="0"/>
          <w:color w:val="6B6256"/>
          <w:sz w:val="18"/>
          <w:lang w:val="pt-BR" w:bidi="ar-SA"/>
          <w:kern w:val="16"/>
          <w14:ligatures w14:val="standardContextual"/>
        </w:rPr>
        <w:t xml:space="preserve">  Cap. 18</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15.265/2025</w:t>
      </w:r>
      <w:r>
        <w:rPr>
          <w:rFonts w:ascii="EB Garamond" w:hAnsi="EB Garamond" w:cs="EB Garamond"/>
          <w:b w:val="0"/>
          <w:i w:val="0"/>
          <w:color w:val="6B6256"/>
          <w:sz w:val="18"/>
          <w:lang w:val="pt-BR" w:bidi="ar-SA"/>
          <w:kern w:val="16"/>
          <w14:ligatures w14:val="standardContextual"/>
        </w:rPr>
        <w:t xml:space="preserve">  Cap. 22</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15.371/2026</w:t>
      </w:r>
      <w:r>
        <w:rPr>
          <w:rFonts w:ascii="EB Garamond" w:hAnsi="EB Garamond" w:cs="EB Garamond"/>
          <w:b w:val="0"/>
          <w:i w:val="0"/>
          <w:color w:val="6B6256"/>
          <w:sz w:val="18"/>
          <w:lang w:val="pt-BR" w:bidi="ar-SA"/>
          <w:kern w:val="16"/>
          <w14:ligatures w14:val="standardContextual"/>
        </w:rPr>
        <w:t xml:space="preserve">  Cap. 13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3.807/1960</w:t>
      </w:r>
      <w:r>
        <w:rPr>
          <w:rFonts w:ascii="EB Garamond" w:hAnsi="EB Garamond" w:cs="EB Garamond"/>
          <w:b w:val="0"/>
          <w:i w:val="0"/>
          <w:color w:val="6B6256"/>
          <w:sz w:val="18"/>
          <w:lang w:val="pt-BR" w:bidi="ar-SA"/>
          <w:kern w:val="16"/>
          <w14:ligatures w14:val="standardContextual"/>
        </w:rPr>
        <w:t xml:space="preserve">  Cap. 4, 7, 8, 10, 11, 14</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4.214/1963</w:t>
      </w:r>
      <w:r>
        <w:rPr>
          <w:rFonts w:ascii="EB Garamond" w:hAnsi="EB Garamond" w:cs="EB Garamond"/>
          <w:b w:val="0"/>
          <w:i w:val="0"/>
          <w:color w:val="6B6256"/>
          <w:sz w:val="18"/>
          <w:lang w:val="pt-BR" w:bidi="ar-SA"/>
          <w:kern w:val="16"/>
          <w14:ligatures w14:val="standardContextual"/>
        </w:rPr>
        <w:t xml:space="preserve">  Cap. 9</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4.266/1963</w:t>
      </w:r>
      <w:r>
        <w:rPr>
          <w:rFonts w:ascii="EB Garamond" w:hAnsi="EB Garamond" w:cs="EB Garamond"/>
          <w:b w:val="0"/>
          <w:i w:val="0"/>
          <w:color w:val="6B6256"/>
          <w:sz w:val="18"/>
          <w:lang w:val="pt-BR" w:bidi="ar-SA"/>
          <w:kern w:val="16"/>
          <w14:ligatures w14:val="standardContextual"/>
        </w:rPr>
        <w:t xml:space="preserve">  Cap. 1, 15</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4.375/1964</w:t>
      </w:r>
      <w:r>
        <w:rPr>
          <w:rFonts w:ascii="EB Garamond" w:hAnsi="EB Garamond" w:cs="EB Garamond"/>
          <w:b w:val="0"/>
          <w:i w:val="0"/>
          <w:color w:val="6B6256"/>
          <w:sz w:val="18"/>
          <w:lang w:val="pt-BR" w:bidi="ar-SA"/>
          <w:kern w:val="16"/>
          <w14:ligatures w14:val="standardContextual"/>
        </w:rPr>
        <w:t xml:space="preserve">  Cap. 5</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5.452/1943</w:t>
      </w:r>
      <w:r>
        <w:rPr>
          <w:rFonts w:ascii="EB Garamond" w:hAnsi="EB Garamond" w:cs="EB Garamond"/>
          <w:b w:val="0"/>
          <w:i w:val="0"/>
          <w:color w:val="6B6256"/>
          <w:sz w:val="18"/>
          <w:lang w:val="pt-BR" w:bidi="ar-SA"/>
          <w:kern w:val="16"/>
          <w14:ligatures w14:val="standardContextual"/>
        </w:rPr>
        <w:t xml:space="preserve">  Cap. 4</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6.015/1973</w:t>
      </w:r>
      <w:r>
        <w:rPr>
          <w:rFonts w:ascii="EB Garamond" w:hAnsi="EB Garamond" w:cs="EB Garamond"/>
          <w:b w:val="0"/>
          <w:i w:val="0"/>
          <w:color w:val="6B6256"/>
          <w:sz w:val="18"/>
          <w:lang w:val="pt-BR" w:bidi="ar-SA"/>
          <w:kern w:val="16"/>
          <w14:ligatures w14:val="standardContextual"/>
        </w:rPr>
        <w:t xml:space="preserve">  Cap. 19</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6.019/1974</w:t>
      </w:r>
      <w:r>
        <w:rPr>
          <w:rFonts w:ascii="EB Garamond" w:hAnsi="EB Garamond" w:cs="EB Garamond"/>
          <w:b w:val="0"/>
          <w:i w:val="0"/>
          <w:color w:val="6B6256"/>
          <w:sz w:val="18"/>
          <w:lang w:val="pt-BR" w:bidi="ar-SA"/>
          <w:kern w:val="16"/>
          <w14:ligatures w14:val="standardContextual"/>
        </w:rPr>
        <w:t xml:space="preserve">  Cap. 2</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6.136/1974</w:t>
      </w:r>
      <w:r>
        <w:rPr>
          <w:rFonts w:ascii="EB Garamond" w:hAnsi="EB Garamond" w:cs="EB Garamond"/>
          <w:b w:val="0"/>
          <w:i w:val="0"/>
          <w:color w:val="6B6256"/>
          <w:sz w:val="18"/>
          <w:lang w:val="pt-BR" w:bidi="ar-SA"/>
          <w:kern w:val="16"/>
          <w14:ligatures w14:val="standardContextual"/>
        </w:rPr>
        <w:t xml:space="preserve">  Cap. 13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6.179/1974</w:t>
      </w:r>
      <w:r>
        <w:rPr>
          <w:rFonts w:ascii="EB Garamond" w:hAnsi="EB Garamond" w:cs="EB Garamond"/>
          <w:b w:val="0"/>
          <w:i w:val="0"/>
          <w:color w:val="6B6256"/>
          <w:sz w:val="18"/>
          <w:lang w:val="pt-BR" w:bidi="ar-SA"/>
          <w:kern w:val="16"/>
          <w14:ligatures w14:val="standardContextual"/>
        </w:rPr>
        <w:t xml:space="preserve">  Cap. 18</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6.226/1975</w:t>
      </w:r>
      <w:r>
        <w:rPr>
          <w:rFonts w:ascii="EB Garamond" w:hAnsi="EB Garamond" w:cs="EB Garamond"/>
          <w:b w:val="0"/>
          <w:i w:val="0"/>
          <w:color w:val="6B6256"/>
          <w:sz w:val="18"/>
          <w:lang w:val="pt-BR" w:bidi="ar-SA"/>
          <w:kern w:val="16"/>
          <w14:ligatures w14:val="standardContextual"/>
        </w:rPr>
        <w:t xml:space="preserve">  Cap. 5</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6.696/1979</w:t>
      </w:r>
      <w:r>
        <w:rPr>
          <w:rFonts w:ascii="EB Garamond" w:hAnsi="EB Garamond" w:cs="EB Garamond"/>
          <w:b w:val="0"/>
          <w:i w:val="0"/>
          <w:color w:val="6B6256"/>
          <w:sz w:val="18"/>
          <w:lang w:val="pt-BR" w:bidi="ar-SA"/>
          <w:kern w:val="16"/>
          <w14:ligatures w14:val="standardContextual"/>
        </w:rPr>
        <w:t xml:space="preserve">  Cap. 2</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6.746/1979</w:t>
      </w:r>
      <w:r>
        <w:rPr>
          <w:rFonts w:ascii="EB Garamond" w:hAnsi="EB Garamond" w:cs="EB Garamond"/>
          <w:b w:val="0"/>
          <w:i w:val="0"/>
          <w:color w:val="6B6256"/>
          <w:sz w:val="18"/>
          <w:lang w:val="pt-BR" w:bidi="ar-SA"/>
          <w:kern w:val="16"/>
          <w14:ligatures w14:val="standardContextual"/>
        </w:rPr>
        <w:t xml:space="preserve">  Cap. 9</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6.830/1980</w:t>
      </w:r>
      <w:r>
        <w:rPr>
          <w:rFonts w:ascii="EB Garamond" w:hAnsi="EB Garamond" w:cs="EB Garamond"/>
          <w:b w:val="0"/>
          <w:i w:val="0"/>
          <w:color w:val="6B6256"/>
          <w:sz w:val="18"/>
          <w:lang w:val="pt-BR" w:bidi="ar-SA"/>
          <w:kern w:val="16"/>
          <w14:ligatures w14:val="standardContextual"/>
        </w:rPr>
        <w:t xml:space="preserve">  Cap. 4</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6.864/1980</w:t>
      </w:r>
      <w:r>
        <w:rPr>
          <w:rFonts w:ascii="EB Garamond" w:hAnsi="EB Garamond" w:cs="EB Garamond"/>
          <w:b w:val="0"/>
          <w:i w:val="0"/>
          <w:color w:val="6B6256"/>
          <w:sz w:val="18"/>
          <w:lang w:val="pt-BR" w:bidi="ar-SA"/>
          <w:kern w:val="16"/>
          <w14:ligatures w14:val="standardContextual"/>
        </w:rPr>
        <w:t xml:space="preserve">  Cap. 5</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7.347/1985</w:t>
      </w:r>
      <w:r>
        <w:rPr>
          <w:rFonts w:ascii="EB Garamond" w:hAnsi="EB Garamond" w:cs="EB Garamond"/>
          <w:b w:val="0"/>
          <w:i w:val="0"/>
          <w:color w:val="6B6256"/>
          <w:sz w:val="18"/>
          <w:lang w:val="pt-BR" w:bidi="ar-SA"/>
          <w:kern w:val="16"/>
          <w14:ligatures w14:val="standardContextual"/>
        </w:rPr>
        <w:t xml:space="preserve">  Cap. 17, 21</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7.369/1985</w:t>
      </w:r>
      <w:r>
        <w:rPr>
          <w:rFonts w:ascii="EB Garamond" w:hAnsi="EB Garamond" w:cs="EB Garamond"/>
          <w:b w:val="0"/>
          <w:i w:val="0"/>
          <w:color w:val="6B6256"/>
          <w:sz w:val="18"/>
          <w:lang w:val="pt-BR" w:bidi="ar-SA"/>
          <w:kern w:val="16"/>
          <w14:ligatures w14:val="standardContextual"/>
        </w:rPr>
        <w:t xml:space="preserve">  Cap. 8</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7.713/1988</w:t>
      </w:r>
      <w:r>
        <w:rPr>
          <w:rFonts w:ascii="EB Garamond" w:hAnsi="EB Garamond" w:cs="EB Garamond"/>
          <w:b w:val="0"/>
          <w:i w:val="0"/>
          <w:color w:val="6B6256"/>
          <w:sz w:val="18"/>
          <w:lang w:val="pt-BR" w:bidi="ar-SA"/>
          <w:kern w:val="16"/>
          <w14:ligatures w14:val="standardContextual"/>
        </w:rPr>
        <w:t xml:space="preserve">  Cap.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7.960/1989</w:t>
      </w:r>
      <w:r>
        <w:rPr>
          <w:rFonts w:ascii="EB Garamond" w:hAnsi="EB Garamond" w:cs="EB Garamond"/>
          <w:b w:val="0"/>
          <w:i w:val="0"/>
          <w:color w:val="6B6256"/>
          <w:sz w:val="18"/>
          <w:lang w:val="pt-BR" w:bidi="ar-SA"/>
          <w:kern w:val="16"/>
          <w14:ligatures w14:val="standardContextual"/>
        </w:rPr>
        <w:t xml:space="preserve">  Cap. 14</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7.998/1990</w:t>
      </w:r>
      <w:r>
        <w:rPr>
          <w:rFonts w:ascii="EB Garamond" w:hAnsi="EB Garamond" w:cs="EB Garamond"/>
          <w:b w:val="0"/>
          <w:i w:val="0"/>
          <w:color w:val="6B6256"/>
          <w:sz w:val="18"/>
          <w:lang w:val="pt-BR" w:bidi="ar-SA"/>
          <w:kern w:val="16"/>
          <w14:ligatures w14:val="standardContextual"/>
        </w:rPr>
        <w:t xml:space="preserve">  Cap. 13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8.036/1990</w:t>
      </w:r>
      <w:r>
        <w:rPr>
          <w:rFonts w:ascii="EB Garamond" w:hAnsi="EB Garamond" w:cs="EB Garamond"/>
          <w:b w:val="0"/>
          <w:i w:val="0"/>
          <w:color w:val="6B6256"/>
          <w:sz w:val="18"/>
          <w:lang w:val="pt-BR" w:bidi="ar-SA"/>
          <w:kern w:val="16"/>
          <w14:ligatures w14:val="standardContextual"/>
        </w:rPr>
        <w:t xml:space="preserve">  Cap. 4, 7</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8.069/1990</w:t>
      </w:r>
      <w:r>
        <w:rPr>
          <w:rFonts w:ascii="EB Garamond" w:hAnsi="EB Garamond" w:cs="EB Garamond"/>
          <w:b w:val="0"/>
          <w:i w:val="0"/>
          <w:color w:val="6B6256"/>
          <w:sz w:val="18"/>
          <w:lang w:val="pt-BR" w:bidi="ar-SA"/>
          <w:kern w:val="16"/>
          <w14:ligatures w14:val="standardContextual"/>
        </w:rPr>
        <w:t xml:space="preserve">  Cap. 13, 19</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8.212/1991</w:t>
      </w:r>
      <w:r>
        <w:rPr>
          <w:rFonts w:ascii="EB Garamond" w:hAnsi="EB Garamond" w:cs="EB Garamond"/>
          <w:b w:val="0"/>
          <w:i w:val="0"/>
          <w:color w:val="6B6256"/>
          <w:sz w:val="18"/>
          <w:lang w:val="pt-BR" w:bidi="ar-SA"/>
          <w:kern w:val="16"/>
          <w14:ligatures w14:val="standardContextual"/>
        </w:rPr>
        <w:t xml:space="preserve">  Cap. 1, 2, 3, 4, 5, 8, 9, 10, 12, 13, 14, 15, 19</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8.213/1991</w:t>
      </w:r>
      <w:r>
        <w:rPr>
          <w:rFonts w:ascii="EB Garamond" w:hAnsi="EB Garamond" w:cs="EB Garamond"/>
          <w:b w:val="0"/>
          <w:i w:val="0"/>
          <w:color w:val="6B6256"/>
          <w:sz w:val="18"/>
          <w:lang w:val="pt-BR" w:bidi="ar-SA"/>
          <w:kern w:val="16"/>
          <w14:ligatures w14:val="standardContextual"/>
        </w:rPr>
        <w:t xml:space="preserve">  Cap. 1, 2, 3, 4, 5, 6, 7, 8, 9, 10, 11, 12, 13, 14, 15, 16, 17, 18, 19, 20, 21, 22,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8.398/1992</w:t>
      </w:r>
      <w:r>
        <w:rPr>
          <w:rFonts w:ascii="EB Garamond" w:hAnsi="EB Garamond" w:cs="EB Garamond"/>
          <w:b w:val="0"/>
          <w:i w:val="0"/>
          <w:color w:val="6B6256"/>
          <w:sz w:val="18"/>
          <w:lang w:val="pt-BR" w:bidi="ar-SA"/>
          <w:kern w:val="16"/>
          <w14:ligatures w14:val="standardContextual"/>
        </w:rPr>
        <w:t xml:space="preserve">  Cap. 2</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8.540/1992</w:t>
      </w:r>
      <w:r>
        <w:rPr>
          <w:rFonts w:ascii="EB Garamond" w:hAnsi="EB Garamond" w:cs="EB Garamond"/>
          <w:b w:val="0"/>
          <w:i w:val="0"/>
          <w:color w:val="6B6256"/>
          <w:sz w:val="18"/>
          <w:lang w:val="pt-BR" w:bidi="ar-SA"/>
          <w:kern w:val="16"/>
          <w14:ligatures w14:val="standardContextual"/>
        </w:rPr>
        <w:t xml:space="preserve">  Cap. 4</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8.542/1992</w:t>
      </w:r>
      <w:r>
        <w:rPr>
          <w:rFonts w:ascii="EB Garamond" w:hAnsi="EB Garamond" w:cs="EB Garamond"/>
          <w:b w:val="0"/>
          <w:i w:val="0"/>
          <w:color w:val="6B6256"/>
          <w:sz w:val="18"/>
          <w:lang w:val="pt-BR" w:bidi="ar-SA"/>
          <w:kern w:val="16"/>
          <w14:ligatures w14:val="standardContextual"/>
        </w:rPr>
        <w:t xml:space="preserve">  Cap. 16</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8.689/1993</w:t>
      </w:r>
      <w:r>
        <w:rPr>
          <w:rFonts w:ascii="EB Garamond" w:hAnsi="EB Garamond" w:cs="EB Garamond"/>
          <w:b w:val="0"/>
          <w:i w:val="0"/>
          <w:color w:val="6B6256"/>
          <w:sz w:val="18"/>
          <w:lang w:val="pt-BR" w:bidi="ar-SA"/>
          <w:kern w:val="16"/>
          <w14:ligatures w14:val="standardContextual"/>
        </w:rPr>
        <w:t xml:space="preserve">  Cap. 1</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8.742/1993</w:t>
      </w:r>
      <w:r>
        <w:rPr>
          <w:rFonts w:ascii="EB Garamond" w:hAnsi="EB Garamond" w:cs="EB Garamond"/>
          <w:b w:val="0"/>
          <w:i w:val="0"/>
          <w:color w:val="6B6256"/>
          <w:sz w:val="18"/>
          <w:lang w:val="pt-BR" w:bidi="ar-SA"/>
          <w:kern w:val="16"/>
          <w14:ligatures w14:val="standardContextual"/>
        </w:rPr>
        <w:t xml:space="preserve">  Cap. 1, 6, 7, 12, 13, 14, 18, 20, 22,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8.861/1994</w:t>
      </w:r>
      <w:r>
        <w:rPr>
          <w:rFonts w:ascii="EB Garamond" w:hAnsi="EB Garamond" w:cs="EB Garamond"/>
          <w:b w:val="0"/>
          <w:i w:val="0"/>
          <w:color w:val="6B6256"/>
          <w:sz w:val="18"/>
          <w:lang w:val="pt-BR" w:bidi="ar-SA"/>
          <w:kern w:val="16"/>
          <w14:ligatures w14:val="standardContextual"/>
        </w:rPr>
        <w:t xml:space="preserve">  Cap. 13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8.870/1994</w:t>
      </w:r>
      <w:r>
        <w:rPr>
          <w:rFonts w:ascii="EB Garamond" w:hAnsi="EB Garamond" w:cs="EB Garamond"/>
          <w:b w:val="0"/>
          <w:i w:val="0"/>
          <w:color w:val="6B6256"/>
          <w:sz w:val="18"/>
          <w:lang w:val="pt-BR" w:bidi="ar-SA"/>
          <w:kern w:val="16"/>
          <w14:ligatures w14:val="standardContextual"/>
        </w:rPr>
        <w:t xml:space="preserve">  Cap. 4</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8.880/1994</w:t>
      </w:r>
      <w:r>
        <w:rPr>
          <w:rFonts w:ascii="EB Garamond" w:hAnsi="EB Garamond" w:cs="EB Garamond"/>
          <w:b w:val="0"/>
          <w:i w:val="0"/>
          <w:color w:val="6B6256"/>
          <w:sz w:val="18"/>
          <w:lang w:val="pt-BR" w:bidi="ar-SA"/>
          <w:kern w:val="16"/>
          <w14:ligatures w14:val="standardContextual"/>
        </w:rPr>
        <w:t xml:space="preserve">  Cap. 16</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8.906/1994</w:t>
      </w:r>
      <w:r>
        <w:rPr>
          <w:rFonts w:ascii="EB Garamond" w:hAnsi="EB Garamond" w:cs="EB Garamond"/>
          <w:b w:val="0"/>
          <w:i w:val="0"/>
          <w:color w:val="6B6256"/>
          <w:sz w:val="18"/>
          <w:lang w:val="pt-BR" w:bidi="ar-SA"/>
          <w:kern w:val="16"/>
          <w14:ligatures w14:val="standardContextual"/>
        </w:rPr>
        <w:t xml:space="preserve">  Cap.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9.032/1995</w:t>
      </w:r>
      <w:r>
        <w:rPr>
          <w:rFonts w:ascii="EB Garamond" w:hAnsi="EB Garamond" w:cs="EB Garamond"/>
          <w:b w:val="0"/>
          <w:i w:val="0"/>
          <w:color w:val="6B6256"/>
          <w:sz w:val="18"/>
          <w:lang w:val="pt-BR" w:bidi="ar-SA"/>
          <w:kern w:val="16"/>
          <w14:ligatures w14:val="standardContextual"/>
        </w:rPr>
        <w:t xml:space="preserve">  Cap. 2, 5, 6, 7, 8, 10, 15, 16, 17, 19</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9.069/1995</w:t>
      </w:r>
      <w:r>
        <w:rPr>
          <w:rFonts w:ascii="EB Garamond" w:hAnsi="EB Garamond" w:cs="EB Garamond"/>
          <w:b w:val="0"/>
          <w:i w:val="0"/>
          <w:color w:val="6B6256"/>
          <w:sz w:val="18"/>
          <w:lang w:val="pt-BR" w:bidi="ar-SA"/>
          <w:kern w:val="16"/>
          <w14:ligatures w14:val="standardContextual"/>
        </w:rPr>
        <w:t xml:space="preserve">  Cap. 16</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9.099/1995</w:t>
      </w:r>
      <w:r>
        <w:rPr>
          <w:rFonts w:ascii="EB Garamond" w:hAnsi="EB Garamond" w:cs="EB Garamond"/>
          <w:b w:val="0"/>
          <w:i w:val="0"/>
          <w:color w:val="6B6256"/>
          <w:sz w:val="18"/>
          <w:lang w:val="pt-BR" w:bidi="ar-SA"/>
          <w:kern w:val="16"/>
          <w14:ligatures w14:val="standardContextual"/>
        </w:rPr>
        <w:t xml:space="preserve">  Cap. 4, 5, 6, 7, 8, 10, 11, 12, 13, 14, 15, 17, 18, 21,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9.289/1996</w:t>
      </w:r>
      <w:r>
        <w:rPr>
          <w:rFonts w:ascii="EB Garamond" w:hAnsi="EB Garamond" w:cs="EB Garamond"/>
          <w:b w:val="0"/>
          <w:i w:val="0"/>
          <w:color w:val="6B6256"/>
          <w:sz w:val="18"/>
          <w:lang w:val="pt-BR" w:bidi="ar-SA"/>
          <w:kern w:val="16"/>
          <w14:ligatures w14:val="standardContextual"/>
        </w:rPr>
        <w:t xml:space="preserve">  Cap.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9.394/1996</w:t>
      </w:r>
      <w:r>
        <w:rPr>
          <w:rFonts w:ascii="EB Garamond" w:hAnsi="EB Garamond" w:cs="EB Garamond"/>
          <w:b w:val="0"/>
          <w:i w:val="0"/>
          <w:color w:val="6B6256"/>
          <w:sz w:val="18"/>
          <w:lang w:val="pt-BR" w:bidi="ar-SA"/>
          <w:kern w:val="16"/>
          <w14:ligatures w14:val="standardContextual"/>
        </w:rPr>
        <w:t xml:space="preserve">  Cap. 11</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9.430/1996</w:t>
      </w:r>
      <w:r>
        <w:rPr>
          <w:rFonts w:ascii="EB Garamond" w:hAnsi="EB Garamond" w:cs="EB Garamond"/>
          <w:b w:val="0"/>
          <w:i w:val="0"/>
          <w:color w:val="6B6256"/>
          <w:sz w:val="18"/>
          <w:lang w:val="pt-BR" w:bidi="ar-SA"/>
          <w:kern w:val="16"/>
          <w14:ligatures w14:val="standardContextual"/>
        </w:rPr>
        <w:t xml:space="preserve">  Cap. 13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9.494/1997</w:t>
      </w:r>
      <w:r>
        <w:rPr>
          <w:rFonts w:ascii="EB Garamond" w:hAnsi="EB Garamond" w:cs="EB Garamond"/>
          <w:b w:val="0"/>
          <w:i w:val="0"/>
          <w:color w:val="6B6256"/>
          <w:sz w:val="18"/>
          <w:lang w:val="pt-BR" w:bidi="ar-SA"/>
          <w:kern w:val="16"/>
          <w14:ligatures w14:val="standardContextual"/>
        </w:rPr>
        <w:t xml:space="preserve">  Cap. 17,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9.506/1997</w:t>
      </w:r>
      <w:r>
        <w:rPr>
          <w:rFonts w:ascii="EB Garamond" w:hAnsi="EB Garamond" w:cs="EB Garamond"/>
          <w:b w:val="0"/>
          <w:i w:val="0"/>
          <w:color w:val="6B6256"/>
          <w:sz w:val="18"/>
          <w:lang w:val="pt-BR" w:bidi="ar-SA"/>
          <w:kern w:val="16"/>
          <w14:ligatures w14:val="standardContextual"/>
        </w:rPr>
        <w:t xml:space="preserve">  Cap. 2</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9.528/1997</w:t>
      </w:r>
      <w:r>
        <w:rPr>
          <w:rFonts w:ascii="EB Garamond" w:hAnsi="EB Garamond" w:cs="EB Garamond"/>
          <w:b w:val="0"/>
          <w:i w:val="0"/>
          <w:color w:val="6B6256"/>
          <w:sz w:val="18"/>
          <w:lang w:val="pt-BR" w:bidi="ar-SA"/>
          <w:kern w:val="16"/>
          <w14:ligatures w14:val="standardContextual"/>
        </w:rPr>
        <w:t xml:space="preserve">  Cap. 4, 6, 7, 8, 15, 16, 17, 19, 20, 21</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9.711/1998</w:t>
      </w:r>
      <w:r>
        <w:rPr>
          <w:rFonts w:ascii="EB Garamond" w:hAnsi="EB Garamond" w:cs="EB Garamond"/>
          <w:b w:val="0"/>
          <w:i w:val="0"/>
          <w:color w:val="6B6256"/>
          <w:sz w:val="18"/>
          <w:lang w:val="pt-BR" w:bidi="ar-SA"/>
          <w:kern w:val="16"/>
          <w14:ligatures w14:val="standardContextual"/>
        </w:rPr>
        <w:t xml:space="preserve">  Cap. 4, 5, 8, 16, 17, 21</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9.720/1998</w:t>
      </w:r>
      <w:r>
        <w:rPr>
          <w:rFonts w:ascii="EB Garamond" w:hAnsi="EB Garamond" w:cs="EB Garamond"/>
          <w:b w:val="0"/>
          <w:i w:val="0"/>
          <w:color w:val="6B6256"/>
          <w:sz w:val="18"/>
          <w:lang w:val="pt-BR" w:bidi="ar-SA"/>
          <w:kern w:val="16"/>
          <w14:ligatures w14:val="standardContextual"/>
        </w:rPr>
        <w:t xml:space="preserve">  Cap. 18</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9.784/1999</w:t>
      </w:r>
      <w:r>
        <w:rPr>
          <w:rFonts w:ascii="EB Garamond" w:hAnsi="EB Garamond" w:cs="EB Garamond"/>
          <w:b w:val="0"/>
          <w:i w:val="0"/>
          <w:color w:val="6B6256"/>
          <w:sz w:val="18"/>
          <w:lang w:val="pt-BR" w:bidi="ar-SA"/>
          <w:kern w:val="16"/>
          <w14:ligatures w14:val="standardContextual"/>
        </w:rPr>
        <w:t xml:space="preserve">  Cap. 10, 21, 22</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9.796/1999</w:t>
      </w:r>
      <w:r>
        <w:rPr>
          <w:rFonts w:ascii="EB Garamond" w:hAnsi="EB Garamond" w:cs="EB Garamond"/>
          <w:b w:val="0"/>
          <w:i w:val="0"/>
          <w:color w:val="6B6256"/>
          <w:sz w:val="18"/>
          <w:lang w:val="pt-BR" w:bidi="ar-SA"/>
          <w:kern w:val="16"/>
          <w14:ligatures w14:val="standardContextual"/>
        </w:rPr>
        <w:t xml:space="preserve">  Cap. 4, 5, 11</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Lei 9.876/1999</w:t>
      </w:r>
      <w:r>
        <w:rPr>
          <w:rFonts w:ascii="EB Garamond" w:hAnsi="EB Garamond" w:cs="EB Garamond"/>
          <w:b w:val="0"/>
          <w:i w:val="0"/>
          <w:color w:val="6B6256"/>
          <w:sz w:val="18"/>
          <w:lang w:val="pt-BR" w:bidi="ar-SA"/>
          <w:kern w:val="16"/>
          <w14:ligatures w14:val="standardContextual"/>
        </w:rPr>
        <w:t xml:space="preserve">  Cap. 1, 2, 3, 5, 7, 8, 10, 11, 13, 16, 17</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MP 1.523</w:t>
      </w:r>
      <w:r>
        <w:rPr>
          <w:rFonts w:ascii="EB Garamond" w:hAnsi="EB Garamond" w:cs="EB Garamond"/>
          <w:b w:val="0"/>
          <w:i w:val="0"/>
          <w:color w:val="6B6256"/>
          <w:sz w:val="18"/>
          <w:lang w:val="pt-BR" w:bidi="ar-SA"/>
          <w:kern w:val="16"/>
          <w14:ligatures w14:val="standardContextual"/>
        </w:rPr>
        <w:t xml:space="preserve">  Cap. 21</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MP 1.523/1996</w:t>
      </w:r>
      <w:r>
        <w:rPr>
          <w:rFonts w:ascii="EB Garamond" w:hAnsi="EB Garamond" w:cs="EB Garamond"/>
          <w:b w:val="0"/>
          <w:i w:val="0"/>
          <w:color w:val="6B6256"/>
          <w:sz w:val="18"/>
          <w:lang w:val="pt-BR" w:bidi="ar-SA"/>
          <w:kern w:val="16"/>
          <w14:ligatures w14:val="standardContextual"/>
        </w:rPr>
        <w:t xml:space="preserve">  Cap. 4, 8, 19</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MP 1.596</w:t>
      </w:r>
      <w:r>
        <w:rPr>
          <w:rFonts w:ascii="EB Garamond" w:hAnsi="EB Garamond" w:cs="EB Garamond"/>
          <w:b w:val="0"/>
          <w:i w:val="0"/>
          <w:color w:val="6B6256"/>
          <w:sz w:val="18"/>
          <w:lang w:val="pt-BR" w:bidi="ar-SA"/>
          <w:kern w:val="16"/>
          <w14:ligatures w14:val="standardContextual"/>
        </w:rPr>
        <w:t xml:space="preserve">  Cap. 15, 20</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MP 1.663</w:t>
      </w:r>
      <w:r>
        <w:rPr>
          <w:rFonts w:ascii="EB Garamond" w:hAnsi="EB Garamond" w:cs="EB Garamond"/>
          <w:b w:val="0"/>
          <w:i w:val="0"/>
          <w:color w:val="6B6256"/>
          <w:sz w:val="18"/>
          <w:lang w:val="pt-BR" w:bidi="ar-SA"/>
          <w:kern w:val="16"/>
          <w14:ligatures w14:val="standardContextual"/>
        </w:rPr>
        <w:t xml:space="preserve">  Cap. 8, 21</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MP 138</w:t>
      </w:r>
      <w:r>
        <w:rPr>
          <w:rFonts w:ascii="EB Garamond" w:hAnsi="EB Garamond" w:cs="EB Garamond"/>
          <w:b w:val="0"/>
          <w:i w:val="0"/>
          <w:color w:val="6B6256"/>
          <w:sz w:val="18"/>
          <w:lang w:val="pt-BR" w:bidi="ar-SA"/>
          <w:kern w:val="16"/>
          <w14:ligatures w14:val="standardContextual"/>
        </w:rPr>
        <w:t xml:space="preserve">  Cap. 21</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MP 316</w:t>
      </w:r>
      <w:r>
        <w:rPr>
          <w:rFonts w:ascii="EB Garamond" w:hAnsi="EB Garamond" w:cs="EB Garamond"/>
          <w:b w:val="0"/>
          <w:i w:val="0"/>
          <w:color w:val="6B6256"/>
          <w:sz w:val="18"/>
          <w:lang w:val="pt-BR" w:bidi="ar-SA"/>
          <w:kern w:val="16"/>
          <w14:ligatures w14:val="standardContextual"/>
        </w:rPr>
        <w:t xml:space="preserve">  Cap. 16</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MP 739/2016</w:t>
      </w:r>
      <w:r>
        <w:rPr>
          <w:rFonts w:ascii="EB Garamond" w:hAnsi="EB Garamond" w:cs="EB Garamond"/>
          <w:b w:val="0"/>
          <w:i w:val="0"/>
          <w:color w:val="6B6256"/>
          <w:sz w:val="18"/>
          <w:lang w:val="pt-BR" w:bidi="ar-SA"/>
          <w:kern w:val="16"/>
          <w14:ligatures w14:val="standardContextual"/>
        </w:rPr>
        <w:t xml:space="preserve">  Cap. 7</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MP 767/2017</w:t>
      </w:r>
      <w:r>
        <w:rPr>
          <w:rFonts w:ascii="EB Garamond" w:hAnsi="EB Garamond" w:cs="EB Garamond"/>
          <w:b w:val="0"/>
          <w:i w:val="0"/>
          <w:color w:val="6B6256"/>
          <w:sz w:val="18"/>
          <w:lang w:val="pt-BR" w:bidi="ar-SA"/>
          <w:kern w:val="16"/>
          <w14:ligatures w14:val="standardContextual"/>
        </w:rPr>
        <w:t xml:space="preserve">  Cap. 7</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MP 871/2019</w:t>
      </w:r>
      <w:r>
        <w:rPr>
          <w:rFonts w:ascii="EB Garamond" w:hAnsi="EB Garamond" w:cs="EB Garamond"/>
          <w:b w:val="0"/>
          <w:i w:val="0"/>
          <w:color w:val="6B6256"/>
          <w:sz w:val="18"/>
          <w:lang w:val="pt-BR" w:bidi="ar-SA"/>
          <w:kern w:val="16"/>
          <w14:ligatures w14:val="standardContextual"/>
        </w:rPr>
        <w:t xml:space="preserve">  Cap. 3, 7, 21</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Portaria 125/2026</w:t>
      </w:r>
      <w:r>
        <w:rPr>
          <w:rFonts w:ascii="EB Garamond" w:hAnsi="EB Garamond" w:cs="EB Garamond"/>
          <w:b w:val="0"/>
          <w:i w:val="0"/>
          <w:color w:val="6B6256"/>
          <w:sz w:val="18"/>
          <w:lang w:val="pt-BR" w:bidi="ar-SA"/>
          <w:kern w:val="16"/>
          <w14:ligatures w14:val="standardContextual"/>
        </w:rPr>
        <w:t xml:space="preserve">  Cap. 22</w:t>
      </w:r>
    </w:p>
    <w:p>
      <w:pPr>
        <w:spacing w:before="240" w:after="80" w:line="240" w:lineRule="auto"/>
        <w:jc w:val="left"/>
        <w:pBdr>
          <w:bottom w:val="single" w:sz="8" w:space="4" w:color="D7CDBB"/>
        </w:pBdr>
      </w:pPr>
      <w:r>
        <w:rPr>
          <w:rFonts w:ascii="EB Garamond" w:hAnsi="EB Garamond" w:cs="EB Garamond"/>
          <w:b/>
          <w:i w:val="0"/>
          <w:color w:val="3A3128"/>
          <w:sz w:val="24"/>
          <w:lang w:val="pt-BR" w:bidi="ar-SA"/>
          <w:kern w:val="16"/>
          <w14:ligatures w14:val="standardContextual"/>
        </w:rPr>
        <w:t>Súmulas e Temas Repetitivos</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Súmula 149/STJ</w:t>
      </w:r>
      <w:r>
        <w:rPr>
          <w:rFonts w:ascii="EB Garamond" w:hAnsi="EB Garamond" w:cs="EB Garamond"/>
          <w:b w:val="0"/>
          <w:i w:val="0"/>
          <w:color w:val="6B6256"/>
          <w:sz w:val="18"/>
          <w:lang w:val="pt-BR" w:bidi="ar-SA"/>
          <w:kern w:val="16"/>
          <w14:ligatures w14:val="standardContextual"/>
        </w:rPr>
        <w:t xml:space="preserve">  Cap. 5, 9, 19</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Súmula 15/STJ</w:t>
      </w:r>
      <w:r>
        <w:rPr>
          <w:rFonts w:ascii="EB Garamond" w:hAnsi="EB Garamond" w:cs="EB Garamond"/>
          <w:b w:val="0"/>
          <w:i w:val="0"/>
          <w:color w:val="6B6256"/>
          <w:sz w:val="18"/>
          <w:lang w:val="pt-BR" w:bidi="ar-SA"/>
          <w:kern w:val="16"/>
          <w14:ligatures w14:val="standardContextual"/>
        </w:rPr>
        <w:t xml:space="preserve">  Cap. 19</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Súmula 203/STJ</w:t>
      </w:r>
      <w:r>
        <w:rPr>
          <w:rFonts w:ascii="EB Garamond" w:hAnsi="EB Garamond" w:cs="EB Garamond"/>
          <w:b w:val="0"/>
          <w:i w:val="0"/>
          <w:color w:val="6B6256"/>
          <w:sz w:val="18"/>
          <w:lang w:val="pt-BR" w:bidi="ar-SA"/>
          <w:kern w:val="16"/>
          <w14:ligatures w14:val="standardContextual"/>
        </w:rPr>
        <w:t xml:space="preserve">  Cap.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Súmula 272/STJ</w:t>
      </w:r>
      <w:r>
        <w:rPr>
          <w:rFonts w:ascii="EB Garamond" w:hAnsi="EB Garamond" w:cs="EB Garamond"/>
          <w:b w:val="0"/>
          <w:i w:val="0"/>
          <w:color w:val="6B6256"/>
          <w:sz w:val="18"/>
          <w:lang w:val="pt-BR" w:bidi="ar-SA"/>
          <w:kern w:val="16"/>
          <w14:ligatures w14:val="standardContextual"/>
        </w:rPr>
        <w:t xml:space="preserve">  Cap. 4, 5</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Súmula 336/STJ</w:t>
      </w:r>
      <w:r>
        <w:rPr>
          <w:rFonts w:ascii="EB Garamond" w:hAnsi="EB Garamond" w:cs="EB Garamond"/>
          <w:b w:val="0"/>
          <w:i w:val="0"/>
          <w:color w:val="6B6256"/>
          <w:sz w:val="18"/>
          <w:lang w:val="pt-BR" w:bidi="ar-SA"/>
          <w:kern w:val="16"/>
          <w14:ligatures w14:val="standardContextual"/>
        </w:rPr>
        <w:t xml:space="preserve">  Cap. 2, 19</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Súmula 340/STJ</w:t>
      </w:r>
      <w:r>
        <w:rPr>
          <w:rFonts w:ascii="EB Garamond" w:hAnsi="EB Garamond" w:cs="EB Garamond"/>
          <w:b w:val="0"/>
          <w:i w:val="0"/>
          <w:color w:val="6B6256"/>
          <w:sz w:val="18"/>
          <w:lang w:val="pt-BR" w:bidi="ar-SA"/>
          <w:kern w:val="16"/>
          <w14:ligatures w14:val="standardContextual"/>
        </w:rPr>
        <w:t xml:space="preserve">  Cap. 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Súmula 416/STJ</w:t>
      </w:r>
      <w:r>
        <w:rPr>
          <w:rFonts w:ascii="EB Garamond" w:hAnsi="EB Garamond" w:cs="EB Garamond"/>
          <w:b w:val="0"/>
          <w:i w:val="0"/>
          <w:color w:val="6B6256"/>
          <w:sz w:val="18"/>
          <w:lang w:val="pt-BR" w:bidi="ar-SA"/>
          <w:kern w:val="16"/>
          <w14:ligatures w14:val="standardContextual"/>
        </w:rPr>
        <w:t xml:space="preserve">  Cap. 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Súmula 44/STJ</w:t>
      </w:r>
      <w:r>
        <w:rPr>
          <w:rFonts w:ascii="EB Garamond" w:hAnsi="EB Garamond" w:cs="EB Garamond"/>
          <w:b w:val="0"/>
          <w:i w:val="0"/>
          <w:color w:val="6B6256"/>
          <w:sz w:val="18"/>
          <w:lang w:val="pt-BR" w:bidi="ar-SA"/>
          <w:kern w:val="16"/>
          <w14:ligatures w14:val="standardContextual"/>
        </w:rPr>
        <w:t xml:space="preserve">  Cap. 15</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Súmula 501/STF</w:t>
      </w:r>
      <w:r>
        <w:rPr>
          <w:rFonts w:ascii="EB Garamond" w:hAnsi="EB Garamond" w:cs="EB Garamond"/>
          <w:b w:val="0"/>
          <w:i w:val="0"/>
          <w:color w:val="6B6256"/>
          <w:sz w:val="18"/>
          <w:lang w:val="pt-BR" w:bidi="ar-SA"/>
          <w:kern w:val="16"/>
          <w14:ligatures w14:val="standardContextual"/>
        </w:rPr>
        <w:t xml:space="preserve">  Cap. 7,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Súmula 507/STJ</w:t>
      </w:r>
      <w:r>
        <w:rPr>
          <w:rFonts w:ascii="EB Garamond" w:hAnsi="EB Garamond" w:cs="EB Garamond"/>
          <w:b w:val="0"/>
          <w:i w:val="0"/>
          <w:color w:val="6B6256"/>
          <w:sz w:val="18"/>
          <w:lang w:val="pt-BR" w:bidi="ar-SA"/>
          <w:kern w:val="16"/>
          <w14:ligatures w14:val="standardContextual"/>
        </w:rPr>
        <w:t xml:space="preserve">  Cap. 15</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Súmula 577/STJ</w:t>
      </w:r>
      <w:r>
        <w:rPr>
          <w:rFonts w:ascii="EB Garamond" w:hAnsi="EB Garamond" w:cs="EB Garamond"/>
          <w:b w:val="0"/>
          <w:i w:val="0"/>
          <w:color w:val="6B6256"/>
          <w:sz w:val="18"/>
          <w:lang w:val="pt-BR" w:bidi="ar-SA"/>
          <w:kern w:val="16"/>
          <w14:ligatures w14:val="standardContextual"/>
        </w:rPr>
        <w:t xml:space="preserve">  Cap. 3, 5, 9</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Súmula 689/STF</w:t>
      </w:r>
      <w:r>
        <w:rPr>
          <w:rFonts w:ascii="EB Garamond" w:hAnsi="EB Garamond" w:cs="EB Garamond"/>
          <w:b w:val="0"/>
          <w:i w:val="0"/>
          <w:color w:val="6B6256"/>
          <w:sz w:val="18"/>
          <w:lang w:val="pt-BR" w:bidi="ar-SA"/>
          <w:kern w:val="16"/>
          <w14:ligatures w14:val="standardContextual"/>
        </w:rPr>
        <w:t xml:space="preserve">  Cap.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Súmula 73/TRF</w:t>
      </w:r>
      <w:r>
        <w:rPr>
          <w:rFonts w:ascii="EB Garamond" w:hAnsi="EB Garamond" w:cs="EB Garamond"/>
          <w:b w:val="0"/>
          <w:i w:val="0"/>
          <w:color w:val="6B6256"/>
          <w:sz w:val="18"/>
          <w:lang w:val="pt-BR" w:bidi="ar-SA"/>
          <w:kern w:val="16"/>
          <w14:ligatures w14:val="standardContextual"/>
        </w:rPr>
        <w:t xml:space="preserve">  Cap. 5</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Súmula 85/STJ</w:t>
      </w:r>
      <w:r>
        <w:rPr>
          <w:rFonts w:ascii="EB Garamond" w:hAnsi="EB Garamond" w:cs="EB Garamond"/>
          <w:b w:val="0"/>
          <w:i w:val="0"/>
          <w:color w:val="6B6256"/>
          <w:sz w:val="18"/>
          <w:lang w:val="pt-BR" w:bidi="ar-SA"/>
          <w:kern w:val="16"/>
          <w14:ligatures w14:val="standardContextual"/>
        </w:rPr>
        <w:t xml:space="preserve">  Cap. 21</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Súmula Vinculante 8</w:t>
      </w:r>
      <w:r>
        <w:rPr>
          <w:rFonts w:ascii="EB Garamond" w:hAnsi="EB Garamond" w:cs="EB Garamond"/>
          <w:b w:val="0"/>
          <w:i w:val="0"/>
          <w:color w:val="6B6256"/>
          <w:sz w:val="18"/>
          <w:lang w:val="pt-BR" w:bidi="ar-SA"/>
          <w:kern w:val="16"/>
          <w14:ligatures w14:val="standardContextual"/>
        </w:rPr>
        <w:t xml:space="preserve">  Cap. 4</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1</w:t>
      </w:r>
      <w:r>
        <w:rPr>
          <w:rFonts w:ascii="EB Garamond" w:hAnsi="EB Garamond" w:cs="EB Garamond"/>
          <w:b w:val="0"/>
          <w:i w:val="0"/>
          <w:color w:val="6B6256"/>
          <w:sz w:val="18"/>
          <w:lang w:val="pt-BR" w:bidi="ar-SA"/>
          <w:kern w:val="16"/>
          <w14:ligatures w14:val="standardContextual"/>
        </w:rPr>
        <w:t xml:space="preserve">  Cap. 1, 2, 3, 4, 5, 6, 7, 8, 9, 10, 11, 14, 16, 17, 19, 20, 22,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1007</w:t>
      </w:r>
      <w:r>
        <w:rPr>
          <w:rFonts w:ascii="EB Garamond" w:hAnsi="EB Garamond" w:cs="EB Garamond"/>
          <w:b w:val="0"/>
          <w:i w:val="0"/>
          <w:color w:val="6B6256"/>
          <w:sz w:val="18"/>
          <w:lang w:val="pt-BR" w:bidi="ar-SA"/>
          <w:kern w:val="16"/>
          <w14:ligatures w14:val="standardContextual"/>
        </w:rPr>
        <w:t xml:space="preserve">  Cap. 10</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1057</w:t>
      </w:r>
      <w:r>
        <w:rPr>
          <w:rFonts w:ascii="EB Garamond" w:hAnsi="EB Garamond" w:cs="EB Garamond"/>
          <w:b w:val="0"/>
          <w:i w:val="0"/>
          <w:color w:val="6B6256"/>
          <w:sz w:val="18"/>
          <w:lang w:val="pt-BR" w:bidi="ar-SA"/>
          <w:kern w:val="16"/>
          <w14:ligatures w14:val="standardContextual"/>
        </w:rPr>
        <w:t xml:space="preserve">  Cap. 19</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1057/STJ</w:t>
      </w:r>
      <w:r>
        <w:rPr>
          <w:rFonts w:ascii="EB Garamond" w:hAnsi="EB Garamond" w:cs="EB Garamond"/>
          <w:b w:val="0"/>
          <w:i w:val="0"/>
          <w:color w:val="6B6256"/>
          <w:sz w:val="18"/>
          <w:lang w:val="pt-BR" w:bidi="ar-SA"/>
          <w:kern w:val="16"/>
          <w14:ligatures w14:val="standardContextual"/>
        </w:rPr>
        <w:t xml:space="preserve">  Cap. 21</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1070</w:t>
      </w:r>
      <w:r>
        <w:rPr>
          <w:rFonts w:ascii="EB Garamond" w:hAnsi="EB Garamond" w:cs="EB Garamond"/>
          <w:b w:val="0"/>
          <w:i w:val="0"/>
          <w:color w:val="6B6256"/>
          <w:sz w:val="18"/>
          <w:lang w:val="pt-BR" w:bidi="ar-SA"/>
          <w:kern w:val="16"/>
          <w14:ligatures w14:val="standardContextual"/>
        </w:rPr>
        <w:t xml:space="preserve">  Cap. 16, 17</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1102</w:t>
      </w:r>
      <w:r>
        <w:rPr>
          <w:rFonts w:ascii="EB Garamond" w:hAnsi="EB Garamond" w:cs="EB Garamond"/>
          <w:b w:val="0"/>
          <w:i w:val="0"/>
          <w:color w:val="6B6256"/>
          <w:sz w:val="18"/>
          <w:lang w:val="pt-BR" w:bidi="ar-SA"/>
          <w:kern w:val="16"/>
          <w14:ligatures w14:val="standardContextual"/>
        </w:rPr>
        <w:t xml:space="preserve">  Cap. 17</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113</w:t>
      </w:r>
      <w:r>
        <w:rPr>
          <w:rFonts w:ascii="EB Garamond" w:hAnsi="EB Garamond" w:cs="EB Garamond"/>
          <w:b w:val="0"/>
          <w:i w:val="0"/>
          <w:color w:val="6B6256"/>
          <w:sz w:val="18"/>
          <w:lang w:val="pt-BR" w:bidi="ar-SA"/>
          <w:kern w:val="16"/>
          <w14:ligatures w14:val="standardContextual"/>
        </w:rPr>
        <w:t xml:space="preserve">  Cap. 13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1162</w:t>
      </w:r>
      <w:r>
        <w:rPr>
          <w:rFonts w:ascii="EB Garamond" w:hAnsi="EB Garamond" w:cs="EB Garamond"/>
          <w:b w:val="0"/>
          <w:i w:val="0"/>
          <w:color w:val="6B6256"/>
          <w:sz w:val="18"/>
          <w:lang w:val="pt-BR" w:bidi="ar-SA"/>
          <w:kern w:val="16"/>
          <w14:ligatures w14:val="standardContextual"/>
        </w:rPr>
        <w:t xml:space="preserve">  Cap. 14</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122</w:t>
      </w:r>
      <w:r>
        <w:rPr>
          <w:rFonts w:ascii="EB Garamond" w:hAnsi="EB Garamond" w:cs="EB Garamond"/>
          <w:b w:val="0"/>
          <w:i w:val="0"/>
          <w:color w:val="6B6256"/>
          <w:sz w:val="18"/>
          <w:lang w:val="pt-BR" w:bidi="ar-SA"/>
          <w:kern w:val="16"/>
          <w14:ligatures w14:val="standardContextual"/>
        </w:rPr>
        <w:t xml:space="preserve">  Cap. 18</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1300</w:t>
      </w:r>
      <w:r>
        <w:rPr>
          <w:rFonts w:ascii="EB Garamond" w:hAnsi="EB Garamond" w:cs="EB Garamond"/>
          <w:b w:val="0"/>
          <w:i w:val="0"/>
          <w:color w:val="6B6256"/>
          <w:sz w:val="18"/>
          <w:lang w:val="pt-BR" w:bidi="ar-SA"/>
          <w:kern w:val="16"/>
          <w14:ligatures w14:val="standardContextual"/>
        </w:rPr>
        <w:t xml:space="preserve">  Cap. 16</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1360</w:t>
      </w:r>
      <w:r>
        <w:rPr>
          <w:rFonts w:ascii="EB Garamond" w:hAnsi="EB Garamond" w:cs="EB Garamond"/>
          <w:b w:val="0"/>
          <w:i w:val="0"/>
          <w:color w:val="6B6256"/>
          <w:sz w:val="18"/>
          <w:lang w:val="pt-BR" w:bidi="ar-SA"/>
          <w:kern w:val="16"/>
          <w14:ligatures w14:val="standardContextual"/>
        </w:rPr>
        <w:t xml:space="preserve">  Cap. 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166</w:t>
      </w:r>
      <w:r>
        <w:rPr>
          <w:rFonts w:ascii="EB Garamond" w:hAnsi="EB Garamond" w:cs="EB Garamond"/>
          <w:b w:val="0"/>
          <w:i w:val="0"/>
          <w:color w:val="6B6256"/>
          <w:sz w:val="18"/>
          <w:lang w:val="pt-BR" w:bidi="ar-SA"/>
          <w:kern w:val="16"/>
          <w14:ligatures w14:val="standardContextual"/>
        </w:rPr>
        <w:t xml:space="preserve">  Cap. 4</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173</w:t>
      </w:r>
      <w:r>
        <w:rPr>
          <w:rFonts w:ascii="EB Garamond" w:hAnsi="EB Garamond" w:cs="EB Garamond"/>
          <w:b w:val="0"/>
          <w:i w:val="0"/>
          <w:color w:val="6B6256"/>
          <w:sz w:val="18"/>
          <w:lang w:val="pt-BR" w:bidi="ar-SA"/>
          <w:kern w:val="16"/>
          <w14:ligatures w14:val="standardContextual"/>
        </w:rPr>
        <w:t xml:space="preserve">  Cap. 18</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176</w:t>
      </w:r>
      <w:r>
        <w:rPr>
          <w:rFonts w:ascii="EB Garamond" w:hAnsi="EB Garamond" w:cs="EB Garamond"/>
          <w:b w:val="0"/>
          <w:i w:val="0"/>
          <w:color w:val="6B6256"/>
          <w:sz w:val="18"/>
          <w:lang w:val="pt-BR" w:bidi="ar-SA"/>
          <w:kern w:val="16"/>
          <w14:ligatures w14:val="standardContextual"/>
        </w:rPr>
        <w:t xml:space="preserve">  Cap. 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182</w:t>
      </w:r>
      <w:r>
        <w:rPr>
          <w:rFonts w:ascii="EB Garamond" w:hAnsi="EB Garamond" w:cs="EB Garamond"/>
          <w:b w:val="0"/>
          <w:i w:val="0"/>
          <w:color w:val="6B6256"/>
          <w:sz w:val="18"/>
          <w:lang w:val="pt-BR" w:bidi="ar-SA"/>
          <w:kern w:val="16"/>
          <w14:ligatures w14:val="standardContextual"/>
        </w:rPr>
        <w:t xml:space="preserve">  Cap. 22</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185/STJ</w:t>
      </w:r>
      <w:r>
        <w:rPr>
          <w:rFonts w:ascii="EB Garamond" w:hAnsi="EB Garamond" w:cs="EB Garamond"/>
          <w:b w:val="0"/>
          <w:i w:val="0"/>
          <w:color w:val="6B6256"/>
          <w:sz w:val="18"/>
          <w:lang w:val="pt-BR" w:bidi="ar-SA"/>
          <w:kern w:val="16"/>
          <w14:ligatures w14:val="standardContextual"/>
        </w:rPr>
        <w:t xml:space="preserve">  Cap. 18</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192</w:t>
      </w:r>
      <w:r>
        <w:rPr>
          <w:rFonts w:ascii="EB Garamond" w:hAnsi="EB Garamond" w:cs="EB Garamond"/>
          <w:b w:val="0"/>
          <w:i w:val="0"/>
          <w:color w:val="6B6256"/>
          <w:sz w:val="18"/>
          <w:lang w:val="pt-BR" w:bidi="ar-SA"/>
          <w:kern w:val="16"/>
          <w14:ligatures w14:val="standardContextual"/>
        </w:rPr>
        <w:t xml:space="preserve">  Cap. 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20</w:t>
      </w:r>
      <w:r>
        <w:rPr>
          <w:rFonts w:ascii="EB Garamond" w:hAnsi="EB Garamond" w:cs="EB Garamond"/>
          <w:b w:val="0"/>
          <w:i w:val="0"/>
          <w:color w:val="6B6256"/>
          <w:sz w:val="18"/>
          <w:lang w:val="pt-BR" w:bidi="ar-SA"/>
          <w:kern w:val="16"/>
          <w14:ligatures w14:val="standardContextual"/>
        </w:rPr>
        <w:t xml:space="preserve">  Cap. 2</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202</w:t>
      </w:r>
      <w:r>
        <w:rPr>
          <w:rFonts w:ascii="EB Garamond" w:hAnsi="EB Garamond" w:cs="EB Garamond"/>
          <w:b w:val="0"/>
          <w:i w:val="0"/>
          <w:color w:val="6B6256"/>
          <w:sz w:val="18"/>
          <w:lang w:val="pt-BR" w:bidi="ar-SA"/>
          <w:kern w:val="16"/>
          <w14:ligatures w14:val="standardContextual"/>
        </w:rPr>
        <w:t xml:space="preserve">  Cap. 4, 9, 13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214</w:t>
      </w:r>
      <w:r>
        <w:rPr>
          <w:rFonts w:ascii="EB Garamond" w:hAnsi="EB Garamond" w:cs="EB Garamond"/>
          <w:b w:val="0"/>
          <w:i w:val="0"/>
          <w:color w:val="6B6256"/>
          <w:sz w:val="18"/>
          <w:lang w:val="pt-BR" w:bidi="ar-SA"/>
          <w:kern w:val="16"/>
          <w14:ligatures w14:val="standardContextual"/>
        </w:rPr>
        <w:t xml:space="preserve">  Cap. 22</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214/STJ</w:t>
      </w:r>
      <w:r>
        <w:rPr>
          <w:rFonts w:ascii="EB Garamond" w:hAnsi="EB Garamond" w:cs="EB Garamond"/>
          <w:b w:val="0"/>
          <w:i w:val="0"/>
          <w:color w:val="6B6256"/>
          <w:sz w:val="18"/>
          <w:lang w:val="pt-BR" w:bidi="ar-SA"/>
          <w:kern w:val="16"/>
          <w14:ligatures w14:val="standardContextual"/>
        </w:rPr>
        <w:t xml:space="preserve">  Cap. 21</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216</w:t>
      </w:r>
      <w:r>
        <w:rPr>
          <w:rFonts w:ascii="EB Garamond" w:hAnsi="EB Garamond" w:cs="EB Garamond"/>
          <w:b w:val="0"/>
          <w:i w:val="0"/>
          <w:color w:val="6B6256"/>
          <w:sz w:val="18"/>
          <w:lang w:val="pt-BR" w:bidi="ar-SA"/>
          <w:kern w:val="16"/>
          <w14:ligatures w14:val="standardContextual"/>
        </w:rPr>
        <w:t xml:space="preserve">  Cap. 5, 11</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217</w:t>
      </w:r>
      <w:r>
        <w:rPr>
          <w:rFonts w:ascii="EB Garamond" w:hAnsi="EB Garamond" w:cs="EB Garamond"/>
          <w:b w:val="0"/>
          <w:i w:val="0"/>
          <w:color w:val="6B6256"/>
          <w:sz w:val="18"/>
          <w:lang w:val="pt-BR" w:bidi="ar-SA"/>
          <w:kern w:val="16"/>
          <w14:ligatures w14:val="standardContextual"/>
        </w:rPr>
        <w:t xml:space="preserve">  Cap. 12, 18</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219</w:t>
      </w:r>
      <w:r>
        <w:rPr>
          <w:rFonts w:ascii="EB Garamond" w:hAnsi="EB Garamond" w:cs="EB Garamond"/>
          <w:b w:val="0"/>
          <w:i w:val="0"/>
          <w:color w:val="6B6256"/>
          <w:sz w:val="18"/>
          <w:lang w:val="pt-BR" w:bidi="ar-SA"/>
          <w:kern w:val="16"/>
          <w14:ligatures w14:val="standardContextual"/>
        </w:rPr>
        <w:t xml:space="preserve">  Cap. 9</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220</w:t>
      </w:r>
      <w:r>
        <w:rPr>
          <w:rFonts w:ascii="EB Garamond" w:hAnsi="EB Garamond" w:cs="EB Garamond"/>
          <w:b w:val="0"/>
          <w:i w:val="0"/>
          <w:color w:val="6B6256"/>
          <w:sz w:val="18"/>
          <w:lang w:val="pt-BR" w:bidi="ar-SA"/>
          <w:kern w:val="16"/>
          <w14:ligatures w14:val="standardContextual"/>
        </w:rPr>
        <w:t xml:space="preserve">  Cap. 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239</w:t>
      </w:r>
      <w:r>
        <w:rPr>
          <w:rFonts w:ascii="EB Garamond" w:hAnsi="EB Garamond" w:cs="EB Garamond"/>
          <w:b w:val="0"/>
          <w:i w:val="0"/>
          <w:color w:val="6B6256"/>
          <w:sz w:val="18"/>
          <w:lang w:val="pt-BR" w:bidi="ar-SA"/>
          <w:kern w:val="16"/>
          <w14:ligatures w14:val="standardContextual"/>
        </w:rPr>
        <w:t xml:space="preserve">  Cap. 2, 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241</w:t>
      </w:r>
      <w:r>
        <w:rPr>
          <w:rFonts w:ascii="EB Garamond" w:hAnsi="EB Garamond" w:cs="EB Garamond"/>
          <w:b w:val="0"/>
          <w:i w:val="0"/>
          <w:color w:val="6B6256"/>
          <w:sz w:val="18"/>
          <w:lang w:val="pt-BR" w:bidi="ar-SA"/>
          <w:kern w:val="16"/>
          <w14:ligatures w14:val="standardContextual"/>
        </w:rPr>
        <w:t xml:space="preserve">  Cap. 4</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242</w:t>
      </w:r>
      <w:r>
        <w:rPr>
          <w:rFonts w:ascii="EB Garamond" w:hAnsi="EB Garamond" w:cs="EB Garamond"/>
          <w:b w:val="0"/>
          <w:i w:val="0"/>
          <w:color w:val="6B6256"/>
          <w:sz w:val="18"/>
          <w:lang w:val="pt-BR" w:bidi="ar-SA"/>
          <w:kern w:val="16"/>
          <w14:ligatures w14:val="standardContextual"/>
        </w:rPr>
        <w:t xml:space="preserve">  Cap. 22</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251</w:t>
      </w:r>
      <w:r>
        <w:rPr>
          <w:rFonts w:ascii="EB Garamond" w:hAnsi="EB Garamond" w:cs="EB Garamond"/>
          <w:b w:val="0"/>
          <w:i w:val="0"/>
          <w:color w:val="6B6256"/>
          <w:sz w:val="18"/>
          <w:lang w:val="pt-BR" w:bidi="ar-SA"/>
          <w:kern w:val="16"/>
          <w14:ligatures w14:val="standardContextual"/>
        </w:rPr>
        <w:t xml:space="preserve">  Cap. 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253</w:t>
      </w:r>
      <w:r>
        <w:rPr>
          <w:rFonts w:ascii="EB Garamond" w:hAnsi="EB Garamond" w:cs="EB Garamond"/>
          <w:b w:val="0"/>
          <w:i w:val="0"/>
          <w:color w:val="6B6256"/>
          <w:sz w:val="18"/>
          <w:lang w:val="pt-BR" w:bidi="ar-SA"/>
          <w:kern w:val="16"/>
          <w14:ligatures w14:val="standardContextual"/>
        </w:rPr>
        <w:t xml:space="preserve">  Cap. 18, 20</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269</w:t>
      </w:r>
      <w:r>
        <w:rPr>
          <w:rFonts w:ascii="EB Garamond" w:hAnsi="EB Garamond" w:cs="EB Garamond"/>
          <w:b w:val="0"/>
          <w:i w:val="0"/>
          <w:color w:val="6B6256"/>
          <w:sz w:val="18"/>
          <w:lang w:val="pt-BR" w:bidi="ar-SA"/>
          <w:kern w:val="16"/>
          <w14:ligatures w14:val="standardContextual"/>
        </w:rPr>
        <w:t xml:space="preserve">  Cap. 15</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27</w:t>
      </w:r>
      <w:r>
        <w:rPr>
          <w:rFonts w:ascii="EB Garamond" w:hAnsi="EB Garamond" w:cs="EB Garamond"/>
          <w:b w:val="0"/>
          <w:i w:val="0"/>
          <w:color w:val="6B6256"/>
          <w:sz w:val="18"/>
          <w:lang w:val="pt-BR" w:bidi="ar-SA"/>
          <w:kern w:val="16"/>
          <w14:ligatures w14:val="standardContextual"/>
        </w:rPr>
        <w:t xml:space="preserve">  Cap. 22,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27/STF</w:t>
      </w:r>
      <w:r>
        <w:rPr>
          <w:rFonts w:ascii="EB Garamond" w:hAnsi="EB Garamond" w:cs="EB Garamond"/>
          <w:b w:val="0"/>
          <w:i w:val="0"/>
          <w:color w:val="6B6256"/>
          <w:sz w:val="18"/>
          <w:lang w:val="pt-BR" w:bidi="ar-SA"/>
          <w:kern w:val="16"/>
          <w14:ligatures w14:val="standardContextual"/>
        </w:rPr>
        <w:t xml:space="preserve">  Cap. 18</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274</w:t>
      </w:r>
      <w:r>
        <w:rPr>
          <w:rFonts w:ascii="EB Garamond" w:hAnsi="EB Garamond" w:cs="EB Garamond"/>
          <w:b w:val="0"/>
          <w:i w:val="0"/>
          <w:color w:val="6B6256"/>
          <w:sz w:val="18"/>
          <w:lang w:val="pt-BR" w:bidi="ar-SA"/>
          <w:kern w:val="16"/>
          <w14:ligatures w14:val="standardContextual"/>
        </w:rPr>
        <w:t xml:space="preserve">  Cap. 6, 7, 18</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284</w:t>
      </w:r>
      <w:r>
        <w:rPr>
          <w:rFonts w:ascii="EB Garamond" w:hAnsi="EB Garamond" w:cs="EB Garamond"/>
          <w:b w:val="0"/>
          <w:i w:val="0"/>
          <w:color w:val="6B6256"/>
          <w:sz w:val="18"/>
          <w:lang w:val="pt-BR" w:bidi="ar-SA"/>
          <w:kern w:val="16"/>
          <w14:ligatures w14:val="standardContextual"/>
        </w:rPr>
        <w:t xml:space="preserve">  Cap. 18, 20</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286</w:t>
      </w:r>
      <w:r>
        <w:rPr>
          <w:rFonts w:ascii="EB Garamond" w:hAnsi="EB Garamond" w:cs="EB Garamond"/>
          <w:b w:val="0"/>
          <w:i w:val="0"/>
          <w:color w:val="6B6256"/>
          <w:sz w:val="18"/>
          <w:lang w:val="pt-BR" w:bidi="ar-SA"/>
          <w:kern w:val="16"/>
          <w14:ligatures w14:val="standardContextual"/>
        </w:rPr>
        <w:t xml:space="preserve">  Cap. 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297</w:t>
      </w:r>
      <w:r>
        <w:rPr>
          <w:rFonts w:ascii="EB Garamond" w:hAnsi="EB Garamond" w:cs="EB Garamond"/>
          <w:b w:val="0"/>
          <w:i w:val="0"/>
          <w:color w:val="6B6256"/>
          <w:sz w:val="18"/>
          <w:lang w:val="pt-BR" w:bidi="ar-SA"/>
          <w:kern w:val="16"/>
          <w14:ligatures w14:val="standardContextual"/>
        </w:rPr>
        <w:t xml:space="preserve">  Cap. 13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300</w:t>
      </w:r>
      <w:r>
        <w:rPr>
          <w:rFonts w:ascii="EB Garamond" w:hAnsi="EB Garamond" w:cs="EB Garamond"/>
          <w:b w:val="0"/>
          <w:i w:val="0"/>
          <w:color w:val="6B6256"/>
          <w:sz w:val="18"/>
          <w:lang w:val="pt-BR" w:bidi="ar-SA"/>
          <w:kern w:val="16"/>
          <w14:ligatures w14:val="standardContextual"/>
        </w:rPr>
        <w:t xml:space="preserve">  Cap. 3, 7</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312</w:t>
      </w:r>
      <w:r>
        <w:rPr>
          <w:rFonts w:ascii="EB Garamond" w:hAnsi="EB Garamond" w:cs="EB Garamond"/>
          <w:b w:val="0"/>
          <w:i w:val="0"/>
          <w:color w:val="6B6256"/>
          <w:sz w:val="18"/>
          <w:lang w:val="pt-BR" w:bidi="ar-SA"/>
          <w:kern w:val="16"/>
          <w14:ligatures w14:val="standardContextual"/>
        </w:rPr>
        <w:t xml:space="preserve">  Cap. 18,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313</w:t>
      </w:r>
      <w:r>
        <w:rPr>
          <w:rFonts w:ascii="EB Garamond" w:hAnsi="EB Garamond" w:cs="EB Garamond"/>
          <w:b w:val="0"/>
          <w:i w:val="0"/>
          <w:color w:val="6B6256"/>
          <w:sz w:val="18"/>
          <w:lang w:val="pt-BR" w:bidi="ar-SA"/>
          <w:kern w:val="16"/>
          <w14:ligatures w14:val="standardContextual"/>
        </w:rPr>
        <w:t xml:space="preserve">  Cap. 21</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315</w:t>
      </w:r>
      <w:r>
        <w:rPr>
          <w:rFonts w:ascii="EB Garamond" w:hAnsi="EB Garamond" w:cs="EB Garamond"/>
          <w:b w:val="0"/>
          <w:i w:val="0"/>
          <w:color w:val="6B6256"/>
          <w:sz w:val="18"/>
          <w:lang w:val="pt-BR" w:bidi="ar-SA"/>
          <w:kern w:val="16"/>
          <w14:ligatures w14:val="standardContextual"/>
        </w:rPr>
        <w:t xml:space="preserve">  Cap. 15</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32</w:t>
      </w:r>
      <w:r>
        <w:rPr>
          <w:rFonts w:ascii="EB Garamond" w:hAnsi="EB Garamond" w:cs="EB Garamond"/>
          <w:b w:val="0"/>
          <w:i w:val="0"/>
          <w:color w:val="6B6256"/>
          <w:sz w:val="18"/>
          <w:lang w:val="pt-BR" w:bidi="ar-SA"/>
          <w:kern w:val="16"/>
          <w14:ligatures w14:val="standardContextual"/>
        </w:rPr>
        <w:t xml:space="preserve">  Cap. 4</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322</w:t>
      </w:r>
      <w:r>
        <w:rPr>
          <w:rFonts w:ascii="EB Garamond" w:hAnsi="EB Garamond" w:cs="EB Garamond"/>
          <w:b w:val="0"/>
          <w:i w:val="0"/>
          <w:color w:val="6B6256"/>
          <w:sz w:val="18"/>
          <w:lang w:val="pt-BR" w:bidi="ar-SA"/>
          <w:kern w:val="16"/>
          <w14:ligatures w14:val="standardContextual"/>
        </w:rPr>
        <w:t xml:space="preserve">  Cap. 15</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327</w:t>
      </w:r>
      <w:r>
        <w:rPr>
          <w:rFonts w:ascii="EB Garamond" w:hAnsi="EB Garamond" w:cs="EB Garamond"/>
          <w:b w:val="0"/>
          <w:i w:val="0"/>
          <w:color w:val="6B6256"/>
          <w:sz w:val="18"/>
          <w:lang w:val="pt-BR" w:bidi="ar-SA"/>
          <w:kern w:val="16"/>
          <w14:ligatures w14:val="standardContextual"/>
        </w:rPr>
        <w:t xml:space="preserve">  Cap. 5, 9</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334</w:t>
      </w:r>
      <w:r>
        <w:rPr>
          <w:rFonts w:ascii="EB Garamond" w:hAnsi="EB Garamond" w:cs="EB Garamond"/>
          <w:b w:val="0"/>
          <w:i w:val="0"/>
          <w:color w:val="6B6256"/>
          <w:sz w:val="18"/>
          <w:lang w:val="pt-BR" w:bidi="ar-SA"/>
          <w:kern w:val="16"/>
          <w14:ligatures w14:val="standardContextual"/>
        </w:rPr>
        <w:t xml:space="preserve">  Cap. 11</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349</w:t>
      </w:r>
      <w:r>
        <w:rPr>
          <w:rFonts w:ascii="EB Garamond" w:hAnsi="EB Garamond" w:cs="EB Garamond"/>
          <w:b w:val="0"/>
          <w:i w:val="0"/>
          <w:color w:val="6B6256"/>
          <w:sz w:val="18"/>
          <w:lang w:val="pt-BR" w:bidi="ar-SA"/>
          <w:kern w:val="16"/>
          <w14:ligatures w14:val="standardContextual"/>
        </w:rPr>
        <w:t xml:space="preserve">  Cap. 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350</w:t>
      </w:r>
      <w:r>
        <w:rPr>
          <w:rFonts w:ascii="EB Garamond" w:hAnsi="EB Garamond" w:cs="EB Garamond"/>
          <w:b w:val="0"/>
          <w:i w:val="0"/>
          <w:color w:val="6B6256"/>
          <w:sz w:val="18"/>
          <w:lang w:val="pt-BR" w:bidi="ar-SA"/>
          <w:kern w:val="16"/>
          <w14:ligatures w14:val="standardContextual"/>
        </w:rPr>
        <w:t xml:space="preserve">  Cap. 1, 4, 5, 6, 7, 10, 14, 15, 17, 18, 19, 21, 22,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350/STF</w:t>
      </w:r>
      <w:r>
        <w:rPr>
          <w:rFonts w:ascii="EB Garamond" w:hAnsi="EB Garamond" w:cs="EB Garamond"/>
          <w:b w:val="0"/>
          <w:i w:val="0"/>
          <w:color w:val="6B6256"/>
          <w:sz w:val="18"/>
          <w:lang w:val="pt-BR" w:bidi="ar-SA"/>
          <w:kern w:val="16"/>
          <w14:ligatures w14:val="standardContextual"/>
        </w:rPr>
        <w:t xml:space="preserve">  Cap. 12, 13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357</w:t>
      </w:r>
      <w:r>
        <w:rPr>
          <w:rFonts w:ascii="EB Garamond" w:hAnsi="EB Garamond" w:cs="EB Garamond"/>
          <w:b w:val="0"/>
          <w:i w:val="0"/>
          <w:color w:val="6B6256"/>
          <w:sz w:val="18"/>
          <w:lang w:val="pt-BR" w:bidi="ar-SA"/>
          <w:kern w:val="16"/>
          <w14:ligatures w14:val="standardContextual"/>
        </w:rPr>
        <w:t xml:space="preserve">  Cap. 14</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358</w:t>
      </w:r>
      <w:r>
        <w:rPr>
          <w:rFonts w:ascii="EB Garamond" w:hAnsi="EB Garamond" w:cs="EB Garamond"/>
          <w:b w:val="0"/>
          <w:i w:val="0"/>
          <w:color w:val="6B6256"/>
          <w:sz w:val="18"/>
          <w:lang w:val="pt-BR" w:bidi="ar-SA"/>
          <w:kern w:val="16"/>
          <w14:ligatures w14:val="standardContextual"/>
        </w:rPr>
        <w:t xml:space="preserve">  Cap. 3, 10</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365</w:t>
      </w:r>
      <w:r>
        <w:rPr>
          <w:rFonts w:ascii="EB Garamond" w:hAnsi="EB Garamond" w:cs="EB Garamond"/>
          <w:b w:val="0"/>
          <w:i w:val="0"/>
          <w:color w:val="6B6256"/>
          <w:sz w:val="18"/>
          <w:lang w:val="pt-BR" w:bidi="ar-SA"/>
          <w:kern w:val="16"/>
          <w14:ligatures w14:val="standardContextual"/>
        </w:rPr>
        <w:t xml:space="preserve">  Cap. 3, 4</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422</w:t>
      </w:r>
      <w:r>
        <w:rPr>
          <w:rFonts w:ascii="EB Garamond" w:hAnsi="EB Garamond" w:cs="EB Garamond"/>
          <w:b w:val="0"/>
          <w:i w:val="0"/>
          <w:color w:val="6B6256"/>
          <w:sz w:val="18"/>
          <w:lang w:val="pt-BR" w:bidi="ar-SA"/>
          <w:kern w:val="16"/>
          <w14:ligatures w14:val="standardContextual"/>
        </w:rPr>
        <w:t xml:space="preserve">  Cap. 5, 8, 11</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423</w:t>
      </w:r>
      <w:r>
        <w:rPr>
          <w:rFonts w:ascii="EB Garamond" w:hAnsi="EB Garamond" w:cs="EB Garamond"/>
          <w:b w:val="0"/>
          <w:i w:val="0"/>
          <w:color w:val="6B6256"/>
          <w:sz w:val="18"/>
          <w:lang w:val="pt-BR" w:bidi="ar-SA"/>
          <w:kern w:val="16"/>
          <w14:ligatures w14:val="standardContextual"/>
        </w:rPr>
        <w:t xml:space="preserve">  Cap. 5</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445/STF</w:t>
      </w:r>
      <w:r>
        <w:rPr>
          <w:rFonts w:ascii="EB Garamond" w:hAnsi="EB Garamond" w:cs="EB Garamond"/>
          <w:b w:val="0"/>
          <w:i w:val="0"/>
          <w:color w:val="6B6256"/>
          <w:sz w:val="18"/>
          <w:lang w:val="pt-BR" w:bidi="ar-SA"/>
          <w:kern w:val="16"/>
          <w14:ligatures w14:val="standardContextual"/>
        </w:rPr>
        <w:t xml:space="preserve">  Cap. 21</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503</w:t>
      </w:r>
      <w:r>
        <w:rPr>
          <w:rFonts w:ascii="EB Garamond" w:hAnsi="EB Garamond" w:cs="EB Garamond"/>
          <w:b w:val="0"/>
          <w:i w:val="0"/>
          <w:color w:val="6B6256"/>
          <w:sz w:val="18"/>
          <w:lang w:val="pt-BR" w:bidi="ar-SA"/>
          <w:kern w:val="16"/>
          <w14:ligatures w14:val="standardContextual"/>
        </w:rPr>
        <w:t xml:space="preserve">  Cap. 1, 4, 5, 8, 11, 17, 19</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529</w:t>
      </w:r>
      <w:r>
        <w:rPr>
          <w:rFonts w:ascii="EB Garamond" w:hAnsi="EB Garamond" w:cs="EB Garamond"/>
          <w:b w:val="0"/>
          <w:i w:val="0"/>
          <w:color w:val="6B6256"/>
          <w:sz w:val="18"/>
          <w:lang w:val="pt-BR" w:bidi="ar-SA"/>
          <w:kern w:val="16"/>
          <w14:ligatures w14:val="standardContextual"/>
        </w:rPr>
        <w:t xml:space="preserve">  Cap. 2, 19</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532</w:t>
      </w:r>
      <w:r>
        <w:rPr>
          <w:rFonts w:ascii="EB Garamond" w:hAnsi="EB Garamond" w:cs="EB Garamond"/>
          <w:b w:val="0"/>
          <w:i w:val="0"/>
          <w:color w:val="6B6256"/>
          <w:sz w:val="18"/>
          <w:lang w:val="pt-BR" w:bidi="ar-SA"/>
          <w:kern w:val="16"/>
          <w14:ligatures w14:val="standardContextual"/>
        </w:rPr>
        <w:t xml:space="preserve">  Cap. 9</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533</w:t>
      </w:r>
      <w:r>
        <w:rPr>
          <w:rFonts w:ascii="EB Garamond" w:hAnsi="EB Garamond" w:cs="EB Garamond"/>
          <w:b w:val="0"/>
          <w:i w:val="0"/>
          <w:color w:val="6B6256"/>
          <w:sz w:val="18"/>
          <w:lang w:val="pt-BR" w:bidi="ar-SA"/>
          <w:kern w:val="16"/>
          <w14:ligatures w14:val="standardContextual"/>
        </w:rPr>
        <w:t xml:space="preserve">  Cap. 1</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534/STJ</w:t>
      </w:r>
      <w:r>
        <w:rPr>
          <w:rFonts w:ascii="EB Garamond" w:hAnsi="EB Garamond" w:cs="EB Garamond"/>
          <w:b w:val="0"/>
          <w:i w:val="0"/>
          <w:color w:val="6B6256"/>
          <w:sz w:val="18"/>
          <w:lang w:val="pt-BR" w:bidi="ar-SA"/>
          <w:kern w:val="16"/>
          <w14:ligatures w14:val="standardContextual"/>
        </w:rPr>
        <w:t xml:space="preserve">  Cap. 8</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546</w:t>
      </w:r>
      <w:r>
        <w:rPr>
          <w:rFonts w:ascii="EB Garamond" w:hAnsi="EB Garamond" w:cs="EB Garamond"/>
          <w:b w:val="0"/>
          <w:i w:val="0"/>
          <w:color w:val="6B6256"/>
          <w:sz w:val="18"/>
          <w:lang w:val="pt-BR" w:bidi="ar-SA"/>
          <w:kern w:val="16"/>
          <w14:ligatures w14:val="standardContextual"/>
        </w:rPr>
        <w:t xml:space="preserve">  Cap. 5, 8</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555</w:t>
      </w:r>
      <w:r>
        <w:rPr>
          <w:rFonts w:ascii="EB Garamond" w:hAnsi="EB Garamond" w:cs="EB Garamond"/>
          <w:b w:val="0"/>
          <w:i w:val="0"/>
          <w:color w:val="6B6256"/>
          <w:sz w:val="18"/>
          <w:lang w:val="pt-BR" w:bidi="ar-SA"/>
          <w:kern w:val="16"/>
          <w14:ligatures w14:val="standardContextual"/>
        </w:rPr>
        <w:t xml:space="preserve">  Cap. 8,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555/STJ</w:t>
      </w:r>
      <w:r>
        <w:rPr>
          <w:rFonts w:ascii="EB Garamond" w:hAnsi="EB Garamond" w:cs="EB Garamond"/>
          <w:b w:val="0"/>
          <w:i w:val="0"/>
          <w:color w:val="6B6256"/>
          <w:sz w:val="18"/>
          <w:lang w:val="pt-BR" w:bidi="ar-SA"/>
          <w:kern w:val="16"/>
          <w14:ligatures w14:val="standardContextual"/>
        </w:rPr>
        <w:t xml:space="preserve">  Cap. 20</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563</w:t>
      </w:r>
      <w:r>
        <w:rPr>
          <w:rFonts w:ascii="EB Garamond" w:hAnsi="EB Garamond" w:cs="EB Garamond"/>
          <w:b w:val="0"/>
          <w:i w:val="0"/>
          <w:color w:val="6B6256"/>
          <w:sz w:val="18"/>
          <w:lang w:val="pt-BR" w:bidi="ar-SA"/>
          <w:kern w:val="16"/>
          <w14:ligatures w14:val="standardContextual"/>
        </w:rPr>
        <w:t xml:space="preserve">  Cap. 17</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616/STF</w:t>
      </w:r>
      <w:r>
        <w:rPr>
          <w:rFonts w:ascii="EB Garamond" w:hAnsi="EB Garamond" w:cs="EB Garamond"/>
          <w:b w:val="0"/>
          <w:i w:val="0"/>
          <w:color w:val="6B6256"/>
          <w:sz w:val="18"/>
          <w:lang w:val="pt-BR" w:bidi="ar-SA"/>
          <w:kern w:val="16"/>
          <w14:ligatures w14:val="standardContextual"/>
        </w:rPr>
        <w:t xml:space="preserve">  Cap. 16</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622</w:t>
      </w:r>
      <w:r>
        <w:rPr>
          <w:rFonts w:ascii="EB Garamond" w:hAnsi="EB Garamond" w:cs="EB Garamond"/>
          <w:b w:val="0"/>
          <w:i w:val="0"/>
          <w:color w:val="6B6256"/>
          <w:sz w:val="18"/>
          <w:lang w:val="pt-BR" w:bidi="ar-SA"/>
          <w:kern w:val="16"/>
          <w14:ligatures w14:val="standardContextual"/>
        </w:rPr>
        <w:t xml:space="preserve">  Cap. 2, 13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626</w:t>
      </w:r>
      <w:r>
        <w:rPr>
          <w:rFonts w:ascii="EB Garamond" w:hAnsi="EB Garamond" w:cs="EB Garamond"/>
          <w:b w:val="0"/>
          <w:i w:val="0"/>
          <w:color w:val="6B6256"/>
          <w:sz w:val="18"/>
          <w:lang w:val="pt-BR" w:bidi="ar-SA"/>
          <w:kern w:val="16"/>
          <w14:ligatures w14:val="standardContextual"/>
        </w:rPr>
        <w:t xml:space="preserve">  Cap. 6</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629</w:t>
      </w:r>
      <w:r>
        <w:rPr>
          <w:rFonts w:ascii="EB Garamond" w:hAnsi="EB Garamond" w:cs="EB Garamond"/>
          <w:b w:val="0"/>
          <w:i w:val="0"/>
          <w:color w:val="6B6256"/>
          <w:sz w:val="18"/>
          <w:lang w:val="pt-BR" w:bidi="ar-SA"/>
          <w:kern w:val="16"/>
          <w14:ligatures w14:val="standardContextual"/>
        </w:rPr>
        <w:t xml:space="preserve">  Cap. 5</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629/STJ</w:t>
      </w:r>
      <w:r>
        <w:rPr>
          <w:rFonts w:ascii="EB Garamond" w:hAnsi="EB Garamond" w:cs="EB Garamond"/>
          <w:b w:val="0"/>
          <w:i w:val="0"/>
          <w:color w:val="6B6256"/>
          <w:sz w:val="18"/>
          <w:lang w:val="pt-BR" w:bidi="ar-SA"/>
          <w:kern w:val="16"/>
          <w14:ligatures w14:val="standardContextual"/>
        </w:rPr>
        <w:t xml:space="preserve">  Cap. 21</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642</w:t>
      </w:r>
      <w:r>
        <w:rPr>
          <w:rFonts w:ascii="EB Garamond" w:hAnsi="EB Garamond" w:cs="EB Garamond"/>
          <w:b w:val="0"/>
          <w:i w:val="0"/>
          <w:color w:val="6B6256"/>
          <w:sz w:val="18"/>
          <w:lang w:val="pt-BR" w:bidi="ar-SA"/>
          <w:kern w:val="16"/>
          <w14:ligatures w14:val="standardContextual"/>
        </w:rPr>
        <w:t xml:space="preserve">  Cap. 9</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669</w:t>
      </w:r>
      <w:r>
        <w:rPr>
          <w:rFonts w:ascii="EB Garamond" w:hAnsi="EB Garamond" w:cs="EB Garamond"/>
          <w:b w:val="0"/>
          <w:i w:val="0"/>
          <w:color w:val="6B6256"/>
          <w:sz w:val="18"/>
          <w:lang w:val="pt-BR" w:bidi="ar-SA"/>
          <w:kern w:val="16"/>
          <w14:ligatures w14:val="standardContextual"/>
        </w:rPr>
        <w:t xml:space="preserve">  Cap. 4, 9</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709</w:t>
      </w:r>
      <w:r>
        <w:rPr>
          <w:rFonts w:ascii="EB Garamond" w:hAnsi="EB Garamond" w:cs="EB Garamond"/>
          <w:b w:val="0"/>
          <w:i w:val="0"/>
          <w:color w:val="6B6256"/>
          <w:sz w:val="18"/>
          <w:lang w:val="pt-BR" w:bidi="ar-SA"/>
          <w:kern w:val="16"/>
          <w14:ligatures w14:val="standardContextual"/>
        </w:rPr>
        <w:t xml:space="preserve">  Cap. 8</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72</w:t>
      </w:r>
      <w:r>
        <w:rPr>
          <w:rFonts w:ascii="EB Garamond" w:hAnsi="EB Garamond" w:cs="EB Garamond"/>
          <w:b w:val="0"/>
          <w:i w:val="0"/>
          <w:color w:val="6B6256"/>
          <w:sz w:val="18"/>
          <w:lang w:val="pt-BR" w:bidi="ar-SA"/>
          <w:kern w:val="16"/>
          <w14:ligatures w14:val="standardContextual"/>
        </w:rPr>
        <w:t xml:space="preserve">  Cap. 13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723</w:t>
      </w:r>
      <w:r>
        <w:rPr>
          <w:rFonts w:ascii="EB Garamond" w:hAnsi="EB Garamond" w:cs="EB Garamond"/>
          <w:b w:val="0"/>
          <w:i w:val="0"/>
          <w:color w:val="6B6256"/>
          <w:sz w:val="18"/>
          <w:lang w:val="pt-BR" w:bidi="ar-SA"/>
          <w:kern w:val="16"/>
          <w14:ligatures w14:val="standardContextual"/>
        </w:rPr>
        <w:t xml:space="preserve">  Cap. 9</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73</w:t>
      </w:r>
      <w:r>
        <w:rPr>
          <w:rFonts w:ascii="EB Garamond" w:hAnsi="EB Garamond" w:cs="EB Garamond"/>
          <w:b w:val="0"/>
          <w:i w:val="0"/>
          <w:color w:val="6B6256"/>
          <w:sz w:val="18"/>
          <w:lang w:val="pt-BR" w:bidi="ar-SA"/>
          <w:kern w:val="16"/>
          <w14:ligatures w14:val="standardContextual"/>
        </w:rPr>
        <w:t xml:space="preserve">  Cap. 18</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732</w:t>
      </w:r>
      <w:r>
        <w:rPr>
          <w:rFonts w:ascii="EB Garamond" w:hAnsi="EB Garamond" w:cs="EB Garamond"/>
          <w:b w:val="0"/>
          <w:i w:val="0"/>
          <w:color w:val="6B6256"/>
          <w:sz w:val="18"/>
          <w:lang w:val="pt-BR" w:bidi="ar-SA"/>
          <w:kern w:val="16"/>
          <w14:ligatures w14:val="standardContextual"/>
        </w:rPr>
        <w:t xml:space="preserve">  Cap. 2, 19</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76</w:t>
      </w:r>
      <w:r>
        <w:rPr>
          <w:rFonts w:ascii="EB Garamond" w:hAnsi="EB Garamond" w:cs="EB Garamond"/>
          <w:b w:val="0"/>
          <w:i w:val="0"/>
          <w:color w:val="6B6256"/>
          <w:sz w:val="18"/>
          <w:lang w:val="pt-BR" w:bidi="ar-SA"/>
          <w:kern w:val="16"/>
          <w14:ligatures w14:val="standardContextual"/>
        </w:rPr>
        <w:t xml:space="preserve">  Cap. 1, 4, 16, 17</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810</w:t>
      </w:r>
      <w:r>
        <w:rPr>
          <w:rFonts w:ascii="EB Garamond" w:hAnsi="EB Garamond" w:cs="EB Garamond"/>
          <w:b w:val="0"/>
          <w:i w:val="0"/>
          <w:color w:val="6B6256"/>
          <w:sz w:val="18"/>
          <w:lang w:val="pt-BR" w:bidi="ar-SA"/>
          <w:kern w:val="16"/>
          <w14:ligatures w14:val="standardContextual"/>
        </w:rPr>
        <w:t xml:space="preserve">  Cap. 11, 17, 18,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820</w:t>
      </w:r>
      <w:r>
        <w:rPr>
          <w:rFonts w:ascii="EB Garamond" w:hAnsi="EB Garamond" w:cs="EB Garamond"/>
          <w:b w:val="0"/>
          <w:i w:val="0"/>
          <w:color w:val="6B6256"/>
          <w:sz w:val="18"/>
          <w:lang w:val="pt-BR" w:bidi="ar-SA"/>
          <w:kern w:val="16"/>
          <w14:ligatures w14:val="standardContextual"/>
        </w:rPr>
        <w:t xml:space="preserve">  Cap.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824</w:t>
      </w:r>
      <w:r>
        <w:rPr>
          <w:rFonts w:ascii="EB Garamond" w:hAnsi="EB Garamond" w:cs="EB Garamond"/>
          <w:b w:val="0"/>
          <w:i w:val="0"/>
          <w:color w:val="6B6256"/>
          <w:sz w:val="18"/>
          <w:lang w:val="pt-BR" w:bidi="ar-SA"/>
          <w:kern w:val="16"/>
          <w14:ligatures w14:val="standardContextual"/>
        </w:rPr>
        <w:t xml:space="preserve">  Cap. 1</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840</w:t>
      </w:r>
      <w:r>
        <w:rPr>
          <w:rFonts w:ascii="EB Garamond" w:hAnsi="EB Garamond" w:cs="EB Garamond"/>
          <w:b w:val="0"/>
          <w:i w:val="0"/>
          <w:color w:val="6B6256"/>
          <w:sz w:val="18"/>
          <w:lang w:val="pt-BR" w:bidi="ar-SA"/>
          <w:kern w:val="16"/>
          <w14:ligatures w14:val="standardContextual"/>
        </w:rPr>
        <w:t xml:space="preserve">  Cap. 5</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862</w:t>
      </w:r>
      <w:r>
        <w:rPr>
          <w:rFonts w:ascii="EB Garamond" w:hAnsi="EB Garamond" w:cs="EB Garamond"/>
          <w:b w:val="0"/>
          <w:i w:val="0"/>
          <w:color w:val="6B6256"/>
          <w:sz w:val="18"/>
          <w:lang w:val="pt-BR" w:bidi="ar-SA"/>
          <w:kern w:val="16"/>
          <w14:ligatures w14:val="standardContextual"/>
        </w:rPr>
        <w:t xml:space="preserve">  Cap. 7, 15</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89</w:t>
      </w:r>
      <w:r>
        <w:rPr>
          <w:rFonts w:ascii="EB Garamond" w:hAnsi="EB Garamond" w:cs="EB Garamond"/>
          <w:b w:val="0"/>
          <w:i w:val="0"/>
          <w:color w:val="6B6256"/>
          <w:sz w:val="18"/>
          <w:lang w:val="pt-BR" w:bidi="ar-SA"/>
          <w:kern w:val="16"/>
          <w14:ligatures w14:val="standardContextual"/>
        </w:rPr>
        <w:t xml:space="preserve">  Cap. 14</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896</w:t>
      </w:r>
      <w:r>
        <w:rPr>
          <w:rFonts w:ascii="EB Garamond" w:hAnsi="EB Garamond" w:cs="EB Garamond"/>
          <w:b w:val="0"/>
          <w:i w:val="0"/>
          <w:color w:val="6B6256"/>
          <w:sz w:val="18"/>
          <w:lang w:val="pt-BR" w:bidi="ar-SA"/>
          <w:kern w:val="16"/>
          <w14:ligatures w14:val="standardContextual"/>
        </w:rPr>
        <w:t xml:space="preserve">  Cap. 14</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905</w:t>
      </w:r>
      <w:r>
        <w:rPr>
          <w:rFonts w:ascii="EB Garamond" w:hAnsi="EB Garamond" w:cs="EB Garamond"/>
          <w:b w:val="0"/>
          <w:i w:val="0"/>
          <w:color w:val="6B6256"/>
          <w:sz w:val="18"/>
          <w:lang w:val="pt-BR" w:bidi="ar-SA"/>
          <w:kern w:val="16"/>
          <w14:ligatures w14:val="standardContextual"/>
        </w:rPr>
        <w:t xml:space="preserve">  Cap. 16, 18</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930</w:t>
      </w:r>
      <w:r>
        <w:rPr>
          <w:rFonts w:ascii="EB Garamond" w:hAnsi="EB Garamond" w:cs="EB Garamond"/>
          <w:b w:val="0"/>
          <w:i w:val="0"/>
          <w:color w:val="6B6256"/>
          <w:sz w:val="18"/>
          <w:lang w:val="pt-BR" w:bidi="ar-SA"/>
          <w:kern w:val="16"/>
          <w14:ligatures w14:val="standardContextual"/>
        </w:rPr>
        <w:t xml:space="preserve">  Cap. 16</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942</w:t>
      </w:r>
      <w:r>
        <w:rPr>
          <w:rFonts w:ascii="EB Garamond" w:hAnsi="EB Garamond" w:cs="EB Garamond"/>
          <w:b w:val="0"/>
          <w:i w:val="0"/>
          <w:color w:val="6B6256"/>
          <w:sz w:val="18"/>
          <w:lang w:val="pt-BR" w:bidi="ar-SA"/>
          <w:kern w:val="16"/>
          <w14:ligatures w14:val="standardContextual"/>
        </w:rPr>
        <w:t xml:space="preserve">  Cap. 5</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966</w:t>
      </w:r>
      <w:r>
        <w:rPr>
          <w:rFonts w:ascii="EB Garamond" w:hAnsi="EB Garamond" w:cs="EB Garamond"/>
          <w:b w:val="0"/>
          <w:i w:val="0"/>
          <w:color w:val="6B6256"/>
          <w:sz w:val="18"/>
          <w:lang w:val="pt-BR" w:bidi="ar-SA"/>
          <w:kern w:val="16"/>
          <w14:ligatures w14:val="standardContextual"/>
        </w:rPr>
        <w:t xml:space="preserve">  Cap. 17, 22</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966/STJ</w:t>
      </w:r>
      <w:r>
        <w:rPr>
          <w:rFonts w:ascii="EB Garamond" w:hAnsi="EB Garamond" w:cs="EB Garamond"/>
          <w:b w:val="0"/>
          <w:i w:val="0"/>
          <w:color w:val="6B6256"/>
          <w:sz w:val="18"/>
          <w:lang w:val="pt-BR" w:bidi="ar-SA"/>
          <w:kern w:val="16"/>
          <w14:ligatures w14:val="standardContextual"/>
        </w:rPr>
        <w:t xml:space="preserve">  Cap. 21</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975</w:t>
      </w:r>
      <w:r>
        <w:rPr>
          <w:rFonts w:ascii="EB Garamond" w:hAnsi="EB Garamond" w:cs="EB Garamond"/>
          <w:b w:val="0"/>
          <w:i w:val="0"/>
          <w:color w:val="6B6256"/>
          <w:sz w:val="18"/>
          <w:lang w:val="pt-BR" w:bidi="ar-SA"/>
          <w:kern w:val="16"/>
          <w14:ligatures w14:val="standardContextual"/>
        </w:rPr>
        <w:t xml:space="preserve">  Cap. 1, 17</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975/STJ</w:t>
      </w:r>
      <w:r>
        <w:rPr>
          <w:rFonts w:ascii="EB Garamond" w:hAnsi="EB Garamond" w:cs="EB Garamond"/>
          <w:b w:val="0"/>
          <w:i w:val="0"/>
          <w:color w:val="6B6256"/>
          <w:sz w:val="18"/>
          <w:lang w:val="pt-BR" w:bidi="ar-SA"/>
          <w:kern w:val="16"/>
          <w14:ligatures w14:val="standardContextual"/>
        </w:rPr>
        <w:t xml:space="preserve">  Cap. 21, 22</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982</w:t>
      </w:r>
      <w:r>
        <w:rPr>
          <w:rFonts w:ascii="EB Garamond" w:hAnsi="EB Garamond" w:cs="EB Garamond"/>
          <w:b w:val="0"/>
          <w:i w:val="0"/>
          <w:color w:val="6B6256"/>
          <w:sz w:val="18"/>
          <w:lang w:val="pt-BR" w:bidi="ar-SA"/>
          <w:kern w:val="16"/>
          <w14:ligatures w14:val="standardContextual"/>
        </w:rPr>
        <w:t xml:space="preserve">  Cap. 6</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985</w:t>
      </w:r>
      <w:r>
        <w:rPr>
          <w:rFonts w:ascii="EB Garamond" w:hAnsi="EB Garamond" w:cs="EB Garamond"/>
          <w:b w:val="0"/>
          <w:i w:val="0"/>
          <w:color w:val="6B6256"/>
          <w:sz w:val="18"/>
          <w:lang w:val="pt-BR" w:bidi="ar-SA"/>
          <w:kern w:val="16"/>
          <w14:ligatures w14:val="standardContextual"/>
        </w:rPr>
        <w:t xml:space="preserve">  Cap. 4</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995</w:t>
      </w:r>
      <w:r>
        <w:rPr>
          <w:rFonts w:ascii="EB Garamond" w:hAnsi="EB Garamond" w:cs="EB Garamond"/>
          <w:b w:val="0"/>
          <w:i w:val="0"/>
          <w:color w:val="6B6256"/>
          <w:sz w:val="18"/>
          <w:lang w:val="pt-BR" w:bidi="ar-SA"/>
          <w:kern w:val="16"/>
          <w14:ligatures w14:val="standardContextual"/>
        </w:rPr>
        <w:t xml:space="preserve">  Cap. 4, 6, 7, 9, 10, 11, 14, 17, 18</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995/STJ</w:t>
      </w:r>
      <w:r>
        <w:rPr>
          <w:rFonts w:ascii="EB Garamond" w:hAnsi="EB Garamond" w:cs="EB Garamond"/>
          <w:b w:val="0"/>
          <w:i w:val="0"/>
          <w:color w:val="6B6256"/>
          <w:sz w:val="18"/>
          <w:lang w:val="pt-BR" w:bidi="ar-SA"/>
          <w:kern w:val="16"/>
          <w14:ligatures w14:val="standardContextual"/>
        </w:rPr>
        <w:t xml:space="preserve">  Cap. 8, 12, 16</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Tema 999</w:t>
      </w:r>
      <w:r>
        <w:rPr>
          <w:rFonts w:ascii="EB Garamond" w:hAnsi="EB Garamond" w:cs="EB Garamond"/>
          <w:b w:val="0"/>
          <w:i w:val="0"/>
          <w:color w:val="6B6256"/>
          <w:sz w:val="18"/>
          <w:lang w:val="pt-BR" w:bidi="ar-SA"/>
          <w:kern w:val="16"/>
          <w14:ligatures w14:val="standardContextual"/>
        </w:rPr>
        <w:t xml:space="preserve">  Cap. 1</w:t>
      </w:r>
    </w:p>
    <w:p>
      <w:pPr>
        <w:spacing w:before="240" w:after="80" w:line="240" w:lineRule="auto"/>
        <w:jc w:val="left"/>
        <w:pBdr>
          <w:bottom w:val="single" w:sz="8" w:space="4" w:color="D7CDBB"/>
        </w:pBdr>
      </w:pPr>
      <w:r>
        <w:rPr>
          <w:rFonts w:ascii="EB Garamond" w:hAnsi="EB Garamond" w:cs="EB Garamond"/>
          <w:b/>
          <w:i w:val="0"/>
          <w:color w:val="3A3128"/>
          <w:sz w:val="24"/>
          <w:lang w:val="pt-BR" w:bidi="ar-SA"/>
          <w:kern w:val="16"/>
          <w14:ligatures w14:val="standardContextual"/>
        </w:rPr>
        <w:t>Institutos Jurídicos</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acumulação de benefícios</w:t>
      </w:r>
      <w:r>
        <w:rPr>
          <w:rFonts w:ascii="EB Garamond" w:hAnsi="EB Garamond" w:cs="EB Garamond"/>
          <w:b w:val="0"/>
          <w:i w:val="0"/>
          <w:color w:val="6B6256"/>
          <w:sz w:val="18"/>
          <w:lang w:val="pt-BR" w:bidi="ar-SA"/>
          <w:kern w:val="16"/>
          <w14:ligatures w14:val="standardContextual"/>
        </w:rPr>
        <w:t xml:space="preserve">  Cap. 1, 12, 13, 14, 15, 18, 19, 20,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antecipação de tutela</w:t>
      </w:r>
      <w:r>
        <w:rPr>
          <w:rFonts w:ascii="EB Garamond" w:hAnsi="EB Garamond" w:cs="EB Garamond"/>
          <w:b w:val="0"/>
          <w:i w:val="0"/>
          <w:color w:val="6B6256"/>
          <w:sz w:val="18"/>
          <w:lang w:val="pt-BR" w:bidi="ar-SA"/>
          <w:kern w:val="16"/>
          <w14:ligatures w14:val="standardContextual"/>
        </w:rPr>
        <w:t xml:space="preserve">  Cap. 5, 14, 19, 22,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aposentadoria da pessoa com deficiência</w:t>
      </w:r>
      <w:r>
        <w:rPr>
          <w:rFonts w:ascii="EB Garamond" w:hAnsi="EB Garamond" w:cs="EB Garamond"/>
          <w:b w:val="0"/>
          <w:i w:val="0"/>
          <w:color w:val="6B6256"/>
          <w:sz w:val="18"/>
          <w:lang w:val="pt-BR" w:bidi="ar-SA"/>
          <w:kern w:val="16"/>
          <w14:ligatures w14:val="standardContextual"/>
        </w:rPr>
        <w:t xml:space="preserve">  Cap. 1, 8, 10, 12, 16, 17, 18,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aposentadoria especial</w:t>
      </w:r>
      <w:r>
        <w:rPr>
          <w:rFonts w:ascii="EB Garamond" w:hAnsi="EB Garamond" w:cs="EB Garamond"/>
          <w:b w:val="0"/>
          <w:i w:val="0"/>
          <w:color w:val="6B6256"/>
          <w:sz w:val="18"/>
          <w:lang w:val="pt-BR" w:bidi="ar-SA"/>
          <w:kern w:val="16"/>
          <w14:ligatures w14:val="standardContextual"/>
        </w:rPr>
        <w:t xml:space="preserve">  Cap. 1, 2, 4, 5, 8, 11, 12, 16, 17, 22,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aposentadoria por idade</w:t>
      </w:r>
      <w:r>
        <w:rPr>
          <w:rFonts w:ascii="EB Garamond" w:hAnsi="EB Garamond" w:cs="EB Garamond"/>
          <w:b w:val="0"/>
          <w:i w:val="0"/>
          <w:color w:val="6B6256"/>
          <w:sz w:val="18"/>
          <w:lang w:val="pt-BR" w:bidi="ar-SA"/>
          <w:kern w:val="16"/>
          <w14:ligatures w14:val="standardContextual"/>
        </w:rPr>
        <w:t xml:space="preserve">  Cap. 1, 2, 3, 4, 5, 7, 9, 10, 11, 12, 13, 15, 16, 19, 20, 21, 22,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aposentadoria por incapacidade permanente</w:t>
      </w:r>
      <w:r>
        <w:rPr>
          <w:rFonts w:ascii="EB Garamond" w:hAnsi="EB Garamond" w:cs="EB Garamond"/>
          <w:b w:val="0"/>
          <w:i w:val="0"/>
          <w:color w:val="6B6256"/>
          <w:sz w:val="18"/>
          <w:lang w:val="pt-BR" w:bidi="ar-SA"/>
          <w:kern w:val="16"/>
          <w14:ligatures w14:val="standardContextual"/>
        </w:rPr>
        <w:t xml:space="preserve">  Cap. 1, 2, 3, 4, 5, 6, 7, 10, 11, 12, 14, 15, 16, 17, 18, 19, 20, 22,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aposentadoria por tempo de contribuição</w:t>
      </w:r>
      <w:r>
        <w:rPr>
          <w:rFonts w:ascii="EB Garamond" w:hAnsi="EB Garamond" w:cs="EB Garamond"/>
          <w:b w:val="0"/>
          <w:i w:val="0"/>
          <w:color w:val="6B6256"/>
          <w:sz w:val="18"/>
          <w:lang w:val="pt-BR" w:bidi="ar-SA"/>
          <w:kern w:val="16"/>
          <w14:ligatures w14:val="standardContextual"/>
        </w:rPr>
        <w:t xml:space="preserve">  Cap. 1, 2, 3, 4, 5, 8, 10, 11, 12, 14, 16, 17, 19, 20, 21, 22,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atividade concomitante</w:t>
      </w:r>
      <w:r>
        <w:rPr>
          <w:rFonts w:ascii="EB Garamond" w:hAnsi="EB Garamond" w:cs="EB Garamond"/>
          <w:b w:val="0"/>
          <w:i w:val="0"/>
          <w:color w:val="6B6256"/>
          <w:sz w:val="18"/>
          <w:lang w:val="pt-BR" w:bidi="ar-SA"/>
          <w:kern w:val="16"/>
          <w14:ligatures w14:val="standardContextual"/>
        </w:rPr>
        <w:t xml:space="preserve">  Cap. 8, 19, 20</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atividade especial</w:t>
      </w:r>
      <w:r>
        <w:rPr>
          <w:rFonts w:ascii="EB Garamond" w:hAnsi="EB Garamond" w:cs="EB Garamond"/>
          <w:b w:val="0"/>
          <w:i w:val="0"/>
          <w:color w:val="6B6256"/>
          <w:sz w:val="18"/>
          <w:lang w:val="pt-BR" w:bidi="ar-SA"/>
          <w:kern w:val="16"/>
          <w14:ligatures w14:val="standardContextual"/>
        </w:rPr>
        <w:t xml:space="preserve">  Cap. 5, 8, 11, 12, 17, 21, 22,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auxílio por incapacidade temporária</w:t>
      </w:r>
      <w:r>
        <w:rPr>
          <w:rFonts w:ascii="EB Garamond" w:hAnsi="EB Garamond" w:cs="EB Garamond"/>
          <w:b w:val="0"/>
          <w:i w:val="0"/>
          <w:color w:val="6B6256"/>
          <w:sz w:val="18"/>
          <w:lang w:val="pt-BR" w:bidi="ar-SA"/>
          <w:kern w:val="16"/>
          <w14:ligatures w14:val="standardContextual"/>
        </w:rPr>
        <w:t xml:space="preserve">  Cap. 1, 2, 3, 4, 5, 6, 7, 10, 11, 12, 13, 14, 15, 16, 18, 19, 20, 21, 22,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auxílio-acidente</w:t>
      </w:r>
      <w:r>
        <w:rPr>
          <w:rFonts w:ascii="EB Garamond" w:hAnsi="EB Garamond" w:cs="EB Garamond"/>
          <w:b w:val="0"/>
          <w:i w:val="0"/>
          <w:color w:val="6B6256"/>
          <w:sz w:val="18"/>
          <w:lang w:val="pt-BR" w:bidi="ar-SA"/>
          <w:kern w:val="16"/>
          <w14:ligatures w14:val="standardContextual"/>
        </w:rPr>
        <w:t xml:space="preserve">  Cap. 2, 3, 4, 6, 7, 10, 12, 13, 15, 16, 18, 19, 20, 22,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auxílio-reclusão</w:t>
      </w:r>
      <w:r>
        <w:rPr>
          <w:rFonts w:ascii="EB Garamond" w:hAnsi="EB Garamond" w:cs="EB Garamond"/>
          <w:b w:val="0"/>
          <w:i w:val="0"/>
          <w:color w:val="6B6256"/>
          <w:sz w:val="18"/>
          <w:lang w:val="pt-BR" w:bidi="ar-SA"/>
          <w:kern w:val="16"/>
          <w14:ligatures w14:val="standardContextual"/>
        </w:rPr>
        <w:t xml:space="preserve">  Cap. 2, 3, 4, 14, 15, 16, 20,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benefício de prestação continuada</w:t>
      </w:r>
      <w:r>
        <w:rPr>
          <w:rFonts w:ascii="EB Garamond" w:hAnsi="EB Garamond" w:cs="EB Garamond"/>
          <w:b w:val="0"/>
          <w:i w:val="0"/>
          <w:color w:val="6B6256"/>
          <w:sz w:val="18"/>
          <w:lang w:val="pt-BR" w:bidi="ar-SA"/>
          <w:kern w:val="16"/>
          <w14:ligatures w14:val="standardContextual"/>
        </w:rPr>
        <w:t xml:space="preserve">  Cap. 1, 6, 18, 20, 21, 22,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BPC</w:t>
      </w:r>
      <w:r>
        <w:rPr>
          <w:rFonts w:ascii="EB Garamond" w:hAnsi="EB Garamond" w:cs="EB Garamond"/>
          <w:b w:val="0"/>
          <w:i w:val="0"/>
          <w:color w:val="6B6256"/>
          <w:sz w:val="18"/>
          <w:lang w:val="pt-BR" w:bidi="ar-SA"/>
          <w:kern w:val="16"/>
          <w14:ligatures w14:val="standardContextual"/>
        </w:rPr>
        <w:t xml:space="preserve">  Cap. 1, 6, 7, 12, 13, 14, 18, 20, 21, 22,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carência</w:t>
      </w:r>
      <w:r>
        <w:rPr>
          <w:rFonts w:ascii="EB Garamond" w:hAnsi="EB Garamond" w:cs="EB Garamond"/>
          <w:b w:val="0"/>
          <w:i w:val="0"/>
          <w:color w:val="6B6256"/>
          <w:sz w:val="18"/>
          <w:lang w:val="pt-BR" w:bidi="ar-SA"/>
          <w:kern w:val="16"/>
          <w14:ligatures w14:val="standardContextual"/>
        </w:rPr>
        <w:t xml:space="preserve">  Cap. 1, 2, 3, 4, 5, 6, 7, 8, 9, 10, 11, 12, 13, 14, 15, 17, 18, 19, 21, 22,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certidão de tempo de contribuição</w:t>
      </w:r>
      <w:r>
        <w:rPr>
          <w:rFonts w:ascii="EB Garamond" w:hAnsi="EB Garamond" w:cs="EB Garamond"/>
          <w:b w:val="0"/>
          <w:i w:val="0"/>
          <w:color w:val="6B6256"/>
          <w:sz w:val="18"/>
          <w:lang w:val="pt-BR" w:bidi="ar-SA"/>
          <w:kern w:val="16"/>
          <w14:ligatures w14:val="standardContextual"/>
        </w:rPr>
        <w:t xml:space="preserve">  Cap. 2, 4, 5, 8, 11, 20,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CNIS</w:t>
      </w:r>
      <w:r>
        <w:rPr>
          <w:rFonts w:ascii="EB Garamond" w:hAnsi="EB Garamond" w:cs="EB Garamond"/>
          <w:b w:val="0"/>
          <w:i w:val="0"/>
          <w:color w:val="6B6256"/>
          <w:sz w:val="18"/>
          <w:lang w:val="pt-BR" w:bidi="ar-SA"/>
          <w:kern w:val="16"/>
          <w14:ligatures w14:val="standardContextual"/>
        </w:rPr>
        <w:t xml:space="preserve">  Cap. 1, 2, 3, 4, 5, 8, 9, 10, 11, 12, 13, 14, 16, 17, 18, 19, 20, 21, 22,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coisa julgada previdenciária</w:t>
      </w:r>
      <w:r>
        <w:rPr>
          <w:rFonts w:ascii="EB Garamond" w:hAnsi="EB Garamond" w:cs="EB Garamond"/>
          <w:b w:val="0"/>
          <w:i w:val="0"/>
          <w:color w:val="6B6256"/>
          <w:sz w:val="18"/>
          <w:lang w:val="pt-BR" w:bidi="ar-SA"/>
          <w:kern w:val="16"/>
          <w14:ligatures w14:val="standardContextual"/>
        </w:rPr>
        <w:t xml:space="preserve">  Cap. 21, 22,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contribuinte individual</w:t>
      </w:r>
      <w:r>
        <w:rPr>
          <w:rFonts w:ascii="EB Garamond" w:hAnsi="EB Garamond" w:cs="EB Garamond"/>
          <w:b w:val="0"/>
          <w:i w:val="0"/>
          <w:color w:val="6B6256"/>
          <w:sz w:val="18"/>
          <w:lang w:val="pt-BR" w:bidi="ar-SA"/>
          <w:kern w:val="16"/>
          <w14:ligatures w14:val="standardContextual"/>
        </w:rPr>
        <w:t xml:space="preserve">  Cap. 1, 2, 3, 4, 5, 7, 8, 9, 10, 11, 12, 13, 14, 15, 16, 17, 18, 19, 20,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conversão de tempo especial</w:t>
      </w:r>
      <w:r>
        <w:rPr>
          <w:rFonts w:ascii="EB Garamond" w:hAnsi="EB Garamond" w:cs="EB Garamond"/>
          <w:b w:val="0"/>
          <w:i w:val="0"/>
          <w:color w:val="6B6256"/>
          <w:sz w:val="18"/>
          <w:lang w:val="pt-BR" w:bidi="ar-SA"/>
          <w:kern w:val="16"/>
          <w14:ligatures w14:val="standardContextual"/>
        </w:rPr>
        <w:t xml:space="preserve">  Cap. 1, 5, 8, 10, 11, 12,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CTC</w:t>
      </w:r>
      <w:r>
        <w:rPr>
          <w:rFonts w:ascii="EB Garamond" w:hAnsi="EB Garamond" w:cs="EB Garamond"/>
          <w:b w:val="0"/>
          <w:i w:val="0"/>
          <w:color w:val="6B6256"/>
          <w:sz w:val="18"/>
          <w:lang w:val="pt-BR" w:bidi="ar-SA"/>
          <w:kern w:val="16"/>
          <w14:ligatures w14:val="standardContextual"/>
        </w:rPr>
        <w:t xml:space="preserve">  Cap. 2, 4, 5, 8, 11, 12</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data de entrada do requerimento</w:t>
      </w:r>
      <w:r>
        <w:rPr>
          <w:rFonts w:ascii="EB Garamond" w:hAnsi="EB Garamond" w:cs="EB Garamond"/>
          <w:b w:val="0"/>
          <w:i w:val="0"/>
          <w:color w:val="6B6256"/>
          <w:sz w:val="18"/>
          <w:lang w:val="pt-BR" w:bidi="ar-SA"/>
          <w:kern w:val="16"/>
          <w14:ligatures w14:val="standardContextual"/>
        </w:rPr>
        <w:t xml:space="preserve">  Cap. 1, 7, 8, 10, 12, 16, 20, 21, 22</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data de início do benefício</w:t>
      </w:r>
      <w:r>
        <w:rPr>
          <w:rFonts w:ascii="EB Garamond" w:hAnsi="EB Garamond" w:cs="EB Garamond"/>
          <w:b w:val="0"/>
          <w:i w:val="0"/>
          <w:color w:val="6B6256"/>
          <w:sz w:val="18"/>
          <w:lang w:val="pt-BR" w:bidi="ar-SA"/>
          <w:kern w:val="16"/>
          <w14:ligatures w14:val="standardContextual"/>
        </w:rPr>
        <w:t xml:space="preserve">  Cap. 5, 6, 7, 9, 10, 11, 12, 13, 14, 15, 16, 17, 18, 19, 20, 21, 22,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DCB</w:t>
      </w:r>
      <w:r>
        <w:rPr>
          <w:rFonts w:ascii="EB Garamond" w:hAnsi="EB Garamond" w:cs="EB Garamond"/>
          <w:b w:val="0"/>
          <w:i w:val="0"/>
          <w:color w:val="6B6256"/>
          <w:sz w:val="18"/>
          <w:lang w:val="pt-BR" w:bidi="ar-SA"/>
          <w:kern w:val="16"/>
          <w14:ligatures w14:val="standardContextual"/>
        </w:rPr>
        <w:t xml:space="preserve">  Cap. 7, 22</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decadência</w:t>
      </w:r>
      <w:r>
        <w:rPr>
          <w:rFonts w:ascii="EB Garamond" w:hAnsi="EB Garamond" w:cs="EB Garamond"/>
          <w:b w:val="0"/>
          <w:i w:val="0"/>
          <w:color w:val="6B6256"/>
          <w:sz w:val="18"/>
          <w:lang w:val="pt-BR" w:bidi="ar-SA"/>
          <w:kern w:val="16"/>
          <w14:ligatures w14:val="standardContextual"/>
        </w:rPr>
        <w:t xml:space="preserve">  Cap. 1, 4, 5, 7, 8, 14, 17, 19, 21, 22,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DER</w:t>
      </w:r>
      <w:r>
        <w:rPr>
          <w:rFonts w:ascii="EB Garamond" w:hAnsi="EB Garamond" w:cs="EB Garamond"/>
          <w:b w:val="0"/>
          <w:i w:val="0"/>
          <w:color w:val="6B6256"/>
          <w:sz w:val="18"/>
          <w:lang w:val="pt-BR" w:bidi="ar-SA"/>
          <w:kern w:val="16"/>
          <w14:ligatures w14:val="standardContextual"/>
        </w:rPr>
        <w:t xml:space="preserve">  Cap. 1, 2, 3, 4, 5, 6, 7, 8, 9, 10, 11, 12, 13, 14, 15, 16, 17, 18, 19, 20, 21, 22,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desaposentação</w:t>
      </w:r>
      <w:r>
        <w:rPr>
          <w:rFonts w:ascii="EB Garamond" w:hAnsi="EB Garamond" w:cs="EB Garamond"/>
          <w:b w:val="0"/>
          <w:i w:val="0"/>
          <w:color w:val="6B6256"/>
          <w:sz w:val="18"/>
          <w:lang w:val="pt-BR" w:bidi="ar-SA"/>
          <w:kern w:val="16"/>
          <w14:ligatures w14:val="standardContextual"/>
        </w:rPr>
        <w:t xml:space="preserve">  Cap. 1, 4, 5, 8, 11, 17, 19</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DIB</w:t>
      </w:r>
      <w:r>
        <w:rPr>
          <w:rFonts w:ascii="EB Garamond" w:hAnsi="EB Garamond" w:cs="EB Garamond"/>
          <w:b w:val="0"/>
          <w:i w:val="0"/>
          <w:color w:val="6B6256"/>
          <w:sz w:val="18"/>
          <w:lang w:val="pt-BR" w:bidi="ar-SA"/>
          <w:kern w:val="16"/>
          <w14:ligatures w14:val="standardContextual"/>
        </w:rPr>
        <w:t xml:space="preserve">  Cap. 5, 6, 7, 8, 9, 10, 11, 12, 13, 14, 15, 16, 17, 18, 19, 20, 21, 22,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direito adquirido</w:t>
      </w:r>
      <w:r>
        <w:rPr>
          <w:rFonts w:ascii="EB Garamond" w:hAnsi="EB Garamond" w:cs="EB Garamond"/>
          <w:b w:val="0"/>
          <w:i w:val="0"/>
          <w:color w:val="6B6256"/>
          <w:sz w:val="18"/>
          <w:lang w:val="pt-BR" w:bidi="ar-SA"/>
          <w:kern w:val="16"/>
          <w14:ligatures w14:val="standardContextual"/>
        </w:rPr>
        <w:t xml:space="preserve">  Cap. 1, 2, 3, 5, 8, 9, 10, 11, 12, 14, 16, 17, 18, 19, 20, 21</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fator previdenciário</w:t>
      </w:r>
      <w:r>
        <w:rPr>
          <w:rFonts w:ascii="EB Garamond" w:hAnsi="EB Garamond" w:cs="EB Garamond"/>
          <w:b w:val="0"/>
          <w:i w:val="0"/>
          <w:color w:val="6B6256"/>
          <w:sz w:val="18"/>
          <w:lang w:val="pt-BR" w:bidi="ar-SA"/>
          <w:kern w:val="16"/>
          <w14:ligatures w14:val="standardContextual"/>
        </w:rPr>
        <w:t xml:space="preserve">  Cap. 1, 5, 6, 8, 10, 11, 12, 13, 16, 17, 18, 20, 21</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implantação de benefício</w:t>
      </w:r>
      <w:r>
        <w:rPr>
          <w:rFonts w:ascii="EB Garamond" w:hAnsi="EB Garamond" w:cs="EB Garamond"/>
          <w:b w:val="0"/>
          <w:i w:val="0"/>
          <w:color w:val="6B6256"/>
          <w:sz w:val="18"/>
          <w:lang w:val="pt-BR" w:bidi="ar-SA"/>
          <w:kern w:val="16"/>
          <w14:ligatures w14:val="standardContextual"/>
        </w:rPr>
        <w:t xml:space="preserve">  Cap. 22</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incapacidade laborativa</w:t>
      </w:r>
      <w:r>
        <w:rPr>
          <w:rFonts w:ascii="EB Garamond" w:hAnsi="EB Garamond" w:cs="EB Garamond"/>
          <w:b w:val="0"/>
          <w:i w:val="0"/>
          <w:color w:val="6B6256"/>
          <w:sz w:val="18"/>
          <w:lang w:val="pt-BR" w:bidi="ar-SA"/>
          <w:kern w:val="16"/>
          <w14:ligatures w14:val="standardContextual"/>
        </w:rPr>
        <w:t xml:space="preserve">  Cap. 1, 4, 6, 7, 15, 20, 22</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INSS</w:t>
      </w:r>
      <w:r>
        <w:rPr>
          <w:rFonts w:ascii="EB Garamond" w:hAnsi="EB Garamond" w:cs="EB Garamond"/>
          <w:b w:val="0"/>
          <w:i w:val="0"/>
          <w:color w:val="6B6256"/>
          <w:sz w:val="18"/>
          <w:lang w:val="pt-BR" w:bidi="ar-SA"/>
          <w:kern w:val="16"/>
          <w14:ligatures w14:val="standardContextual"/>
        </w:rPr>
        <w:t xml:space="preserve">  Cap. 1, 2, 3, 4, 5, 6, 7, 8, 9, 10, 11, 12, 13, 14, 15, 16, 17, 18, 19, 20, 21, 22,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juizados especiais federais</w:t>
      </w:r>
      <w:r>
        <w:rPr>
          <w:rFonts w:ascii="EB Garamond" w:hAnsi="EB Garamond" w:cs="EB Garamond"/>
          <w:b w:val="0"/>
          <w:i w:val="0"/>
          <w:color w:val="6B6256"/>
          <w:sz w:val="18"/>
          <w:lang w:val="pt-BR" w:bidi="ar-SA"/>
          <w:kern w:val="16"/>
          <w14:ligatures w14:val="standardContextual"/>
        </w:rPr>
        <w:t xml:space="preserve">  Cap. 1, 3, 4, 5, 6, 7, 8, 9, 10, 12, 13, 14, 15, 16, 18, 19, 20, 21, 22,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LOAS</w:t>
      </w:r>
      <w:r>
        <w:rPr>
          <w:rFonts w:ascii="EB Garamond" w:hAnsi="EB Garamond" w:cs="EB Garamond"/>
          <w:b w:val="0"/>
          <w:i w:val="0"/>
          <w:color w:val="6B6256"/>
          <w:sz w:val="18"/>
          <w:lang w:val="pt-BR" w:bidi="ar-SA"/>
          <w:kern w:val="16"/>
          <w14:ligatures w14:val="standardContextual"/>
        </w:rPr>
        <w:t xml:space="preserve">  Cap. 1, 7, 12, 13, 14, 18, 20, 22,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LTCAT</w:t>
      </w:r>
      <w:r>
        <w:rPr>
          <w:rFonts w:ascii="EB Garamond" w:hAnsi="EB Garamond" w:cs="EB Garamond"/>
          <w:b w:val="0"/>
          <w:i w:val="0"/>
          <w:color w:val="6B6256"/>
          <w:sz w:val="18"/>
          <w:lang w:val="pt-BR" w:bidi="ar-SA"/>
          <w:kern w:val="16"/>
          <w14:ligatures w14:val="standardContextual"/>
        </w:rPr>
        <w:t xml:space="preserve">  Cap. 8, 11, 17, 22,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pedido de uniformização</w:t>
      </w:r>
      <w:r>
        <w:rPr>
          <w:rFonts w:ascii="EB Garamond" w:hAnsi="EB Garamond" w:cs="EB Garamond"/>
          <w:b w:val="0"/>
          <w:i w:val="0"/>
          <w:color w:val="6B6256"/>
          <w:sz w:val="18"/>
          <w:lang w:val="pt-BR" w:bidi="ar-SA"/>
          <w:kern w:val="16"/>
          <w14:ligatures w14:val="standardContextual"/>
        </w:rPr>
        <w:t xml:space="preserve">  Cap. 5, 9, 10, 11, 21, 22,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pensão por morte</w:t>
      </w:r>
      <w:r>
        <w:rPr>
          <w:rFonts w:ascii="EB Garamond" w:hAnsi="EB Garamond" w:cs="EB Garamond"/>
          <w:b w:val="0"/>
          <w:i w:val="0"/>
          <w:color w:val="6B6256"/>
          <w:sz w:val="18"/>
          <w:lang w:val="pt-BR" w:bidi="ar-SA"/>
          <w:kern w:val="16"/>
          <w14:ligatures w14:val="standardContextual"/>
        </w:rPr>
        <w:t xml:space="preserve">  Cap. 1, 2, 3, 4, 5, 6, 7, 9, 10, 11, 12, 13, 14, 15, 16, 17, 18, 19, 20, 21, 22,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perícia médica</w:t>
      </w:r>
      <w:r>
        <w:rPr>
          <w:rFonts w:ascii="EB Garamond" w:hAnsi="EB Garamond" w:cs="EB Garamond"/>
          <w:b w:val="0"/>
          <w:i w:val="0"/>
          <w:color w:val="6B6256"/>
          <w:sz w:val="18"/>
          <w:lang w:val="pt-BR" w:bidi="ar-SA"/>
          <w:kern w:val="16"/>
          <w14:ligatures w14:val="standardContextual"/>
        </w:rPr>
        <w:t xml:space="preserve">  Cap. 6, 7, 8, 12, 13, 15, 16, 18, 19, 20, 21, 22,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período de graça</w:t>
      </w:r>
      <w:r>
        <w:rPr>
          <w:rFonts w:ascii="EB Garamond" w:hAnsi="EB Garamond" w:cs="EB Garamond"/>
          <w:b w:val="0"/>
          <w:i w:val="0"/>
          <w:color w:val="6B6256"/>
          <w:sz w:val="18"/>
          <w:lang w:val="pt-BR" w:bidi="ar-SA"/>
          <w:kern w:val="16"/>
          <w14:ligatures w14:val="standardContextual"/>
        </w:rPr>
        <w:t xml:space="preserve">  Cap. 2, 3, 4, 6, 7, 9, 10, 13, 14, 15, 19,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PPP</w:t>
      </w:r>
      <w:r>
        <w:rPr>
          <w:rFonts w:ascii="EB Garamond" w:hAnsi="EB Garamond" w:cs="EB Garamond"/>
          <w:b w:val="0"/>
          <w:i w:val="0"/>
          <w:color w:val="6B6256"/>
          <w:sz w:val="18"/>
          <w:lang w:val="pt-BR" w:bidi="ar-SA"/>
          <w:kern w:val="16"/>
          <w14:ligatures w14:val="standardContextual"/>
        </w:rPr>
        <w:t xml:space="preserve">  Cap. 2, 4, 5, 8, 11, 17, 22,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prescrição</w:t>
      </w:r>
      <w:r>
        <w:rPr>
          <w:rFonts w:ascii="EB Garamond" w:hAnsi="EB Garamond" w:cs="EB Garamond"/>
          <w:b w:val="0"/>
          <w:i w:val="0"/>
          <w:color w:val="6B6256"/>
          <w:sz w:val="18"/>
          <w:lang w:val="pt-BR" w:bidi="ar-SA"/>
          <w:kern w:val="16"/>
          <w14:ligatures w14:val="standardContextual"/>
        </w:rPr>
        <w:t xml:space="preserve">  Cap. 4, 5, 7, 8, 10, 12, 13, 14, 15, 16, 17, 19, 20, 21, 22,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prova emprestada</w:t>
      </w:r>
      <w:r>
        <w:rPr>
          <w:rFonts w:ascii="EB Garamond" w:hAnsi="EB Garamond" w:cs="EB Garamond"/>
          <w:b w:val="0"/>
          <w:i w:val="0"/>
          <w:color w:val="6B6256"/>
          <w:sz w:val="18"/>
          <w:lang w:val="pt-BR" w:bidi="ar-SA"/>
          <w:kern w:val="16"/>
          <w14:ligatures w14:val="standardContextual"/>
        </w:rPr>
        <w:t xml:space="preserve">  Cap. 5, 8, 12,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qualidade de segurado</w:t>
      </w:r>
      <w:r>
        <w:rPr>
          <w:rFonts w:ascii="EB Garamond" w:hAnsi="EB Garamond" w:cs="EB Garamond"/>
          <w:b w:val="0"/>
          <w:i w:val="0"/>
          <w:color w:val="6B6256"/>
          <w:sz w:val="18"/>
          <w:lang w:val="pt-BR" w:bidi="ar-SA"/>
          <w:kern w:val="16"/>
          <w14:ligatures w14:val="standardContextual"/>
        </w:rPr>
        <w:t xml:space="preserve">  Cap. 1, 2, 3, 4, 5, 6, 7, 8, 9, 10, 11, 13, 14, 15, 18, 19, 22,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reabilitação profissional</w:t>
      </w:r>
      <w:r>
        <w:rPr>
          <w:rFonts w:ascii="EB Garamond" w:hAnsi="EB Garamond" w:cs="EB Garamond"/>
          <w:b w:val="0"/>
          <w:i w:val="0"/>
          <w:color w:val="6B6256"/>
          <w:sz w:val="18"/>
          <w:lang w:val="pt-BR" w:bidi="ar-SA"/>
          <w:kern w:val="16"/>
          <w14:ligatures w14:val="standardContextual"/>
        </w:rPr>
        <w:t xml:space="preserve">  Cap. 2, 3, 4, 6, 7, 12, 15, 20</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regra de transição</w:t>
      </w:r>
      <w:r>
        <w:rPr>
          <w:rFonts w:ascii="EB Garamond" w:hAnsi="EB Garamond" w:cs="EB Garamond"/>
          <w:b w:val="0"/>
          <w:i w:val="0"/>
          <w:color w:val="6B6256"/>
          <w:sz w:val="18"/>
          <w:lang w:val="pt-BR" w:bidi="ar-SA"/>
          <w:kern w:val="16"/>
          <w14:ligatures w14:val="standardContextual"/>
        </w:rPr>
        <w:t xml:space="preserve">  Cap. 1, 3, 4, 5, 7, 8, 9, 10, 11, 12, 14, 16, 17, 20,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revisão de benefício</w:t>
      </w:r>
      <w:r>
        <w:rPr>
          <w:rFonts w:ascii="EB Garamond" w:hAnsi="EB Garamond" w:cs="EB Garamond"/>
          <w:b w:val="0"/>
          <w:i w:val="0"/>
          <w:color w:val="6B6256"/>
          <w:sz w:val="18"/>
          <w:lang w:val="pt-BR" w:bidi="ar-SA"/>
          <w:kern w:val="16"/>
          <w14:ligatures w14:val="standardContextual"/>
        </w:rPr>
        <w:t xml:space="preserve">  Cap. 1, 4, 5, 6, 7, 10, 16, 17, 21, 22,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salário-família</w:t>
      </w:r>
      <w:r>
        <w:rPr>
          <w:rFonts w:ascii="EB Garamond" w:hAnsi="EB Garamond" w:cs="EB Garamond"/>
          <w:b w:val="0"/>
          <w:i w:val="0"/>
          <w:color w:val="6B6256"/>
          <w:sz w:val="18"/>
          <w:lang w:val="pt-BR" w:bidi="ar-SA"/>
          <w:kern w:val="16"/>
          <w14:ligatures w14:val="standardContextual"/>
        </w:rPr>
        <w:t xml:space="preserve">  Cap. 1, 2, 3, 4, 7, 15, 16, 20,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salário-maternidade</w:t>
      </w:r>
      <w:r>
        <w:rPr>
          <w:rFonts w:ascii="EB Garamond" w:hAnsi="EB Garamond" w:cs="EB Garamond"/>
          <w:b w:val="0"/>
          <w:i w:val="0"/>
          <w:color w:val="6B6256"/>
          <w:sz w:val="18"/>
          <w:lang w:val="pt-BR" w:bidi="ar-SA"/>
          <w:kern w:val="16"/>
          <w14:ligatures w14:val="standardContextual"/>
        </w:rPr>
        <w:t xml:space="preserve">  Cap. 1, 2, 3, 4, 7, 13, 14, 15, 16, 18, 19, 20, 22,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segurado especial</w:t>
      </w:r>
      <w:r>
        <w:rPr>
          <w:rFonts w:ascii="EB Garamond" w:hAnsi="EB Garamond" w:cs="EB Garamond"/>
          <w:b w:val="0"/>
          <w:i w:val="0"/>
          <w:color w:val="6B6256"/>
          <w:sz w:val="18"/>
          <w:lang w:val="pt-BR" w:bidi="ar-SA"/>
          <w:kern w:val="16"/>
          <w14:ligatures w14:val="standardContextual"/>
        </w:rPr>
        <w:t xml:space="preserve">  Cap. 1, 2, 3, 4, 5, 7, 8, 9, 13, 14, 15, 16, 17, 18, 19,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segurado facultativo</w:t>
      </w:r>
      <w:r>
        <w:rPr>
          <w:rFonts w:ascii="EB Garamond" w:hAnsi="EB Garamond" w:cs="EB Garamond"/>
          <w:b w:val="0"/>
          <w:i w:val="0"/>
          <w:color w:val="6B6256"/>
          <w:sz w:val="18"/>
          <w:lang w:val="pt-BR" w:bidi="ar-SA"/>
          <w:kern w:val="16"/>
          <w14:ligatures w14:val="standardContextual"/>
        </w:rPr>
        <w:t xml:space="preserve">  Cap. 1, 2, 3, 4, 7, 10, 14, 15, 16, 19</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tempo de serviço militar</w:t>
      </w:r>
      <w:r>
        <w:rPr>
          <w:rFonts w:ascii="EB Garamond" w:hAnsi="EB Garamond" w:cs="EB Garamond"/>
          <w:b w:val="0"/>
          <w:i w:val="0"/>
          <w:color w:val="6B6256"/>
          <w:sz w:val="18"/>
          <w:lang w:val="pt-BR" w:bidi="ar-SA"/>
          <w:kern w:val="16"/>
          <w14:ligatures w14:val="standardContextual"/>
        </w:rPr>
        <w:t xml:space="preserve">  Cap. 2, 4, 5, 11</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TNU</w:t>
      </w:r>
      <w:r>
        <w:rPr>
          <w:rFonts w:ascii="EB Garamond" w:hAnsi="EB Garamond" w:cs="EB Garamond"/>
          <w:b w:val="0"/>
          <w:i w:val="0"/>
          <w:color w:val="6B6256"/>
          <w:sz w:val="18"/>
          <w:lang w:val="pt-BR" w:bidi="ar-SA"/>
          <w:kern w:val="16"/>
          <w14:ligatures w14:val="standardContextual"/>
        </w:rPr>
        <w:t xml:space="preserve">  Cap. 2, 3, 4, 5, 6, 7, 8, 9, 10, 11, 12, 13, 14, 15, 16, 17, 18, 19, 20, 22,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trabalhador rural</w:t>
      </w:r>
      <w:r>
        <w:rPr>
          <w:rFonts w:ascii="EB Garamond" w:hAnsi="EB Garamond" w:cs="EB Garamond"/>
          <w:b w:val="0"/>
          <w:i w:val="0"/>
          <w:color w:val="6B6256"/>
          <w:sz w:val="18"/>
          <w:lang w:val="pt-BR" w:bidi="ar-SA"/>
          <w:kern w:val="16"/>
          <w14:ligatures w14:val="standardContextual"/>
        </w:rPr>
        <w:t xml:space="preserve">  Cap. 1, 3, 4, 5, 6, 8, 9, 15, 19</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turma recursal</w:t>
      </w:r>
      <w:r>
        <w:rPr>
          <w:rFonts w:ascii="EB Garamond" w:hAnsi="EB Garamond" w:cs="EB Garamond"/>
          <w:b w:val="0"/>
          <w:i w:val="0"/>
          <w:color w:val="6B6256"/>
          <w:sz w:val="18"/>
          <w:lang w:val="pt-BR" w:bidi="ar-SA"/>
          <w:kern w:val="16"/>
          <w14:ligatures w14:val="standardContextual"/>
        </w:rPr>
        <w:t xml:space="preserve">  Cap. 5, 6, 9, 10, 11, 12, 17, 18, 20, 21,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tutela de urgência</w:t>
      </w:r>
      <w:r>
        <w:rPr>
          <w:rFonts w:ascii="EB Garamond" w:hAnsi="EB Garamond" w:cs="EB Garamond"/>
          <w:b w:val="0"/>
          <w:i w:val="0"/>
          <w:color w:val="6B6256"/>
          <w:sz w:val="18"/>
          <w:lang w:val="pt-BR" w:bidi="ar-SA"/>
          <w:kern w:val="16"/>
          <w14:ligatures w14:val="standardContextual"/>
        </w:rPr>
        <w:t xml:space="preserve">  Cap. 3, 4, 9, 10, 12, 13, 14, 17, 18, 19, 20, 22, 23</w:t>
      </w:r>
    </w:p>
    <w:p>
      <w:pPr>
        <w:spacing w:before="0" w:after="30" w:line="240" w:lineRule="auto"/>
        <w:jc w:val="left"/>
      </w:pPr>
      <w:r>
        <w:rPr>
          <w:rFonts w:ascii="EB Garamond" w:hAnsi="EB Garamond" w:cs="EB Garamond"/>
          <w:b w:val="0"/>
          <w:i w:val="0"/>
          <w:color w:val="201B16"/>
          <w:sz w:val="18"/>
          <w:lang w:val="pt-BR" w:bidi="ar-SA"/>
          <w:kern w:val="16"/>
          <w14:ligatures w14:val="standardContextual"/>
        </w:rPr>
        <w:t>união estável</w:t>
      </w:r>
      <w:r>
        <w:rPr>
          <w:rFonts w:ascii="EB Garamond" w:hAnsi="EB Garamond" w:cs="EB Garamond"/>
          <w:b w:val="0"/>
          <w:i w:val="0"/>
          <w:color w:val="6B6256"/>
          <w:sz w:val="18"/>
          <w:lang w:val="pt-BR" w:bidi="ar-SA"/>
          <w:kern w:val="16"/>
          <w14:ligatures w14:val="standardContextual"/>
        </w:rPr>
        <w:t xml:space="preserve">  Cap. 2, 13, 14, 19, 20, 22, 23</w:t>
      </w:r>
    </w:p>
    <w:p>
      <w:pPr>
        <w:sectPr>
          <w:headerReference w:type="default" r:id="rId237"/>
          <w:headerReference w:type="even" r:id="rId238"/>
          <w:footerReference w:type="default" r:id="rId239"/>
          <w:footerReference w:type="even" r:id="rId240"/>
          <w:headerReference w:type="first" r:id="rId241"/>
          <w:footerReference w:type="first" r:id="rId242"/>
          <w:type w:val="oddPage"/>
          <w:pgSz w:w="8391" w:h="11906"/>
          <w:pgMar w:top="935" w:right="879" w:bottom="964" w:left="1162" w:header="454" w:footer="425" w:gutter="0" w:mirrorMargins="1"/>
          <w:cols w:space="720"/>
          <w:titlePg/>
          <w:docGrid w:linePitch="360"/>
        </w:sectPr>
      </w:pPr>
    </w:p>
    <w:p>
      <w:pPr>
        <w:spacing w:before="320" w:after="160" w:line="240" w:lineRule="auto"/>
        <w:jc w:val="center"/>
      </w:pPr>
      <w:r>
        <w:rPr>
          <w:rFonts w:ascii="EB Garamond" w:hAnsi="EB Garamond" w:cs="EB Garamond"/>
          <w:b/>
          <w:i w:val="0"/>
          <w:color w:val="2F2923"/>
          <w:sz w:val="32"/>
          <w:lang w:val="pt-BR" w:bidi="ar-SA"/>
          <w:kern w:val="16"/>
          <w14:ligatures w14:val="standardContextual"/>
        </w:rPr>
        <w:t>SOBRE OS AUTORES</w:t>
      </w:r>
    </w:p>
    <w:p>
      <w:pPr>
        <w:spacing w:before="0" w:after="280" w:line="240" w:lineRule="auto"/>
        <w:jc w:val="center"/>
      </w:pPr>
      <w:r>
        <w:rPr>
          <w:rFonts w:ascii="EB Garamond" w:hAnsi="EB Garamond" w:cs="EB Garamond"/>
          <w:b w:val="0"/>
          <w:i w:val="0"/>
          <w:color w:val="B78B37"/>
          <w:sz w:val="18"/>
          <w:lang w:val="pt-BR" w:bidi="ar-SA"/>
          <w:kern w:val="16"/>
          <w14:ligatures w14:val="standardContextual"/>
        </w:rPr>
        <w:t>◆</w:t>
      </w:r>
    </w:p>
    <w:p>
      <w:pPr>
        <w:spacing w:before="200" w:after="40" w:line="240" w:lineRule="auto"/>
        <w:jc w:val="left"/>
      </w:pPr>
      <w:r>
        <w:rPr>
          <w:rFonts w:ascii="EB Garamond" w:hAnsi="EB Garamond" w:cs="EB Garamond"/>
          <w:b/>
          <w:i w:val="0"/>
          <w:color w:val="3A3128"/>
          <w:sz w:val="22"/>
          <w:lang w:val="pt-BR" w:bidi="ar-SA"/>
          <w:kern w:val="16"/>
          <w14:ligatures w14:val="standardContextual"/>
        </w:rPr>
        <w:t>Claudio Kitner</w:t>
      </w:r>
    </w:p>
    <w:p>
      <w:pPr>
        <w:spacing w:before="0" w:after="60" w:line="276" w:lineRule="auto"/>
        <w:jc w:val="both"/>
      </w:pPr>
      <w:r>
        <w:rPr>
          <w:rFonts w:ascii="EB Garamond" w:hAnsi="EB Garamond" w:cs="EB Garamond"/>
          <w:b w:val="0"/>
          <w:i w:val="0"/>
          <w:color w:val="201B16"/>
          <w:sz w:val="20"/>
          <w:lang w:val="pt-BR" w:bidi="ar-SA"/>
          <w:kern w:val="16"/>
          <w14:ligatures w14:val="standardContextual"/>
        </w:rPr>
        <w:t>Bacharel em Direito pela Faculdade de Direito do Recife — Universidade Federal de Pernambuco (2000), especialista em Direito Tributário pela Fundação Getúlio Vargas (2002) e mestre em Direito pela Faculdade Damas (2022). Foi procurador federal da Advocacia-Geral da União e procurador do Município do Recife. Ingressou na magistratura federal em 2007 (XIII Concurso da 3ª Região) e é juiz federal titular na 5ª Região, integrando a 3ª Turma Recursal dos Juizados Especiais Federais de Pernambuco desde 2014. Tem trabalhos publicados na área previdenciária.</w:t>
      </w:r>
    </w:p>
    <w:p>
      <w:pPr>
        <w:spacing w:before="0" w:after="80" w:line="240" w:lineRule="auto"/>
        <w:jc w:val="left"/>
      </w:pPr>
      <w:r>
        <w:rPr>
          <w:rFonts w:ascii="EB Garamond" w:hAnsi="EB Garamond" w:cs="EB Garamond"/>
          <w:b w:val="0"/>
          <w:i/>
          <w:color w:val="6B6256"/>
          <w:sz w:val="19"/>
          <w:lang w:val="pt-BR" w:bidi="ar-SA"/>
          <w:kern w:val="16"/>
          <w14:ligatures w14:val="standardContextual"/>
        </w:rPr>
        <w:t>E-mail: claudiokitner@hotmail.com</w:t>
      </w:r>
    </w:p>
    <w:p>
      <w:pPr>
        <w:spacing w:before="200" w:after="40" w:line="240" w:lineRule="auto"/>
        <w:jc w:val="left"/>
      </w:pPr>
      <w:r>
        <w:rPr>
          <w:rFonts w:ascii="EB Garamond" w:hAnsi="EB Garamond" w:cs="EB Garamond"/>
          <w:b/>
          <w:i w:val="0"/>
          <w:color w:val="3A3128"/>
          <w:sz w:val="22"/>
          <w:lang w:val="pt-BR" w:bidi="ar-SA"/>
          <w:kern w:val="16"/>
          <w14:ligatures w14:val="standardContextual"/>
        </w:rPr>
        <w:t>Luiz Bispo da Silva Neto</w:t>
      </w:r>
    </w:p>
    <w:p>
      <w:pPr>
        <w:spacing w:before="0" w:after="60" w:line="276" w:lineRule="auto"/>
        <w:jc w:val="both"/>
      </w:pPr>
      <w:r>
        <w:rPr>
          <w:rFonts w:ascii="EB Garamond" w:hAnsi="EB Garamond" w:cs="EB Garamond"/>
          <w:b w:val="0"/>
          <w:i w:val="0"/>
          <w:color w:val="201B16"/>
          <w:sz w:val="20"/>
          <w:lang w:val="pt-BR" w:bidi="ar-SA"/>
          <w:kern w:val="16"/>
          <w14:ligatures w14:val="standardContextual"/>
        </w:rPr>
        <w:t>Bacharel em Direito pela Faculdade de Direito do Recife — Universidade Federal de Pernambuco (2005). Foi técnico e analista judiciário do Tribunal Regional Eleitoral de Pernambuco, procurador federal e advogado da União na Advocacia-Geral da União. Ingressou na magistratura federal em 2011 (XIII Concurso da 1ª Região) e é juiz federal titular na 5ª Região, com atuação em varas e Juizados Especiais Federais de diversas seções judiciárias (Mato Grosso, Maranhão, Bahia, Ceará e Pernambuco).</w:t>
      </w:r>
    </w:p>
    <w:p>
      <w:pPr>
        <w:spacing w:before="0" w:after="80" w:line="240" w:lineRule="auto"/>
        <w:jc w:val="left"/>
      </w:pPr>
      <w:r>
        <w:rPr>
          <w:rFonts w:ascii="EB Garamond" w:hAnsi="EB Garamond" w:cs="EB Garamond"/>
          <w:b w:val="0"/>
          <w:i/>
          <w:color w:val="6B6256"/>
          <w:sz w:val="19"/>
          <w:lang w:val="pt-BR" w:bidi="ar-SA"/>
          <w:kern w:val="16"/>
          <w14:ligatures w14:val="standardContextual"/>
        </w:rPr>
        <w:t>E-mail: luizbsn@gmail.com</w:t>
      </w:r>
    </w:p>
    <w:sectPr w:rsidR="00FC693F" w:rsidRPr="0006063C" w:rsidSect="00034616">
      <w:headerReference w:type="default" r:id="rId243"/>
      <w:headerReference w:type="even" r:id="rId244"/>
      <w:footerReference w:type="default" r:id="rId245"/>
      <w:footerReference w:type="even" r:id="rId246"/>
      <w:headerReference w:type="first" r:id="rId247"/>
      <w:footerReference w:type="first" r:id="rId248"/>
      <w:type w:val="oddPage"/>
      <w:pgSz w:w="8391" w:h="11906"/>
      <w:pgMar w:top="935" w:right="879" w:bottom="964" w:left="1162" w:header="454" w:footer="425" w:gutter="0" w:mirrorMargins="1"/>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1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2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2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2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2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2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2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2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2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2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2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3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3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3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3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3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3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3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3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3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3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4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4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4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4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4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4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4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4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4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4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5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5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5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5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5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5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5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5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5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5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6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6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6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6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6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6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6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6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6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6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7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7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7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7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7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7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7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7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7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7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8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8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8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8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8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8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8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8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8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8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9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9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9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9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9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9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9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9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9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9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10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10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10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10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10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10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10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10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10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10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1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1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1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1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1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1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1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1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1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11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footer12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EB Garamond" w:hAnsi="EB Garamond"/>
        <w:color w:val="6B6256"/>
        <w:sz w:val="18"/>
      </w:rPr>
      <w:fldChar w:fldCharType="begin"/>
    </w:r>
    <w:r>
      <w:rPr>
        <w:rFonts w:ascii="EB Garamond" w:hAnsi="EB Garamond"/>
        <w:color w:val="6B6256"/>
        <w:sz w:val="18"/>
      </w:rPr>
      <w:instrText xml:space="preserve"> PAGE </w:instrText>
    </w:r>
    <w:r>
      <w:rPr>
        <w:rFonts w:ascii="EB Garamond" w:hAnsi="EB Garamond"/>
        <w:sz w:val="18"/>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2" w:color="D7CDBB"/>
      </w:pBdr>
    </w:pPr>
    <w:r>
      <w:rPr>
        <w:rFonts w:ascii="EB Garamond" w:hAnsi="EB Garamond" w:cs="EB Garamond"/>
        <w:b w:val="0"/>
        <w:i w:val="0"/>
        <w:smallCaps/>
        <w:color w:val="6B6256"/>
        <w:sz w:val="17"/>
        <w:lang w:val="pt-BR" w:bidi="ar-SA"/>
        <w:kern w:val="16"/>
        <w14:ligatures w14:val="standardContextual"/>
      </w:rPr>
      <w:t>Lista de Abreviaturas</w:t>
    </w:r>
  </w:p>
</w:hdr>
</file>

<file path=word/header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D7CDBB"/>
      </w:pBdr>
    </w:pPr>
    <w:r>
      <w:rPr>
        <w:rFonts w:ascii="EB Garamond" w:hAnsi="EB Garamond" w:cs="EB Garamond"/>
        <w:b w:val="0"/>
        <w:i w:val="0"/>
        <w:smallCaps/>
        <w:color w:val="6B6256"/>
        <w:sz w:val="17"/>
        <w:lang w:val="pt-BR" w:bidi="ar-SA"/>
        <w:kern w:val="16"/>
        <w14:ligatures w14:val="standardContextual"/>
      </w:rPr>
      <w:t>Direito Previdenciário</w:t>
    </w:r>
  </w:p>
</w:hdr>
</file>

<file path=word/header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2" w:color="D7CDBB"/>
      </w:pBdr>
    </w:pPr>
    <w:r>
      <w:rPr>
        <w:rFonts w:ascii="EB Garamond" w:hAnsi="EB Garamond" w:cs="EB Garamond"/>
        <w:b w:val="0"/>
        <w:i w:val="0"/>
        <w:smallCaps/>
        <w:color w:val="6B6256"/>
        <w:sz w:val="17"/>
        <w:lang w:val="pt-BR" w:bidi="ar-SA"/>
        <w:kern w:val="16"/>
        <w14:ligatures w14:val="standardContextual"/>
      </w:rPr>
      <w:t>Sumário</w:t>
    </w:r>
  </w:p>
</w:hdr>
</file>

<file path=word/header2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D7CDBB"/>
      </w:pBdr>
    </w:pPr>
    <w:r>
      <w:rPr>
        <w:rFonts w:ascii="EB Garamond" w:hAnsi="EB Garamond" w:cs="EB Garamond"/>
        <w:b w:val="0"/>
        <w:i w:val="0"/>
        <w:smallCaps/>
        <w:color w:val="6B6256"/>
        <w:sz w:val="17"/>
        <w:lang w:val="pt-BR" w:bidi="ar-SA"/>
        <w:kern w:val="16"/>
        <w14:ligatures w14:val="standardContextual"/>
      </w:rPr>
      <w:t>Direito Previdenciário</w:t>
    </w:r>
  </w:p>
</w:hdr>
</file>

<file path=word/header2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2" w:color="D7CDBB"/>
      </w:pBdr>
    </w:pPr>
    <w:r>
      <w:rPr>
        <w:rFonts w:ascii="EB Garamond" w:hAnsi="EB Garamond" w:cs="EB Garamond"/>
        <w:b w:val="0"/>
        <w:i w:val="0"/>
        <w:smallCaps/>
        <w:color w:val="6B6256"/>
        <w:sz w:val="17"/>
        <w:lang w:val="pt-BR" w:bidi="ar-SA"/>
        <w:kern w:val="16"/>
        <w14:ligatures w14:val="standardContextual"/>
      </w:rPr>
      <w:t>Parte I</w:t>
    </w:r>
  </w:p>
</w:hdr>
</file>

<file path=word/header2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D7CDBB"/>
      </w:pBdr>
    </w:pPr>
    <w:r>
      <w:rPr>
        <w:rFonts w:ascii="EB Garamond" w:hAnsi="EB Garamond" w:cs="EB Garamond"/>
        <w:b w:val="0"/>
        <w:i w:val="0"/>
        <w:smallCaps/>
        <w:color w:val="6B6256"/>
        <w:sz w:val="17"/>
        <w:lang w:val="pt-BR" w:bidi="ar-SA"/>
        <w:kern w:val="16"/>
        <w14:ligatures w14:val="standardContextual"/>
      </w:rPr>
      <w:t>Direito Previdenciário</w:t>
    </w:r>
  </w:p>
</w:hdr>
</file>

<file path=word/header2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2" w:color="D7CDBB"/>
      </w:pBdr>
    </w:pPr>
    <w:r>
      <w:rPr>
        <w:rFonts w:ascii="EB Garamond" w:hAnsi="EB Garamond" w:cs="EB Garamond"/>
        <w:b w:val="0"/>
        <w:i w:val="0"/>
        <w:smallCaps/>
        <w:color w:val="6B6256"/>
        <w:sz w:val="17"/>
        <w:lang w:val="pt-BR" w:bidi="ar-SA"/>
        <w:kern w:val="16"/>
        <w14:ligatures w14:val="standardContextual"/>
      </w:rPr>
      <w:t>Capítulo 1  |  Evolução Histórica e Princípios Constitucionais</w:t>
    </w:r>
  </w:p>
</w:hdr>
</file>

<file path=word/header2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D7CDBB"/>
      </w:pBdr>
    </w:pPr>
    <w:r>
      <w:rPr>
        <w:rFonts w:ascii="EB Garamond" w:hAnsi="EB Garamond" w:cs="EB Garamond"/>
        <w:b w:val="0"/>
        <w:i w:val="0"/>
        <w:smallCaps/>
        <w:color w:val="6B6256"/>
        <w:sz w:val="17"/>
        <w:lang w:val="pt-BR" w:bidi="ar-SA"/>
        <w:kern w:val="16"/>
        <w14:ligatures w14:val="standardContextual"/>
      </w:rPr>
      <w:t>Direito Previdenciário</w:t>
    </w:r>
  </w:p>
</w:hdr>
</file>

<file path=word/header2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2" w:color="D7CDBB"/>
      </w:pBdr>
    </w:pPr>
    <w:r>
      <w:rPr>
        <w:rFonts w:ascii="EB Garamond" w:hAnsi="EB Garamond" w:cs="EB Garamond"/>
        <w:b w:val="0"/>
        <w:i w:val="0"/>
        <w:smallCaps/>
        <w:color w:val="6B6256"/>
        <w:sz w:val="17"/>
        <w:lang w:val="pt-BR" w:bidi="ar-SA"/>
        <w:kern w:val="16"/>
        <w14:ligatures w14:val="standardContextual"/>
      </w:rPr>
      <w:t>Capítulo 2  |  Segurados e Dependentes</w:t>
    </w:r>
  </w:p>
</w:hdr>
</file>

<file path=word/header2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D7CDBB"/>
      </w:pBdr>
    </w:pPr>
    <w:r>
      <w:rPr>
        <w:rFonts w:ascii="EB Garamond" w:hAnsi="EB Garamond" w:cs="EB Garamond"/>
        <w:b w:val="0"/>
        <w:i w:val="0"/>
        <w:smallCaps/>
        <w:color w:val="6B6256"/>
        <w:sz w:val="17"/>
        <w:lang w:val="pt-BR" w:bidi="ar-SA"/>
        <w:kern w:val="16"/>
        <w14:ligatures w14:val="standardContextual"/>
      </w:rPr>
      <w:t>Direito Previdenciário</w:t>
    </w:r>
  </w:p>
</w:hdr>
</file>

<file path=word/header3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2" w:color="D7CDBB"/>
      </w:pBdr>
    </w:pPr>
    <w:r>
      <w:rPr>
        <w:rFonts w:ascii="EB Garamond" w:hAnsi="EB Garamond" w:cs="EB Garamond"/>
        <w:b w:val="0"/>
        <w:i w:val="0"/>
        <w:smallCaps/>
        <w:color w:val="6B6256"/>
        <w:sz w:val="17"/>
        <w:lang w:val="pt-BR" w:bidi="ar-SA"/>
        <w:kern w:val="16"/>
        <w14:ligatures w14:val="standardContextual"/>
      </w:rPr>
      <w:t>Capítulo 3  |  Período de Carência e Manutenção da Qualidade de Segurado</w:t>
    </w:r>
  </w:p>
</w:hdr>
</file>

<file path=word/header3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D7CDBB"/>
      </w:pBdr>
    </w:pPr>
    <w:r>
      <w:rPr>
        <w:rFonts w:ascii="EB Garamond" w:hAnsi="EB Garamond" w:cs="EB Garamond"/>
        <w:b w:val="0"/>
        <w:i w:val="0"/>
        <w:smallCaps/>
        <w:color w:val="6B6256"/>
        <w:sz w:val="17"/>
        <w:lang w:val="pt-BR" w:bidi="ar-SA"/>
        <w:kern w:val="16"/>
        <w14:ligatures w14:val="standardContextual"/>
      </w:rPr>
      <w:t>Direito Previdenciário</w:t>
    </w:r>
  </w:p>
</w:hdr>
</file>

<file path=word/header3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2" w:color="D7CDBB"/>
      </w:pBdr>
    </w:pPr>
    <w:r>
      <w:rPr>
        <w:rFonts w:ascii="EB Garamond" w:hAnsi="EB Garamond" w:cs="EB Garamond"/>
        <w:b w:val="0"/>
        <w:i w:val="0"/>
        <w:smallCaps/>
        <w:color w:val="6B6256"/>
        <w:sz w:val="17"/>
        <w:lang w:val="pt-BR" w:bidi="ar-SA"/>
        <w:kern w:val="16"/>
        <w14:ligatures w14:val="standardContextual"/>
      </w:rPr>
      <w:t>Capítulo 4  |  Contribuições Previdenciárias e Custeio do RGPS</w:t>
    </w:r>
  </w:p>
</w:hdr>
</file>

<file path=word/header3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D7CDBB"/>
      </w:pBdr>
    </w:pPr>
    <w:r>
      <w:rPr>
        <w:rFonts w:ascii="EB Garamond" w:hAnsi="EB Garamond" w:cs="EB Garamond"/>
        <w:b w:val="0"/>
        <w:i w:val="0"/>
        <w:smallCaps/>
        <w:color w:val="6B6256"/>
        <w:sz w:val="17"/>
        <w:lang w:val="pt-BR" w:bidi="ar-SA"/>
        <w:kern w:val="16"/>
        <w14:ligatures w14:val="standardContextual"/>
      </w:rPr>
      <w:t>Direito Previdenciário</w:t>
    </w:r>
  </w:p>
</w:hdr>
</file>

<file path=word/header3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2" w:color="D7CDBB"/>
      </w:pBdr>
    </w:pPr>
    <w:r>
      <w:rPr>
        <w:rFonts w:ascii="EB Garamond" w:hAnsi="EB Garamond" w:cs="EB Garamond"/>
        <w:b w:val="0"/>
        <w:i w:val="0"/>
        <w:smallCaps/>
        <w:color w:val="6B6256"/>
        <w:sz w:val="17"/>
        <w:lang w:val="pt-BR" w:bidi="ar-SA"/>
        <w:kern w:val="16"/>
        <w14:ligatures w14:val="standardContextual"/>
      </w:rPr>
      <w:t>Capítulo 5  |  Reconhecimento, Cômputo e Averbação de Tempo de Contribuição</w:t>
    </w:r>
  </w:p>
</w:hdr>
</file>

<file path=word/header3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D7CDBB"/>
      </w:pBdr>
    </w:pPr>
    <w:r>
      <w:rPr>
        <w:rFonts w:ascii="EB Garamond" w:hAnsi="EB Garamond" w:cs="EB Garamond"/>
        <w:b w:val="0"/>
        <w:i w:val="0"/>
        <w:smallCaps/>
        <w:color w:val="6B6256"/>
        <w:sz w:val="17"/>
        <w:lang w:val="pt-BR" w:bidi="ar-SA"/>
        <w:kern w:val="16"/>
        <w14:ligatures w14:val="standardContextual"/>
      </w:rPr>
      <w:t>Direito Previdenciário</w:t>
    </w:r>
  </w:p>
</w:hdr>
</file>

<file path=word/header3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2" w:color="D7CDBB"/>
      </w:pBdr>
    </w:pPr>
    <w:r>
      <w:rPr>
        <w:rFonts w:ascii="EB Garamond" w:hAnsi="EB Garamond" w:cs="EB Garamond"/>
        <w:b w:val="0"/>
        <w:i w:val="0"/>
        <w:smallCaps/>
        <w:color w:val="6B6256"/>
        <w:sz w:val="17"/>
        <w:lang w:val="pt-BR" w:bidi="ar-SA"/>
        <w:kern w:val="16"/>
        <w14:ligatures w14:val="standardContextual"/>
      </w:rPr>
      <w:t>Parte II</w:t>
    </w:r>
  </w:p>
</w:hdr>
</file>

<file path=word/header4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D7CDBB"/>
      </w:pBdr>
    </w:pPr>
    <w:r>
      <w:rPr>
        <w:rFonts w:ascii="EB Garamond" w:hAnsi="EB Garamond" w:cs="EB Garamond"/>
        <w:b w:val="0"/>
        <w:i w:val="0"/>
        <w:smallCaps/>
        <w:color w:val="6B6256"/>
        <w:sz w:val="17"/>
        <w:lang w:val="pt-BR" w:bidi="ar-SA"/>
        <w:kern w:val="16"/>
        <w14:ligatures w14:val="standardContextual"/>
      </w:rPr>
      <w:t>Direito Previdenciário</w:t>
    </w:r>
  </w:p>
</w:hdr>
</file>

<file path=word/header4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2" w:color="D7CDBB"/>
      </w:pBdr>
    </w:pPr>
    <w:r>
      <w:rPr>
        <w:rFonts w:ascii="EB Garamond" w:hAnsi="EB Garamond" w:cs="EB Garamond"/>
        <w:b w:val="0"/>
        <w:i w:val="0"/>
        <w:smallCaps/>
        <w:color w:val="6B6256"/>
        <w:sz w:val="17"/>
        <w:lang w:val="pt-BR" w:bidi="ar-SA"/>
        <w:kern w:val="16"/>
        <w14:ligatures w14:val="standardContextual"/>
      </w:rPr>
      <w:t>Capítulo 6  |  Aposentadoria por Incapacidade Permanente</w:t>
    </w:r>
  </w:p>
</w:hdr>
</file>

<file path=word/header4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D7CDBB"/>
      </w:pBdr>
    </w:pPr>
    <w:r>
      <w:rPr>
        <w:rFonts w:ascii="EB Garamond" w:hAnsi="EB Garamond" w:cs="EB Garamond"/>
        <w:b w:val="0"/>
        <w:i w:val="0"/>
        <w:smallCaps/>
        <w:color w:val="6B6256"/>
        <w:sz w:val="17"/>
        <w:lang w:val="pt-BR" w:bidi="ar-SA"/>
        <w:kern w:val="16"/>
        <w14:ligatures w14:val="standardContextual"/>
      </w:rPr>
      <w:t>Direito Previdenciário</w:t>
    </w:r>
  </w:p>
</w:hdr>
</file>

<file path=word/header4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2" w:color="D7CDBB"/>
      </w:pBdr>
    </w:pPr>
    <w:r>
      <w:rPr>
        <w:rFonts w:ascii="EB Garamond" w:hAnsi="EB Garamond" w:cs="EB Garamond"/>
        <w:b w:val="0"/>
        <w:i w:val="0"/>
        <w:smallCaps/>
        <w:color w:val="6B6256"/>
        <w:sz w:val="17"/>
        <w:lang w:val="pt-BR" w:bidi="ar-SA"/>
        <w:kern w:val="16"/>
        <w14:ligatures w14:val="standardContextual"/>
      </w:rPr>
      <w:t>Capítulo 7  |  Auxílio por Incapacidade Temporária</w:t>
    </w:r>
  </w:p>
</w:hdr>
</file>

<file path=word/header4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D7CDBB"/>
      </w:pBdr>
    </w:pPr>
    <w:r>
      <w:rPr>
        <w:rFonts w:ascii="EB Garamond" w:hAnsi="EB Garamond" w:cs="EB Garamond"/>
        <w:b w:val="0"/>
        <w:i w:val="0"/>
        <w:smallCaps/>
        <w:color w:val="6B6256"/>
        <w:sz w:val="17"/>
        <w:lang w:val="pt-BR" w:bidi="ar-SA"/>
        <w:kern w:val="16"/>
        <w14:ligatures w14:val="standardContextual"/>
      </w:rPr>
      <w:t>Direito Previdenciário</w:t>
    </w:r>
  </w:p>
</w:hdr>
</file>

<file path=word/header4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2" w:color="D7CDBB"/>
      </w:pBdr>
    </w:pPr>
    <w:r>
      <w:rPr>
        <w:rFonts w:ascii="EB Garamond" w:hAnsi="EB Garamond" w:cs="EB Garamond"/>
        <w:b w:val="0"/>
        <w:i w:val="0"/>
        <w:smallCaps/>
        <w:color w:val="6B6256"/>
        <w:sz w:val="17"/>
        <w:lang w:val="pt-BR" w:bidi="ar-SA"/>
        <w:kern w:val="16"/>
        <w14:ligatures w14:val="standardContextual"/>
      </w:rPr>
      <w:t>Parte III</w:t>
    </w:r>
  </w:p>
</w:hdr>
</file>

<file path=word/header5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D7CDBB"/>
      </w:pBdr>
    </w:pPr>
    <w:r>
      <w:rPr>
        <w:rFonts w:ascii="EB Garamond" w:hAnsi="EB Garamond" w:cs="EB Garamond"/>
        <w:b w:val="0"/>
        <w:i w:val="0"/>
        <w:smallCaps/>
        <w:color w:val="6B6256"/>
        <w:sz w:val="17"/>
        <w:lang w:val="pt-BR" w:bidi="ar-SA"/>
        <w:kern w:val="16"/>
        <w14:ligatures w14:val="standardContextual"/>
      </w:rPr>
      <w:t>Direito Previdenciário</w:t>
    </w:r>
  </w:p>
</w:hdr>
</file>

<file path=word/header5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2" w:color="D7CDBB"/>
      </w:pBdr>
    </w:pPr>
    <w:r>
      <w:rPr>
        <w:rFonts w:ascii="EB Garamond" w:hAnsi="EB Garamond" w:cs="EB Garamond"/>
        <w:b w:val="0"/>
        <w:i w:val="0"/>
        <w:smallCaps/>
        <w:color w:val="6B6256"/>
        <w:sz w:val="17"/>
        <w:lang w:val="pt-BR" w:bidi="ar-SA"/>
        <w:kern w:val="16"/>
        <w14:ligatures w14:val="standardContextual"/>
      </w:rPr>
      <w:t>Capítulo 8  |  Aposentadoria Especial</w:t>
    </w:r>
  </w:p>
</w:hdr>
</file>

<file path=word/header5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D7CDBB"/>
      </w:pBdr>
    </w:pPr>
    <w:r>
      <w:rPr>
        <w:rFonts w:ascii="EB Garamond" w:hAnsi="EB Garamond" w:cs="EB Garamond"/>
        <w:b w:val="0"/>
        <w:i w:val="0"/>
        <w:smallCaps/>
        <w:color w:val="6B6256"/>
        <w:sz w:val="17"/>
        <w:lang w:val="pt-BR" w:bidi="ar-SA"/>
        <w:kern w:val="16"/>
        <w14:ligatures w14:val="standardContextual"/>
      </w:rPr>
      <w:t>Direito Previdenciário</w:t>
    </w:r>
  </w:p>
</w:hdr>
</file>

<file path=word/header5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2" w:color="D7CDBB"/>
      </w:pBdr>
    </w:pPr>
    <w:r>
      <w:rPr>
        <w:rFonts w:ascii="EB Garamond" w:hAnsi="EB Garamond" w:cs="EB Garamond"/>
        <w:b w:val="0"/>
        <w:i w:val="0"/>
        <w:smallCaps/>
        <w:color w:val="6B6256"/>
        <w:sz w:val="17"/>
        <w:lang w:val="pt-BR" w:bidi="ar-SA"/>
        <w:kern w:val="16"/>
        <w14:ligatures w14:val="standardContextual"/>
      </w:rPr>
      <w:t>Capítulo 9  |  Aposentadoria do Segurado Rural</w:t>
    </w:r>
  </w:p>
</w:hdr>
</file>

<file path=word/header5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D7CDBB"/>
      </w:pBdr>
    </w:pPr>
    <w:r>
      <w:rPr>
        <w:rFonts w:ascii="EB Garamond" w:hAnsi="EB Garamond" w:cs="EB Garamond"/>
        <w:b w:val="0"/>
        <w:i w:val="0"/>
        <w:smallCaps/>
        <w:color w:val="6B6256"/>
        <w:sz w:val="17"/>
        <w:lang w:val="pt-BR" w:bidi="ar-SA"/>
        <w:kern w:val="16"/>
        <w14:ligatures w14:val="standardContextual"/>
      </w:rPr>
      <w:t>Direito Previdenciário</w:t>
    </w:r>
  </w:p>
</w:hdr>
</file>

<file path=word/header5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2" w:color="D7CDBB"/>
      </w:pBdr>
    </w:pPr>
    <w:r>
      <w:rPr>
        <w:rFonts w:ascii="EB Garamond" w:hAnsi="EB Garamond" w:cs="EB Garamond"/>
        <w:b w:val="0"/>
        <w:i w:val="0"/>
        <w:smallCaps/>
        <w:color w:val="6B6256"/>
        <w:sz w:val="17"/>
        <w:lang w:val="pt-BR" w:bidi="ar-SA"/>
        <w:kern w:val="16"/>
        <w14:ligatures w14:val="standardContextual"/>
      </w:rPr>
      <w:t>Capítulo 10  |  Aposentadoria Programada e Aposentadoria por Idade Urbana</w:t>
    </w:r>
  </w:p>
</w:hdr>
</file>

<file path=word/header5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D7CDBB"/>
      </w:pBdr>
    </w:pPr>
    <w:r>
      <w:rPr>
        <w:rFonts w:ascii="EB Garamond" w:hAnsi="EB Garamond" w:cs="EB Garamond"/>
        <w:b w:val="0"/>
        <w:i w:val="0"/>
        <w:smallCaps/>
        <w:color w:val="6B6256"/>
        <w:sz w:val="17"/>
        <w:lang w:val="pt-BR" w:bidi="ar-SA"/>
        <w:kern w:val="16"/>
        <w14:ligatures w14:val="standardContextual"/>
      </w:rPr>
      <w:t>Direito Previdenciário</w:t>
    </w:r>
  </w:p>
</w:hdr>
</file>

<file path=word/header6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6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2" w:color="D7CDBB"/>
      </w:pBdr>
    </w:pPr>
    <w:r>
      <w:rPr>
        <w:rFonts w:ascii="EB Garamond" w:hAnsi="EB Garamond" w:cs="EB Garamond"/>
        <w:b w:val="0"/>
        <w:i w:val="0"/>
        <w:smallCaps/>
        <w:color w:val="6B6256"/>
        <w:sz w:val="17"/>
        <w:lang w:val="pt-BR" w:bidi="ar-SA"/>
        <w:kern w:val="16"/>
        <w14:ligatures w14:val="standardContextual"/>
      </w:rPr>
      <w:t>Capítulo 11  |  Aposentadoria por Tempo de Contribuição e Regras de Transição</w:t>
    </w:r>
  </w:p>
</w:hdr>
</file>

<file path=word/header6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D7CDBB"/>
      </w:pBdr>
    </w:pPr>
    <w:r>
      <w:rPr>
        <w:rFonts w:ascii="EB Garamond" w:hAnsi="EB Garamond" w:cs="EB Garamond"/>
        <w:b w:val="0"/>
        <w:i w:val="0"/>
        <w:smallCaps/>
        <w:color w:val="6B6256"/>
        <w:sz w:val="17"/>
        <w:lang w:val="pt-BR" w:bidi="ar-SA"/>
        <w:kern w:val="16"/>
        <w14:ligatures w14:val="standardContextual"/>
      </w:rPr>
      <w:t>Direito Previdenciário</w:t>
    </w:r>
  </w:p>
</w:hdr>
</file>

<file path=word/header6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6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2" w:color="D7CDBB"/>
      </w:pBdr>
    </w:pPr>
    <w:r>
      <w:rPr>
        <w:rFonts w:ascii="EB Garamond" w:hAnsi="EB Garamond" w:cs="EB Garamond"/>
        <w:b w:val="0"/>
        <w:i w:val="0"/>
        <w:smallCaps/>
        <w:color w:val="6B6256"/>
        <w:sz w:val="17"/>
        <w:lang w:val="pt-BR" w:bidi="ar-SA"/>
        <w:kern w:val="16"/>
        <w14:ligatures w14:val="standardContextual"/>
      </w:rPr>
      <w:t>Capítulo 12  |  Aposentadoria da Pessoa com Deficiência (LC 142/2013)</w:t>
    </w:r>
  </w:p>
</w:hdr>
</file>

<file path=word/header6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D7CDBB"/>
      </w:pBdr>
    </w:pPr>
    <w:r>
      <w:rPr>
        <w:rFonts w:ascii="EB Garamond" w:hAnsi="EB Garamond" w:cs="EB Garamond"/>
        <w:b w:val="0"/>
        <w:i w:val="0"/>
        <w:smallCaps/>
        <w:color w:val="6B6256"/>
        <w:sz w:val="17"/>
        <w:lang w:val="pt-BR" w:bidi="ar-SA"/>
        <w:kern w:val="16"/>
        <w14:ligatures w14:val="standardContextual"/>
      </w:rPr>
      <w:t>Direito Previdenciário</w:t>
    </w:r>
  </w:p>
</w:hdr>
</file>

<file path=word/header6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6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2" w:color="D7CDBB"/>
      </w:pBdr>
    </w:pPr>
    <w:r>
      <w:rPr>
        <w:rFonts w:ascii="EB Garamond" w:hAnsi="EB Garamond" w:cs="EB Garamond"/>
        <w:b w:val="0"/>
        <w:i w:val="0"/>
        <w:smallCaps/>
        <w:color w:val="6B6256"/>
        <w:sz w:val="17"/>
        <w:lang w:val="pt-BR" w:bidi="ar-SA"/>
        <w:kern w:val="16"/>
        <w14:ligatures w14:val="standardContextual"/>
      </w:rPr>
      <w:t>Parte IV</w:t>
    </w:r>
  </w:p>
</w:hdr>
</file>

<file path=word/header6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D7CDBB"/>
      </w:pBdr>
    </w:pPr>
    <w:r>
      <w:rPr>
        <w:rFonts w:ascii="EB Garamond" w:hAnsi="EB Garamond" w:cs="EB Garamond"/>
        <w:b w:val="0"/>
        <w:i w:val="0"/>
        <w:smallCaps/>
        <w:color w:val="6B6256"/>
        <w:sz w:val="17"/>
        <w:lang w:val="pt-BR" w:bidi="ar-SA"/>
        <w:kern w:val="16"/>
        <w14:ligatures w14:val="standardContextual"/>
      </w:rPr>
      <w:t>Direito Previdenciário</w:t>
    </w:r>
  </w:p>
</w:hdr>
</file>

<file path=word/header6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2" w:color="D7CDBB"/>
      </w:pBdr>
    </w:pPr>
    <w:r>
      <w:rPr>
        <w:rFonts w:ascii="EB Garamond" w:hAnsi="EB Garamond" w:cs="EB Garamond"/>
        <w:b w:val="0"/>
        <w:i w:val="0"/>
        <w:smallCaps/>
        <w:color w:val="6B6256"/>
        <w:sz w:val="17"/>
        <w:lang w:val="pt-BR" w:bidi="ar-SA"/>
        <w:kern w:val="16"/>
        <w14:ligatures w14:val="standardContextual"/>
      </w:rPr>
      <w:t>Capítulo 13  |  Salário-Maternidade</w:t>
    </w:r>
  </w:p>
</w:hdr>
</file>

<file path=word/header7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D7CDBB"/>
      </w:pBdr>
    </w:pPr>
    <w:r>
      <w:rPr>
        <w:rFonts w:ascii="EB Garamond" w:hAnsi="EB Garamond" w:cs="EB Garamond"/>
        <w:b w:val="0"/>
        <w:i w:val="0"/>
        <w:smallCaps/>
        <w:color w:val="6B6256"/>
        <w:sz w:val="17"/>
        <w:lang w:val="pt-BR" w:bidi="ar-SA"/>
        <w:kern w:val="16"/>
        <w14:ligatures w14:val="standardContextual"/>
      </w:rPr>
      <w:t>Direito Previdenciário</w:t>
    </w:r>
  </w:p>
</w:hdr>
</file>

<file path=word/header7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2" w:color="D7CDBB"/>
      </w:pBdr>
    </w:pPr>
    <w:r>
      <w:rPr>
        <w:rFonts w:ascii="EB Garamond" w:hAnsi="EB Garamond" w:cs="EB Garamond"/>
        <w:b w:val="0"/>
        <w:i w:val="0"/>
        <w:smallCaps/>
        <w:color w:val="6B6256"/>
        <w:sz w:val="17"/>
        <w:lang w:val="pt-BR" w:bidi="ar-SA"/>
        <w:kern w:val="16"/>
        <w14:ligatures w14:val="standardContextual"/>
      </w:rPr>
      <w:t>Capítulo 14  |  Auxílio-Reclusão</w:t>
    </w:r>
  </w:p>
</w:hdr>
</file>

<file path=word/header7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D7CDBB"/>
      </w:pBdr>
    </w:pPr>
    <w:r>
      <w:rPr>
        <w:rFonts w:ascii="EB Garamond" w:hAnsi="EB Garamond" w:cs="EB Garamond"/>
        <w:b w:val="0"/>
        <w:i w:val="0"/>
        <w:smallCaps/>
        <w:color w:val="6B6256"/>
        <w:sz w:val="17"/>
        <w:lang w:val="pt-BR" w:bidi="ar-SA"/>
        <w:kern w:val="16"/>
        <w14:ligatures w14:val="standardContextual"/>
      </w:rPr>
      <w:t>Direito Previdenciário</w:t>
    </w:r>
  </w:p>
</w:hdr>
</file>

<file path=word/header7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2" w:color="D7CDBB"/>
      </w:pBdr>
    </w:pPr>
    <w:r>
      <w:rPr>
        <w:rFonts w:ascii="EB Garamond" w:hAnsi="EB Garamond" w:cs="EB Garamond"/>
        <w:b w:val="0"/>
        <w:i w:val="0"/>
        <w:smallCaps/>
        <w:color w:val="6B6256"/>
        <w:sz w:val="17"/>
        <w:lang w:val="pt-BR" w:bidi="ar-SA"/>
        <w:kern w:val="16"/>
        <w14:ligatures w14:val="standardContextual"/>
      </w:rPr>
      <w:t>Capítulo 15  |  Auxílio-Acidente e Salário-Família</w:t>
    </w:r>
  </w:p>
</w:hdr>
</file>

<file path=word/header7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D7CDBB"/>
      </w:pBdr>
    </w:pPr>
    <w:r>
      <w:rPr>
        <w:rFonts w:ascii="EB Garamond" w:hAnsi="EB Garamond" w:cs="EB Garamond"/>
        <w:b w:val="0"/>
        <w:i w:val="0"/>
        <w:smallCaps/>
        <w:color w:val="6B6256"/>
        <w:sz w:val="17"/>
        <w:lang w:val="pt-BR" w:bidi="ar-SA"/>
        <w:kern w:val="16"/>
        <w14:ligatures w14:val="standardContextual"/>
      </w:rPr>
      <w:t>Direito Previdenciário</w:t>
    </w:r>
  </w:p>
</w:hdr>
</file>

<file path=word/header7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2" w:color="D7CDBB"/>
      </w:pBdr>
    </w:pPr>
    <w:r>
      <w:rPr>
        <w:rFonts w:ascii="EB Garamond" w:hAnsi="EB Garamond" w:cs="EB Garamond"/>
        <w:b w:val="0"/>
        <w:i w:val="0"/>
        <w:smallCaps/>
        <w:color w:val="6B6256"/>
        <w:sz w:val="17"/>
        <w:lang w:val="pt-BR" w:bidi="ar-SA"/>
        <w:kern w:val="16"/>
        <w14:ligatures w14:val="standardContextual"/>
      </w:rPr>
      <w:t>Capítulo 16  |  Cálculo do Benefício: Salário de Benefício e RMI</w:t>
    </w:r>
  </w:p>
</w:hdr>
</file>

<file path=word/header8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D7CDBB"/>
      </w:pBdr>
    </w:pPr>
    <w:r>
      <w:rPr>
        <w:rFonts w:ascii="EB Garamond" w:hAnsi="EB Garamond" w:cs="EB Garamond"/>
        <w:b w:val="0"/>
        <w:i w:val="0"/>
        <w:smallCaps/>
        <w:color w:val="6B6256"/>
        <w:sz w:val="17"/>
        <w:lang w:val="pt-BR" w:bidi="ar-SA"/>
        <w:kern w:val="16"/>
        <w14:ligatures w14:val="standardContextual"/>
      </w:rPr>
      <w:t>Direito Previdenciário</w:t>
    </w:r>
  </w:p>
</w:hdr>
</file>

<file path=word/header8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8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2" w:color="D7CDBB"/>
      </w:pBdr>
    </w:pPr>
    <w:r>
      <w:rPr>
        <w:rFonts w:ascii="EB Garamond" w:hAnsi="EB Garamond" w:cs="EB Garamond"/>
        <w:b w:val="0"/>
        <w:i w:val="0"/>
        <w:smallCaps/>
        <w:color w:val="6B6256"/>
        <w:sz w:val="17"/>
        <w:lang w:val="pt-BR" w:bidi="ar-SA"/>
        <w:kern w:val="16"/>
        <w14:ligatures w14:val="standardContextual"/>
      </w:rPr>
      <w:t>Capítulo 17  |  Revisão de Benefícios Previdenciários</w:t>
    </w:r>
  </w:p>
</w:hdr>
</file>

<file path=word/header8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D7CDBB"/>
      </w:pBdr>
    </w:pPr>
    <w:r>
      <w:rPr>
        <w:rFonts w:ascii="EB Garamond" w:hAnsi="EB Garamond" w:cs="EB Garamond"/>
        <w:b w:val="0"/>
        <w:i w:val="0"/>
        <w:smallCaps/>
        <w:color w:val="6B6256"/>
        <w:sz w:val="17"/>
        <w:lang w:val="pt-BR" w:bidi="ar-SA"/>
        <w:kern w:val="16"/>
        <w14:ligatures w14:val="standardContextual"/>
      </w:rPr>
      <w:t>Direito Previdenciário</w:t>
    </w:r>
  </w:p>
</w:hdr>
</file>

<file path=word/header8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8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2" w:color="D7CDBB"/>
      </w:pBdr>
    </w:pPr>
    <w:r>
      <w:rPr>
        <w:rFonts w:ascii="EB Garamond" w:hAnsi="EB Garamond" w:cs="EB Garamond"/>
        <w:b w:val="0"/>
        <w:i w:val="0"/>
        <w:smallCaps/>
        <w:color w:val="6B6256"/>
        <w:sz w:val="17"/>
        <w:lang w:val="pt-BR" w:bidi="ar-SA"/>
        <w:kern w:val="16"/>
        <w14:ligatures w14:val="standardContextual"/>
      </w:rPr>
      <w:t>Capítulo 18  |  Benefício de Prestação Continuada (LOAS/BPC)</w:t>
    </w:r>
  </w:p>
</w:hdr>
</file>

<file path=word/header8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D7CDBB"/>
      </w:pBdr>
    </w:pPr>
    <w:r>
      <w:rPr>
        <w:rFonts w:ascii="EB Garamond" w:hAnsi="EB Garamond" w:cs="EB Garamond"/>
        <w:b w:val="0"/>
        <w:i w:val="0"/>
        <w:smallCaps/>
        <w:color w:val="6B6256"/>
        <w:sz w:val="17"/>
        <w:lang w:val="pt-BR" w:bidi="ar-SA"/>
        <w:kern w:val="16"/>
        <w14:ligatures w14:val="standardContextual"/>
      </w:rPr>
      <w:t>Direito Previdenciário</w:t>
    </w:r>
  </w:p>
</w:hdr>
</file>

<file path=word/header8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8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2" w:color="D7CDBB"/>
      </w:pBdr>
    </w:pPr>
    <w:r>
      <w:rPr>
        <w:rFonts w:ascii="EB Garamond" w:hAnsi="EB Garamond" w:cs="EB Garamond"/>
        <w:b w:val="0"/>
        <w:i w:val="0"/>
        <w:smallCaps/>
        <w:color w:val="6B6256"/>
        <w:sz w:val="17"/>
        <w:lang w:val="pt-BR" w:bidi="ar-SA"/>
        <w:kern w:val="16"/>
        <w14:ligatures w14:val="standardContextual"/>
      </w:rPr>
      <w:t>Capítulo 19  |  Pensão por Morte</w:t>
    </w:r>
  </w:p>
</w:hdr>
</file>

<file path=word/header8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D7CDBB"/>
      </w:pBdr>
    </w:pPr>
    <w:r>
      <w:rPr>
        <w:rFonts w:ascii="EB Garamond" w:hAnsi="EB Garamond" w:cs="EB Garamond"/>
        <w:b w:val="0"/>
        <w:i w:val="0"/>
        <w:smallCaps/>
        <w:color w:val="6B6256"/>
        <w:sz w:val="17"/>
        <w:lang w:val="pt-BR" w:bidi="ar-SA"/>
        <w:kern w:val="16"/>
        <w14:ligatures w14:val="standardContextual"/>
      </w:rPr>
      <w:t>Direito Previdenciário</w:t>
    </w:r>
  </w:p>
</w:hdr>
</file>

<file path=word/header9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9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2" w:color="D7CDBB"/>
      </w:pBdr>
    </w:pPr>
    <w:r>
      <w:rPr>
        <w:rFonts w:ascii="EB Garamond" w:hAnsi="EB Garamond" w:cs="EB Garamond"/>
        <w:b w:val="0"/>
        <w:i w:val="0"/>
        <w:smallCaps/>
        <w:color w:val="6B6256"/>
        <w:sz w:val="17"/>
        <w:lang w:val="pt-BR" w:bidi="ar-SA"/>
        <w:kern w:val="16"/>
        <w14:ligatures w14:val="standardContextual"/>
      </w:rPr>
      <w:t>Parte V</w:t>
    </w:r>
  </w:p>
</w:hdr>
</file>

<file path=word/header9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D7CDBB"/>
      </w:pBdr>
    </w:pPr>
    <w:r>
      <w:rPr>
        <w:rFonts w:ascii="EB Garamond" w:hAnsi="EB Garamond" w:cs="EB Garamond"/>
        <w:b w:val="0"/>
        <w:i w:val="0"/>
        <w:smallCaps/>
        <w:color w:val="6B6256"/>
        <w:sz w:val="17"/>
        <w:lang w:val="pt-BR" w:bidi="ar-SA"/>
        <w:kern w:val="16"/>
        <w14:ligatures w14:val="standardContextual"/>
      </w:rPr>
      <w:t>Direito Previdenciário</w:t>
    </w:r>
  </w:p>
</w:hdr>
</file>

<file path=word/header9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9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2" w:color="D7CDBB"/>
      </w:pBdr>
    </w:pPr>
    <w:r>
      <w:rPr>
        <w:rFonts w:ascii="EB Garamond" w:hAnsi="EB Garamond" w:cs="EB Garamond"/>
        <w:b w:val="0"/>
        <w:i w:val="0"/>
        <w:smallCaps/>
        <w:color w:val="6B6256"/>
        <w:sz w:val="17"/>
        <w:lang w:val="pt-BR" w:bidi="ar-SA"/>
        <w:kern w:val="16"/>
        <w14:ligatures w14:val="standardContextual"/>
      </w:rPr>
      <w:t>Capítulo 20  |  Acumulação de Benefícios</w:t>
    </w:r>
  </w:p>
</w:hdr>
</file>

<file path=word/header9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D7CDBB"/>
      </w:pBdr>
    </w:pPr>
    <w:r>
      <w:rPr>
        <w:rFonts w:ascii="EB Garamond" w:hAnsi="EB Garamond" w:cs="EB Garamond"/>
        <w:b w:val="0"/>
        <w:i w:val="0"/>
        <w:smallCaps/>
        <w:color w:val="6B6256"/>
        <w:sz w:val="17"/>
        <w:lang w:val="pt-BR" w:bidi="ar-SA"/>
        <w:kern w:val="16"/>
        <w14:ligatures w14:val="standardContextual"/>
      </w:rPr>
      <w:t>Direito Previdenciário</w:t>
    </w:r>
  </w:p>
</w:hdr>
</file>

<file path=word/header9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9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2" w:color="D7CDBB"/>
      </w:pBdr>
    </w:pPr>
    <w:r>
      <w:rPr>
        <w:rFonts w:ascii="EB Garamond" w:hAnsi="EB Garamond" w:cs="EB Garamond"/>
        <w:b w:val="0"/>
        <w:i w:val="0"/>
        <w:smallCaps/>
        <w:color w:val="6B6256"/>
        <w:sz w:val="17"/>
        <w:lang w:val="pt-BR" w:bidi="ar-SA"/>
        <w:kern w:val="16"/>
        <w14:ligatures w14:val="standardContextual"/>
      </w:rPr>
      <w:t>Capítulo 21  |  Decadência, Prescrição e Coisa Julgada Previdenciária</w:t>
    </w:r>
  </w:p>
</w:hdr>
</file>

<file path=word/header9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D7CDBB"/>
      </w:pBdr>
    </w:pPr>
    <w:r>
      <w:rPr>
        <w:rFonts w:ascii="EB Garamond" w:hAnsi="EB Garamond" w:cs="EB Garamond"/>
        <w:b w:val="0"/>
        <w:i w:val="0"/>
        <w:smallCaps/>
        <w:color w:val="6B6256"/>
        <w:sz w:val="17"/>
        <w:lang w:val="pt-BR" w:bidi="ar-SA"/>
        <w:kern w:val="16"/>
        <w14:ligatures w14:val="standardContextual"/>
      </w:rPr>
      <w:t>Direito Previdenciário</w:t>
    </w:r>
  </w:p>
</w:hdr>
</file>

<file path=word/header9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0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2" w:color="D7CDBB"/>
      </w:pBdr>
    </w:pPr>
    <w:r>
      <w:rPr>
        <w:rFonts w:ascii="EB Garamond" w:hAnsi="EB Garamond" w:cs="EB Garamond"/>
        <w:b w:val="0"/>
        <w:i w:val="0"/>
        <w:smallCaps/>
        <w:color w:val="6B6256"/>
        <w:sz w:val="17"/>
        <w:lang w:val="pt-BR" w:bidi="ar-SA"/>
        <w:kern w:val="16"/>
        <w14:ligatures w14:val="standardContextual"/>
      </w:rPr>
      <w:t>Parte VI</w:t>
    </w:r>
  </w:p>
</w:hdr>
</file>

<file path=word/header10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D7CDBB"/>
      </w:pBdr>
    </w:pPr>
    <w:r>
      <w:rPr>
        <w:rFonts w:ascii="EB Garamond" w:hAnsi="EB Garamond" w:cs="EB Garamond"/>
        <w:b w:val="0"/>
        <w:i w:val="0"/>
        <w:smallCaps/>
        <w:color w:val="6B6256"/>
        <w:sz w:val="17"/>
        <w:lang w:val="pt-BR" w:bidi="ar-SA"/>
        <w:kern w:val="16"/>
        <w14:ligatures w14:val="standardContextual"/>
      </w:rPr>
      <w:t>Direito Previdenciário</w:t>
    </w:r>
  </w:p>
</w:hdr>
</file>

<file path=word/header10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0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2" w:color="D7CDBB"/>
      </w:pBdr>
    </w:pPr>
    <w:r>
      <w:rPr>
        <w:rFonts w:ascii="EB Garamond" w:hAnsi="EB Garamond" w:cs="EB Garamond"/>
        <w:b w:val="0"/>
        <w:i w:val="0"/>
        <w:smallCaps/>
        <w:color w:val="6B6256"/>
        <w:sz w:val="17"/>
        <w:lang w:val="pt-BR" w:bidi="ar-SA"/>
        <w:kern w:val="16"/>
        <w14:ligatures w14:val="standardContextual"/>
      </w:rPr>
      <w:t>Capítulo 22  |  Processo Administrativo Previdenciário</w:t>
    </w:r>
  </w:p>
</w:hdr>
</file>

<file path=word/header10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D7CDBB"/>
      </w:pBdr>
    </w:pPr>
    <w:r>
      <w:rPr>
        <w:rFonts w:ascii="EB Garamond" w:hAnsi="EB Garamond" w:cs="EB Garamond"/>
        <w:b w:val="0"/>
        <w:i w:val="0"/>
        <w:smallCaps/>
        <w:color w:val="6B6256"/>
        <w:sz w:val="17"/>
        <w:lang w:val="pt-BR" w:bidi="ar-SA"/>
        <w:kern w:val="16"/>
        <w14:ligatures w14:val="standardContextual"/>
      </w:rPr>
      <w:t>Direito Previdenciário</w:t>
    </w:r>
  </w:p>
</w:hdr>
</file>

<file path=word/header10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0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2" w:color="D7CDBB"/>
      </w:pBdr>
    </w:pPr>
    <w:r>
      <w:rPr>
        <w:rFonts w:ascii="EB Garamond" w:hAnsi="EB Garamond" w:cs="EB Garamond"/>
        <w:b w:val="0"/>
        <w:i w:val="0"/>
        <w:smallCaps/>
        <w:color w:val="6B6256"/>
        <w:sz w:val="17"/>
        <w:lang w:val="pt-BR" w:bidi="ar-SA"/>
        <w:kern w:val="16"/>
        <w14:ligatures w14:val="standardContextual"/>
      </w:rPr>
      <w:t>Capítulo 23  |  Competência e Procedimento no JEF</w:t>
    </w:r>
  </w:p>
</w:hdr>
</file>

<file path=word/header10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D7CDBB"/>
      </w:pBdr>
    </w:pPr>
    <w:r>
      <w:rPr>
        <w:rFonts w:ascii="EB Garamond" w:hAnsi="EB Garamond" w:cs="EB Garamond"/>
        <w:b w:val="0"/>
        <w:i w:val="0"/>
        <w:smallCaps/>
        <w:color w:val="6B6256"/>
        <w:sz w:val="17"/>
        <w:lang w:val="pt-BR" w:bidi="ar-SA"/>
        <w:kern w:val="16"/>
        <w14:ligatures w14:val="standardContextual"/>
      </w:rPr>
      <w:t>Direito Previdenciário</w:t>
    </w:r>
  </w:p>
</w:hdr>
</file>

<file path=word/header10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0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2" w:color="D7CDBB"/>
      </w:pBdr>
    </w:pPr>
    <w:r>
      <w:rPr>
        <w:rFonts w:ascii="EB Garamond" w:hAnsi="EB Garamond" w:cs="EB Garamond"/>
        <w:b w:val="0"/>
        <w:i w:val="0"/>
        <w:smallCaps/>
        <w:color w:val="6B6256"/>
        <w:sz w:val="17"/>
        <w:lang w:val="pt-BR" w:bidi="ar-SA"/>
        <w:kern w:val="16"/>
        <w14:ligatures w14:val="standardContextual"/>
      </w:rPr>
      <w:t>Epílogo</w:t>
    </w:r>
  </w:p>
</w:hdr>
</file>

<file path=word/header1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D7CDBB"/>
      </w:pBdr>
    </w:pPr>
    <w:r>
      <w:rPr>
        <w:rFonts w:ascii="EB Garamond" w:hAnsi="EB Garamond" w:cs="EB Garamond"/>
        <w:b w:val="0"/>
        <w:i w:val="0"/>
        <w:smallCaps/>
        <w:color w:val="6B6256"/>
        <w:sz w:val="17"/>
        <w:lang w:val="pt-BR" w:bidi="ar-SA"/>
        <w:kern w:val="16"/>
        <w14:ligatures w14:val="standardContextual"/>
      </w:rPr>
      <w:t>Direito Previdenciário</w:t>
    </w:r>
  </w:p>
</w:hdr>
</file>

<file path=word/header1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2" w:color="D7CDBB"/>
      </w:pBdr>
    </w:pPr>
    <w:r>
      <w:rPr>
        <w:rFonts w:ascii="EB Garamond" w:hAnsi="EB Garamond" w:cs="EB Garamond"/>
        <w:b w:val="0"/>
        <w:i w:val="0"/>
        <w:smallCaps/>
        <w:color w:val="6B6256"/>
        <w:sz w:val="17"/>
        <w:lang w:val="pt-BR" w:bidi="ar-SA"/>
        <w:kern w:val="16"/>
        <w14:ligatures w14:val="standardContextual"/>
      </w:rPr>
      <w:t>Referências</w:t>
    </w:r>
  </w:p>
</w:hdr>
</file>

<file path=word/header1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D7CDBB"/>
      </w:pBdr>
    </w:pPr>
    <w:r>
      <w:rPr>
        <w:rFonts w:ascii="EB Garamond" w:hAnsi="EB Garamond" w:cs="EB Garamond"/>
        <w:b w:val="0"/>
        <w:i w:val="0"/>
        <w:smallCaps/>
        <w:color w:val="6B6256"/>
        <w:sz w:val="17"/>
        <w:lang w:val="pt-BR" w:bidi="ar-SA"/>
        <w:kern w:val="16"/>
        <w14:ligatures w14:val="standardContextual"/>
      </w:rPr>
      <w:t>Direito Previdenciário</w:t>
    </w:r>
  </w:p>
</w:hdr>
</file>

<file path=word/header1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2" w:color="D7CDBB"/>
      </w:pBdr>
    </w:pPr>
    <w:r>
      <w:rPr>
        <w:rFonts w:ascii="EB Garamond" w:hAnsi="EB Garamond" w:cs="EB Garamond"/>
        <w:b w:val="0"/>
        <w:i w:val="0"/>
        <w:smallCaps/>
        <w:color w:val="6B6256"/>
        <w:sz w:val="17"/>
        <w:lang w:val="pt-BR" w:bidi="ar-SA"/>
        <w:kern w:val="16"/>
        <w14:ligatures w14:val="standardContextual"/>
      </w:rPr>
      <w:t>Índice Remissivo</w:t>
    </w:r>
  </w:p>
</w:hdr>
</file>

<file path=word/header1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D7CDBB"/>
      </w:pBdr>
    </w:pPr>
    <w:r>
      <w:rPr>
        <w:rFonts w:ascii="EB Garamond" w:hAnsi="EB Garamond" w:cs="EB Garamond"/>
        <w:b w:val="0"/>
        <w:i w:val="0"/>
        <w:smallCaps/>
        <w:color w:val="6B6256"/>
        <w:sz w:val="17"/>
        <w:lang w:val="pt-BR" w:bidi="ar-SA"/>
        <w:kern w:val="16"/>
        <w14:ligatures w14:val="standardContextual"/>
      </w:rPr>
      <w:t>Direito Previdenciário</w:t>
    </w:r>
  </w:p>
</w:hdr>
</file>

<file path=word/header1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2" w:color="D7CDBB"/>
      </w:pBdr>
    </w:pPr>
    <w:r>
      <w:rPr>
        <w:rFonts w:ascii="EB Garamond" w:hAnsi="EB Garamond" w:cs="EB Garamond"/>
        <w:b w:val="0"/>
        <w:i w:val="0"/>
        <w:smallCaps/>
        <w:color w:val="6B6256"/>
        <w:sz w:val="17"/>
        <w:lang w:val="pt-BR" w:bidi="ar-SA"/>
        <w:kern w:val="16"/>
        <w14:ligatures w14:val="standardContextual"/>
      </w:rPr>
      <w:t>Sobre os Autores</w:t>
    </w:r>
  </w:p>
</w:hdr>
</file>

<file path=word/header11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D7CDBB"/>
      </w:pBdr>
    </w:pPr>
    <w:r>
      <w:rPr>
        <w:rFonts w:ascii="EB Garamond" w:hAnsi="EB Garamond" w:cs="EB Garamond"/>
        <w:b w:val="0"/>
        <w:i w:val="0"/>
        <w:smallCaps/>
        <w:color w:val="6B6256"/>
        <w:sz w:val="17"/>
        <w:lang w:val="pt-BR" w:bidi="ar-SA"/>
        <w:kern w:val="16"/>
        <w14:ligatures w14:val="standardContextual"/>
      </w:rPr>
      <w:t>Direito Previdenciário</w:t>
    </w:r>
  </w:p>
</w:hdr>
</file>

<file path=word/header12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compressPunctuation"/>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autoSpaceLikeWord95" w:uri="http://schemas.microsoft.com/office/word" w:val="0"/>
    <w:compatSetting w:name="adjustLineHeightInTable"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pt-BR"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mirrorMargins w:val="1"/>
  <w:evenAndOddHeaders/>
  <w:autoHyphenation w:val="1"/>
  <w:hyphenationZone w:val="350"/>
  <w:consecutiveHyphenLimit w:val="3"/>
  <w:doNotHyphenateCaps w:val="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70" w:line="259" w:lineRule="auto"/>
      <w:jc w:val="both"/>
    </w:pPr>
    <w:rPr>
      <w:rFonts w:ascii="EB Garamond" w:hAnsi="EB Garamond"/>
      <w:color w:val="201B16"/>
      <w:sz w:val="21"/>
      <w:lang w:val="pt-BR"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jc w:val="center"/>
      <w:outlineLvl w:val="0"/>
    </w:pPr>
    <w:rPr>
      <w:rFonts w:asciiTheme="majorHAnsi" w:eastAsiaTheme="majorEastAsia" w:hAnsiTheme="majorHAnsi" w:cstheme="majorBidi" w:ascii="EB Garamond" w:hAnsi="EB Garamond"/>
      <w:b/>
      <w:bCs/>
      <w:color w:val="2F2923"/>
      <w:sz w:val="36"/>
      <w:szCs w:val="28"/>
    </w:rPr>
  </w:style>
  <w:style w:type="paragraph" w:styleId="Heading2">
    <w:name w:val="heading 2"/>
    <w:basedOn w:val="Normal"/>
    <w:next w:val="Normal"/>
    <w:link w:val="Heading2Char"/>
    <w:uiPriority w:val="9"/>
    <w:unhideWhenUsed/>
    <w:qFormat/>
    <w:rsid w:val="00FC693F"/>
    <w:pPr>
      <w:keepNext/>
      <w:keepLines/>
      <w:spacing w:before="0" w:after="160"/>
      <w:jc w:val="center"/>
      <w:outlineLvl w:val="1"/>
    </w:pPr>
    <w:rPr>
      <w:rFonts w:asciiTheme="majorHAnsi" w:eastAsiaTheme="majorEastAsia" w:hAnsiTheme="majorHAnsi" w:cstheme="majorBidi" w:ascii="EB Garamond" w:hAnsi="EB Garamond"/>
      <w:b/>
      <w:bCs/>
      <w:color w:val="2F2923"/>
      <w:sz w:val="4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 Id="rId15" Type="http://schemas.openxmlformats.org/officeDocument/2006/relationships/header" Target="header4.xml"/><Relationship Id="rId16" Type="http://schemas.openxmlformats.org/officeDocument/2006/relationships/header" Target="header5.xml"/><Relationship Id="rId17" Type="http://schemas.openxmlformats.org/officeDocument/2006/relationships/header" Target="header6.xml"/><Relationship Id="rId18" Type="http://schemas.openxmlformats.org/officeDocument/2006/relationships/footer" Target="footer4.xml"/><Relationship Id="rId19" Type="http://schemas.openxmlformats.org/officeDocument/2006/relationships/footer" Target="footer5.xml"/><Relationship Id="rId20" Type="http://schemas.openxmlformats.org/officeDocument/2006/relationships/footer" Target="footer6.xml"/><Relationship Id="rId21" Type="http://schemas.openxmlformats.org/officeDocument/2006/relationships/header" Target="header7.xml"/><Relationship Id="rId22" Type="http://schemas.openxmlformats.org/officeDocument/2006/relationships/header" Target="header8.xml"/><Relationship Id="rId23" Type="http://schemas.openxmlformats.org/officeDocument/2006/relationships/header" Target="header9.xml"/><Relationship Id="rId24" Type="http://schemas.openxmlformats.org/officeDocument/2006/relationships/footer" Target="footer7.xml"/><Relationship Id="rId25" Type="http://schemas.openxmlformats.org/officeDocument/2006/relationships/footer" Target="footer8.xml"/><Relationship Id="rId26" Type="http://schemas.openxmlformats.org/officeDocument/2006/relationships/footer" Target="footer9.xml"/><Relationship Id="rId27" Type="http://schemas.openxmlformats.org/officeDocument/2006/relationships/header" Target="header10.xml"/><Relationship Id="rId28" Type="http://schemas.openxmlformats.org/officeDocument/2006/relationships/header" Target="header11.xml"/><Relationship Id="rId29" Type="http://schemas.openxmlformats.org/officeDocument/2006/relationships/header" Target="header12.xml"/><Relationship Id="rId30" Type="http://schemas.openxmlformats.org/officeDocument/2006/relationships/footer" Target="footer10.xml"/><Relationship Id="rId31" Type="http://schemas.openxmlformats.org/officeDocument/2006/relationships/footer" Target="footer11.xml"/><Relationship Id="rId32" Type="http://schemas.openxmlformats.org/officeDocument/2006/relationships/footer" Target="footer12.xml"/><Relationship Id="rId33" Type="http://schemas.openxmlformats.org/officeDocument/2006/relationships/header" Target="header13.xml"/><Relationship Id="rId34" Type="http://schemas.openxmlformats.org/officeDocument/2006/relationships/header" Target="header14.xml"/><Relationship Id="rId35" Type="http://schemas.openxmlformats.org/officeDocument/2006/relationships/header" Target="header15.xml"/><Relationship Id="rId36" Type="http://schemas.openxmlformats.org/officeDocument/2006/relationships/footer" Target="footer13.xml"/><Relationship Id="rId37" Type="http://schemas.openxmlformats.org/officeDocument/2006/relationships/footer" Target="footer14.xml"/><Relationship Id="rId38" Type="http://schemas.openxmlformats.org/officeDocument/2006/relationships/footer" Target="footer15.xml"/><Relationship Id="rId39" Type="http://schemas.openxmlformats.org/officeDocument/2006/relationships/header" Target="header16.xml"/><Relationship Id="rId40" Type="http://schemas.openxmlformats.org/officeDocument/2006/relationships/header" Target="header17.xml"/><Relationship Id="rId41" Type="http://schemas.openxmlformats.org/officeDocument/2006/relationships/footer" Target="footer16.xml"/><Relationship Id="rId42" Type="http://schemas.openxmlformats.org/officeDocument/2006/relationships/footer" Target="footer17.xml"/><Relationship Id="rId43" Type="http://schemas.openxmlformats.org/officeDocument/2006/relationships/header" Target="header18.xml"/><Relationship Id="rId44" Type="http://schemas.openxmlformats.org/officeDocument/2006/relationships/footer" Target="footer18.xml"/><Relationship Id="rId45" Type="http://schemas.openxmlformats.org/officeDocument/2006/relationships/header" Target="header19.xml"/><Relationship Id="rId46" Type="http://schemas.openxmlformats.org/officeDocument/2006/relationships/header" Target="header20.xml"/><Relationship Id="rId47" Type="http://schemas.openxmlformats.org/officeDocument/2006/relationships/footer" Target="footer19.xml"/><Relationship Id="rId48" Type="http://schemas.openxmlformats.org/officeDocument/2006/relationships/footer" Target="footer20.xml"/><Relationship Id="rId49" Type="http://schemas.openxmlformats.org/officeDocument/2006/relationships/header" Target="header21.xml"/><Relationship Id="rId50" Type="http://schemas.openxmlformats.org/officeDocument/2006/relationships/footer" Target="footer21.xml"/><Relationship Id="rId51" Type="http://schemas.openxmlformats.org/officeDocument/2006/relationships/header" Target="header22.xml"/><Relationship Id="rId52" Type="http://schemas.openxmlformats.org/officeDocument/2006/relationships/header" Target="header23.xml"/><Relationship Id="rId53" Type="http://schemas.openxmlformats.org/officeDocument/2006/relationships/footer" Target="footer22.xml"/><Relationship Id="rId54" Type="http://schemas.openxmlformats.org/officeDocument/2006/relationships/footer" Target="footer23.xml"/><Relationship Id="rId55" Type="http://schemas.openxmlformats.org/officeDocument/2006/relationships/header" Target="header24.xml"/><Relationship Id="rId56" Type="http://schemas.openxmlformats.org/officeDocument/2006/relationships/footer" Target="footer24.xml"/><Relationship Id="rId57" Type="http://schemas.openxmlformats.org/officeDocument/2006/relationships/header" Target="header25.xml"/><Relationship Id="rId58" Type="http://schemas.openxmlformats.org/officeDocument/2006/relationships/header" Target="header26.xml"/><Relationship Id="rId59" Type="http://schemas.openxmlformats.org/officeDocument/2006/relationships/footer" Target="footer25.xml"/><Relationship Id="rId60" Type="http://schemas.openxmlformats.org/officeDocument/2006/relationships/footer" Target="footer26.xml"/><Relationship Id="rId61" Type="http://schemas.openxmlformats.org/officeDocument/2006/relationships/header" Target="header27.xml"/><Relationship Id="rId62" Type="http://schemas.openxmlformats.org/officeDocument/2006/relationships/footer" Target="footer27.xml"/><Relationship Id="rId63" Type="http://schemas.openxmlformats.org/officeDocument/2006/relationships/header" Target="header28.xml"/><Relationship Id="rId64" Type="http://schemas.openxmlformats.org/officeDocument/2006/relationships/header" Target="header29.xml"/><Relationship Id="rId65" Type="http://schemas.openxmlformats.org/officeDocument/2006/relationships/footer" Target="footer28.xml"/><Relationship Id="rId66" Type="http://schemas.openxmlformats.org/officeDocument/2006/relationships/footer" Target="footer29.xml"/><Relationship Id="rId67" Type="http://schemas.openxmlformats.org/officeDocument/2006/relationships/header" Target="header30.xml"/><Relationship Id="rId68" Type="http://schemas.openxmlformats.org/officeDocument/2006/relationships/footer" Target="footer30.xml"/><Relationship Id="rId69" Type="http://schemas.openxmlformats.org/officeDocument/2006/relationships/header" Target="header31.xml"/><Relationship Id="rId70" Type="http://schemas.openxmlformats.org/officeDocument/2006/relationships/header" Target="header32.xml"/><Relationship Id="rId71" Type="http://schemas.openxmlformats.org/officeDocument/2006/relationships/footer" Target="footer31.xml"/><Relationship Id="rId72" Type="http://schemas.openxmlformats.org/officeDocument/2006/relationships/footer" Target="footer32.xml"/><Relationship Id="rId73" Type="http://schemas.openxmlformats.org/officeDocument/2006/relationships/header" Target="header33.xml"/><Relationship Id="rId74" Type="http://schemas.openxmlformats.org/officeDocument/2006/relationships/footer" Target="footer33.xml"/><Relationship Id="rId75" Type="http://schemas.openxmlformats.org/officeDocument/2006/relationships/header" Target="header34.xml"/><Relationship Id="rId76" Type="http://schemas.openxmlformats.org/officeDocument/2006/relationships/header" Target="header35.xml"/><Relationship Id="rId77" Type="http://schemas.openxmlformats.org/officeDocument/2006/relationships/footer" Target="footer34.xml"/><Relationship Id="rId78" Type="http://schemas.openxmlformats.org/officeDocument/2006/relationships/footer" Target="footer35.xml"/><Relationship Id="rId79" Type="http://schemas.openxmlformats.org/officeDocument/2006/relationships/header" Target="header36.xml"/><Relationship Id="rId80" Type="http://schemas.openxmlformats.org/officeDocument/2006/relationships/footer" Target="footer36.xml"/><Relationship Id="rId81" Type="http://schemas.openxmlformats.org/officeDocument/2006/relationships/header" Target="header37.xml"/><Relationship Id="rId82" Type="http://schemas.openxmlformats.org/officeDocument/2006/relationships/header" Target="header38.xml"/><Relationship Id="rId83" Type="http://schemas.openxmlformats.org/officeDocument/2006/relationships/footer" Target="footer37.xml"/><Relationship Id="rId84" Type="http://schemas.openxmlformats.org/officeDocument/2006/relationships/footer" Target="footer38.xml"/><Relationship Id="rId85" Type="http://schemas.openxmlformats.org/officeDocument/2006/relationships/header" Target="header39.xml"/><Relationship Id="rId86" Type="http://schemas.openxmlformats.org/officeDocument/2006/relationships/footer" Target="footer39.xml"/><Relationship Id="rId87" Type="http://schemas.openxmlformats.org/officeDocument/2006/relationships/header" Target="header40.xml"/><Relationship Id="rId88" Type="http://schemas.openxmlformats.org/officeDocument/2006/relationships/header" Target="header41.xml"/><Relationship Id="rId89" Type="http://schemas.openxmlformats.org/officeDocument/2006/relationships/footer" Target="footer40.xml"/><Relationship Id="rId90" Type="http://schemas.openxmlformats.org/officeDocument/2006/relationships/footer" Target="footer41.xml"/><Relationship Id="rId91" Type="http://schemas.openxmlformats.org/officeDocument/2006/relationships/header" Target="header42.xml"/><Relationship Id="rId92" Type="http://schemas.openxmlformats.org/officeDocument/2006/relationships/footer" Target="footer42.xml"/><Relationship Id="rId93" Type="http://schemas.openxmlformats.org/officeDocument/2006/relationships/header" Target="header43.xml"/><Relationship Id="rId94" Type="http://schemas.openxmlformats.org/officeDocument/2006/relationships/header" Target="header44.xml"/><Relationship Id="rId95" Type="http://schemas.openxmlformats.org/officeDocument/2006/relationships/footer" Target="footer43.xml"/><Relationship Id="rId96" Type="http://schemas.openxmlformats.org/officeDocument/2006/relationships/footer" Target="footer44.xml"/><Relationship Id="rId97" Type="http://schemas.openxmlformats.org/officeDocument/2006/relationships/header" Target="header45.xml"/><Relationship Id="rId98" Type="http://schemas.openxmlformats.org/officeDocument/2006/relationships/footer" Target="footer45.xml"/><Relationship Id="rId99" Type="http://schemas.openxmlformats.org/officeDocument/2006/relationships/header" Target="header46.xml"/><Relationship Id="rId100" Type="http://schemas.openxmlformats.org/officeDocument/2006/relationships/header" Target="header47.xml"/><Relationship Id="rId101" Type="http://schemas.openxmlformats.org/officeDocument/2006/relationships/footer" Target="footer46.xml"/><Relationship Id="rId102" Type="http://schemas.openxmlformats.org/officeDocument/2006/relationships/footer" Target="footer47.xml"/><Relationship Id="rId103" Type="http://schemas.openxmlformats.org/officeDocument/2006/relationships/header" Target="header48.xml"/><Relationship Id="rId104" Type="http://schemas.openxmlformats.org/officeDocument/2006/relationships/footer" Target="footer48.xml"/><Relationship Id="rId105" Type="http://schemas.openxmlformats.org/officeDocument/2006/relationships/header" Target="header49.xml"/><Relationship Id="rId106" Type="http://schemas.openxmlformats.org/officeDocument/2006/relationships/header" Target="header50.xml"/><Relationship Id="rId107" Type="http://schemas.openxmlformats.org/officeDocument/2006/relationships/footer" Target="footer49.xml"/><Relationship Id="rId108" Type="http://schemas.openxmlformats.org/officeDocument/2006/relationships/footer" Target="footer50.xml"/><Relationship Id="rId109" Type="http://schemas.openxmlformats.org/officeDocument/2006/relationships/header" Target="header51.xml"/><Relationship Id="rId110" Type="http://schemas.openxmlformats.org/officeDocument/2006/relationships/footer" Target="footer51.xml"/><Relationship Id="rId111" Type="http://schemas.openxmlformats.org/officeDocument/2006/relationships/header" Target="header52.xml"/><Relationship Id="rId112" Type="http://schemas.openxmlformats.org/officeDocument/2006/relationships/header" Target="header53.xml"/><Relationship Id="rId113" Type="http://schemas.openxmlformats.org/officeDocument/2006/relationships/footer" Target="footer52.xml"/><Relationship Id="rId114" Type="http://schemas.openxmlformats.org/officeDocument/2006/relationships/footer" Target="footer53.xml"/><Relationship Id="rId115" Type="http://schemas.openxmlformats.org/officeDocument/2006/relationships/header" Target="header54.xml"/><Relationship Id="rId116" Type="http://schemas.openxmlformats.org/officeDocument/2006/relationships/footer" Target="footer54.xml"/><Relationship Id="rId117" Type="http://schemas.openxmlformats.org/officeDocument/2006/relationships/header" Target="header55.xml"/><Relationship Id="rId118" Type="http://schemas.openxmlformats.org/officeDocument/2006/relationships/header" Target="header56.xml"/><Relationship Id="rId119" Type="http://schemas.openxmlformats.org/officeDocument/2006/relationships/footer" Target="footer55.xml"/><Relationship Id="rId120" Type="http://schemas.openxmlformats.org/officeDocument/2006/relationships/footer" Target="footer56.xml"/><Relationship Id="rId121" Type="http://schemas.openxmlformats.org/officeDocument/2006/relationships/header" Target="header57.xml"/><Relationship Id="rId122" Type="http://schemas.openxmlformats.org/officeDocument/2006/relationships/footer" Target="footer57.xml"/><Relationship Id="rId123" Type="http://schemas.openxmlformats.org/officeDocument/2006/relationships/header" Target="header58.xml"/><Relationship Id="rId124" Type="http://schemas.openxmlformats.org/officeDocument/2006/relationships/header" Target="header59.xml"/><Relationship Id="rId125" Type="http://schemas.openxmlformats.org/officeDocument/2006/relationships/footer" Target="footer58.xml"/><Relationship Id="rId126" Type="http://schemas.openxmlformats.org/officeDocument/2006/relationships/footer" Target="footer59.xml"/><Relationship Id="rId127" Type="http://schemas.openxmlformats.org/officeDocument/2006/relationships/header" Target="header60.xml"/><Relationship Id="rId128" Type="http://schemas.openxmlformats.org/officeDocument/2006/relationships/footer" Target="footer60.xml"/><Relationship Id="rId129" Type="http://schemas.openxmlformats.org/officeDocument/2006/relationships/header" Target="header61.xml"/><Relationship Id="rId130" Type="http://schemas.openxmlformats.org/officeDocument/2006/relationships/header" Target="header62.xml"/><Relationship Id="rId131" Type="http://schemas.openxmlformats.org/officeDocument/2006/relationships/footer" Target="footer61.xml"/><Relationship Id="rId132" Type="http://schemas.openxmlformats.org/officeDocument/2006/relationships/footer" Target="footer62.xml"/><Relationship Id="rId133" Type="http://schemas.openxmlformats.org/officeDocument/2006/relationships/header" Target="header63.xml"/><Relationship Id="rId134" Type="http://schemas.openxmlformats.org/officeDocument/2006/relationships/footer" Target="footer63.xml"/><Relationship Id="rId135" Type="http://schemas.openxmlformats.org/officeDocument/2006/relationships/header" Target="header64.xml"/><Relationship Id="rId136" Type="http://schemas.openxmlformats.org/officeDocument/2006/relationships/header" Target="header65.xml"/><Relationship Id="rId137" Type="http://schemas.openxmlformats.org/officeDocument/2006/relationships/footer" Target="footer64.xml"/><Relationship Id="rId138" Type="http://schemas.openxmlformats.org/officeDocument/2006/relationships/footer" Target="footer65.xml"/><Relationship Id="rId139" Type="http://schemas.openxmlformats.org/officeDocument/2006/relationships/header" Target="header66.xml"/><Relationship Id="rId140" Type="http://schemas.openxmlformats.org/officeDocument/2006/relationships/footer" Target="footer66.xml"/><Relationship Id="rId141" Type="http://schemas.openxmlformats.org/officeDocument/2006/relationships/header" Target="header67.xml"/><Relationship Id="rId142" Type="http://schemas.openxmlformats.org/officeDocument/2006/relationships/header" Target="header68.xml"/><Relationship Id="rId143" Type="http://schemas.openxmlformats.org/officeDocument/2006/relationships/footer" Target="footer67.xml"/><Relationship Id="rId144" Type="http://schemas.openxmlformats.org/officeDocument/2006/relationships/footer" Target="footer68.xml"/><Relationship Id="rId145" Type="http://schemas.openxmlformats.org/officeDocument/2006/relationships/header" Target="header69.xml"/><Relationship Id="rId146" Type="http://schemas.openxmlformats.org/officeDocument/2006/relationships/footer" Target="footer69.xml"/><Relationship Id="rId147" Type="http://schemas.openxmlformats.org/officeDocument/2006/relationships/header" Target="header70.xml"/><Relationship Id="rId148" Type="http://schemas.openxmlformats.org/officeDocument/2006/relationships/header" Target="header71.xml"/><Relationship Id="rId149" Type="http://schemas.openxmlformats.org/officeDocument/2006/relationships/footer" Target="footer70.xml"/><Relationship Id="rId150" Type="http://schemas.openxmlformats.org/officeDocument/2006/relationships/footer" Target="footer71.xml"/><Relationship Id="rId151" Type="http://schemas.openxmlformats.org/officeDocument/2006/relationships/header" Target="header72.xml"/><Relationship Id="rId152" Type="http://schemas.openxmlformats.org/officeDocument/2006/relationships/footer" Target="footer72.xml"/><Relationship Id="rId153" Type="http://schemas.openxmlformats.org/officeDocument/2006/relationships/header" Target="header73.xml"/><Relationship Id="rId154" Type="http://schemas.openxmlformats.org/officeDocument/2006/relationships/header" Target="header74.xml"/><Relationship Id="rId155" Type="http://schemas.openxmlformats.org/officeDocument/2006/relationships/footer" Target="footer73.xml"/><Relationship Id="rId156" Type="http://schemas.openxmlformats.org/officeDocument/2006/relationships/footer" Target="footer74.xml"/><Relationship Id="rId157" Type="http://schemas.openxmlformats.org/officeDocument/2006/relationships/header" Target="header75.xml"/><Relationship Id="rId158" Type="http://schemas.openxmlformats.org/officeDocument/2006/relationships/footer" Target="footer75.xml"/><Relationship Id="rId159" Type="http://schemas.openxmlformats.org/officeDocument/2006/relationships/header" Target="header76.xml"/><Relationship Id="rId160" Type="http://schemas.openxmlformats.org/officeDocument/2006/relationships/header" Target="header77.xml"/><Relationship Id="rId161" Type="http://schemas.openxmlformats.org/officeDocument/2006/relationships/footer" Target="footer76.xml"/><Relationship Id="rId162" Type="http://schemas.openxmlformats.org/officeDocument/2006/relationships/footer" Target="footer77.xml"/><Relationship Id="rId163" Type="http://schemas.openxmlformats.org/officeDocument/2006/relationships/header" Target="header78.xml"/><Relationship Id="rId164" Type="http://schemas.openxmlformats.org/officeDocument/2006/relationships/footer" Target="footer78.xml"/><Relationship Id="rId165" Type="http://schemas.openxmlformats.org/officeDocument/2006/relationships/header" Target="header79.xml"/><Relationship Id="rId166" Type="http://schemas.openxmlformats.org/officeDocument/2006/relationships/header" Target="header80.xml"/><Relationship Id="rId167" Type="http://schemas.openxmlformats.org/officeDocument/2006/relationships/footer" Target="footer79.xml"/><Relationship Id="rId168" Type="http://schemas.openxmlformats.org/officeDocument/2006/relationships/footer" Target="footer80.xml"/><Relationship Id="rId169" Type="http://schemas.openxmlformats.org/officeDocument/2006/relationships/header" Target="header81.xml"/><Relationship Id="rId170" Type="http://schemas.openxmlformats.org/officeDocument/2006/relationships/footer" Target="footer81.xml"/><Relationship Id="rId171" Type="http://schemas.openxmlformats.org/officeDocument/2006/relationships/header" Target="header82.xml"/><Relationship Id="rId172" Type="http://schemas.openxmlformats.org/officeDocument/2006/relationships/header" Target="header83.xml"/><Relationship Id="rId173" Type="http://schemas.openxmlformats.org/officeDocument/2006/relationships/footer" Target="footer82.xml"/><Relationship Id="rId174" Type="http://schemas.openxmlformats.org/officeDocument/2006/relationships/footer" Target="footer83.xml"/><Relationship Id="rId175" Type="http://schemas.openxmlformats.org/officeDocument/2006/relationships/header" Target="header84.xml"/><Relationship Id="rId176" Type="http://schemas.openxmlformats.org/officeDocument/2006/relationships/footer" Target="footer84.xml"/><Relationship Id="rId177" Type="http://schemas.openxmlformats.org/officeDocument/2006/relationships/header" Target="header85.xml"/><Relationship Id="rId178" Type="http://schemas.openxmlformats.org/officeDocument/2006/relationships/header" Target="header86.xml"/><Relationship Id="rId179" Type="http://schemas.openxmlformats.org/officeDocument/2006/relationships/footer" Target="footer85.xml"/><Relationship Id="rId180" Type="http://schemas.openxmlformats.org/officeDocument/2006/relationships/footer" Target="footer86.xml"/><Relationship Id="rId181" Type="http://schemas.openxmlformats.org/officeDocument/2006/relationships/header" Target="header87.xml"/><Relationship Id="rId182" Type="http://schemas.openxmlformats.org/officeDocument/2006/relationships/footer" Target="footer87.xml"/><Relationship Id="rId183" Type="http://schemas.openxmlformats.org/officeDocument/2006/relationships/header" Target="header88.xml"/><Relationship Id="rId184" Type="http://schemas.openxmlformats.org/officeDocument/2006/relationships/header" Target="header89.xml"/><Relationship Id="rId185" Type="http://schemas.openxmlformats.org/officeDocument/2006/relationships/footer" Target="footer88.xml"/><Relationship Id="rId186" Type="http://schemas.openxmlformats.org/officeDocument/2006/relationships/footer" Target="footer89.xml"/><Relationship Id="rId187" Type="http://schemas.openxmlformats.org/officeDocument/2006/relationships/header" Target="header90.xml"/><Relationship Id="rId188" Type="http://schemas.openxmlformats.org/officeDocument/2006/relationships/footer" Target="footer90.xml"/><Relationship Id="rId189" Type="http://schemas.openxmlformats.org/officeDocument/2006/relationships/header" Target="header91.xml"/><Relationship Id="rId190" Type="http://schemas.openxmlformats.org/officeDocument/2006/relationships/header" Target="header92.xml"/><Relationship Id="rId191" Type="http://schemas.openxmlformats.org/officeDocument/2006/relationships/footer" Target="footer91.xml"/><Relationship Id="rId192" Type="http://schemas.openxmlformats.org/officeDocument/2006/relationships/footer" Target="footer92.xml"/><Relationship Id="rId193" Type="http://schemas.openxmlformats.org/officeDocument/2006/relationships/header" Target="header93.xml"/><Relationship Id="rId194" Type="http://schemas.openxmlformats.org/officeDocument/2006/relationships/footer" Target="footer93.xml"/><Relationship Id="rId195" Type="http://schemas.openxmlformats.org/officeDocument/2006/relationships/header" Target="header94.xml"/><Relationship Id="rId196" Type="http://schemas.openxmlformats.org/officeDocument/2006/relationships/header" Target="header95.xml"/><Relationship Id="rId197" Type="http://schemas.openxmlformats.org/officeDocument/2006/relationships/footer" Target="footer94.xml"/><Relationship Id="rId198" Type="http://schemas.openxmlformats.org/officeDocument/2006/relationships/footer" Target="footer95.xml"/><Relationship Id="rId199" Type="http://schemas.openxmlformats.org/officeDocument/2006/relationships/header" Target="header96.xml"/><Relationship Id="rId200" Type="http://schemas.openxmlformats.org/officeDocument/2006/relationships/footer" Target="footer96.xml"/><Relationship Id="rId201" Type="http://schemas.openxmlformats.org/officeDocument/2006/relationships/header" Target="header97.xml"/><Relationship Id="rId202" Type="http://schemas.openxmlformats.org/officeDocument/2006/relationships/header" Target="header98.xml"/><Relationship Id="rId203" Type="http://schemas.openxmlformats.org/officeDocument/2006/relationships/footer" Target="footer97.xml"/><Relationship Id="rId204" Type="http://schemas.openxmlformats.org/officeDocument/2006/relationships/footer" Target="footer98.xml"/><Relationship Id="rId205" Type="http://schemas.openxmlformats.org/officeDocument/2006/relationships/header" Target="header99.xml"/><Relationship Id="rId206" Type="http://schemas.openxmlformats.org/officeDocument/2006/relationships/footer" Target="footer99.xml"/><Relationship Id="rId207" Type="http://schemas.openxmlformats.org/officeDocument/2006/relationships/header" Target="header100.xml"/><Relationship Id="rId208" Type="http://schemas.openxmlformats.org/officeDocument/2006/relationships/header" Target="header101.xml"/><Relationship Id="rId209" Type="http://schemas.openxmlformats.org/officeDocument/2006/relationships/footer" Target="footer100.xml"/><Relationship Id="rId210" Type="http://schemas.openxmlformats.org/officeDocument/2006/relationships/footer" Target="footer101.xml"/><Relationship Id="rId211" Type="http://schemas.openxmlformats.org/officeDocument/2006/relationships/header" Target="header102.xml"/><Relationship Id="rId212" Type="http://schemas.openxmlformats.org/officeDocument/2006/relationships/footer" Target="footer102.xml"/><Relationship Id="rId213" Type="http://schemas.openxmlformats.org/officeDocument/2006/relationships/header" Target="header103.xml"/><Relationship Id="rId214" Type="http://schemas.openxmlformats.org/officeDocument/2006/relationships/header" Target="header104.xml"/><Relationship Id="rId215" Type="http://schemas.openxmlformats.org/officeDocument/2006/relationships/footer" Target="footer103.xml"/><Relationship Id="rId216" Type="http://schemas.openxmlformats.org/officeDocument/2006/relationships/footer" Target="footer104.xml"/><Relationship Id="rId217" Type="http://schemas.openxmlformats.org/officeDocument/2006/relationships/header" Target="header105.xml"/><Relationship Id="rId218" Type="http://schemas.openxmlformats.org/officeDocument/2006/relationships/footer" Target="footer105.xml"/><Relationship Id="rId219" Type="http://schemas.openxmlformats.org/officeDocument/2006/relationships/header" Target="header106.xml"/><Relationship Id="rId220" Type="http://schemas.openxmlformats.org/officeDocument/2006/relationships/header" Target="header107.xml"/><Relationship Id="rId221" Type="http://schemas.openxmlformats.org/officeDocument/2006/relationships/footer" Target="footer106.xml"/><Relationship Id="rId222" Type="http://schemas.openxmlformats.org/officeDocument/2006/relationships/footer" Target="footer107.xml"/><Relationship Id="rId223" Type="http://schemas.openxmlformats.org/officeDocument/2006/relationships/header" Target="header108.xml"/><Relationship Id="rId224" Type="http://schemas.openxmlformats.org/officeDocument/2006/relationships/footer" Target="footer108.xml"/><Relationship Id="rId225" Type="http://schemas.openxmlformats.org/officeDocument/2006/relationships/header" Target="header109.xml"/><Relationship Id="rId226" Type="http://schemas.openxmlformats.org/officeDocument/2006/relationships/header" Target="header110.xml"/><Relationship Id="rId227" Type="http://schemas.openxmlformats.org/officeDocument/2006/relationships/footer" Target="footer109.xml"/><Relationship Id="rId228" Type="http://schemas.openxmlformats.org/officeDocument/2006/relationships/footer" Target="footer110.xml"/><Relationship Id="rId229" Type="http://schemas.openxmlformats.org/officeDocument/2006/relationships/header" Target="header111.xml"/><Relationship Id="rId230" Type="http://schemas.openxmlformats.org/officeDocument/2006/relationships/footer" Target="footer111.xml"/><Relationship Id="rId231" Type="http://schemas.openxmlformats.org/officeDocument/2006/relationships/header" Target="header112.xml"/><Relationship Id="rId232" Type="http://schemas.openxmlformats.org/officeDocument/2006/relationships/header" Target="header113.xml"/><Relationship Id="rId233" Type="http://schemas.openxmlformats.org/officeDocument/2006/relationships/footer" Target="footer112.xml"/><Relationship Id="rId234" Type="http://schemas.openxmlformats.org/officeDocument/2006/relationships/footer" Target="footer113.xml"/><Relationship Id="rId235" Type="http://schemas.openxmlformats.org/officeDocument/2006/relationships/header" Target="header114.xml"/><Relationship Id="rId236" Type="http://schemas.openxmlformats.org/officeDocument/2006/relationships/footer" Target="footer114.xml"/><Relationship Id="rId237" Type="http://schemas.openxmlformats.org/officeDocument/2006/relationships/header" Target="header115.xml"/><Relationship Id="rId238" Type="http://schemas.openxmlformats.org/officeDocument/2006/relationships/header" Target="header116.xml"/><Relationship Id="rId239" Type="http://schemas.openxmlformats.org/officeDocument/2006/relationships/footer" Target="footer115.xml"/><Relationship Id="rId240" Type="http://schemas.openxmlformats.org/officeDocument/2006/relationships/footer" Target="footer116.xml"/><Relationship Id="rId241" Type="http://schemas.openxmlformats.org/officeDocument/2006/relationships/header" Target="header117.xml"/><Relationship Id="rId242" Type="http://schemas.openxmlformats.org/officeDocument/2006/relationships/footer" Target="footer117.xml"/><Relationship Id="rId243" Type="http://schemas.openxmlformats.org/officeDocument/2006/relationships/header" Target="header118.xml"/><Relationship Id="rId244" Type="http://schemas.openxmlformats.org/officeDocument/2006/relationships/header" Target="header119.xml"/><Relationship Id="rId245" Type="http://schemas.openxmlformats.org/officeDocument/2006/relationships/footer" Target="footer118.xml"/><Relationship Id="rId246" Type="http://schemas.openxmlformats.org/officeDocument/2006/relationships/footer" Target="footer119.xml"/><Relationship Id="rId247" Type="http://schemas.openxmlformats.org/officeDocument/2006/relationships/header" Target="header120.xml"/><Relationship Id="rId248" Type="http://schemas.openxmlformats.org/officeDocument/2006/relationships/footer" Target="footer120.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Direito Previdenciário: Teoria e Prática nos Juizados Especiais Federais</dc:title>
  <dc:subject>Direito Previdenciário</dc:subject>
  <dc:creator>Claudio Kitner; Luiz Bispo da Silva Neto</dc:creator>
  <cp:keywords/>
  <dc:description>generated by python-docx</dc:description>
  <cp:lastModifiedBy/>
  <cp:revision>1</cp:revision>
  <dcterms:created xsi:type="dcterms:W3CDTF">2013-12-23T23:15:00Z</dcterms:created>
  <dcterms:modified xsi:type="dcterms:W3CDTF">2013-12-23T23:15:00Z</dcterms:modified>
  <cp:category/>
</cp:coreProperties>
</file>