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formula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7o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as vesperas do requerimento. Essa segunda limitação tem sido objeto de crítica doutrinária, por penalizar o segurado que sofreu redução salarial legitima nos últimos anos de atividade. Entendemos que tal restrição só se justifica diante de indício concreto de manipulação do salário de contribuição na iminencia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Celia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a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Celia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Capitulo 3, seção 3.5, com análise detalhada de cada faixa). Essa tabela encerrou sua progressão em 2011, quando atingiu 180 contribuições. Para fins práticos em 2026, a tabela do art. 142 somente e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pratica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e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e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3o, para. 1o) afastou a exigência de manutenção da qualidade de segurado para esse benefício, de modo que todas as contribuições efetuadas ao longo da vida laboral somam-se para fins de carência, independentemente de interrupções. A regra aplica-se a aposentadoria por idade antiga, a aposentadoria programada e as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para. 1o, II, CF), que obedece a regras distintas — 75 anos (LC 152/2015, que elevou a idade anteriormente fixada em 70 anos) — e e de competência da Justiça comum ou Federal conforme o regime. A aposentadoria compulsória do RGPS e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Capitulo 16 (seções 16.3 a 16.8). Nesta seção, sintetizam-se apenas os aspectos peculiares 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hibrida (art. 48, para. 3o, Lei 8.213/91) são tratadas em profundidade no Capítulo 9. Nesta seção, examina-se apenas a interface pratica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para. 2o, Lei 8.213/91), mas não como carência na aposentadoria por idade urbana comum (Tema 358/TNU, seção 10.6). A exceção e a aposentadoria hibrida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e menos frequente do que a de urgência nos JEFs, mas e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3o),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as Súmulas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quase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(&gt;=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(&gt;=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Sim (33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quase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no que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 (atinge em 2028 com 101)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faltam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Tratam-se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o segurado faltasse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incumbem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seu art. 70-I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+ 40% (40 anos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afastem-se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 A composição nominativa dos votos vencidos deve ser conferida no inteiro teor do acórdão (consultar portal do STF).</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ao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24 contribuições não é prazo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90 dias é contado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três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SM continua sendo pago normalmente durante o período restante. Após o término do SM,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na base consultada,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3.2 -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o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pelo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Honorários periciais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contribuíra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(Lei 9.876/99), 100% (EC 103/2019), divisor mínimo 108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se complementam: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O segurado mulher precisava atingir 85 pontos, e o homem, 95 pontos, com progressão bianual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