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155B3E34" w14:textId="067EE62A" w:rsidR="009A7D80" w:rsidRPr="00FF04F6" w:rsidRDefault="00FF04F6" w:rsidP="00FF04F6">
      <w:pPr>
        <w:widowControl/>
        <w:jc w:val="center"/>
        <w:rPr>
          <w:sz w:val="24"/>
          <w:szCs w:val="24"/>
        </w:rPr>
      </w:pPr>
      <w:r w:rsidRPr="00FF04F6">
        <w:rPr>
          <w:rFonts w:hint="eastAsia"/>
          <w:sz w:val="44"/>
          <w:szCs w:val="44"/>
        </w:rPr>
        <w:t>劣化特性を考慮した定置用蓄電池の複数市場への容量の最適配分について</w:t>
      </w:r>
    </w:p>
    <w:p w14:paraId="686E0FFA" w14:textId="77777777" w:rsidR="009A7D80" w:rsidRDefault="009A7D80">
      <w:pPr>
        <w:widowControl/>
        <w:jc w:val="left"/>
        <w:rPr>
          <w:sz w:val="24"/>
          <w:szCs w:val="24"/>
        </w:rPr>
      </w:pPr>
    </w:p>
    <w:p w14:paraId="6A337DBB" w14:textId="77777777" w:rsidR="009A7D80" w:rsidRDefault="009A7D80">
      <w:pPr>
        <w:widowControl/>
        <w:jc w:val="left"/>
        <w:rPr>
          <w:rFonts w:hint="eastAsia"/>
          <w:sz w:val="24"/>
          <w:szCs w:val="24"/>
        </w:rPr>
      </w:pPr>
    </w:p>
    <w:p w14:paraId="6AE0D027" w14:textId="77777777" w:rsidR="00FF04F6" w:rsidRPr="00FF04F6" w:rsidRDefault="00FF04F6" w:rsidP="00FF04F6">
      <w:pPr>
        <w:jc w:val="center"/>
        <w:rPr>
          <w:sz w:val="44"/>
          <w:szCs w:val="44"/>
        </w:rPr>
      </w:pPr>
      <w:r w:rsidRPr="00FF04F6">
        <w:rPr>
          <w:sz w:val="44"/>
          <w:szCs w:val="44"/>
        </w:rPr>
        <w:t>Optimal Capacity Allocation of a Degradation-Aware Stationary Battery Energy Storage System Across Multiple Electricity Markets</w:t>
      </w:r>
    </w:p>
    <w:p w14:paraId="1C7F8C90" w14:textId="77777777" w:rsidR="009A7D80" w:rsidRDefault="009A7D80">
      <w:pPr>
        <w:widowControl/>
        <w:jc w:val="left"/>
        <w:rPr>
          <w:rFonts w:hint="eastAsia"/>
          <w:sz w:val="24"/>
          <w:szCs w:val="24"/>
        </w:rPr>
      </w:pPr>
    </w:p>
    <w:p w14:paraId="64402FC6" w14:textId="77777777" w:rsidR="009A7D80" w:rsidRDefault="009A7D80">
      <w:pPr>
        <w:widowControl/>
        <w:jc w:val="left"/>
        <w:rPr>
          <w:sz w:val="24"/>
          <w:szCs w:val="24"/>
        </w:rPr>
      </w:pPr>
    </w:p>
    <w:p w14:paraId="0D75B95E" w14:textId="77777777" w:rsidR="009A7D80" w:rsidRDefault="009A7D80" w:rsidP="009A7D80">
      <w:pPr>
        <w:widowControl/>
        <w:jc w:val="center"/>
        <w:rPr>
          <w:sz w:val="24"/>
          <w:szCs w:val="24"/>
        </w:rPr>
      </w:pPr>
      <w:r>
        <w:rPr>
          <w:rFonts w:hint="eastAsia"/>
          <w:sz w:val="24"/>
          <w:szCs w:val="24"/>
        </w:rPr>
        <w:t>明治大学総合数理学部ネットワークデザイン学科</w:t>
      </w:r>
    </w:p>
    <w:p w14:paraId="7854F6FA" w14:textId="748C049F" w:rsidR="009A7D80" w:rsidRPr="009A7D80" w:rsidRDefault="009A7D80" w:rsidP="009A7D80">
      <w:pPr>
        <w:widowControl/>
        <w:jc w:val="center"/>
        <w:rPr>
          <w:rFonts w:hint="eastAsia"/>
          <w:sz w:val="24"/>
          <w:szCs w:val="24"/>
        </w:rPr>
      </w:pPr>
      <w:r>
        <w:rPr>
          <w:rFonts w:hint="eastAsia"/>
          <w:sz w:val="24"/>
          <w:szCs w:val="24"/>
        </w:rPr>
        <w:t>4</w:t>
      </w:r>
      <w:r>
        <w:rPr>
          <w:rFonts w:hint="eastAsia"/>
          <w:sz w:val="24"/>
          <w:szCs w:val="24"/>
        </w:rPr>
        <w:t>年</w:t>
      </w:r>
      <w:r w:rsidR="00297A8A">
        <w:rPr>
          <w:rFonts w:hint="eastAsia"/>
          <w:sz w:val="24"/>
          <w:szCs w:val="24"/>
        </w:rPr>
        <w:t>5</w:t>
      </w:r>
      <w:r>
        <w:rPr>
          <w:rFonts w:hint="eastAsia"/>
          <w:sz w:val="24"/>
          <w:szCs w:val="24"/>
        </w:rPr>
        <w:t>組</w:t>
      </w:r>
      <w:r w:rsidR="00297A8A">
        <w:rPr>
          <w:rFonts w:hint="eastAsia"/>
          <w:sz w:val="24"/>
          <w:szCs w:val="24"/>
        </w:rPr>
        <w:t>17</w:t>
      </w:r>
      <w:r>
        <w:rPr>
          <w:rFonts w:hint="eastAsia"/>
          <w:sz w:val="24"/>
          <w:szCs w:val="24"/>
        </w:rPr>
        <w:t>番　学籍番号：</w:t>
      </w:r>
      <w:r>
        <w:rPr>
          <w:rFonts w:hint="eastAsia"/>
          <w:sz w:val="24"/>
          <w:szCs w:val="24"/>
        </w:rPr>
        <w:t>2630</w:t>
      </w:r>
      <w:r w:rsidR="00297A8A">
        <w:rPr>
          <w:rFonts w:hint="eastAsia"/>
          <w:sz w:val="24"/>
          <w:szCs w:val="24"/>
        </w:rPr>
        <w:t>221047</w:t>
      </w:r>
    </w:p>
    <w:p w14:paraId="6E93DEFC" w14:textId="22BE82DF" w:rsidR="009A7D80" w:rsidRDefault="009A7D80" w:rsidP="009A7D80">
      <w:pPr>
        <w:widowControl/>
        <w:jc w:val="center"/>
        <w:rPr>
          <w:sz w:val="24"/>
          <w:szCs w:val="24"/>
        </w:rPr>
      </w:pPr>
      <w:r>
        <w:rPr>
          <w:rFonts w:hint="eastAsia"/>
          <w:sz w:val="24"/>
          <w:szCs w:val="24"/>
        </w:rPr>
        <w:t>田村　滋</w:t>
      </w:r>
    </w:p>
    <w:p w14:paraId="41D0C354" w14:textId="125C871F" w:rsidR="00297A8A" w:rsidRDefault="00297A8A" w:rsidP="009A7D80">
      <w:pPr>
        <w:widowControl/>
        <w:jc w:val="center"/>
        <w:rPr>
          <w:rFonts w:hint="eastAsia"/>
          <w:sz w:val="24"/>
          <w:szCs w:val="24"/>
        </w:rPr>
      </w:pPr>
      <w:r>
        <w:rPr>
          <w:rFonts w:hint="eastAsia"/>
          <w:sz w:val="24"/>
          <w:szCs w:val="24"/>
        </w:rPr>
        <w:t>北野　岳澄</w:t>
      </w:r>
    </w:p>
    <w:p w14:paraId="39DE67A7" w14:textId="77777777" w:rsidR="009A7D80" w:rsidRDefault="009A7D80" w:rsidP="009A7D80">
      <w:pPr>
        <w:widowControl/>
        <w:jc w:val="center"/>
        <w:rPr>
          <w:sz w:val="24"/>
          <w:szCs w:val="24"/>
        </w:rPr>
      </w:pPr>
    </w:p>
    <w:p w14:paraId="243B401F" w14:textId="77777777" w:rsidR="009A7D80" w:rsidRDefault="009A7D80" w:rsidP="009A7D80">
      <w:pPr>
        <w:widowControl/>
        <w:jc w:val="center"/>
        <w:rPr>
          <w:sz w:val="24"/>
          <w:szCs w:val="24"/>
        </w:rPr>
      </w:pPr>
    </w:p>
    <w:p w14:paraId="10179F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Shigeru Tamura</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2BE902D5" w14:textId="1BABF889" w:rsidR="005727CF" w:rsidRPr="00FF04F6" w:rsidRDefault="009A7D80" w:rsidP="00FF04F6">
      <w:pPr>
        <w:widowControl/>
        <w:jc w:val="center"/>
        <w:rPr>
          <w:rFonts w:ascii="Times New Roman" w:hAnsi="Times New Roman" w:cs="Times New Roman" w:hint="eastAsia"/>
          <w:sz w:val="24"/>
          <w:szCs w:val="24"/>
        </w:rPr>
      </w:pPr>
      <w:r w:rsidRPr="00EA2FFF">
        <w:rPr>
          <w:rFonts w:ascii="Times New Roman" w:hAnsi="Times New Roman" w:cs="Times New Roman"/>
          <w:sz w:val="24"/>
          <w:szCs w:val="24"/>
        </w:rPr>
        <w:t>Meiji University</w:t>
      </w:r>
    </w:p>
    <w:p w14:paraId="75D0A0C8" w14:textId="4FD24C3B" w:rsidR="00660C57" w:rsidRDefault="00660C57" w:rsidP="00660C57">
      <w:pPr>
        <w:widowControl/>
        <w:jc w:val="center"/>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pPr>
        <w:jc w:val="center"/>
      </w:pPr>
      <w:r>
        <w:rPr>
          <w:rFonts w:ascii="MS Mincho" w:hAnsi="MS Mincho" w:eastAsia="MS Mincho"/>
          <w:b/>
          <w:color w:val="000000"/>
          <w:sz w:val="32"/>
        </w:rPr>
        <w:t>目次</w:t>
      </w:r>
    </w:p>
    <w:p>
      <w:fldSimple w:instr="TOC \o &quot;1-3&quot; \h \z \u">
        <w:r>
          <w:t>目次を更新してください。</w:t>
        </w:r>
      </w:fldSimple>
    </w:p>
    <w:p>
      <w:r>
        <w:br w:type="page"/>
      </w:r>
    </w:p>
    <w:p/>
    <w:p/>
    <w:p/>
    <w:p/>
    <w:p/>
    <w:p/>
    <w:p/>
    <w:p/>
    <w:p/>
    <w:p>
      <w:pPr>
        <w:jc w:val="center"/>
      </w:pPr>
      <w:r>
        <w:rPr>
          <w:rFonts w:ascii="MS Mincho" w:hAnsi="MS Mincho" w:eastAsia="MS Mincho"/>
          <w:b/>
          <w:color w:val="000000"/>
          <w:sz w:val="40"/>
        </w:rPr>
        <w:t>第1章　序論</w:t>
      </w:r>
    </w:p>
    <w:p>
      <w:r>
        <w:br w:type="page"/>
      </w:r>
    </w:p>
    <w:p>
      <w:pPr>
        <w:jc w:val="left"/>
        <w:outlineLvl w:val="0"/>
      </w:pPr>
      <w:r>
        <w:rPr>
          <w:rFonts w:ascii="MS Mincho" w:hAnsi="MS Mincho" w:eastAsia="MS Mincho"/>
          <w:b/>
          <w:color w:val="000000"/>
          <w:sz w:val="28"/>
        </w:rPr>
        <w:t>第1章　序論</w:t>
      </w:r>
    </w:p>
    <w:p>
      <w:pPr>
        <w:jc w:val="left"/>
        <w:outlineLvl w:val="1"/>
      </w:pPr>
      <w:r>
        <w:rPr>
          <w:rFonts w:ascii="MS Mincho" w:hAnsi="MS Mincho" w:eastAsia="MS Mincho"/>
          <w:b/>
          <w:color w:val="000000"/>
          <w:sz w:val="24"/>
        </w:rPr>
        <w:t>1.1　背景</w:t>
      </w:r>
    </w:p>
    <w:p>
      <w:r>
        <w:rPr>
          <w:rFonts w:ascii="MS Mincho" w:hAnsi="MS Mincho" w:eastAsia="MS Mincho"/>
          <w:color w:val="000000"/>
        </w:rPr>
        <w:t>再生可能エネルギーの導入拡大に伴い、需給の短周期な変動が増えている。定置用蓄電池（BESS）は充放電の応答が速く、電力の需給調整に有効である。</w:t>
      </w:r>
    </w:p>
    <w:p>
      <w:r>
        <w:rPr>
          <w:rFonts w:ascii="MS Mincho" w:hAnsi="MS Mincho" w:eastAsia="MS Mincho"/>
          <w:color w:val="000000"/>
        </w:rPr>
        <w:t>一方で、蓄電池は充放電を繰り返すほど劣化し、利用可能容量の低下や交換費用の増加につながる。市場取引で短期利益だけを最大化すると、劣化を過度に進めて長期的な採算が悪化する可能性がある。</w:t>
      </w:r>
      <w:r>
        <w:rPr>
          <w:rFonts w:ascii="MS Mincho" w:hAnsi="MS Mincho" w:eastAsia="MS Mincho"/>
          <w:color w:val="000000"/>
          <w:vertAlign w:val="superscript"/>
        </w:rPr>
        <w:t>1</w:t>
      </w:r>
      <w:r>
        <w:rPr>
          <w:rFonts w:ascii="MS Mincho" w:hAnsi="MS Mincho" w:eastAsia="MS Mincho"/>
          <w:color w:val="000000"/>
          <w:vertAlign w:val="superscript"/>
        </w:rPr>
        <w:t>3</w:t>
      </w:r>
    </w:p>
    <w:p>
      <w:pPr>
        <w:jc w:val="left"/>
        <w:outlineLvl w:val="1"/>
      </w:pPr>
      <w:r>
        <w:rPr>
          <w:rFonts w:ascii="MS Mincho" w:hAnsi="MS Mincho" w:eastAsia="MS Mincho"/>
          <w:b/>
          <w:color w:val="000000"/>
          <w:sz w:val="24"/>
        </w:rPr>
        <w:t>1.2　研究課題</w:t>
      </w:r>
    </w:p>
    <w:p>
      <w:r>
        <w:rPr>
          <w:rFonts w:ascii="MS Mincho" w:hAnsi="MS Mincho" w:eastAsia="MS Mincho"/>
          <w:color w:val="000000"/>
        </w:rPr>
        <w:t>蓄電池が参加可能な市場は、スポット市場の裁定取引に加え、一次・二次の調整力（予備力、周波数調整等）など複数に及ぶ。複数市場に同時参加する場合、同じ蓄電池容量を各市場の入札・運用にどう配分するかが収益を左右する。</w:t>
      </w:r>
      <w:r>
        <w:rPr>
          <w:rFonts w:ascii="MS Mincho" w:hAnsi="MS Mincho" w:eastAsia="MS Mincho"/>
          <w:color w:val="000000"/>
          <w:vertAlign w:val="superscript"/>
        </w:rPr>
        <w:t>5</w:t>
      </w:r>
    </w:p>
    <w:p>
      <w:r>
        <w:rPr>
          <w:rFonts w:ascii="MS Mincho" w:hAnsi="MS Mincho" w:eastAsia="MS Mincho"/>
          <w:color w:val="000000"/>
        </w:rPr>
        <w:t>しかし、劣化を含めた運用最適化では、(i) 充放電パターンが劣化へ与える影響の表現、(ii) 複数市場の同時制約（容量の二重計上回避、出力上限、SOC上限下限等）、(iii) 実務で解ける計算量、の3点を両立する必要がある。</w:t>
      </w:r>
      <w:r>
        <w:rPr>
          <w:rFonts w:ascii="MS Mincho" w:hAnsi="MS Mincho" w:eastAsia="MS Mincho"/>
          <w:color w:val="000000"/>
          <w:vertAlign w:val="superscript"/>
        </w:rPr>
        <w:t>1</w:t>
      </w:r>
      <w:r>
        <w:rPr>
          <w:rFonts w:ascii="MS Mincho" w:hAnsi="MS Mincho" w:eastAsia="MS Mincho"/>
          <w:color w:val="000000"/>
          <w:vertAlign w:val="superscript"/>
        </w:rPr>
        <w:t>4</w:t>
      </w:r>
    </w:p>
    <w:p>
      <w:pPr>
        <w:jc w:val="left"/>
        <w:outlineLvl w:val="1"/>
      </w:pPr>
      <w:r>
        <w:rPr>
          <w:rFonts w:ascii="MS Mincho" w:hAnsi="MS Mincho" w:eastAsia="MS Mincho"/>
          <w:b/>
          <w:color w:val="000000"/>
          <w:sz w:val="24"/>
        </w:rPr>
        <w:t>1.3　目的</w:t>
      </w:r>
    </w:p>
    <w:p>
      <w:r>
        <w:rPr>
          <w:rFonts w:ascii="MS Mincho" w:hAnsi="MS Mincho" w:eastAsia="MS Mincho"/>
          <w:color w:val="000000"/>
        </w:rPr>
        <w:t>本研究の目的は、劣化特性を考慮しながら、定置用蓄電池の容量を複数市場へ最適に配分する運用モデルを構築することである。具体的には、スポット市場と一次・二次調整力市場を想定し、日次運用を混合整数線形計画（MILP）として定式化する。</w:t>
      </w:r>
    </w:p>
    <w:p>
      <w:r>
        <w:rPr>
          <w:rFonts w:ascii="MS Mincho" w:hAnsi="MS Mincho" w:eastAsia="MS Mincho"/>
          <w:color w:val="000000"/>
        </w:rPr>
        <w:t>さらに、劣化コストをピースワイズ線形で近似する方法について、1次元（主にDoD依存）と2次元（DoDとSOCの同時依存）の2通りを比較し、市場価格形状の違い（例：5月と6月）による運用・劣化の差を分析する。</w:t>
      </w:r>
    </w:p>
    <w:p>
      <w:pPr>
        <w:jc w:val="left"/>
        <w:outlineLvl w:val="1"/>
      </w:pPr>
      <w:r>
        <w:rPr>
          <w:rFonts w:ascii="MS Mincho" w:hAnsi="MS Mincho" w:eastAsia="MS Mincho"/>
          <w:b/>
          <w:color w:val="000000"/>
          <w:sz w:val="24"/>
        </w:rPr>
        <w:t>1.4　本研究の貢献</w:t>
      </w:r>
    </w:p>
    <w:p>
      <w:r>
        <w:rPr>
          <w:rFonts w:ascii="MS Mincho" w:hAnsi="MS Mincho" w:eastAsia="MS Mincho"/>
          <w:color w:val="000000"/>
        </w:rPr>
        <w:t>本研究の貢献を以下に示す。</w:t>
      </w:r>
    </w:p>
    <w:p>
      <w:r>
        <w:t>・複数市場（スポット、一次、二次）を同時に扱う容量配分と運用の統合MILPを提示する。</w:t>
      </w:r>
    </w:p>
    <w:p>
      <w:r>
        <w:t>・劣化コストをピースワイズ線形で表現し、1次元モデルと2次元モデルの差を整理する。</w:t>
      </w:r>
    </w:p>
    <w:p>
      <w:r>
        <w:t>・月別価格データに基づき、価格形状の違いがSOC・DoD・総劣化量に与える影響を比較する。</w:t>
      </w:r>
    </w:p>
    <w:p>
      <w:pPr>
        <w:jc w:val="left"/>
        <w:outlineLvl w:val="1"/>
      </w:pPr>
      <w:r>
        <w:rPr>
          <w:rFonts w:ascii="MS Mincho" w:hAnsi="MS Mincho" w:eastAsia="MS Mincho"/>
          <w:b/>
          <w:color w:val="000000"/>
          <w:sz w:val="24"/>
        </w:rPr>
        <w:t>1.5　本論文の構成</w:t>
      </w:r>
    </w:p>
    <w:p>
      <w:r>
        <w:rPr>
          <w:rFonts w:ascii="MS Mincho" w:hAnsi="MS Mincho" w:eastAsia="MS Mincho"/>
          <w:color w:val="000000"/>
        </w:rPr>
        <w:t>第2章では対象市場と関連研究を整理する。第3章では提案する最適化モデルと劣化モデルの定式化を示す。第4章では数値実験の条件と結果を示し、月別価格形状による差や1次元・2次元劣化モデルの影響を考察する。第5章で結論と今後の課題を述べる。</w:t>
      </w:r>
    </w:p>
    <w:p>
      <w:r>
        <w:br w:type="page"/>
      </w:r>
    </w:p>
    <w:p/>
    <w:p/>
    <w:p/>
    <w:p/>
    <w:p/>
    <w:p/>
    <w:p/>
    <w:p/>
    <w:p/>
    <w:p>
      <w:pPr>
        <w:jc w:val="center"/>
      </w:pPr>
      <w:r>
        <w:rPr>
          <w:rFonts w:ascii="MS Mincho" w:hAnsi="MS Mincho" w:eastAsia="MS Mincho"/>
          <w:b/>
          <w:color w:val="000000"/>
          <w:sz w:val="40"/>
        </w:rPr>
        <w:t>第2章　研究対象と関連研究</w:t>
      </w:r>
    </w:p>
    <w:p>
      <w:r>
        <w:br w:type="page"/>
      </w:r>
    </w:p>
    <w:p>
      <w:pPr>
        <w:jc w:val="left"/>
        <w:outlineLvl w:val="0"/>
      </w:pPr>
      <w:r>
        <w:rPr>
          <w:rFonts w:ascii="MS Mincho" w:hAnsi="MS Mincho" w:eastAsia="MS Mincho"/>
          <w:b/>
          <w:color w:val="000000"/>
          <w:sz w:val="28"/>
        </w:rPr>
        <w:t>第2章　研究対象と関連研究</w:t>
      </w:r>
    </w:p>
    <w:p>
      <w:pPr>
        <w:jc w:val="left"/>
        <w:outlineLvl w:val="1"/>
      </w:pPr>
      <w:r>
        <w:rPr>
          <w:rFonts w:ascii="MS Mincho" w:hAnsi="MS Mincho" w:eastAsia="MS Mincho"/>
          <w:b/>
          <w:color w:val="000000"/>
          <w:sz w:val="24"/>
        </w:rPr>
        <w:t>2.1　対象とする市場と取引の概念</w:t>
      </w:r>
    </w:p>
    <w:p>
      <w:r>
        <w:rPr>
          <w:rFonts w:ascii="MS Mincho" w:hAnsi="MS Mincho" w:eastAsia="MS Mincho"/>
          <w:color w:val="000000"/>
        </w:rPr>
        <w:t>本研究では、定置用蓄電池が参加する複数市場を次の3種類に整理する。ここでは市場の制度詳細ではなく、最適化モデルに必要な最小限の取引構造のみを扱う。</w:t>
      </w:r>
    </w:p>
    <w:p>
      <w:r>
        <w:t>・スポット市場：時刻別価格に基づき売買量を決定する。</w:t>
      </w:r>
    </w:p>
    <w:p>
      <w:r>
        <w:t>・一次調整力市場：短周期の需給変動に対する応答力を容量として提供する。</w:t>
      </w:r>
    </w:p>
    <w:p>
      <w:r>
        <w:t>・二次調整力市場：一次より長い時間スケールの調整を容量として提供する。</w:t>
      </w:r>
    </w:p>
    <w:p>
      <w:r>
        <w:rPr>
          <w:rFonts w:ascii="MS Mincho" w:hAnsi="MS Mincho" w:eastAsia="MS Mincho"/>
          <w:color w:val="000000"/>
        </w:rPr>
        <w:t>調整力市場では、提供容量に応じた対価（容量価格）が得られると仮定する。実際の市場では指令追従のエネルギー成分や性能評価などが存在し得るが、本稿ではまず「容量確保により他用途に使えない制約」を中心にモデル化する（制度の詳細は要出典）。</w:t>
      </w:r>
    </w:p>
    <w:p>
      <w:pPr>
        <w:jc w:val="left"/>
        <w:outlineLvl w:val="1"/>
      </w:pPr>
      <w:r>
        <w:rPr>
          <w:rFonts w:ascii="MS Mincho" w:hAnsi="MS Mincho" w:eastAsia="MS Mincho"/>
          <w:b/>
          <w:color w:val="000000"/>
          <w:sz w:val="24"/>
        </w:rPr>
        <w:t>2.2　蓄電池運用の基礎</w:t>
      </w:r>
    </w:p>
    <w:p>
      <w:r>
        <w:rPr>
          <w:rFonts w:ascii="MS Mincho" w:hAnsi="MS Mincho" w:eastAsia="MS Mincho"/>
          <w:color w:val="000000"/>
        </w:rPr>
        <w:t>蓄電池運用は、状態量としてSOC（State of Charge）を用いて表す。SOCは蓄電池に蓄えられたエネルギー量を容量で正規化した値である。SOCは充放電によって時刻とともに変化し、上限・下限の範囲内に保つ必要がある。</w:t>
      </w:r>
    </w:p>
    <w:p>
      <w:r>
        <w:rPr>
          <w:rFonts w:ascii="MS Mincho" w:hAnsi="MS Mincho" w:eastAsia="MS Mincho"/>
          <w:color w:val="000000"/>
        </w:rPr>
        <w:t>また、インバータ等の制約により充電電力・放電電力には上限がある。さらに充放電効率を考慮すると、同じ電力でも充電と放電でSOCへの影響が異なる。このため、売買量の決定はSOCダイナミクスと一体で最適化する必要がある。</w:t>
      </w:r>
    </w:p>
    <w:p>
      <w:pPr>
        <w:jc w:val="left"/>
        <w:outlineLvl w:val="1"/>
      </w:pPr>
      <w:r>
        <w:rPr>
          <w:rFonts w:ascii="MS Mincho" w:hAnsi="MS Mincho" w:eastAsia="MS Mincho"/>
          <w:b/>
          <w:color w:val="000000"/>
          <w:sz w:val="24"/>
        </w:rPr>
        <w:t>2.3　劣化モデルとピースワイズ線形化</w:t>
      </w:r>
    </w:p>
    <w:p>
      <w:r>
        <w:rPr>
          <w:rFonts w:ascii="MS Mincho" w:hAnsi="MS Mincho" w:eastAsia="MS Mincho"/>
          <w:color w:val="000000"/>
        </w:rPr>
        <w:t>蓄電池劣化には、時間経過で進むカレンダー劣化と、充放電によるサイクル劣化がある。市場取引では短周期の充放電を繰り返しやすく、サイクル劣化の影響が大きい。本研究では、モデルの単純化のためサイクル劣化に焦点を当て、劣化を金銭コストとして目的関数に組み込む。</w:t>
      </w:r>
      <w:r>
        <w:rPr>
          <w:rFonts w:ascii="MS Mincho" w:hAnsi="MS Mincho" w:eastAsia="MS Mincho"/>
          <w:color w:val="000000"/>
          <w:vertAlign w:val="superscript"/>
        </w:rPr>
        <w:t>1</w:t>
      </w:r>
      <w:r>
        <w:rPr>
          <w:rFonts w:ascii="MS Mincho" w:hAnsi="MS Mincho" w:eastAsia="MS Mincho"/>
          <w:color w:val="000000"/>
          <w:vertAlign w:val="superscript"/>
        </w:rPr>
        <w:t>3</w:t>
      </w:r>
    </w:p>
    <w:p>
      <w:r>
        <w:rPr>
          <w:rFonts w:ascii="MS Mincho" w:hAnsi="MS Mincho" w:eastAsia="MS Mincho"/>
          <w:color w:val="000000"/>
        </w:rPr>
        <w:t>Xuらは、充放電サイクルに対する限界劣化コストをピースワイズ線形で近似し、電力市場参加の最適化に組み込む枠組みを提示した。</w:t>
      </w:r>
      <w:r>
        <w:rPr>
          <w:rFonts w:ascii="MS Mincho" w:hAnsi="MS Mincho" w:eastAsia="MS Mincho"/>
          <w:color w:val="000000"/>
          <w:vertAlign w:val="superscript"/>
        </w:rPr>
        <w:t>1</w:t>
      </w:r>
    </w:p>
    <w:p>
      <w:r>
        <w:rPr>
          <w:rFonts w:ascii="MS Mincho" w:hAnsi="MS Mincho" w:eastAsia="MS Mincho"/>
          <w:color w:val="000000"/>
        </w:rPr>
        <w:t>ピースワイズ線形化は、非線形な劣化関数を複数の線分（あるいは平面片）で近似し、MILPとして解ける形に落とし込むための代表的な方法である。本研究では、以下の2種類を比較する。</w:t>
      </w:r>
    </w:p>
    <w:p>
      <w:r>
        <w:t>・1次元ピースワイズ：主にDoD（放電深度）に依存する劣化コストを線分で近似する。</w:t>
      </w:r>
    </w:p>
    <w:p>
      <w:r>
        <w:t>・2次元ピースワイズ：DoDとSOC（または平均SOC）の両方に依存する劣化コストを平面片で近似する。</w:t>
      </w:r>
    </w:p>
    <w:p>
      <w:r>
        <w:rPr>
          <w:rFonts w:ascii="MS Mincho" w:hAnsi="MS Mincho" w:eastAsia="MS Mincho"/>
          <w:color w:val="000000"/>
        </w:rPr>
        <w:t>2次元化は表現力が高い一方、区画選択のための整数変数や制約が増え計算量が増加する。そのため、計算量と近似精度のトレードオフを整理する必要がある。</w:t>
      </w:r>
      <w:r>
        <w:rPr>
          <w:rFonts w:ascii="MS Mincho" w:hAnsi="MS Mincho" w:eastAsia="MS Mincho"/>
          <w:color w:val="000000"/>
          <w:vertAlign w:val="superscript"/>
        </w:rPr>
        <w:t>4</w:t>
      </w:r>
    </w:p>
    <w:p>
      <w:pPr>
        <w:jc w:val="left"/>
        <w:outlineLvl w:val="1"/>
      </w:pPr>
      <w:r>
        <w:rPr>
          <w:rFonts w:ascii="MS Mincho" w:hAnsi="MS Mincho" w:eastAsia="MS Mincho"/>
          <w:b/>
          <w:color w:val="000000"/>
          <w:sz w:val="24"/>
        </w:rPr>
        <w:t>2.4　関連研究と本研究の位置付け</w:t>
      </w:r>
    </w:p>
    <w:p>
      <w:r>
        <w:rPr>
          <w:rFonts w:ascii="MS Mincho" w:hAnsi="MS Mincho" w:eastAsia="MS Mincho"/>
          <w:color w:val="000000"/>
        </w:rPr>
        <w:t>蓄電池の市場参加に関する研究は、スポット裁定、周波数調整（レギュレーション）、予備力、需給調整など多岐にわたる。複数市場の同時入札を扱う研究として、共同最適化やシナリオを用いるモデルが提案されている。</w:t>
      </w:r>
      <w:r>
        <w:rPr>
          <w:rFonts w:ascii="MS Mincho" w:hAnsi="MS Mincho" w:eastAsia="MS Mincho"/>
          <w:color w:val="000000"/>
          <w:vertAlign w:val="superscript"/>
        </w:rPr>
        <w:t>2</w:t>
      </w:r>
      <w:r>
        <w:rPr>
          <w:rFonts w:ascii="MS Mincho" w:hAnsi="MS Mincho" w:eastAsia="MS Mincho"/>
          <w:color w:val="000000"/>
          <w:vertAlign w:val="superscript"/>
        </w:rPr>
        <w:t>5</w:t>
      </w:r>
    </w:p>
    <w:p>
      <w:r>
        <w:rPr>
          <w:rFonts w:ascii="MS Mincho" w:hAnsi="MS Mincho" w:eastAsia="MS Mincho"/>
          <w:color w:val="000000"/>
        </w:rPr>
        <w:t>また、劣化を考慮した運用最適化として、実測データに基づく非線形劣化をMILP互換にする方法や、エネルギー裁定と調整力を同時に扱う健康（SoH）考慮モデルが報告されている。</w:t>
      </w:r>
      <w:r>
        <w:rPr>
          <w:rFonts w:ascii="MS Mincho" w:hAnsi="MS Mincho" w:eastAsia="MS Mincho"/>
          <w:color w:val="000000"/>
          <w:vertAlign w:val="superscript"/>
        </w:rPr>
        <w:t>4</w:t>
      </w:r>
      <w:r>
        <w:rPr>
          <w:rFonts w:ascii="MS Mincho" w:hAnsi="MS Mincho" w:eastAsia="MS Mincho"/>
          <w:color w:val="000000"/>
          <w:vertAlign w:val="superscript"/>
        </w:rPr>
        <w:t>6</w:t>
      </w:r>
    </w:p>
    <w:p>
      <w:r>
        <w:rPr>
          <w:rFonts w:ascii="MS Mincho" w:hAnsi="MS Mincho" w:eastAsia="MS Mincho"/>
          <w:color w:val="000000"/>
        </w:rPr>
        <w:t>これらに対し本研究は、(i) 容量配分（同時参加）を明示的にモデル化し、(ii) 1次元・2次元ピースワイズを比較し、(iii) 月別価格の形状差が劣化と収益に与える影響を整理する点に特徴がある。</w:t>
      </w:r>
    </w:p>
    <w:p>
      <w:pPr>
        <w:jc w:val="left"/>
        <w:outlineLvl w:val="1"/>
      </w:pPr>
      <w:r>
        <w:rPr>
          <w:rFonts w:ascii="MS Mincho" w:hAnsi="MS Mincho" w:eastAsia="MS Mincho"/>
          <w:b/>
          <w:color w:val="000000"/>
          <w:sz w:val="24"/>
        </w:rPr>
        <w:t>2.5　ピースワイズ線形の概念図</w:t>
      </w:r>
    </w:p>
    <w:p>
      <w:r>
        <w:rPr>
          <w:rFonts w:ascii="MS Mincho" w:hAnsi="MS Mincho" w:eastAsia="MS Mincho"/>
          <w:color w:val="000000"/>
        </w:rPr>
        <w:t>図2.1に、曲線を複数の線分で近似する概念図を示す。</w:t>
      </w:r>
    </w:p>
    <w:p>
      <w:r>
        <w:drawing>
          <wp:inline xmlns:a="http://schemas.openxmlformats.org/drawingml/2006/main" xmlns:pic="http://schemas.openxmlformats.org/drawingml/2006/picture">
            <wp:extent cx="5760000" cy="2887599"/>
            <wp:docPr id="1" name="Picture 1"/>
            <wp:cNvGraphicFramePr>
              <a:graphicFrameLocks noChangeAspect="1"/>
            </wp:cNvGraphicFramePr>
            <a:graphic>
              <a:graphicData uri="http://schemas.openxmlformats.org/drawingml/2006/picture">
                <pic:pic>
                  <pic:nvPicPr>
                    <pic:cNvPr id="0" name="電力最適化_中間発表_v4_s09_04.png"/>
                    <pic:cNvPicPr/>
                  </pic:nvPicPr>
                  <pic:blipFill>
                    <a:blip r:embed="rId11"/>
                    <a:stretch>
                      <a:fillRect/>
                    </a:stretch>
                  </pic:blipFill>
                  <pic:spPr>
                    <a:xfrm>
                      <a:off x="0" y="0"/>
                      <a:ext cx="5760000" cy="2887599"/>
                    </a:xfrm>
                    <a:prstGeom prst="rect"/>
                  </pic:spPr>
                </pic:pic>
              </a:graphicData>
            </a:graphic>
          </wp:inline>
        </w:drawing>
      </w:r>
    </w:p>
    <w:p>
      <w:pPr>
        <w:jc w:val="center"/>
      </w:pPr>
      <w:r>
        <w:t>図2.1　ピースワイズ線形近似の概念図（黒白）</w:t>
      </w:r>
    </w:p>
    <w:p>
      <w:r>
        <w:br w:type="page"/>
      </w:r>
    </w:p>
    <w:p/>
    <w:p/>
    <w:p/>
    <w:p/>
    <w:p/>
    <w:p/>
    <w:p/>
    <w:p/>
    <w:p/>
    <w:p>
      <w:pPr>
        <w:jc w:val="center"/>
      </w:pPr>
      <w:r>
        <w:rPr>
          <w:rFonts w:ascii="MS Mincho" w:hAnsi="MS Mincho" w:eastAsia="MS Mincho"/>
          <w:b/>
          <w:color w:val="000000"/>
          <w:sz w:val="40"/>
        </w:rPr>
        <w:t>第3章　最適化モデル</w:t>
      </w:r>
    </w:p>
    <w:p>
      <w:r>
        <w:br w:type="page"/>
      </w:r>
    </w:p>
    <w:p>
      <w:pPr>
        <w:jc w:val="left"/>
        <w:outlineLvl w:val="0"/>
      </w:pPr>
      <w:r>
        <w:rPr>
          <w:rFonts w:ascii="MS Mincho" w:hAnsi="MS Mincho" w:eastAsia="MS Mincho"/>
          <w:b/>
          <w:color w:val="000000"/>
          <w:sz w:val="28"/>
        </w:rPr>
        <w:t>第3章　最適化モデル</w:t>
      </w:r>
    </w:p>
    <w:p>
      <w:pPr>
        <w:jc w:val="left"/>
        <w:outlineLvl w:val="1"/>
      </w:pPr>
      <w:r>
        <w:rPr>
          <w:rFonts w:ascii="MS Mincho" w:hAnsi="MS Mincho" w:eastAsia="MS Mincho"/>
          <w:b/>
          <w:color w:val="000000"/>
          <w:sz w:val="24"/>
        </w:rPr>
        <w:t>3.1　時間離散化と記号</w:t>
      </w:r>
    </w:p>
    <w:p>
      <w:r>
        <w:rPr>
          <w:rFonts w:ascii="MS Mincho" w:hAnsi="MS Mincho" w:eastAsia="MS Mincho"/>
          <w:color w:val="000000"/>
        </w:rPr>
        <w:t>運用期間を等間隔の離散時刻 t=1,2,...,T に分割し、各時刻で売買量および提供容量を決定する。時刻間隔をΔt[h]とする（本研究で用いたΔtは要追記）。</w:t>
      </w:r>
    </w:p>
    <w:p>
      <w:r>
        <w:rPr>
          <w:rFonts w:ascii="MS Mincho" w:hAnsi="MS Mincho" w:eastAsia="MS Mincho"/>
          <w:color w:val="000000"/>
        </w:rPr>
        <w:t>本章では、表記ゆれを避けるため、主要な記号を次のように定義する。</w:t>
      </w:r>
    </w:p>
    <w:tbl>
      <w:tblPr>
        <w:tblW w:type="auto" w:w="0"/>
        <w:tblLook w:firstColumn="1" w:firstRow="1" w:lastColumn="0" w:lastRow="0" w:noHBand="0" w:noVBand="1" w:val="04A0"/>
      </w:tblPr>
      <w:tblGrid>
        <w:gridCol w:w="4536"/>
        <w:gridCol w:w="4536"/>
      </w:tblGrid>
      <w:tr>
        <w:tc>
          <w:tcPr>
            <w:tcW w:type="dxa" w:w="4536"/>
          </w:tcPr>
          <w:p>
            <w:r>
              <w:t>記号</w:t>
            </w:r>
          </w:p>
        </w:tc>
        <w:tc>
          <w:tcPr>
            <w:tcW w:type="dxa" w:w="4536"/>
          </w:tcPr>
          <w:p>
            <w:r>
              <w:t>意味</w:t>
            </w:r>
          </w:p>
        </w:tc>
      </w:tr>
      <w:tr>
        <w:tc>
          <w:tcPr>
            <w:tcW w:type="dxa" w:w="4536"/>
          </w:tcPr>
          <w:p>
            <w:r>
              <w:t>B_const</w:t>
            </w:r>
          </w:p>
        </w:tc>
        <w:tc>
          <w:tcPr>
            <w:tcW w:type="dxa" w:w="4536"/>
          </w:tcPr>
          <w:p>
            <w:r>
              <w:t>蓄電池の定格エネルギー容量 [kWh]</w:t>
            </w:r>
          </w:p>
        </w:tc>
      </w:tr>
      <w:tr>
        <w:tc>
          <w:tcPr>
            <w:tcW w:type="dxa" w:w="4536"/>
          </w:tcPr>
          <w:p>
            <w:r>
              <w:t>P_max</w:t>
            </w:r>
          </w:p>
        </w:tc>
        <w:tc>
          <w:tcPr>
            <w:tcW w:type="dxa" w:w="4536"/>
          </w:tcPr>
          <w:p>
            <w:r>
              <w:t>充電・放電の最大電力 [kW]</w:t>
            </w:r>
          </w:p>
        </w:tc>
      </w:tr>
      <w:tr>
        <w:tc>
          <w:tcPr>
            <w:tcW w:type="dxa" w:w="4536"/>
          </w:tcPr>
          <w:p>
            <w:r>
              <w:t>SOC_t</w:t>
            </w:r>
          </w:p>
        </w:tc>
        <w:tc>
          <w:tcPr>
            <w:tcW w:type="dxa" w:w="4536"/>
          </w:tcPr>
          <w:p>
            <w:r>
              <w:t>時刻tにおけるSOC [-]</w:t>
            </w:r>
          </w:p>
        </w:tc>
      </w:tr>
      <w:tr>
        <w:tc>
          <w:tcPr>
            <w:tcW w:type="dxa" w:w="4536"/>
          </w:tcPr>
          <w:p>
            <w:r>
              <w:t>η_ch, η_dis</w:t>
            </w:r>
          </w:p>
        </w:tc>
        <w:tc>
          <w:tcPr>
            <w:tcW w:type="dxa" w:w="4536"/>
          </w:tcPr>
          <w:p>
            <w:r>
              <w:t>充電効率・放電効率 [-]</w:t>
            </w:r>
          </w:p>
        </w:tc>
      </w:tr>
      <w:tr>
        <w:tc>
          <w:tcPr>
            <w:tcW w:type="dxa" w:w="4536"/>
          </w:tcPr>
          <w:p>
            <w:r>
              <w:t>p_t</w:t>
            </w:r>
          </w:p>
        </w:tc>
        <w:tc>
          <w:tcPr>
            <w:tcW w:type="dxa" w:w="4536"/>
          </w:tcPr>
          <w:p>
            <w:r>
              <w:t>スポット市場の価格 [円/kWh]</w:t>
            </w:r>
          </w:p>
        </w:tc>
      </w:tr>
      <w:tr>
        <w:tc>
          <w:tcPr>
            <w:tcW w:type="dxa" w:w="4536"/>
          </w:tcPr>
          <w:p>
            <w:r>
              <w:t>c1_t, c2_t</w:t>
            </w:r>
          </w:p>
        </w:tc>
        <w:tc>
          <w:tcPr>
            <w:tcW w:type="dxa" w:w="4536"/>
          </w:tcPr>
          <w:p>
            <w:r>
              <w:t>一次・二次調整力の容量価格 [円/kW]</w:t>
            </w:r>
          </w:p>
        </w:tc>
      </w:tr>
      <w:tr>
        <w:tc>
          <w:tcPr>
            <w:tcW w:type="dxa" w:w="4536"/>
          </w:tcPr>
          <w:p>
            <w:r>
              <w:t>k0, k1, k2</w:t>
            </w:r>
          </w:p>
        </w:tc>
        <w:tc>
          <w:tcPr>
            <w:tcW w:type="dxa" w:w="4536"/>
          </w:tcPr>
          <w:p>
            <w:r>
              <w:t>スポット・一次・二次へ配分する容量（または割合）</w:t>
            </w:r>
          </w:p>
        </w:tc>
      </w:tr>
      <w:tr>
        <w:tc>
          <w:tcPr>
            <w:tcW w:type="dxa" w:w="4536"/>
          </w:tcPr>
          <w:p>
            <w:r>
              <w:t>D_t</w:t>
            </w:r>
          </w:p>
        </w:tc>
        <w:tc>
          <w:tcPr>
            <w:tcW w:type="dxa" w:w="4536"/>
          </w:tcPr>
          <w:p>
            <w:r>
              <w:t>時刻tにおける劣化指標（コスト換算前）</w:t>
            </w:r>
          </w:p>
        </w:tc>
      </w:tr>
      <w:tr>
        <w:tc>
          <w:tcPr>
            <w:tcW w:type="dxa" w:w="4536"/>
          </w:tcPr>
          <w:p>
            <w:r>
              <w:t>C_deg</w:t>
            </w:r>
          </w:p>
        </w:tc>
        <w:tc>
          <w:tcPr>
            <w:tcW w:type="dxa" w:w="4536"/>
          </w:tcPr>
          <w:p>
            <w:r>
              <w:t>劣化コスト [円]</w:t>
            </w:r>
          </w:p>
        </w:tc>
      </w:tr>
    </w:tbl>
    <w:p>
      <w:pPr>
        <w:jc w:val="left"/>
        <w:outlineLvl w:val="1"/>
      </w:pPr>
      <w:r>
        <w:rPr>
          <w:rFonts w:ascii="MS Mincho" w:hAnsi="MS Mincho" w:eastAsia="MS Mincho"/>
          <w:b/>
          <w:color w:val="000000"/>
          <w:sz w:val="24"/>
        </w:rPr>
        <w:t>3.2　意思決定変数</w:t>
      </w:r>
    </w:p>
    <w:p>
      <w:r>
        <w:rPr>
          <w:rFonts w:ascii="MS Mincho" w:hAnsi="MS Mincho" w:eastAsia="MS Mincho"/>
          <w:color w:val="000000"/>
        </w:rPr>
        <w:t>主な意思決定変数を以下に示す。詳細な変数定義は実装に合わせて付録に整理する（要追記）。</w:t>
      </w:r>
    </w:p>
    <w:p>
      <w:r>
        <w:t>・スポット市場の充電電力 P_ch,t [kW]、放電電力 P_dis,t [kW]</w:t>
      </w:r>
    </w:p>
    <w:p>
      <w:r>
        <w:t>・一次調整力の提供容量 R1_t [kW]、二次調整力の提供容量 R2_t [kW]</w:t>
      </w:r>
    </w:p>
    <w:p>
      <w:r>
        <w:t>・SOC_t（状態変数）</w:t>
      </w:r>
    </w:p>
    <w:p>
      <w:r>
        <w:t>・市場配分変数 k0,k1,k2（容量または割合）</w:t>
      </w:r>
    </w:p>
    <w:p>
      <w:r>
        <w:t>・（必要に応じて）充放電の同時発生を防ぐ二値変数 u_t</w:t>
      </w:r>
    </w:p>
    <w:p>
      <w:pPr>
        <w:jc w:val="left"/>
        <w:outlineLvl w:val="1"/>
      </w:pPr>
      <w:r>
        <w:rPr>
          <w:rFonts w:ascii="MS Mincho" w:hAnsi="MS Mincho" w:eastAsia="MS Mincho"/>
          <w:b/>
          <w:color w:val="000000"/>
          <w:sz w:val="24"/>
        </w:rPr>
        <w:t>3.3　目的関数</w:t>
      </w:r>
    </w:p>
    <w:p>
      <w:r>
        <w:rPr>
          <w:rFonts w:ascii="MS Mincho" w:hAnsi="MS Mincho" w:eastAsia="MS Mincho"/>
          <w:color w:val="000000"/>
        </w:rPr>
        <w:t>本研究では、運用期間全体の純利益を最大化する。純利益は、スポット市場の売電収入と買電費用、調整力市場の容量収入、および劣化コストから構成される。</w:t>
      </w:r>
    </w:p>
    <w:p>
      <w:r>
        <w:rPr>
          <w:rFonts w:ascii="MS Mincho" w:hAnsi="MS Mincho" w:eastAsia="MS Mincho"/>
          <w:color w:val="000000"/>
        </w:rPr>
        <w:t>目的関数の例を以下に示す（制度・単位の整合は要確認）。</w:t>
      </w:r>
    </w:p>
    <w:p>
      <w:r>
        <w:rPr>
          <w:rFonts w:ascii="MS Mincho" w:hAnsi="MS Mincho" w:eastAsia="MS Mincho"/>
          <w:color w:val="000000"/>
        </w:rPr>
        <w:t>Max  Σ_t { p_t (P_dis,t - P_ch,t) Δt  +  c1_t R1_t Δt  +  c2_t R2_t Δt }  -  C_deg</w:t>
      </w:r>
    </w:p>
    <w:p>
      <w:r>
        <w:rPr>
          <w:rFonts w:ascii="MS Mincho" w:hAnsi="MS Mincho" w:eastAsia="MS Mincho"/>
          <w:color w:val="000000"/>
        </w:rPr>
        <w:t>ここで C_deg は劣化コストであり、後述の劣化モデルに基づき C_deg=Σ_t f(D_t) として計算する。劣化コストを入れないケースは f(D_t)=0 とする。</w:t>
      </w:r>
      <w:r>
        <w:rPr>
          <w:rFonts w:ascii="MS Mincho" w:hAnsi="MS Mincho" w:eastAsia="MS Mincho"/>
          <w:color w:val="000000"/>
          <w:vertAlign w:val="superscript"/>
        </w:rPr>
        <w:t>1</w:t>
      </w:r>
      <w:r>
        <w:rPr>
          <w:rFonts w:ascii="MS Mincho" w:hAnsi="MS Mincho" w:eastAsia="MS Mincho"/>
          <w:color w:val="000000"/>
          <w:vertAlign w:val="superscript"/>
        </w:rPr>
        <w:t>3</w:t>
      </w:r>
    </w:p>
    <w:p>
      <w:pPr>
        <w:jc w:val="left"/>
        <w:outlineLvl w:val="1"/>
      </w:pPr>
      <w:r>
        <w:rPr>
          <w:rFonts w:ascii="MS Mincho" w:hAnsi="MS Mincho" w:eastAsia="MS Mincho"/>
          <w:b/>
          <w:color w:val="000000"/>
          <w:sz w:val="24"/>
        </w:rPr>
        <w:t>3.4　制約条件</w:t>
      </w:r>
    </w:p>
    <w:p>
      <w:pPr>
        <w:jc w:val="left"/>
        <w:outlineLvl w:val="2"/>
      </w:pPr>
      <w:r>
        <w:rPr>
          <w:rFonts w:ascii="MS Mincho" w:hAnsi="MS Mincho" w:eastAsia="MS Mincho"/>
          <w:b/>
          <w:color w:val="000000"/>
          <w:sz w:val="24"/>
        </w:rPr>
        <w:t>3.4.1　SOCの更新式</w:t>
      </w:r>
    </w:p>
    <w:p>
      <w:r>
        <w:rPr>
          <w:rFonts w:ascii="MS Mincho" w:hAnsi="MS Mincho" w:eastAsia="MS Mincho"/>
          <w:color w:val="000000"/>
        </w:rPr>
        <w:t>SOCのダイナミクスを次式で表す。</w:t>
      </w:r>
    </w:p>
    <w:p>
      <w:r>
        <w:rPr>
          <w:rFonts w:ascii="MS Mincho" w:hAnsi="MS Mincho" w:eastAsia="MS Mincho"/>
          <w:color w:val="000000"/>
        </w:rPr>
        <w:t>SOC_{t+1} = SOC_t + (η_ch P_ch,t - P_dis,t/η_dis) Δt / B_const</w:t>
      </w:r>
    </w:p>
    <w:p>
      <w:r>
        <w:rPr>
          <w:rFonts w:ascii="MS Mincho" w:hAnsi="MS Mincho" w:eastAsia="MS Mincho"/>
          <w:color w:val="000000"/>
        </w:rPr>
        <w:t>SOC_1 は初期SOCである。日次運用の比較を容易にするため、終端でSOCを初期値に戻す制約を課す場合がある（図3.1）。</w:t>
      </w:r>
    </w:p>
    <w:p>
      <w:r>
        <w:drawing>
          <wp:inline xmlns:a="http://schemas.openxmlformats.org/drawingml/2006/main" xmlns:pic="http://schemas.openxmlformats.org/drawingml/2006/picture">
            <wp:extent cx="5760000" cy="1502041"/>
            <wp:docPr id="2" name="Picture 2"/>
            <wp:cNvGraphicFramePr>
              <a:graphicFrameLocks noChangeAspect="1"/>
            </wp:cNvGraphicFramePr>
            <a:graphic>
              <a:graphicData uri="http://schemas.openxmlformats.org/drawingml/2006/picture">
                <pic:pic>
                  <pic:nvPicPr>
                    <pic:cNvPr id="0" name="電力最適化_中間発表_v4_s14_02.png"/>
                    <pic:cNvPicPr/>
                  </pic:nvPicPr>
                  <pic:blipFill>
                    <a:blip r:embed="rId12"/>
                    <a:stretch>
                      <a:fillRect/>
                    </a:stretch>
                  </pic:blipFill>
                  <pic:spPr>
                    <a:xfrm>
                      <a:off x="0" y="0"/>
                      <a:ext cx="5760000" cy="1502041"/>
                    </a:xfrm>
                    <a:prstGeom prst="rect"/>
                  </pic:spPr>
                </pic:pic>
              </a:graphicData>
            </a:graphic>
          </wp:inline>
        </w:drawing>
      </w:r>
    </w:p>
    <w:p>
      <w:pPr>
        <w:jc w:val="center"/>
      </w:pPr>
      <w:r>
        <w:t>図3.1　日次運用におけるSOC終端条件と区画選択制約の例（黒白）</w:t>
      </w:r>
    </w:p>
    <w:p>
      <w:pPr>
        <w:jc w:val="left"/>
        <w:outlineLvl w:val="2"/>
      </w:pPr>
      <w:r>
        <w:rPr>
          <w:rFonts w:ascii="MS Mincho" w:hAnsi="MS Mincho" w:eastAsia="MS Mincho"/>
          <w:b/>
          <w:color w:val="000000"/>
          <w:sz w:val="24"/>
        </w:rPr>
        <w:t>3.4.2　SOC・電力の上下限制約</w:t>
      </w:r>
    </w:p>
    <w:p>
      <w:r>
        <w:rPr>
          <w:rFonts w:ascii="MS Mincho" w:hAnsi="MS Mincho" w:eastAsia="MS Mincho"/>
          <w:color w:val="000000"/>
        </w:rPr>
        <w:t>SOCは安全運用のため上下限を設ける。</w:t>
      </w:r>
    </w:p>
    <w:p>
      <w:r>
        <w:rPr>
          <w:rFonts w:ascii="MS Mincho" w:hAnsi="MS Mincho" w:eastAsia="MS Mincho"/>
          <w:color w:val="000000"/>
        </w:rPr>
        <w:t>SOC_min ≤ SOC_t ≤ SOC_max</w:t>
      </w:r>
    </w:p>
    <w:p>
      <w:r>
        <w:rPr>
          <w:rFonts w:ascii="MS Mincho" w:hAnsi="MS Mincho" w:eastAsia="MS Mincho"/>
          <w:color w:val="000000"/>
        </w:rPr>
        <w:t>充電電力・放電電力は次の範囲に制限する。</w:t>
      </w:r>
    </w:p>
    <w:p>
      <w:r>
        <w:rPr>
          <w:rFonts w:ascii="MS Mincho" w:hAnsi="MS Mincho" w:eastAsia="MS Mincho"/>
          <w:color w:val="000000"/>
        </w:rPr>
        <w:t>0 ≤ P_ch,t ≤ P_max,    0 ≤ P_dis,t ≤ P_max</w:t>
      </w:r>
    </w:p>
    <w:p>
      <w:r>
        <w:rPr>
          <w:rFonts w:ascii="MS Mincho" w:hAnsi="MS Mincho" w:eastAsia="MS Mincho"/>
          <w:color w:val="000000"/>
        </w:rPr>
        <w:t>さらに、同一時刻に充電と放電が同時に発生しないよう二値変数 u_t を用いて、P_ch,t ≤ u_t P_max,  P_dis,t ≤ (1-u_t) P_max のような制約を課す（必要に応じて採用）。</w:t>
      </w:r>
    </w:p>
    <w:p>
      <w:pPr>
        <w:jc w:val="left"/>
        <w:outlineLvl w:val="2"/>
      </w:pPr>
      <w:r>
        <w:rPr>
          <w:rFonts w:ascii="MS Mincho" w:hAnsi="MS Mincho" w:eastAsia="MS Mincho"/>
          <w:b/>
          <w:color w:val="000000"/>
          <w:sz w:val="24"/>
        </w:rPr>
        <w:t>3.4.3　複数市場の容量配分制約</w:t>
      </w:r>
    </w:p>
    <w:p>
      <w:r>
        <w:rPr>
          <w:rFonts w:ascii="MS Mincho" w:hAnsi="MS Mincho" w:eastAsia="MS Mincho"/>
          <w:color w:val="000000"/>
        </w:rPr>
        <w:t>複数市場に同時参加するため、同じ蓄電池容量を二重に使えない制約を導入する。本研究では、総容量 B_const をスポット・一次・二次の3用途へ配分する変数 k0,k1,k2 を用い、k0+k1+k2 = B_const を課す。</w:t>
      </w:r>
    </w:p>
    <w:p>
      <w:r>
        <w:rPr>
          <w:rFonts w:ascii="MS Mincho" w:hAnsi="MS Mincho" w:eastAsia="MS Mincho"/>
          <w:color w:val="000000"/>
        </w:rPr>
        <w:t>また、各市場で必要となるSOC範囲や確保容量の条件を k0,k1,k2 と結び付け、スポットの裁定取引量や調整力提供容量が過大にならないようにする。</w:t>
      </w:r>
    </w:p>
    <w:p>
      <w:r>
        <w:drawing>
          <wp:inline xmlns:a="http://schemas.openxmlformats.org/drawingml/2006/main" xmlns:pic="http://schemas.openxmlformats.org/drawingml/2006/picture">
            <wp:extent cx="5760000" cy="2929484"/>
            <wp:docPr id="3" name="Picture 3"/>
            <wp:cNvGraphicFramePr>
              <a:graphicFrameLocks noChangeAspect="1"/>
            </wp:cNvGraphicFramePr>
            <a:graphic>
              <a:graphicData uri="http://schemas.openxmlformats.org/drawingml/2006/picture">
                <pic:pic>
                  <pic:nvPicPr>
                    <pic:cNvPr id="0" name="電力最適化_中間発表_v4_s12_03.png"/>
                    <pic:cNvPicPr/>
                  </pic:nvPicPr>
                  <pic:blipFill>
                    <a:blip r:embed="rId13"/>
                    <a:stretch>
                      <a:fillRect/>
                    </a:stretch>
                  </pic:blipFill>
                  <pic:spPr>
                    <a:xfrm>
                      <a:off x="0" y="0"/>
                      <a:ext cx="5760000" cy="2929484"/>
                    </a:xfrm>
                    <a:prstGeom prst="rect"/>
                  </pic:spPr>
                </pic:pic>
              </a:graphicData>
            </a:graphic>
          </wp:inline>
        </w:drawing>
      </w:r>
    </w:p>
    <w:p>
      <w:pPr>
        <w:jc w:val="center"/>
      </w:pPr>
      <w:r>
        <w:t>図3.2　容量配分（k0,k1,k2）とB_constの関係（黒白）</w:t>
      </w:r>
    </w:p>
    <w:p>
      <w:pPr>
        <w:jc w:val="left"/>
        <w:outlineLvl w:val="1"/>
      </w:pPr>
      <w:r>
        <w:rPr>
          <w:rFonts w:ascii="MS Mincho" w:hAnsi="MS Mincho" w:eastAsia="MS Mincho"/>
          <w:b/>
          <w:color w:val="000000"/>
          <w:sz w:val="24"/>
        </w:rPr>
        <w:t>3.5　劣化モデルの定式化</w:t>
      </w:r>
    </w:p>
    <w:p>
      <w:pPr>
        <w:jc w:val="left"/>
        <w:outlineLvl w:val="2"/>
      </w:pPr>
      <w:r>
        <w:rPr>
          <w:rFonts w:ascii="MS Mincho" w:hAnsi="MS Mincho" w:eastAsia="MS Mincho"/>
          <w:b/>
          <w:color w:val="000000"/>
          <w:sz w:val="24"/>
        </w:rPr>
        <w:t>3.5.1　1次元ピースワイズ劣化モデル</w:t>
      </w:r>
    </w:p>
    <w:p>
      <w:r>
        <w:rPr>
          <w:rFonts w:ascii="MS Mincho" w:hAnsi="MS Mincho" w:eastAsia="MS Mincho"/>
          <w:color w:val="000000"/>
        </w:rPr>
        <w:t>1次元モデルでは、充放電の深さ（DoD）に応じて限界劣化コストが増加するという経験則を採用する。DoDを複数の区間に分割し、区間ごとに線形の傾き（限界コスト）を定める。</w:t>
      </w:r>
      <w:r>
        <w:rPr>
          <w:rFonts w:ascii="MS Mincho" w:hAnsi="MS Mincho" w:eastAsia="MS Mincho"/>
          <w:color w:val="000000"/>
          <w:vertAlign w:val="superscript"/>
        </w:rPr>
        <w:t>1</w:t>
      </w:r>
      <w:r>
        <w:rPr>
          <w:rFonts w:ascii="MS Mincho" w:hAnsi="MS Mincho" w:eastAsia="MS Mincho"/>
          <w:color w:val="000000"/>
          <w:vertAlign w:val="superscript"/>
        </w:rPr>
        <w:t>3</w:t>
      </w:r>
    </w:p>
    <w:p>
      <w:r>
        <w:rPr>
          <w:rFonts w:ascii="MS Mincho" w:hAnsi="MS Mincho" w:eastAsia="MS Mincho"/>
          <w:color w:val="000000"/>
        </w:rPr>
        <w:t>MILPとして扱うため、DoDを区間ごとの変数の和として表し、その区間に対応する劣化コストを線形で計算する。このとき区間の連続性を保つためにSOS2制約や区画選択変数を利用する（実装に応じて要追記）。</w:t>
      </w:r>
    </w:p>
    <w:p>
      <w:pPr>
        <w:jc w:val="left"/>
        <w:outlineLvl w:val="2"/>
      </w:pPr>
      <w:r>
        <w:rPr>
          <w:rFonts w:ascii="MS Mincho" w:hAnsi="MS Mincho" w:eastAsia="MS Mincho"/>
          <w:b/>
          <w:color w:val="000000"/>
          <w:sz w:val="24"/>
        </w:rPr>
        <w:t>3.5.2　2次元ピースワイズ劣化モデル</w:t>
      </w:r>
    </w:p>
    <w:p>
      <w:r>
        <w:rPr>
          <w:rFonts w:ascii="MS Mincho" w:hAnsi="MS Mincho" w:eastAsia="MS Mincho"/>
          <w:color w:val="000000"/>
        </w:rPr>
        <w:t>2次元モデルでは、劣化がDoDだけでなくSOC水準にも依存する場合を表現する。例えば高SOC領域での充放電は劣化が大きいとされ、平均SOCを考慮したモデルが提案されている。</w:t>
      </w:r>
      <w:r>
        <w:rPr>
          <w:rFonts w:ascii="MS Mincho" w:hAnsi="MS Mincho" w:eastAsia="MS Mincho"/>
          <w:color w:val="000000"/>
          <w:vertAlign w:val="superscript"/>
        </w:rPr>
        <w:t>3</w:t>
      </w:r>
      <w:r>
        <w:rPr>
          <w:rFonts w:ascii="MS Mincho" w:hAnsi="MS Mincho" w:eastAsia="MS Mincho"/>
          <w:color w:val="000000"/>
          <w:vertAlign w:val="superscript"/>
        </w:rPr>
        <w:t>6</w:t>
      </w:r>
    </w:p>
    <w:p>
      <w:r>
        <w:rPr>
          <w:rFonts w:ascii="MS Mincho" w:hAnsi="MS Mincho" w:eastAsia="MS Mincho"/>
          <w:color w:val="000000"/>
        </w:rPr>
        <w:t>DoDとSOCの平面を格子に分割し、各セルをさらに三角形に分割して平面片で近似する。セル（または三角形）の選択を二値変数で表し、選択された領域の頂点値の凸結合として劣化量を表す。</w:t>
      </w:r>
    </w:p>
    <w:p>
      <w:r>
        <w:drawing>
          <wp:inline xmlns:a="http://schemas.openxmlformats.org/drawingml/2006/main" xmlns:pic="http://schemas.openxmlformats.org/drawingml/2006/picture">
            <wp:extent cx="5760000" cy="2646486"/>
            <wp:docPr id="4" name="Picture 4"/>
            <wp:cNvGraphicFramePr>
              <a:graphicFrameLocks noChangeAspect="1"/>
            </wp:cNvGraphicFramePr>
            <a:graphic>
              <a:graphicData uri="http://schemas.openxmlformats.org/drawingml/2006/picture">
                <pic:pic>
                  <pic:nvPicPr>
                    <pic:cNvPr id="0" name="電力最適化_中間発表_v4_s12_02.png"/>
                    <pic:cNvPicPr/>
                  </pic:nvPicPr>
                  <pic:blipFill>
                    <a:blip r:embed="rId14"/>
                    <a:stretch>
                      <a:fillRect/>
                    </a:stretch>
                  </pic:blipFill>
                  <pic:spPr>
                    <a:xfrm>
                      <a:off x="0" y="0"/>
                      <a:ext cx="5760000" cy="2646486"/>
                    </a:xfrm>
                    <a:prstGeom prst="rect"/>
                  </pic:spPr>
                </pic:pic>
              </a:graphicData>
            </a:graphic>
          </wp:inline>
        </w:drawing>
      </w:r>
    </w:p>
    <w:p>
      <w:pPr>
        <w:jc w:val="center"/>
      </w:pPr>
      <w:r>
        <w:t>図3.3　2次元ピースワイズの区画選択制約例（黒白）</w:t>
      </w:r>
    </w:p>
    <w:p>
      <w:pPr>
        <w:jc w:val="left"/>
        <w:outlineLvl w:val="1"/>
      </w:pPr>
      <w:r>
        <w:rPr>
          <w:rFonts w:ascii="MS Mincho" w:hAnsi="MS Mincho" w:eastAsia="MS Mincho"/>
          <w:b/>
          <w:color w:val="000000"/>
          <w:sz w:val="24"/>
        </w:rPr>
        <w:t>3.6　解法と実装</w:t>
      </w:r>
    </w:p>
    <w:p>
      <w:r>
        <w:rPr>
          <w:rFonts w:ascii="MS Mincho" w:hAnsi="MS Mincho" w:eastAsia="MS Mincho"/>
          <w:color w:val="000000"/>
        </w:rPr>
        <w:t>提案モデルは混合整数線形計画として定式化し、商用ソルバで解く。本研究ではPython環境からMILPソルバ（例：Gurobi）を呼び出して最適解を求めた（使用ソルバの詳細は要追記）。</w:t>
      </w:r>
    </w:p>
    <w:p>
      <w:r>
        <w:rPr>
          <w:rFonts w:ascii="MS Mincho" w:hAnsi="MS Mincho" w:eastAsia="MS Mincho"/>
          <w:color w:val="000000"/>
        </w:rPr>
        <w:t>入力データとして、時刻別の市場価格データ（スポット、および一次・二次の価格）を与える。出力として、各時刻の売買量、提供容量、SOC推移、総利益、総劣化量を得る。</w:t>
      </w:r>
    </w:p>
    <w:p>
      <w:r>
        <w:br w:type="page"/>
      </w:r>
    </w:p>
    <w:p/>
    <w:p/>
    <w:p/>
    <w:p/>
    <w:p/>
    <w:p/>
    <w:p/>
    <w:p/>
    <w:p/>
    <w:p>
      <w:pPr>
        <w:jc w:val="center"/>
      </w:pPr>
      <w:r>
        <w:rPr>
          <w:rFonts w:ascii="MS Mincho" w:hAnsi="MS Mincho" w:eastAsia="MS Mincho"/>
          <w:b/>
          <w:color w:val="000000"/>
          <w:sz w:val="40"/>
        </w:rPr>
        <w:t>第4章　数値実験と考察</w:t>
      </w:r>
    </w:p>
    <w:p>
      <w:r>
        <w:br w:type="page"/>
      </w:r>
    </w:p>
    <w:p>
      <w:pPr>
        <w:jc w:val="left"/>
        <w:outlineLvl w:val="0"/>
      </w:pPr>
      <w:r>
        <w:rPr>
          <w:rFonts w:ascii="MS Mincho" w:hAnsi="MS Mincho" w:eastAsia="MS Mincho"/>
          <w:b/>
          <w:color w:val="000000"/>
          <w:sz w:val="28"/>
        </w:rPr>
        <w:t>第4章　数値実験と考察</w:t>
      </w:r>
    </w:p>
    <w:p>
      <w:pPr>
        <w:jc w:val="left"/>
        <w:outlineLvl w:val="1"/>
      </w:pPr>
      <w:r>
        <w:rPr>
          <w:rFonts w:ascii="MS Mincho" w:hAnsi="MS Mincho" w:eastAsia="MS Mincho"/>
          <w:b/>
          <w:color w:val="000000"/>
          <w:sz w:val="24"/>
        </w:rPr>
        <w:t>4.1　実験条件</w:t>
      </w:r>
    </w:p>
    <w:p>
      <w:r>
        <w:rPr>
          <w:rFonts w:ascii="MS Mincho" w:hAnsi="MS Mincho" w:eastAsia="MS Mincho"/>
          <w:color w:val="000000"/>
        </w:rPr>
        <w:t>本章では、構築したMILPモデルを用いて、月別価格データに基づく日次運用の最適化を行う。ケースは劣化の扱いで次の3種類とする。</w:t>
      </w:r>
    </w:p>
    <w:p>
      <w:r>
        <w:t>・Case A：劣化コストなし（C_deg=0）</w:t>
      </w:r>
    </w:p>
    <w:p>
      <w:r>
        <w:t>・Case B：1次元ピースワイズ劣化</w:t>
      </w:r>
    </w:p>
    <w:p>
      <w:r>
        <w:t>・Case C：2次元ピースワイズ劣化</w:t>
      </w:r>
    </w:p>
    <w:p>
      <w:r>
        <w:rPr>
          <w:rFonts w:ascii="MS Mincho" w:hAnsi="MS Mincho" w:eastAsia="MS Mincho"/>
          <w:color w:val="000000"/>
        </w:rPr>
        <w:t>入力データは5月および6月の市場価格（スポット等）を用い、価格形状の違いが運用・劣化に与える影響を比較する。対象日、時間分解能Δt、B_const、P_max、効率、SOC上下限などのパラメータは表4.1に整理する（要追記）。</w:t>
      </w:r>
    </w:p>
    <w:tbl>
      <w:tblPr>
        <w:tblW w:type="auto" w:w="0"/>
        <w:tblLook w:firstColumn="1" w:firstRow="1" w:lastColumn="0" w:lastRow="0" w:noHBand="0" w:noVBand="1" w:val="04A0"/>
      </w:tblPr>
      <w:tblGrid>
        <w:gridCol w:w="3024"/>
        <w:gridCol w:w="3024"/>
        <w:gridCol w:w="3024"/>
      </w:tblGrid>
      <w:tr>
        <w:tc>
          <w:tcPr>
            <w:tcW w:type="dxa" w:w="3024"/>
          </w:tcPr>
          <w:p>
            <w:r>
              <w:t>項目</w:t>
            </w:r>
          </w:p>
        </w:tc>
        <w:tc>
          <w:tcPr>
            <w:tcW w:type="dxa" w:w="3024"/>
          </w:tcPr>
          <w:p>
            <w:r>
              <w:t>値</w:t>
            </w:r>
          </w:p>
        </w:tc>
        <w:tc>
          <w:tcPr>
            <w:tcW w:type="dxa" w:w="3024"/>
          </w:tcPr>
          <w:p>
            <w:r>
              <w:t>備考</w:t>
            </w:r>
          </w:p>
        </w:tc>
      </w:tr>
      <w:tr>
        <w:tc>
          <w:tcPr>
            <w:tcW w:type="dxa" w:w="3024"/>
          </w:tcPr>
          <w:p>
            <w:r>
              <w:t>B_const</w:t>
            </w:r>
          </w:p>
        </w:tc>
        <w:tc>
          <w:tcPr>
            <w:tcW w:type="dxa" w:w="3024"/>
          </w:tcPr>
          <w:p>
            <w:r>
              <w:t>要追記</w:t>
            </w:r>
          </w:p>
        </w:tc>
        <w:tc>
          <w:tcPr>
            <w:tcW w:type="dxa" w:w="3024"/>
          </w:tcPr>
          <w:p>
            <w:r>
              <w:t>定格容量</w:t>
            </w:r>
          </w:p>
        </w:tc>
      </w:tr>
      <w:tr>
        <w:tc>
          <w:tcPr>
            <w:tcW w:type="dxa" w:w="3024"/>
          </w:tcPr>
          <w:p>
            <w:r>
              <w:t>P_max</w:t>
            </w:r>
          </w:p>
        </w:tc>
        <w:tc>
          <w:tcPr>
            <w:tcW w:type="dxa" w:w="3024"/>
          </w:tcPr>
          <w:p>
            <w:r>
              <w:t>要追記</w:t>
            </w:r>
          </w:p>
        </w:tc>
        <w:tc>
          <w:tcPr>
            <w:tcW w:type="dxa" w:w="3024"/>
          </w:tcPr>
          <w:p>
            <w:r>
              <w:t>充放電上限</w:t>
            </w:r>
          </w:p>
        </w:tc>
      </w:tr>
      <w:tr>
        <w:tc>
          <w:tcPr>
            <w:tcW w:type="dxa" w:w="3024"/>
          </w:tcPr>
          <w:p>
            <w:r>
              <w:t>η_ch, η_dis</w:t>
            </w:r>
          </w:p>
        </w:tc>
        <w:tc>
          <w:tcPr>
            <w:tcW w:type="dxa" w:w="3024"/>
          </w:tcPr>
          <w:p>
            <w:r>
              <w:t>要追記</w:t>
            </w:r>
          </w:p>
        </w:tc>
        <w:tc>
          <w:tcPr>
            <w:tcW w:type="dxa" w:w="3024"/>
          </w:tcPr>
          <w:p>
            <w:r>
              <w:t>効率</w:t>
            </w:r>
          </w:p>
        </w:tc>
      </w:tr>
      <w:tr>
        <w:tc>
          <w:tcPr>
            <w:tcW w:type="dxa" w:w="3024"/>
          </w:tcPr>
          <w:p>
            <w:r>
              <w:t>SOC_min, SOC_max</w:t>
            </w:r>
          </w:p>
        </w:tc>
        <w:tc>
          <w:tcPr>
            <w:tcW w:type="dxa" w:w="3024"/>
          </w:tcPr>
          <w:p>
            <w:r>
              <w:t>要追記</w:t>
            </w:r>
          </w:p>
        </w:tc>
        <w:tc>
          <w:tcPr>
            <w:tcW w:type="dxa" w:w="3024"/>
          </w:tcPr>
          <w:p>
            <w:r>
              <w:t>SOC上下限</w:t>
            </w:r>
          </w:p>
        </w:tc>
      </w:tr>
      <w:tr>
        <w:tc>
          <w:tcPr>
            <w:tcW w:type="dxa" w:w="3024"/>
          </w:tcPr>
          <w:p>
            <w:r>
              <w:t>Δt</w:t>
            </w:r>
          </w:p>
        </w:tc>
        <w:tc>
          <w:tcPr>
            <w:tcW w:type="dxa" w:w="3024"/>
          </w:tcPr>
          <w:p>
            <w:r>
              <w:t>要追記</w:t>
            </w:r>
          </w:p>
        </w:tc>
        <w:tc>
          <w:tcPr>
            <w:tcW w:type="dxa" w:w="3024"/>
          </w:tcPr>
          <w:p>
            <w:r>
              <w:t>時間刻み</w:t>
            </w:r>
          </w:p>
        </w:tc>
      </w:tr>
      <w:tr>
        <w:tc>
          <w:tcPr>
            <w:tcW w:type="dxa" w:w="3024"/>
          </w:tcPr>
          <w:p>
            <w:r>
              <w:t>対象日数</w:t>
            </w:r>
          </w:p>
        </w:tc>
        <w:tc>
          <w:tcPr>
            <w:tcW w:type="dxa" w:w="3024"/>
          </w:tcPr>
          <w:p>
            <w:r>
              <w:t>要追記</w:t>
            </w:r>
          </w:p>
        </w:tc>
        <w:tc>
          <w:tcPr>
            <w:tcW w:type="dxa" w:w="3024"/>
          </w:tcPr>
          <w:p>
            <w:r>
              <w:t>5月/6月</w:t>
            </w:r>
          </w:p>
        </w:tc>
      </w:tr>
    </w:tbl>
    <w:p>
      <w:pPr>
        <w:jc w:val="center"/>
      </w:pPr>
      <w:r>
        <w:t>表4.1　数値実験で用いる主なパラメータ（要追記）</w:t>
      </w:r>
    </w:p>
    <w:p>
      <w:pPr>
        <w:jc w:val="left"/>
        <w:outlineLvl w:val="1"/>
      </w:pPr>
      <w:r>
        <w:rPr>
          <w:rFonts w:ascii="MS Mincho" w:hAnsi="MS Mincho" w:eastAsia="MS Mincho"/>
          <w:b/>
          <w:color w:val="000000"/>
          <w:sz w:val="24"/>
        </w:rPr>
        <w:t>4.2　市場価格の特徴（5月と6月）</w:t>
      </w:r>
    </w:p>
    <w:p>
      <w:r>
        <w:rPr>
          <w:rFonts w:ascii="MS Mincho" w:hAnsi="MS Mincho" w:eastAsia="MS Mincho"/>
          <w:color w:val="000000"/>
        </w:rPr>
        <w:t>図4.1に、5月のスポット価格（spot5）と6月のスポット価格（spot6）の例を示す。5月と6月で、ピークの数や時間帯が異なり、裁定取引の最適充放電パターンに差が生じる。</w:t>
      </w:r>
    </w:p>
    <w:p>
      <w:r>
        <w:drawing>
          <wp:inline xmlns:a="http://schemas.openxmlformats.org/drawingml/2006/main" xmlns:pic="http://schemas.openxmlformats.org/drawingml/2006/picture">
            <wp:extent cx="5760000" cy="2853792"/>
            <wp:docPr id="5" name="Picture 5"/>
            <wp:cNvGraphicFramePr>
              <a:graphicFrameLocks noChangeAspect="1"/>
            </wp:cNvGraphicFramePr>
            <a:graphic>
              <a:graphicData uri="http://schemas.openxmlformats.org/drawingml/2006/picture">
                <pic:pic>
                  <pic:nvPicPr>
                    <pic:cNvPr id="0" name="1201_s13_03.png"/>
                    <pic:cNvPicPr/>
                  </pic:nvPicPr>
                  <pic:blipFill>
                    <a:blip r:embed="rId15"/>
                    <a:stretch>
                      <a:fillRect/>
                    </a:stretch>
                  </pic:blipFill>
                  <pic:spPr>
                    <a:xfrm>
                      <a:off x="0" y="0"/>
                      <a:ext cx="5760000" cy="2853792"/>
                    </a:xfrm>
                    <a:prstGeom prst="rect"/>
                  </pic:spPr>
                </pic:pic>
              </a:graphicData>
            </a:graphic>
          </wp:inline>
        </w:drawing>
      </w:r>
    </w:p>
    <w:p>
      <w:pPr>
        <w:jc w:val="center"/>
      </w:pPr>
      <w:r>
        <w:t>図4.1　5月（spot5）と6月（spot6）の市場価格比較例（黒白）</w:t>
      </w:r>
    </w:p>
    <w:p>
      <w:r>
        <w:rPr>
          <w:rFonts w:ascii="MS Mincho" w:hAnsi="MS Mincho" w:eastAsia="MS Mincho"/>
          <w:color w:val="000000"/>
        </w:rPr>
        <w:t>ピークの数（山・谷の回数）が増えると、SOCはより頻繁に上下しやすく、結果としてサイクル劣化が増加する可能性がある。この仮説を、劣化ありケース（Case B, C）で確認する。</w:t>
      </w:r>
    </w:p>
    <w:p>
      <w:pPr>
        <w:jc w:val="left"/>
        <w:outlineLvl w:val="1"/>
      </w:pPr>
      <w:r>
        <w:rPr>
          <w:rFonts w:ascii="MS Mincho" w:hAnsi="MS Mincho" w:eastAsia="MS Mincho"/>
          <w:b/>
          <w:color w:val="000000"/>
          <w:sz w:val="24"/>
        </w:rPr>
        <w:t>4.3　SOC推移と充放電パターン</w:t>
      </w:r>
    </w:p>
    <w:p>
      <w:r>
        <w:rPr>
          <w:rFonts w:ascii="MS Mincho" w:hAnsi="MS Mincho" w:eastAsia="MS Mincho"/>
          <w:color w:val="000000"/>
        </w:rPr>
        <w:t>図4.2に、2次元ピースワイズ劣化モデル（Case C）で得られたSOC推移の例を示す。同じ容量でも、価格形状が異なる月では、充電・放電のタイミングや深さが変化する。</w:t>
      </w:r>
    </w:p>
    <w:p>
      <w:r>
        <w:drawing>
          <wp:inline xmlns:a="http://schemas.openxmlformats.org/drawingml/2006/main" xmlns:pic="http://schemas.openxmlformats.org/drawingml/2006/picture">
            <wp:extent cx="5760000" cy="2856680"/>
            <wp:docPr id="6" name="Picture 6"/>
            <wp:cNvGraphicFramePr>
              <a:graphicFrameLocks noChangeAspect="1"/>
            </wp:cNvGraphicFramePr>
            <a:graphic>
              <a:graphicData uri="http://schemas.openxmlformats.org/drawingml/2006/picture">
                <pic:pic>
                  <pic:nvPicPr>
                    <pic:cNvPr id="0" name="1201_s13_02.png"/>
                    <pic:cNvPicPr/>
                  </pic:nvPicPr>
                  <pic:blipFill>
                    <a:blip r:embed="rId16"/>
                    <a:stretch>
                      <a:fillRect/>
                    </a:stretch>
                  </pic:blipFill>
                  <pic:spPr>
                    <a:xfrm>
                      <a:off x="0" y="0"/>
                      <a:ext cx="5760000" cy="2856680"/>
                    </a:xfrm>
                    <a:prstGeom prst="rect"/>
                  </pic:spPr>
                </pic:pic>
              </a:graphicData>
            </a:graphic>
          </wp:inline>
        </w:drawing>
      </w:r>
    </w:p>
    <w:p>
      <w:pPr>
        <w:jc w:val="center"/>
      </w:pPr>
      <w:r>
        <w:t>図4.2　SOC推移の比較例（Case C、黒白）</w:t>
      </w:r>
    </w:p>
    <w:p>
      <w:r>
        <w:rPr>
          <w:rFonts w:ascii="MS Mincho" w:hAnsi="MS Mincho" w:eastAsia="MS Mincho"/>
          <w:color w:val="000000"/>
        </w:rPr>
        <w:t>5月は特定の時間帯に大きな充放電を行う傾向が強い一方、6月は複数回のピークに合わせてSOCを調整する傾向が見られる。この違いは、1日あたりのサイクル数やDoDの分布を変え、劣化コストに影響する。</w:t>
      </w:r>
    </w:p>
    <w:p>
      <w:pPr>
        <w:jc w:val="left"/>
        <w:outlineLvl w:val="1"/>
      </w:pPr>
      <w:r>
        <w:rPr>
          <w:rFonts w:ascii="MS Mincho" w:hAnsi="MS Mincho" w:eastAsia="MS Mincho"/>
          <w:b/>
          <w:color w:val="000000"/>
          <w:sz w:val="24"/>
        </w:rPr>
        <w:t>4.4　劣化量と収益の比較</w:t>
      </w:r>
    </w:p>
    <w:p>
      <w:r>
        <w:rPr>
          <w:rFonts w:ascii="MS Mincho" w:hAnsi="MS Mincho" w:eastAsia="MS Mincho"/>
          <w:color w:val="000000"/>
        </w:rPr>
        <w:t>劣化なし（Case A）では、短期利益を最大化するために深い充放電が選ばれやすい。劣化あり（Case B, C）では、劣化コストとのトレードオフにより、深い充放電が抑制され、SOC変動が緩やかになることが期待される。</w:t>
      </w:r>
      <w:r>
        <w:rPr>
          <w:rFonts w:ascii="MS Mincho" w:hAnsi="MS Mincho" w:eastAsia="MS Mincho"/>
          <w:color w:val="000000"/>
          <w:vertAlign w:val="superscript"/>
        </w:rPr>
        <w:t>1</w:t>
      </w:r>
      <w:r>
        <w:rPr>
          <w:rFonts w:ascii="MS Mincho" w:hAnsi="MS Mincho" w:eastAsia="MS Mincho"/>
          <w:color w:val="000000"/>
          <w:vertAlign w:val="superscript"/>
        </w:rPr>
        <w:t>3</w:t>
      </w:r>
    </w:p>
    <w:p>
      <w:r>
        <w:rPr>
          <w:rFonts w:ascii="MS Mincho" w:hAnsi="MS Mincho" w:eastAsia="MS Mincho"/>
          <w:color w:val="000000"/>
        </w:rPr>
        <w:t>月別の総劣化量について、スライド集計では「5月に比べて6月の総劣化量が、1次元モデルで約1.15倍、2次元モデルで約1.45倍」程度となる傾向が示された（要確認）。価格の山谷が増えるほど劣化が増える、という直感と整合する。</w:t>
      </w:r>
    </w:p>
    <w:p>
      <w:r>
        <w:rPr>
          <w:rFonts w:ascii="MS Mincho" w:hAnsi="MS Mincho" w:eastAsia="MS Mincho"/>
          <w:color w:val="000000"/>
        </w:rPr>
        <w:t>一方で、2次元モデルはSOC水準も劣化に反映するため、同じDoDでも高SOC領域での運用を避けるような挙動が現れる可能性がある。その結果、1次元モデルよりも劣化抑制（または劣化評価の厳格化）が起こり、収益と劣化のバランスが変化する。</w:t>
      </w:r>
    </w:p>
    <w:p>
      <w:pPr>
        <w:jc w:val="left"/>
        <w:outlineLvl w:val="1"/>
      </w:pPr>
      <w:r>
        <w:rPr>
          <w:rFonts w:ascii="MS Mincho" w:hAnsi="MS Mincho" w:eastAsia="MS Mincho"/>
          <w:b/>
          <w:color w:val="000000"/>
          <w:sz w:val="24"/>
        </w:rPr>
        <w:t>4.5　1次元と2次元の違いに関する考察</w:t>
      </w:r>
    </w:p>
    <w:p>
      <w:r>
        <w:rPr>
          <w:rFonts w:ascii="MS Mincho" w:hAnsi="MS Mincho" w:eastAsia="MS Mincho"/>
          <w:color w:val="000000"/>
        </w:rPr>
        <w:t>1次元モデルはDoDに対する劣化増加を表せるため、深い放電の抑制に効果がある。ただしSOC水準の影響を無視するため、同じDoDでも高SOCでの運用が過大評価・過小評価される可能性が残る。</w:t>
      </w:r>
    </w:p>
    <w:p>
      <w:r>
        <w:rPr>
          <w:rFonts w:ascii="MS Mincho" w:hAnsi="MS Mincho" w:eastAsia="MS Mincho"/>
          <w:color w:val="000000"/>
        </w:rPr>
        <w:t>2次元モデルは表現力が高い一方、区画選択の整数変数が増え、計算時間が増加しやすい。実務適用では、(i) 運用対象期間の長さ、(ii) 時間刻みΔt、(iii) 区画数、に応じて解ける規模が決まるため、計算量評価を付録にまとめる（要追記）。</w:t>
      </w:r>
    </w:p>
    <w:p>
      <w:r>
        <w:rPr>
          <w:rFonts w:ascii="MS Mincho" w:hAnsi="MS Mincho" w:eastAsia="MS Mincho"/>
          <w:color w:val="000000"/>
        </w:rPr>
        <w:t>本研究の範囲では、月別価格の違いが運用パターンを変え、劣化量の差として現れることを確認した。ただし劣化モデルのパラメータ設定（傾き、区画数、SOC依存の強さ）により結果は変化するため、感度分析が必要である（要追記）。</w:t>
      </w:r>
    </w:p>
    <w:p>
      <w:r>
        <w:br w:type="page"/>
      </w:r>
    </w:p>
    <w:p/>
    <w:p/>
    <w:p/>
    <w:p/>
    <w:p/>
    <w:p/>
    <w:p/>
    <w:p/>
    <w:p/>
    <w:p>
      <w:pPr>
        <w:jc w:val="center"/>
      </w:pPr>
      <w:r>
        <w:rPr>
          <w:rFonts w:ascii="MS Mincho" w:hAnsi="MS Mincho" w:eastAsia="MS Mincho"/>
          <w:b/>
          <w:color w:val="000000"/>
          <w:sz w:val="40"/>
        </w:rPr>
        <w:t>第5章　結論</w:t>
      </w:r>
    </w:p>
    <w:p>
      <w:r>
        <w:br w:type="page"/>
      </w:r>
    </w:p>
    <w:p>
      <w:pPr>
        <w:jc w:val="left"/>
        <w:outlineLvl w:val="0"/>
      </w:pPr>
      <w:r>
        <w:rPr>
          <w:rFonts w:ascii="MS Mincho" w:hAnsi="MS Mincho" w:eastAsia="MS Mincho"/>
          <w:b/>
          <w:color w:val="000000"/>
          <w:sz w:val="28"/>
        </w:rPr>
        <w:t>第5章　結論</w:t>
      </w:r>
    </w:p>
    <w:p>
      <w:pPr>
        <w:jc w:val="left"/>
        <w:outlineLvl w:val="1"/>
      </w:pPr>
      <w:r>
        <w:rPr>
          <w:rFonts w:ascii="MS Mincho" w:hAnsi="MS Mincho" w:eastAsia="MS Mincho"/>
          <w:b/>
          <w:color w:val="000000"/>
          <w:sz w:val="24"/>
        </w:rPr>
        <w:t>5.1　結論</w:t>
      </w:r>
    </w:p>
    <w:p>
      <w:r>
        <w:rPr>
          <w:rFonts w:ascii="MS Mincho" w:hAnsi="MS Mincho" w:eastAsia="MS Mincho"/>
          <w:color w:val="000000"/>
        </w:rPr>
        <w:t>本研究では、定置用蓄電池がスポット市場および一次・二次調整力市場に参加する状況を想定し、容量配分と運用を統合した混合整数線形計画モデルを構築した。また、劣化コストをピースワイズ線形で近似し、1次元モデルと2次元モデルを比較した。</w:t>
      </w:r>
    </w:p>
    <w:p>
      <w:r>
        <w:rPr>
          <w:rFonts w:ascii="MS Mincho" w:hAnsi="MS Mincho" w:eastAsia="MS Mincho"/>
          <w:color w:val="000000"/>
        </w:rPr>
        <w:t>数値実験では、月別の市場価格形状の違いがSOC推移と充放電パターンを変え、総劣化量の差として現れることを示した。さらに、2次元劣化モデルはSOC水準を考慮することで運用判断が変わり得ることを整理した。</w:t>
      </w:r>
    </w:p>
    <w:p>
      <w:pPr>
        <w:jc w:val="left"/>
        <w:outlineLvl w:val="1"/>
      </w:pPr>
      <w:r>
        <w:rPr>
          <w:rFonts w:ascii="MS Mincho" w:hAnsi="MS Mincho" w:eastAsia="MS Mincho"/>
          <w:b/>
          <w:color w:val="000000"/>
          <w:sz w:val="24"/>
        </w:rPr>
        <w:t>5.2　今後の課題</w:t>
      </w:r>
    </w:p>
    <w:p>
      <w:r>
        <w:t>・市場制度に即した収入・制約（性能評価、指令追従エネルギー、ペナルティ等）の導入（要出典）。</w:t>
      </w:r>
    </w:p>
    <w:p>
      <w:r>
        <w:t>・劣化モデルのパラメータ同定（実機データに基づく）と感度分析。</w:t>
      </w:r>
    </w:p>
    <w:p>
      <w:r>
        <w:t>・複数日・長期（週〜月）運用への拡張と計算量削減（分解法、近似法）。</w:t>
      </w:r>
    </w:p>
    <w:p>
      <w:r>
        <w:t>・価格予測誤差を考慮した確率最適化・ロバスト最適化への拡張。</w:t>
      </w:r>
    </w:p>
    <w:p>
      <w:r>
        <w:br w:type="page"/>
      </w:r>
    </w:p>
    <w:p/>
    <w:p/>
    <w:p/>
    <w:p/>
    <w:p/>
    <w:p/>
    <w:p/>
    <w:p/>
    <w:p/>
    <w:p>
      <w:pPr>
        <w:jc w:val="center"/>
      </w:pPr>
      <w:r>
        <w:rPr>
          <w:rFonts w:ascii="MS Mincho" w:hAnsi="MS Mincho" w:eastAsia="MS Mincho"/>
          <w:b/>
          <w:color w:val="000000"/>
          <w:sz w:val="40"/>
        </w:rPr>
        <w:t>参考文献</w:t>
      </w:r>
    </w:p>
    <w:p>
      <w:r>
        <w:br w:type="page"/>
      </w:r>
    </w:p>
    <w:p>
      <w:pPr>
        <w:jc w:val="left"/>
        <w:outlineLvl w:val="0"/>
      </w:pPr>
      <w:r>
        <w:rPr>
          <w:rFonts w:ascii="MS Mincho" w:hAnsi="MS Mincho" w:eastAsia="MS Mincho"/>
          <w:b/>
          <w:color w:val="000000"/>
          <w:sz w:val="28"/>
        </w:rPr>
        <w:t>参考文献</w:t>
      </w:r>
    </w:p>
    <w:p>
      <w:r>
        <w:t>[1] B. Xu, J. Zhao, T. Zheng, E. Litvinov, and D. S. Kirschen, "Factoring the Cycle Aging Cost of Batteries Participating in Electricity Markets," IEEE Transactions on Power Systems, vol. 33, no. 2, pp. 2248-2259, 2018.</w:t>
      </w:r>
    </w:p>
    <w:p>
      <w:r>
        <w:t>[2] G. He, Q. Chen, C. Kang, P. Pinson, and Q. Xia, "Optimal Bidding Strategy of Battery Storage in Power Markets Considering Performance-Based Regulation and Battery Cycle Life," IEEE Transactions on Smart Grid, vol. 7, no. 5, pp. 2359-2367, 2016. DOI: 10.1109/TSG.2015.2424314.</w:t>
      </w:r>
    </w:p>
    <w:p>
      <w:r>
        <w:t>[3] H. C. Hesse, et al., "Ageing and Efficiency Aware Battery Dispatch for Arbitrage Markets," Energies, vol. 12, no. 6, 999, 2019.</w:t>
      </w:r>
    </w:p>
    <w:p>
      <w:r>
        <w:t>[4] A. Maheshwari, et al., "Optimizing the operation of energy storage using a non-linear degradation model compatible with MILP," Applied Energy, vol. 260, 2020.</w:t>
      </w:r>
    </w:p>
    <w:p>
      <w:r>
        <w:t>[5] C. Huang, et al., "Portfolio management of battery storages in multiple electricity markets," IET Generation, Transmission &amp; Distribution, 2018.</w:t>
      </w:r>
    </w:p>
    <w:p>
      <w:r>
        <w:t>[6] Q. Ma, et al., "Health-aware long-term operation strategy for lithium-ion battery energy storage participating in the energy and frequency regulation markets," Applied Energy, 2024.</w:t>
      </w:r>
    </w:p>
    <w:p>
      <w:r>
        <w:br w:type="page"/>
      </w:r>
    </w:p>
    <w:p/>
    <w:p/>
    <w:p/>
    <w:p/>
    <w:p/>
    <w:p/>
    <w:p/>
    <w:p/>
    <w:p/>
    <w:p>
      <w:pPr>
        <w:jc w:val="center"/>
      </w:pPr>
      <w:r>
        <w:rPr>
          <w:rFonts w:ascii="MS Mincho" w:hAnsi="MS Mincho" w:eastAsia="MS Mincho"/>
          <w:b/>
          <w:color w:val="000000"/>
          <w:sz w:val="40"/>
        </w:rPr>
        <w:t>付録</w:t>
      </w:r>
    </w:p>
    <w:p>
      <w:r>
        <w:br w:type="page"/>
      </w:r>
    </w:p>
    <w:p>
      <w:pPr>
        <w:jc w:val="left"/>
        <w:outlineLvl w:val="0"/>
      </w:pPr>
      <w:r>
        <w:rPr>
          <w:rFonts w:ascii="MS Mincho" w:hAnsi="MS Mincho" w:eastAsia="MS Mincho"/>
          <w:b/>
          <w:color w:val="000000"/>
          <w:sz w:val="28"/>
        </w:rPr>
        <w:t>付録</w:t>
      </w:r>
    </w:p>
    <w:p>
      <w:pPr>
        <w:jc w:val="left"/>
        <w:outlineLvl w:val="1"/>
      </w:pPr>
      <w:r>
        <w:rPr>
          <w:rFonts w:ascii="MS Mincho" w:hAnsi="MS Mincho" w:eastAsia="MS Mincho"/>
          <w:b/>
          <w:color w:val="000000"/>
          <w:sz w:val="24"/>
        </w:rPr>
        <w:t>付録A　論理の穴チェックリスト</w:t>
      </w:r>
    </w:p>
    <w:p>
      <w:r>
        <w:t>・前提：対象市場（スポット、一次、二次）の制度上の前提が明確か。制度の根拠（要出典）が付いているか。</w:t>
      </w:r>
    </w:p>
    <w:p>
      <w:r>
        <w:t>・定義：SOC、DoD、劣化指標D_t、劣化コストC_degの定義が一貫しているか。</w:t>
      </w:r>
    </w:p>
    <w:p>
      <w:r>
        <w:t>・単位：価格[円/kWh]、電力[kW]、エネルギー[kWh]、時間刻みΔt[h]の単位換算に誤りがないか。</w:t>
      </w:r>
    </w:p>
    <w:p>
      <w:r>
        <w:t>・添字：tの範囲、初期・終端条件（SOC_1とSOC_{T+1}）の扱いが整合しているか。</w:t>
      </w:r>
    </w:p>
    <w:p>
      <w:r>
        <w:t>・制約整合：充放電同時禁止、出力上限、SOC上下限、容量配分(k0+k1+k2=B_const)が矛盾していないか。</w:t>
      </w:r>
    </w:p>
    <w:p>
      <w:r>
        <w:t>・図表整合：図3.1〜図4.2のキャプション、本文参照、黒白表示、番号が一致しているか。</w:t>
      </w:r>
    </w:p>
    <w:p>
      <w:r>
        <w:t>・再現性：入力データ期間、前処理、ソルバ設定、停止条件が記載されているか（要追記）。</w:t>
      </w:r>
    </w:p>
    <w:p>
      <w:r>
        <w:t>・結果解釈：『約1.15倍』『約1.45倍』など定量値の根拠（集計方法）が明示されているか（要確認）。</w:t>
      </w:r>
    </w:p>
    <w:sectPr w:rsidR="009C0E59" w:rsidRPr="00277F20" w:rsidSect="00660C57">
      <w:pgSz w:w="11906" w:h="16838"/>
      <w:pgMar w:top="1417" w:right="1417" w:bottom="1417" w:left="141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23386" w14:textId="77777777" w:rsidR="00013D47" w:rsidRDefault="00013D47" w:rsidP="00C10713">
      <w:r>
        <w:separator/>
      </w:r>
    </w:p>
  </w:endnote>
  <w:endnote w:type="continuationSeparator" w:id="0">
    <w:p w14:paraId="5EE9CCF1" w14:textId="77777777" w:rsidR="00013D47" w:rsidRDefault="00013D47"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858572"/>
      <w:docPartObj>
        <w:docPartGallery w:val="Page Numbers (Bottom of Page)"/>
        <w:docPartUnique/>
      </w:docPartObj>
    </w:sdtPr>
    <w:sdtContent>
      <w:p w14:paraId="0A103E89" w14:textId="18864127" w:rsidR="00660C57" w:rsidRPr="005727CF" w:rsidRDefault="00660C57">
        <w:pPr>
          <w:pStyle w:val="a8"/>
          <w:jc w:val="center"/>
        </w:pPr>
        <w:r w:rsidRPr="005727CF">
          <w:fldChar w:fldCharType="begin"/>
        </w:r>
        <w:r w:rsidRPr="005727CF">
          <w:instrText>PAGE   \* MERGEFORMAT</w:instrText>
        </w:r>
        <w:r w:rsidRPr="005727CF">
          <w:fldChar w:fldCharType="separate"/>
        </w:r>
        <w:r w:rsidRPr="005727CF">
          <w:rPr>
            <w:lang w:val="ja-JP"/>
          </w:rPr>
          <w:t>2</w:t>
        </w:r>
        <w:r w:rsidRPr="005727CF">
          <w:fldChar w:fldCharType="end"/>
        </w:r>
      </w:p>
    </w:sdtContent>
  </w:sdt>
  <w:p w14:paraId="19E1E6BF" w14:textId="77777777" w:rsidR="00660C57" w:rsidRDefault="00660C57">
    <w:pPr>
      <w:pStyle w:val="a8"/>
      <w:jc w:val="cen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AD25E" w14:textId="77777777" w:rsidR="00013D47" w:rsidRDefault="00013D47" w:rsidP="00C10713">
      <w:r>
        <w:separator/>
      </w:r>
    </w:p>
  </w:footnote>
  <w:footnote w:type="continuationSeparator" w:id="0">
    <w:p w14:paraId="3BFE19A3" w14:textId="77777777" w:rsidR="00013D47" w:rsidRDefault="00013D47"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3800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13D47"/>
    <w:rsid w:val="00052390"/>
    <w:rsid w:val="00133083"/>
    <w:rsid w:val="001D0EEF"/>
    <w:rsid w:val="00245E68"/>
    <w:rsid w:val="00277F20"/>
    <w:rsid w:val="00297A8A"/>
    <w:rsid w:val="00312F50"/>
    <w:rsid w:val="00337B89"/>
    <w:rsid w:val="00410125"/>
    <w:rsid w:val="00445E56"/>
    <w:rsid w:val="00463EFF"/>
    <w:rsid w:val="004F7F76"/>
    <w:rsid w:val="00565F9B"/>
    <w:rsid w:val="005727CF"/>
    <w:rsid w:val="005C3BC7"/>
    <w:rsid w:val="00660C57"/>
    <w:rsid w:val="0074739E"/>
    <w:rsid w:val="007719A9"/>
    <w:rsid w:val="007B5F0F"/>
    <w:rsid w:val="007F4BE2"/>
    <w:rsid w:val="00931C38"/>
    <w:rsid w:val="0095779D"/>
    <w:rsid w:val="009A7D80"/>
    <w:rsid w:val="009C0E59"/>
    <w:rsid w:val="00AA7297"/>
    <w:rsid w:val="00AE7E17"/>
    <w:rsid w:val="00B01E8C"/>
    <w:rsid w:val="00BC3C80"/>
    <w:rsid w:val="00C10713"/>
    <w:rsid w:val="00C15EC6"/>
    <w:rsid w:val="00CE5346"/>
    <w:rsid w:val="00D75BC0"/>
    <w:rsid w:val="00E625EC"/>
    <w:rsid w:val="00EA2FFF"/>
    <w:rsid w:val="00ED7D59"/>
    <w:rsid w:val="00FF04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Rule="exact" w:line="360" w:before="0" w:after="0"/>
      <w:jc w:val="both"/>
    </w:pPr>
    <w:rPr>
      <w:rFonts w:ascii="MS Mincho" w:hAnsi="MS Mincho" w:eastAsia="MS Mincho"/>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149</Words>
  <Characters>852</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3</cp:revision>
  <cp:lastPrinted>2017-01-21T05:21:00Z</cp:lastPrinted>
  <dcterms:created xsi:type="dcterms:W3CDTF">2025-12-20T13:14:00Z</dcterms:created>
  <dcterms:modified xsi:type="dcterms:W3CDTF">2025-12-20T14:33:00Z</dcterms:modified>
</cp:coreProperties>
</file>