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F25B" w14:textId="77777777" w:rsidR="00775789" w:rsidRDefault="00775789" w:rsidP="00775789">
      <w:r>
        <w:rPr>
          <w:rFonts w:hint="eastAsia"/>
        </w:rPr>
        <w:t>第</w:t>
      </w:r>
      <w:r>
        <w:t>1章　序論</w:t>
      </w:r>
    </w:p>
    <w:p w14:paraId="58FD6E3D" w14:textId="77777777" w:rsidR="00775789" w:rsidRDefault="00775789" w:rsidP="00775789">
      <w:r>
        <w:t>1.1 研究背景</w:t>
      </w:r>
    </w:p>
    <w:p w14:paraId="0D7B0A8E" w14:textId="77777777" w:rsidR="00775789" w:rsidRDefault="00775789" w:rsidP="00775789"/>
    <w:p w14:paraId="4450AEBF" w14:textId="77777777" w:rsidR="00775789" w:rsidRDefault="00775789" w:rsidP="00775789">
      <w:r>
        <w:rPr>
          <w:rFonts w:hint="eastAsia"/>
        </w:rPr>
        <w:t>再生可能エネルギー導入拡大に伴う価格変動の増大，定置用蓄電池の柔軟性資源としての役割，ならびに複数市場参加の必要性を述べる。ここでは現行論文の内容を基本的に踏襲する。</w:t>
      </w:r>
    </w:p>
    <w:p w14:paraId="664CA1F6" w14:textId="77777777" w:rsidR="00775789" w:rsidRDefault="00775789" w:rsidP="00775789"/>
    <w:p w14:paraId="24EE4CA3" w14:textId="77777777" w:rsidR="00775789" w:rsidRDefault="00775789" w:rsidP="00775789">
      <w:r>
        <w:t>1.2 研究目的</w:t>
      </w:r>
    </w:p>
    <w:p w14:paraId="64FEBCC3" w14:textId="77777777" w:rsidR="00775789" w:rsidRDefault="00775789" w:rsidP="00775789"/>
    <w:p w14:paraId="1B9C83D9" w14:textId="77777777" w:rsidR="00775789" w:rsidRDefault="00775789" w:rsidP="00775789">
      <w:r>
        <w:rPr>
          <w:rFonts w:hint="eastAsia"/>
        </w:rPr>
        <w:t>現行の研究目的に加え，次の趣旨を明確化する。</w:t>
      </w:r>
    </w:p>
    <w:p w14:paraId="5E7ACABC" w14:textId="77777777" w:rsidR="00775789" w:rsidRDefault="00775789" w:rsidP="00775789">
      <w:r>
        <w:rPr>
          <w:rFonts w:hint="eastAsia"/>
        </w:rPr>
        <w:t>「本研究では，劣化特性を考慮した複数市場最適運用モデルを用い，電力価格推移の違いが定置用蓄電池の最適</w:t>
      </w:r>
      <w:r>
        <w:t>SOC推移および市場別容量配分に与える影響を明らかにする。」</w:t>
      </w:r>
    </w:p>
    <w:p w14:paraId="27C08343" w14:textId="77777777" w:rsidR="00775789" w:rsidRDefault="00775789" w:rsidP="00775789"/>
    <w:p w14:paraId="1F786993" w14:textId="77777777" w:rsidR="00775789" w:rsidRDefault="00775789" w:rsidP="00775789">
      <w:r>
        <w:t>1.3 既存研究</w:t>
      </w:r>
    </w:p>
    <w:p w14:paraId="6976E3C6" w14:textId="77777777" w:rsidR="00775789" w:rsidRDefault="00775789" w:rsidP="00775789"/>
    <w:p w14:paraId="110D05B0" w14:textId="77777777" w:rsidR="00775789" w:rsidRDefault="00775789" w:rsidP="00775789">
      <w:r>
        <w:rPr>
          <w:rFonts w:hint="eastAsia"/>
        </w:rPr>
        <w:t>劣化考慮型の蓄電池最適運用研究，区分線形化による</w:t>
      </w:r>
      <w:r>
        <w:t>MILP化，複数市場参加の研究動向を整理する。その上で，価格推移パターンとSOC推移の関係を体系的に分析した研究は十分ではないことを示す。現行論文でも既存研究として劣化コストのMILP導入と二次元ピースワイズの採用が整理されている。</w:t>
      </w:r>
    </w:p>
    <w:p w14:paraId="3B9FF3D9" w14:textId="77777777" w:rsidR="00775789" w:rsidRDefault="00775789" w:rsidP="00775789"/>
    <w:p w14:paraId="025AAD8B" w14:textId="77777777" w:rsidR="00775789" w:rsidRDefault="00775789" w:rsidP="00775789">
      <w:r>
        <w:t>1.4 本研究の位置づけと新規性</w:t>
      </w:r>
    </w:p>
    <w:p w14:paraId="6BC05B93" w14:textId="77777777" w:rsidR="00775789" w:rsidRDefault="00775789" w:rsidP="00775789"/>
    <w:p w14:paraId="4D860B71" w14:textId="77777777" w:rsidR="00775789" w:rsidRDefault="00775789" w:rsidP="00775789">
      <w:r>
        <w:rPr>
          <w:rFonts w:hint="eastAsia"/>
        </w:rPr>
        <w:t>新たに設ける節であり，本研究が「複数市場最適化」×「劣化考慮」×「価格推移と</w:t>
      </w:r>
      <w:r>
        <w:t>SOC推移の関係分析」を統合することを明確に示す。</w:t>
      </w:r>
    </w:p>
    <w:p w14:paraId="2A71D454" w14:textId="77777777" w:rsidR="00775789" w:rsidRDefault="00775789" w:rsidP="00775789"/>
    <w:p w14:paraId="6BEB7208" w14:textId="77777777" w:rsidR="00775789" w:rsidRDefault="00775789" w:rsidP="00775789">
      <w:r>
        <w:rPr>
          <w:rFonts w:hint="eastAsia"/>
        </w:rPr>
        <w:t>第</w:t>
      </w:r>
      <w:r>
        <w:t>2章　ピースワイズ線形化</w:t>
      </w:r>
    </w:p>
    <w:p w14:paraId="42827CBD" w14:textId="77777777" w:rsidR="00775789" w:rsidRDefault="00775789" w:rsidP="00775789">
      <w:r>
        <w:t>2.1 本章の位置づけ</w:t>
      </w:r>
    </w:p>
    <w:p w14:paraId="22F844CA" w14:textId="77777777" w:rsidR="00775789" w:rsidRDefault="00775789" w:rsidP="00775789">
      <w:r>
        <w:t>2.2 非線形関数の線形化とピースワイズの必要性</w:t>
      </w:r>
    </w:p>
    <w:p w14:paraId="2973C2F7" w14:textId="77777777" w:rsidR="00775789" w:rsidRDefault="00775789" w:rsidP="00775789">
      <w:r>
        <w:t>2.3 ピースワイズ線形化の基本概念</w:t>
      </w:r>
    </w:p>
    <w:p w14:paraId="590B3F71" w14:textId="77777777" w:rsidR="00775789" w:rsidRDefault="00775789" w:rsidP="00775789">
      <w:r>
        <w:t>2.3.1 一次元ピースワイズ</w:t>
      </w:r>
    </w:p>
    <w:p w14:paraId="1F8DB75B" w14:textId="77777777" w:rsidR="00775789" w:rsidRDefault="00775789" w:rsidP="00775789">
      <w:r>
        <w:t>2.3.2 二次元ピースワイズ</w:t>
      </w:r>
    </w:p>
    <w:p w14:paraId="1ABFE7B7" w14:textId="77777777" w:rsidR="00775789" w:rsidRDefault="00775789" w:rsidP="00775789"/>
    <w:p w14:paraId="4F292029" w14:textId="77777777" w:rsidR="00775789" w:rsidRDefault="00775789" w:rsidP="00775789">
      <w:r>
        <w:rPr>
          <w:rFonts w:hint="eastAsia"/>
        </w:rPr>
        <w:t>本章は現行論文の構成を基本的に維持する。現行論文では，一次元ピースワイズと，</w:t>
      </w:r>
      <w:r>
        <w:t>DoD×SOCの10×10格子による二次元ピースワイズが整理されており，後続の定式化の基礎として機能している。したがって，本発展研究でもこの章は大きく変更する必要はない。</w:t>
      </w:r>
    </w:p>
    <w:p w14:paraId="77C3A613" w14:textId="77777777" w:rsidR="00775789" w:rsidRDefault="00775789" w:rsidP="00775789"/>
    <w:p w14:paraId="27C7174C" w14:textId="77777777" w:rsidR="00775789" w:rsidRDefault="00775789" w:rsidP="00775789">
      <w:r>
        <w:rPr>
          <w:rFonts w:hint="eastAsia"/>
        </w:rPr>
        <w:t>第</w:t>
      </w:r>
      <w:r>
        <w:t>3章　問題設定と定式化</w:t>
      </w:r>
    </w:p>
    <w:p w14:paraId="1BD583C5" w14:textId="77777777" w:rsidR="00775789" w:rsidRDefault="00775789" w:rsidP="00775789">
      <w:r>
        <w:t>3.1 想定する定置用蓄電池の利用</w:t>
      </w:r>
    </w:p>
    <w:p w14:paraId="692CE924" w14:textId="77777777" w:rsidR="00775789" w:rsidRDefault="00775789" w:rsidP="00775789">
      <w:r>
        <w:t>3.1.1 対象市場と意思決定</w:t>
      </w:r>
    </w:p>
    <w:p w14:paraId="7AF8FC57" w14:textId="77777777" w:rsidR="00775789" w:rsidRDefault="00775789" w:rsidP="00775789">
      <w:r>
        <w:t>3.1.2 MILPとしての定式化方針と制約の分類</w:t>
      </w:r>
    </w:p>
    <w:p w14:paraId="3CF595E2" w14:textId="77777777" w:rsidR="00775789" w:rsidRDefault="00775789" w:rsidP="00775789">
      <w:r>
        <w:t>3.2 目的関数</w:t>
      </w:r>
    </w:p>
    <w:p w14:paraId="3483D7BE" w14:textId="77777777" w:rsidR="00775789" w:rsidRDefault="00775789" w:rsidP="00775789">
      <w:r>
        <w:t>3.3 SOCダイナミクスと運用制約</w:t>
      </w:r>
    </w:p>
    <w:p w14:paraId="40F8694B" w14:textId="77777777" w:rsidR="00775789" w:rsidRDefault="00775789" w:rsidP="00775789">
      <w:r>
        <w:t>3.3.1 SOCの更新式</w:t>
      </w:r>
    </w:p>
    <w:p w14:paraId="14EC30D9" w14:textId="77777777" w:rsidR="00775789" w:rsidRDefault="00775789" w:rsidP="00775789">
      <w:r>
        <w:t>3.3.2 容量制約と運用モード選択</w:t>
      </w:r>
    </w:p>
    <w:p w14:paraId="441ABD10" w14:textId="77777777" w:rsidR="00775789" w:rsidRDefault="00775789" w:rsidP="00775789">
      <w:r>
        <w:t>3.3.3 二次元ピースワイズの論理制約</w:t>
      </w:r>
    </w:p>
    <w:p w14:paraId="50D3EC8C" w14:textId="77777777" w:rsidR="00775789" w:rsidRDefault="00775789" w:rsidP="00775789">
      <w:r>
        <w:t>3.3.4 終端条件と区分重みの正規化</w:t>
      </w:r>
    </w:p>
    <w:p w14:paraId="6D26999D" w14:textId="77777777" w:rsidR="00775789" w:rsidRDefault="00775789" w:rsidP="00775789"/>
    <w:p w14:paraId="7CE0054E" w14:textId="77777777" w:rsidR="00775789" w:rsidRDefault="00775789" w:rsidP="00775789">
      <w:r>
        <w:rPr>
          <w:rFonts w:hint="eastAsia"/>
        </w:rPr>
        <w:t>ここまでは現行論文を基本的に維持する。現行モデルでは，スポット価格項，調整市場収益項，劣化コスト項を含む目的関数が定義され，</w:t>
      </w:r>
      <w:r>
        <w:t>SOCは市場ごとの充放電量に応じて更新される。したがって，本研究では定式化そのものを変更するのではなく，入力する価格系列を変化させた際の最適解の差異を比較する枠組みとして用いるのが適切である。</w:t>
      </w:r>
    </w:p>
    <w:p w14:paraId="3938897B" w14:textId="77777777" w:rsidR="00775789" w:rsidRDefault="00775789" w:rsidP="00775789"/>
    <w:p w14:paraId="48FF0F2C" w14:textId="77777777" w:rsidR="00775789" w:rsidRDefault="00775789" w:rsidP="00775789">
      <w:r>
        <w:t>3.4 価格推移分析のための評価指標</w:t>
      </w:r>
    </w:p>
    <w:p w14:paraId="7BF5DC81" w14:textId="77777777" w:rsidR="00775789" w:rsidRDefault="00775789" w:rsidP="00775789"/>
    <w:p w14:paraId="221932AE" w14:textId="77777777" w:rsidR="00775789" w:rsidRDefault="00775789" w:rsidP="00775789">
      <w:r>
        <w:rPr>
          <w:rFonts w:hint="eastAsia"/>
        </w:rPr>
        <w:t>本発展研究では，この節を新設することを提案する。ここでは，価格推移と</w:t>
      </w:r>
      <w:r>
        <w:t>SOC推移の関係を分析するために，以下の指標を定義する。</w:t>
      </w:r>
    </w:p>
    <w:p w14:paraId="3BBA13C1" w14:textId="77777777" w:rsidR="00775789" w:rsidRDefault="00775789" w:rsidP="00775789"/>
    <w:p w14:paraId="6C94A515" w14:textId="77777777" w:rsidR="00775789" w:rsidRDefault="00775789" w:rsidP="00775789">
      <w:r>
        <w:rPr>
          <w:rFonts w:hint="eastAsia"/>
        </w:rPr>
        <w:t>日内価格差</w:t>
      </w:r>
    </w:p>
    <w:p w14:paraId="1D8E0BE5" w14:textId="77777777" w:rsidR="00775789" w:rsidRDefault="00775789" w:rsidP="00775789"/>
    <w:p w14:paraId="6D6B0E01" w14:textId="77777777" w:rsidR="00775789" w:rsidRDefault="00775789" w:rsidP="00775789">
      <w:r>
        <w:rPr>
          <w:rFonts w:hint="eastAsia"/>
        </w:rPr>
        <w:t>価格ピーク出現時刻</w:t>
      </w:r>
    </w:p>
    <w:p w14:paraId="3F0536F2" w14:textId="77777777" w:rsidR="00775789" w:rsidRDefault="00775789" w:rsidP="00775789"/>
    <w:p w14:paraId="4619C20C" w14:textId="77777777" w:rsidR="00775789" w:rsidRDefault="00775789" w:rsidP="00775789">
      <w:r>
        <w:rPr>
          <w:rFonts w:hint="eastAsia"/>
        </w:rPr>
        <w:t>価格変動回数</w:t>
      </w:r>
    </w:p>
    <w:p w14:paraId="653621EB" w14:textId="77777777" w:rsidR="00775789" w:rsidRDefault="00775789" w:rsidP="00775789"/>
    <w:p w14:paraId="68C03339" w14:textId="77777777" w:rsidR="00775789" w:rsidRDefault="00775789" w:rsidP="00775789">
      <w:r>
        <w:rPr>
          <w:rFonts w:hint="eastAsia"/>
        </w:rPr>
        <w:t>低価格帯の継続時間</w:t>
      </w:r>
    </w:p>
    <w:p w14:paraId="3079FF67" w14:textId="77777777" w:rsidR="00775789" w:rsidRDefault="00775789" w:rsidP="00775789"/>
    <w:p w14:paraId="5347E942" w14:textId="77777777" w:rsidR="00775789" w:rsidRDefault="00775789" w:rsidP="00775789">
      <w:r>
        <w:rPr>
          <w:rFonts w:hint="eastAsia"/>
        </w:rPr>
        <w:t>平均</w:t>
      </w:r>
      <w:r>
        <w:t>SOC</w:t>
      </w:r>
    </w:p>
    <w:p w14:paraId="08CC76D3" w14:textId="77777777" w:rsidR="00775789" w:rsidRDefault="00775789" w:rsidP="00775789"/>
    <w:p w14:paraId="26F73B12" w14:textId="77777777" w:rsidR="00775789" w:rsidRDefault="00775789" w:rsidP="00775789">
      <w:r>
        <w:t>SOC変動幅</w:t>
      </w:r>
    </w:p>
    <w:p w14:paraId="75A1E0C7" w14:textId="77777777" w:rsidR="00775789" w:rsidRDefault="00775789" w:rsidP="00775789"/>
    <w:p w14:paraId="5E3917D2" w14:textId="77777777" w:rsidR="00775789" w:rsidRDefault="00775789" w:rsidP="00775789">
      <w:r>
        <w:rPr>
          <w:rFonts w:hint="eastAsia"/>
        </w:rPr>
        <w:t>充放電回数</w:t>
      </w:r>
    </w:p>
    <w:p w14:paraId="4F53B1EC" w14:textId="77777777" w:rsidR="00775789" w:rsidRDefault="00775789" w:rsidP="00775789"/>
    <w:p w14:paraId="58DD9462" w14:textId="77777777" w:rsidR="00775789" w:rsidRDefault="00775789" w:rsidP="00775789">
      <w:r>
        <w:rPr>
          <w:rFonts w:hint="eastAsia"/>
        </w:rPr>
        <w:lastRenderedPageBreak/>
        <w:t>高</w:t>
      </w:r>
      <w:r>
        <w:t>SOC滞在時間</w:t>
      </w:r>
    </w:p>
    <w:p w14:paraId="479251C9" w14:textId="77777777" w:rsidR="00775789" w:rsidRDefault="00775789" w:rsidP="00775789"/>
    <w:p w14:paraId="53587239" w14:textId="77777777" w:rsidR="00775789" w:rsidRDefault="00775789" w:rsidP="00775789">
      <w:r>
        <w:rPr>
          <w:rFonts w:hint="eastAsia"/>
        </w:rPr>
        <w:t>劣化コスト</w:t>
      </w:r>
    </w:p>
    <w:p w14:paraId="0322C542" w14:textId="77777777" w:rsidR="00775789" w:rsidRDefault="00775789" w:rsidP="00775789"/>
    <w:p w14:paraId="67F63291" w14:textId="77777777" w:rsidR="00775789" w:rsidRDefault="00775789" w:rsidP="00775789">
      <w:r>
        <w:rPr>
          <w:rFonts w:hint="eastAsia"/>
        </w:rPr>
        <w:t>市場別収益</w:t>
      </w:r>
    </w:p>
    <w:p w14:paraId="6AFECA5B" w14:textId="77777777" w:rsidR="00775789" w:rsidRDefault="00775789" w:rsidP="00775789"/>
    <w:p w14:paraId="4BA5E232" w14:textId="77777777" w:rsidR="00775789" w:rsidRDefault="00775789" w:rsidP="00775789">
      <w:r>
        <w:rPr>
          <w:rFonts w:hint="eastAsia"/>
        </w:rPr>
        <w:t>総利益</w:t>
      </w:r>
    </w:p>
    <w:p w14:paraId="35E3699D" w14:textId="77777777" w:rsidR="00775789" w:rsidRDefault="00775789" w:rsidP="00775789"/>
    <w:p w14:paraId="70577084" w14:textId="77777777" w:rsidR="00775789" w:rsidRDefault="00775789" w:rsidP="00775789">
      <w:r>
        <w:rPr>
          <w:rFonts w:hint="eastAsia"/>
        </w:rPr>
        <w:t>この節を設けることで，第</w:t>
      </w:r>
      <w:r>
        <w:t>4章の分析をグラフの印象論ではなく，定量的比較に基づくものとして整理できる。</w:t>
      </w:r>
    </w:p>
    <w:p w14:paraId="658478E7" w14:textId="77777777" w:rsidR="00775789" w:rsidRDefault="00775789" w:rsidP="00775789"/>
    <w:p w14:paraId="261F26FD" w14:textId="77777777" w:rsidR="00775789" w:rsidRDefault="00775789" w:rsidP="00775789">
      <w:r>
        <w:rPr>
          <w:rFonts w:hint="eastAsia"/>
        </w:rPr>
        <w:t>第</w:t>
      </w:r>
      <w:r>
        <w:t>4章　シミュレーション結果と価格推移に対するSOC応答分析</w:t>
      </w:r>
    </w:p>
    <w:p w14:paraId="14276F0F" w14:textId="77777777" w:rsidR="00775789" w:rsidRDefault="00775789" w:rsidP="00775789"/>
    <w:p w14:paraId="47DC604D" w14:textId="77777777" w:rsidR="00775789" w:rsidRDefault="00775789" w:rsidP="00775789">
      <w:r>
        <w:rPr>
          <w:rFonts w:hint="eastAsia"/>
        </w:rPr>
        <w:t>現行論文の第</w:t>
      </w:r>
      <w:r>
        <w:t>4章は，条件設定，結果，考察という構成であり，すでに5月・6月の価格推移とSOC推移を対応づけて比較している。したがって，本研究ではこの章を中心的に拡張するのが最も自然である。</w:t>
      </w:r>
    </w:p>
    <w:p w14:paraId="6C67393F" w14:textId="77777777" w:rsidR="00775789" w:rsidRDefault="00775789" w:rsidP="00775789"/>
    <w:p w14:paraId="4F0C0678" w14:textId="77777777" w:rsidR="00775789" w:rsidRDefault="00775789" w:rsidP="00775789">
      <w:r>
        <w:t>4.1 シミュレーション条件</w:t>
      </w:r>
    </w:p>
    <w:p w14:paraId="1B6108AE" w14:textId="77777777" w:rsidR="00775789" w:rsidRDefault="00775789" w:rsidP="00775789"/>
    <w:p w14:paraId="7496C1F1" w14:textId="77777777" w:rsidR="00775789" w:rsidRDefault="00775789" w:rsidP="00775789">
      <w:r>
        <w:rPr>
          <w:rFonts w:hint="eastAsia"/>
        </w:rPr>
        <w:t>蓄電池定格容量</w:t>
      </w:r>
      <w:r>
        <w:t>1000kWh，SOC下限0.1，上限1.0，初期SOC 0.5，充放電効率0.95など，現行論文の条件を基本的に踏襲する。</w:t>
      </w:r>
    </w:p>
    <w:p w14:paraId="569B265F" w14:textId="77777777" w:rsidR="00775789" w:rsidRDefault="00775789" w:rsidP="00775789"/>
    <w:p w14:paraId="191BF30A" w14:textId="77777777" w:rsidR="00775789" w:rsidRDefault="00775789" w:rsidP="00775789">
      <w:r>
        <w:t>4.2 劣化モデル別の比較</w:t>
      </w:r>
    </w:p>
    <w:p w14:paraId="60478905" w14:textId="77777777" w:rsidR="00775789" w:rsidRDefault="00775789" w:rsidP="00775789"/>
    <w:p w14:paraId="33605C1C" w14:textId="77777777" w:rsidR="00775789" w:rsidRDefault="00775789" w:rsidP="00775789">
      <w:r>
        <w:rPr>
          <w:rFonts w:hint="eastAsia"/>
        </w:rPr>
        <w:t>この節では，現行論文の</w:t>
      </w:r>
      <w:r>
        <w:t>4.2.1および4.2.2を引き継ぎ，まずは一次元ピースワイズ，二次元ピースワイズ，劣化なしの比較を示す。ここで現行研究のベースライン結果を確認した上で，価格パターン分析へと進む構成が望ましい。</w:t>
      </w:r>
    </w:p>
    <w:p w14:paraId="12BA691A" w14:textId="77777777" w:rsidR="00775789" w:rsidRDefault="00775789" w:rsidP="00775789"/>
    <w:p w14:paraId="145ED680" w14:textId="77777777" w:rsidR="00775789" w:rsidRDefault="00775789" w:rsidP="00775789">
      <w:r>
        <w:t>4.3 電力価格推移パターンの分類</w:t>
      </w:r>
    </w:p>
    <w:p w14:paraId="1557ADFE" w14:textId="77777777" w:rsidR="00775789" w:rsidRDefault="00775789" w:rsidP="00775789"/>
    <w:p w14:paraId="5FBA934E" w14:textId="77777777" w:rsidR="00775789" w:rsidRDefault="00775789" w:rsidP="00775789">
      <w:r>
        <w:rPr>
          <w:rFonts w:hint="eastAsia"/>
        </w:rPr>
        <w:t>本研究で新たに設ける節である。ここでは，分析対象とする価格系列を，たとえば以下のように分類する。</w:t>
      </w:r>
    </w:p>
    <w:p w14:paraId="13B213B8" w14:textId="77777777" w:rsidR="00775789" w:rsidRDefault="00775789" w:rsidP="00775789"/>
    <w:p w14:paraId="31AB4167" w14:textId="77777777" w:rsidR="00775789" w:rsidRDefault="00775789" w:rsidP="00775789">
      <w:r>
        <w:rPr>
          <w:rFonts w:hint="eastAsia"/>
        </w:rPr>
        <w:t>ケース</w:t>
      </w:r>
      <w:r>
        <w:t>A：価格差が小さい日</w:t>
      </w:r>
    </w:p>
    <w:p w14:paraId="11F8D1CE" w14:textId="77777777" w:rsidR="00775789" w:rsidRDefault="00775789" w:rsidP="00775789"/>
    <w:p w14:paraId="119586F5" w14:textId="77777777" w:rsidR="00775789" w:rsidRDefault="00775789" w:rsidP="00775789">
      <w:r>
        <w:rPr>
          <w:rFonts w:hint="eastAsia"/>
        </w:rPr>
        <w:t>ケース</w:t>
      </w:r>
      <w:r>
        <w:t>B：夕方に高価格ピークが集中する日</w:t>
      </w:r>
    </w:p>
    <w:p w14:paraId="3067248B" w14:textId="77777777" w:rsidR="00775789" w:rsidRDefault="00775789" w:rsidP="00775789"/>
    <w:p w14:paraId="7FF1C388" w14:textId="77777777" w:rsidR="00775789" w:rsidRDefault="00775789" w:rsidP="00775789">
      <w:r>
        <w:rPr>
          <w:rFonts w:hint="eastAsia"/>
        </w:rPr>
        <w:t>ケース</w:t>
      </w:r>
      <w:r>
        <w:t>C：低価格帯が長時間継続する日</w:t>
      </w:r>
    </w:p>
    <w:p w14:paraId="78E72CD7" w14:textId="77777777" w:rsidR="00775789" w:rsidRDefault="00775789" w:rsidP="00775789"/>
    <w:p w14:paraId="57B03ECC" w14:textId="3840F78C" w:rsidR="00775789" w:rsidRDefault="00775789" w:rsidP="00775789">
      <w:pPr>
        <w:rPr>
          <w:rFonts w:hint="eastAsia"/>
        </w:rPr>
      </w:pPr>
      <w:r>
        <w:rPr>
          <w:rFonts w:hint="eastAsia"/>
        </w:rPr>
        <w:t>ケース</w:t>
      </w:r>
      <w:r>
        <w:t>D：高値・安値の切り替わりが頻繁な日</w:t>
      </w:r>
      <w:r w:rsidR="00AF5E7D">
        <w:br/>
      </w:r>
      <w:r w:rsidR="00AF5E7D">
        <w:br/>
      </w:r>
      <w:r w:rsidR="00AF5E7D">
        <w:rPr>
          <w:rFonts w:hint="eastAsia"/>
        </w:rPr>
        <w:t>もしくは今の13パターン</w:t>
      </w:r>
    </w:p>
    <w:p w14:paraId="1F65FA58" w14:textId="77777777" w:rsidR="00775789" w:rsidRDefault="00775789" w:rsidP="00775789"/>
    <w:p w14:paraId="2641BA77" w14:textId="77777777" w:rsidR="00775789" w:rsidRDefault="00775789" w:rsidP="00775789">
      <w:r>
        <w:rPr>
          <w:rFonts w:hint="eastAsia"/>
        </w:rPr>
        <w:t>実データをそのまま分類してもよいし，実データを基にした代表日シナリオを作成してもよい。</w:t>
      </w:r>
    </w:p>
    <w:p w14:paraId="429B3F6C" w14:textId="77777777" w:rsidR="00775789" w:rsidRDefault="00775789" w:rsidP="00775789"/>
    <w:p w14:paraId="58DCE40E" w14:textId="77777777" w:rsidR="00775789" w:rsidRDefault="00775789" w:rsidP="00775789">
      <w:r>
        <w:t>4.4 価格推移の違いによるSOC推移の比較</w:t>
      </w:r>
    </w:p>
    <w:p w14:paraId="2D25D46A" w14:textId="77777777" w:rsidR="00775789" w:rsidRDefault="00775789" w:rsidP="00775789"/>
    <w:p w14:paraId="1F52AC7E" w14:textId="77777777" w:rsidR="00775789" w:rsidRDefault="00775789" w:rsidP="00775789">
      <w:r>
        <w:rPr>
          <w:rFonts w:hint="eastAsia"/>
        </w:rPr>
        <w:t>本研究の中心節である。各価格ケースについて，</w:t>
      </w:r>
    </w:p>
    <w:p w14:paraId="41B02A47" w14:textId="77777777" w:rsidR="00775789" w:rsidRDefault="00775789" w:rsidP="00775789"/>
    <w:p w14:paraId="1E52AABB" w14:textId="77777777" w:rsidR="00775789" w:rsidRDefault="00775789" w:rsidP="00775789">
      <w:r>
        <w:rPr>
          <w:rFonts w:hint="eastAsia"/>
        </w:rPr>
        <w:t>価格推移グラフ</w:t>
      </w:r>
    </w:p>
    <w:p w14:paraId="646C7F9A" w14:textId="77777777" w:rsidR="00775789" w:rsidRDefault="00775789" w:rsidP="00775789"/>
    <w:p w14:paraId="31683593" w14:textId="77777777" w:rsidR="00775789" w:rsidRDefault="00775789" w:rsidP="00775789">
      <w:r>
        <w:t>SOC推移グラフ</w:t>
      </w:r>
    </w:p>
    <w:p w14:paraId="05DC2132" w14:textId="77777777" w:rsidR="00775789" w:rsidRDefault="00775789" w:rsidP="00775789"/>
    <w:p w14:paraId="68F23801" w14:textId="77777777" w:rsidR="00775789" w:rsidRDefault="00775789" w:rsidP="00775789">
      <w:r>
        <w:rPr>
          <w:rFonts w:hint="eastAsia"/>
        </w:rPr>
        <w:t>充放電量推移</w:t>
      </w:r>
    </w:p>
    <w:p w14:paraId="2F5B6B16" w14:textId="77777777" w:rsidR="00775789" w:rsidRDefault="00775789" w:rsidP="00775789"/>
    <w:p w14:paraId="6127F3F8" w14:textId="77777777" w:rsidR="00775789" w:rsidRDefault="00775789" w:rsidP="00775789">
      <w:r>
        <w:rPr>
          <w:rFonts w:hint="eastAsia"/>
        </w:rPr>
        <w:t>市場別容量配分</w:t>
      </w:r>
    </w:p>
    <w:p w14:paraId="54C76E26" w14:textId="77777777" w:rsidR="00775789" w:rsidRDefault="00775789" w:rsidP="00775789"/>
    <w:p w14:paraId="01D987B8" w14:textId="77777777" w:rsidR="00775789" w:rsidRDefault="00775789" w:rsidP="00775789">
      <w:r>
        <w:rPr>
          <w:rFonts w:hint="eastAsia"/>
        </w:rPr>
        <w:t>劣化コスト</w:t>
      </w:r>
    </w:p>
    <w:p w14:paraId="11383E24" w14:textId="77777777" w:rsidR="00775789" w:rsidRDefault="00775789" w:rsidP="00775789"/>
    <w:p w14:paraId="35B4A992" w14:textId="77777777" w:rsidR="00775789" w:rsidRDefault="00775789" w:rsidP="00775789">
      <w:r>
        <w:rPr>
          <w:rFonts w:hint="eastAsia"/>
        </w:rPr>
        <w:t>総利益</w:t>
      </w:r>
    </w:p>
    <w:p w14:paraId="6EDA233F" w14:textId="77777777" w:rsidR="00775789" w:rsidRDefault="00775789" w:rsidP="00775789"/>
    <w:p w14:paraId="41872697" w14:textId="77777777" w:rsidR="00775789" w:rsidRDefault="00775789" w:rsidP="00775789">
      <w:r>
        <w:rPr>
          <w:rFonts w:hint="eastAsia"/>
        </w:rPr>
        <w:t>を対応づけて示す。これにより，「どのような価格構造のときに，どのような</w:t>
      </w:r>
      <w:r>
        <w:t>SOC保持戦略が採用されるか」を視覚的かつ定量的に比較できる。</w:t>
      </w:r>
    </w:p>
    <w:p w14:paraId="78E04EB0" w14:textId="77777777" w:rsidR="00775789" w:rsidRDefault="00775789" w:rsidP="00775789"/>
    <w:p w14:paraId="50379BFD" w14:textId="77777777" w:rsidR="00775789" w:rsidRDefault="00775789" w:rsidP="00775789">
      <w:r>
        <w:t>4.5 価格推移が市場別容量配分と劣化に与える影響</w:t>
      </w:r>
    </w:p>
    <w:p w14:paraId="0068220A" w14:textId="77777777" w:rsidR="00775789" w:rsidRDefault="00775789" w:rsidP="00775789"/>
    <w:p w14:paraId="35EE870A" w14:textId="77777777" w:rsidR="00775789" w:rsidRDefault="00775789" w:rsidP="00775789">
      <w:r>
        <w:rPr>
          <w:rFonts w:hint="eastAsia"/>
        </w:rPr>
        <w:t>価格推移の違いが，スポット市場偏重の運用を誘導するのか，あるいは調整市場への容量確保を促すのかを分析する。また，価格変動の激しさが劣化コストをどの程度押し上げるかも整理する。</w:t>
      </w:r>
    </w:p>
    <w:p w14:paraId="1ABF6753" w14:textId="77777777" w:rsidR="00775789" w:rsidRDefault="00775789" w:rsidP="00775789"/>
    <w:p w14:paraId="3BEB911A" w14:textId="77777777" w:rsidR="00775789" w:rsidRDefault="00775789" w:rsidP="00775789">
      <w:r>
        <w:t>4.6 考察</w:t>
      </w:r>
    </w:p>
    <w:p w14:paraId="572A63E4" w14:textId="77777777" w:rsidR="00775789" w:rsidRDefault="00775789" w:rsidP="00775789"/>
    <w:p w14:paraId="10470CAE" w14:textId="77777777" w:rsidR="00775789" w:rsidRDefault="00775789" w:rsidP="00775789">
      <w:r>
        <w:rPr>
          <w:rFonts w:hint="eastAsia"/>
        </w:rPr>
        <w:t>ここでは，結果を一般化して記述する。たとえば，次のような考察が想定される。</w:t>
      </w:r>
    </w:p>
    <w:p w14:paraId="10BE2370" w14:textId="77777777" w:rsidR="00775789" w:rsidRDefault="00775789" w:rsidP="00775789"/>
    <w:p w14:paraId="69624A50" w14:textId="77777777" w:rsidR="00775789" w:rsidRDefault="00775789" w:rsidP="00775789">
      <w:r>
        <w:rPr>
          <w:rFonts w:hint="eastAsia"/>
        </w:rPr>
        <w:t>価格ピークが短時間に集中する場合には，ピーク前に高い</w:t>
      </w:r>
      <w:r>
        <w:t>SOCを保持する戦略が有利となる。一方，低価格帯が長く継続する場合には，早い時間帯から充電を行い，高SOC状態を維持しやすくなる。さらに，価格変動が頻繁な場合には小刻みな充放電が増加しやすいが，劣化コストを考慮したモデルでは，そうした過度な追従が抑制される可能性がある。</w:t>
      </w:r>
    </w:p>
    <w:p w14:paraId="7AC9DBF7" w14:textId="77777777" w:rsidR="00775789" w:rsidRDefault="00775789" w:rsidP="00775789"/>
    <w:p w14:paraId="2D088B11" w14:textId="77777777" w:rsidR="00775789" w:rsidRDefault="00775789" w:rsidP="00775789">
      <w:r>
        <w:rPr>
          <w:rFonts w:hint="eastAsia"/>
        </w:rPr>
        <w:t>第</w:t>
      </w:r>
      <w:r>
        <w:t>5章　結論</w:t>
      </w:r>
    </w:p>
    <w:p w14:paraId="3BCBDA3A" w14:textId="77777777" w:rsidR="00775789" w:rsidRDefault="00775789" w:rsidP="00775789">
      <w:r>
        <w:t>5.1 結論</w:t>
      </w:r>
    </w:p>
    <w:p w14:paraId="167FAEC0" w14:textId="77777777" w:rsidR="00775789" w:rsidRDefault="00775789" w:rsidP="00775789"/>
    <w:p w14:paraId="3B5FC0C2" w14:textId="77777777" w:rsidR="00775789" w:rsidRDefault="00775789" w:rsidP="00775789">
      <w:r>
        <w:rPr>
          <w:rFonts w:hint="eastAsia"/>
        </w:rPr>
        <w:t>本研究の結論は，以下のように整理できる。</w:t>
      </w:r>
    </w:p>
    <w:p w14:paraId="6372B77A" w14:textId="77777777" w:rsidR="00775789" w:rsidRDefault="00775789" w:rsidP="00775789"/>
    <w:p w14:paraId="42F5BDD4" w14:textId="77777777" w:rsidR="00775789" w:rsidRDefault="00775789" w:rsidP="00775789">
      <w:r>
        <w:rPr>
          <w:rFonts w:hint="eastAsia"/>
        </w:rPr>
        <w:t>第一に，劣化考慮の有無およびその表現方法の違いにより，最適</w:t>
      </w:r>
      <w:r>
        <w:t>SOC推移は変化する。</w:t>
      </w:r>
    </w:p>
    <w:p w14:paraId="6880472E" w14:textId="77777777" w:rsidR="00775789" w:rsidRDefault="00775789" w:rsidP="00775789">
      <w:r>
        <w:rPr>
          <w:rFonts w:hint="eastAsia"/>
        </w:rPr>
        <w:t>第二に，電力価格推移の時間構造，すなわち価格差，ピーク位置，変動頻度，低価格帯継続時間の違いに応じて，最適</w:t>
      </w:r>
      <w:r>
        <w:t>SOC保持戦略は変化する。</w:t>
      </w:r>
    </w:p>
    <w:p w14:paraId="1C378F66" w14:textId="77777777" w:rsidR="00775789" w:rsidRDefault="00775789" w:rsidP="00775789">
      <w:r>
        <w:rPr>
          <w:rFonts w:hint="eastAsia"/>
        </w:rPr>
        <w:t>第三に，価格差が大きい場合であっても，常に大きな充放電が最適となるわけではなく，劣化コストとの兼ね合いの中で，</w:t>
      </w:r>
      <w:r>
        <w:t>SOCを保持する戦略や放電時刻の集中が選択される。</w:t>
      </w:r>
    </w:p>
    <w:p w14:paraId="1A84EDCF" w14:textId="77777777" w:rsidR="00775789" w:rsidRDefault="00775789" w:rsidP="00775789"/>
    <w:p w14:paraId="78A3E90D" w14:textId="77777777" w:rsidR="00775789" w:rsidRDefault="00775789" w:rsidP="00775789">
      <w:r>
        <w:t>5.2 今後の課題</w:t>
      </w:r>
    </w:p>
    <w:p w14:paraId="4330832C" w14:textId="77777777" w:rsidR="00775789" w:rsidRDefault="00775789" w:rsidP="00775789"/>
    <w:p w14:paraId="2965B726" w14:textId="3724F4BE" w:rsidR="00FD3438" w:rsidRPr="00775789" w:rsidRDefault="00775789" w:rsidP="00775789">
      <w:r>
        <w:rPr>
          <w:rFonts w:hint="eastAsia"/>
        </w:rPr>
        <w:t>今後の課題としては，価格予測誤差の導入，不確実性を考慮した最適化，季節・曜日別分析，代表日抽出手法の改善，価格パターンの自動分類などが挙げられる。</w:t>
      </w:r>
    </w:p>
    <w:sectPr w:rsidR="00FD3438" w:rsidRPr="0077578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152D"/>
    <w:multiLevelType w:val="multilevel"/>
    <w:tmpl w:val="3A96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61C0E"/>
    <w:multiLevelType w:val="multilevel"/>
    <w:tmpl w:val="0BC4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F5B28"/>
    <w:multiLevelType w:val="multilevel"/>
    <w:tmpl w:val="B52A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300532">
    <w:abstractNumId w:val="0"/>
  </w:num>
  <w:num w:numId="2" w16cid:durableId="1851024208">
    <w:abstractNumId w:val="1"/>
  </w:num>
  <w:num w:numId="3" w16cid:durableId="539128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2A9"/>
    <w:rsid w:val="001E747B"/>
    <w:rsid w:val="002F52A9"/>
    <w:rsid w:val="00381E40"/>
    <w:rsid w:val="00775789"/>
    <w:rsid w:val="00AF5E7D"/>
    <w:rsid w:val="00B34044"/>
    <w:rsid w:val="00FD34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378B477"/>
  <w15:chartTrackingRefBased/>
  <w15:docId w15:val="{7641B99B-68D1-475D-AC96-991B997E1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52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F52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F52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F52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F52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F52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F52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F52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F52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F52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F52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F52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F52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F52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F52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F52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F52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F52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F52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F52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52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F52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52A9"/>
    <w:pPr>
      <w:spacing w:before="160" w:after="160"/>
      <w:jc w:val="center"/>
    </w:pPr>
    <w:rPr>
      <w:i/>
      <w:iCs/>
      <w:color w:val="404040" w:themeColor="text1" w:themeTint="BF"/>
    </w:rPr>
  </w:style>
  <w:style w:type="character" w:customStyle="1" w:styleId="a8">
    <w:name w:val="引用文 (文字)"/>
    <w:basedOn w:val="a0"/>
    <w:link w:val="a7"/>
    <w:uiPriority w:val="29"/>
    <w:rsid w:val="002F52A9"/>
    <w:rPr>
      <w:i/>
      <w:iCs/>
      <w:color w:val="404040" w:themeColor="text1" w:themeTint="BF"/>
    </w:rPr>
  </w:style>
  <w:style w:type="paragraph" w:styleId="a9">
    <w:name w:val="List Paragraph"/>
    <w:basedOn w:val="a"/>
    <w:uiPriority w:val="34"/>
    <w:qFormat/>
    <w:rsid w:val="002F52A9"/>
    <w:pPr>
      <w:ind w:left="720"/>
      <w:contextualSpacing/>
    </w:pPr>
  </w:style>
  <w:style w:type="character" w:styleId="21">
    <w:name w:val="Intense Emphasis"/>
    <w:basedOn w:val="a0"/>
    <w:uiPriority w:val="21"/>
    <w:qFormat/>
    <w:rsid w:val="002F52A9"/>
    <w:rPr>
      <w:i/>
      <w:iCs/>
      <w:color w:val="0F4761" w:themeColor="accent1" w:themeShade="BF"/>
    </w:rPr>
  </w:style>
  <w:style w:type="paragraph" w:styleId="22">
    <w:name w:val="Intense Quote"/>
    <w:basedOn w:val="a"/>
    <w:next w:val="a"/>
    <w:link w:val="23"/>
    <w:uiPriority w:val="30"/>
    <w:qFormat/>
    <w:rsid w:val="002F5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F52A9"/>
    <w:rPr>
      <w:i/>
      <w:iCs/>
      <w:color w:val="0F4761" w:themeColor="accent1" w:themeShade="BF"/>
    </w:rPr>
  </w:style>
  <w:style w:type="character" w:styleId="24">
    <w:name w:val="Intense Reference"/>
    <w:basedOn w:val="a0"/>
    <w:uiPriority w:val="32"/>
    <w:qFormat/>
    <w:rsid w:val="002F52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kitn.lzh →</dc:creator>
  <cp:keywords/>
  <dc:description/>
  <cp:lastModifiedBy>kitn.lzh →</cp:lastModifiedBy>
  <cp:revision>3</cp:revision>
  <dcterms:created xsi:type="dcterms:W3CDTF">2026-03-15T18:33:00Z</dcterms:created>
  <dcterms:modified xsi:type="dcterms:W3CDTF">2026-03-15T18:34:00Z</dcterms:modified>
</cp:coreProperties>
</file>