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RFP Response (Structured) - - Supply, implement, and support an enterprise BPM...</w:t>
      </w:r>
    </w:p>
    <w:p>
      <w:pPr>
        <w:jc w:val="center"/>
      </w:pPr>
      <w:r>
        <w:t>December 17, 2025</w:t>
      </w:r>
    </w:p>
    <w:p>
      <w:pPr>
        <w:jc w:val="center"/>
      </w:pPr>
      <w:r>
        <w:t>fusionAIx</w:t>
      </w:r>
    </w:p>
    <w:p>
      <w:pPr>
        <w:jc w:val="center"/>
      </w:pPr>
      <w:r>
        <w:t>fusionaix.com</w:t>
      </w:r>
    </w:p>
    <w:p>
      <w:r>
        <w:br w:type="page"/>
      </w:r>
    </w:p>
    <w:p>
      <w:pPr>
        <w:pStyle w:val="Heading1"/>
      </w:pPr>
      <w:r>
        <w:t>Table of Contents</w:t>
      </w:r>
    </w:p>
    <w:p>
      <w:r>
        <w:rPr>
          <w:b w:val="0"/>
        </w:rPr>
        <w:t>1. 1. Executive Summary</w:t>
      </w:r>
      <w:r>
        <w:br/>
      </w:r>
      <w:r>
        <w:rPr>
          <w:b w:val="0"/>
        </w:rPr>
        <w:t>2. 2. Understanding of MTI’s Objectives and Context</w:t>
      </w:r>
      <w:r>
        <w:br/>
      </w:r>
      <w:r>
        <w:rPr>
          <w:b w:val="0"/>
        </w:rPr>
        <w:t>3. 3. Proposed Solution Overview</w:t>
      </w:r>
      <w:r>
        <w:br/>
      </w:r>
      <w:r>
        <w:rPr>
          <w:b w:val="0"/>
        </w:rPr>
        <w:t>4. 4. Implementation Approach and Methodology</w:t>
      </w:r>
      <w:r>
        <w:br/>
      </w:r>
      <w:r>
        <w:rPr>
          <w:b w:val="0"/>
        </w:rPr>
        <w:t>5. 5. Project Plan and Timelines</w:t>
      </w:r>
      <w:r>
        <w:br/>
      </w:r>
      <w:r>
        <w:rPr>
          <w:b w:val="0"/>
        </w:rPr>
        <w:t>6. 6. Proposed Team Structure</w:t>
      </w:r>
      <w:r>
        <w:br/>
      </w:r>
      <w:r>
        <w:rPr>
          <w:b w:val="0"/>
        </w:rPr>
        <w:t>7. 7. Functional and Technical Compliance Matrix</w:t>
      </w:r>
      <w:r>
        <w:br/>
      </w:r>
      <w:r>
        <w:rPr>
          <w:b w:val="0"/>
        </w:rPr>
        <w:t>8. 8. Assumptions, Dependencies, and Risks</w:t>
      </w:r>
      <w:r>
        <w:br/>
      </w:r>
      <w:r>
        <w:rPr>
          <w:b w:val="0"/>
        </w:rPr>
        <w:t>9. 9. Support and Maintenance Model</w:t>
      </w:r>
      <w:r>
        <w:br/>
      </w:r>
      <w:r>
        <w:rPr>
          <w:b w:val="0"/>
        </w:rPr>
        <w:t>10. 10. Commercial Proposal</w:t>
      </w:r>
    </w:p>
    <w:p>
      <w:r>
        <w:br w:type="page"/>
      </w:r>
    </w:p>
    <w:p>
      <w:pPr>
        <w:pStyle w:val="Heading1"/>
      </w:pPr>
      <w:r>
        <w:t>Company Overview</w:t>
      </w:r>
    </w:p>
    <w:p>
      <w:r>
        <w:t>fusionAIx is a specialized low-code and AI-driven digital transformation partner focused on modernizing enterprise workflows, improving customer/employee experiences, and accelerating delivery through platform-led automation. The company was established in 2023, with active entities including a UK-based consultancy (incorporated 3 August 2023) and an India-based technology arm (incorporated 20 July 2023).</w:t>
      </w:r>
    </w:p>
    <w:p>
      <w:r>
        <w:t>With proven capabilities across Pega Constellation, Microsoft Power Platform, and ServiceNow, fusionAIx provides advisory, modernization, implementation, and managed delivery services designed to meet enterprise requirements for scalability, security, and governance.</w:t>
      </w:r>
    </w:p>
    <w:p>
      <w:r>
        <w:t>In the Pega ecosystem, fusionAIx positions itself as a niche Constellation specialist and states it has delivered 20+ Pega Constellation implementations globally. The company also highlights an AI-powered Constellation Center of Excellence aimed at accelerating DX component creation and modernization outcomes.</w:t>
      </w:r>
    </w:p>
    <w:p>
      <w:r>
        <w:t>To speed time-to-value, fusionAIx offers proprietary accelerators and solution components such as fxAgentSDK, fxAIStudio, fxMockUpToView, and fxSmartDCO, alongside Pega Marketplace offerings like fxTranslate for Constellation localization support.</w:t>
      </w:r>
    </w:p>
    <w:p>
      <w:r>
        <w:t>The firm supports clients across industries including insurance, banking/financial services, government, and healthcare, combining platform expertise with structured knowledge transfer to help customers build sustainable, future-ready capabilities.</w:t>
      </w:r>
    </w:p>
    <w:p>
      <w:r>
        <w:br w:type="page"/>
      </w:r>
    </w:p>
    <w:p>
      <w:pPr>
        <w:pStyle w:val="Heading1"/>
      </w:pPr>
      <w:r>
        <w:t>Proposal for the Ministry of Trade and Industry (MTI): Unified BPM Platform Implementation</w:t>
      </w:r>
    </w:p>
    <w:p/>
    <w:p/>
    <w:p>
      <w:pPr>
        <w:pStyle w:val="Heading2"/>
      </w:pPr>
      <w:r>
        <w:t>1. Executive Summary</w:t>
      </w:r>
    </w:p>
    <w:p/>
    <w:p>
      <w:r>
        <w:t>FusionAIx is pleased to submit this comprehensive proposal in response to the Ministry of Trade and Industry’s (MTI) Request for Proposal for the supply, implementation, and support of a unified Business Process Management (BPM) platform. Our proposal is designed to deliver a secure, scalable, and configurable enterprise-grade BPM solution that will enable MTI to orchestrate, automate, and manage its core business processes—including business licensing and renewals, incentive and grant applications, and related case management workflows—through a single, integrated platform.</w:t>
      </w:r>
    </w:p>
    <w:p/>
    <w:p>
      <w:r>
        <w:t>FusionAIx is a specialized low-code and AI-driven digital transformation partner with deep expertise in Pega Constellation, Microsoft Power Platform, and ServiceNow. We have successfully delivered over 20 Pega Constellation implementations globally, including for government and regulated industries, and have built a strong reputation for accelerating modernization through our proprietary accelerators such as fxAgentSDK, fxAIStudio, fxMockUpToView, and fxSmartDCO. These accelerators, combined with our AI-powered Constellation Center of Excellence, enable rapid configuration, reusable component creation, and consistent delivery quality.</w:t>
      </w:r>
    </w:p>
    <w:p/>
    <w:p>
      <w:r>
        <w:t>Our proposed solution leverages Pega Constellation, an enterprise-grade BPM suite that supports both straight-through processing (STP) and human-centric workflows, dynamic case management, centralized rules management, and responsive web-based user interfaces. The platform’s low-code, model-driven configuration approach minimizes custom development, accelerates delivery, and ensures maintainability. It provides robust integration capabilities (REST APIs, message queues, event-based integration), fine-grained role-based access control, and full audit logging—all aligned with government-grade security and compliance standards.</w:t>
      </w:r>
    </w:p>
    <w:p/>
    <w:p>
      <w:r>
        <w:t>FusionAIx’s implementation approach emphasizes co-creation with MTI stakeholders through structured requirements gathering, process modeling, and iterative design. Our delivery methodology ensures early validation, controlled releases, and comprehensive training and change management to drive adoption. Post go-live, we commit to a minimum of three years of support and maintenance, including patching, upgrades, and incident resolution under defined SLAs.</w:t>
      </w:r>
    </w:p>
    <w:p/>
    <w:p>
      <w:r>
        <w:t>This proposal demonstrates fusionAIx’s ability to deliver a future-ready BPM platform that meets MTI’s functional, technical, and operational requirements while enabling continuous improvement and digital agility.</w:t>
      </w:r>
    </w:p>
    <w:p/>
    <w:p/>
    <w:p>
      <w:pPr>
        <w:pStyle w:val="Heading2"/>
      </w:pPr>
      <w:r>
        <w:t>2. Understanding of MTI’s Objectives and Context</w:t>
      </w:r>
    </w:p>
    <w:p/>
    <w:p>
      <w:r>
        <w:t>MTI’s strategic objective is to implement a unified BPM platform that consolidates and streamlines its core business processes across departments, enabling efficient service delivery, transparency, and data-driven decision-making. The Ministry’s current environment likely includes a mix of legacy systems, manual workflows, and spreadsheet-based tracking, leading to inefficiencies, limited visibility, and challenges in enforcing consistent business rules and SLAs.</w:t>
      </w:r>
    </w:p>
    <w:p/>
    <w:p>
      <w:r>
        <w:t>FusionAIx understands that MTI seeks to achieve the following key outcomes:</w:t>
      </w:r>
    </w:p>
    <w:p/>
    <w:p>
      <w:pPr>
        <w:pStyle w:val="ListNumber"/>
      </w:pPr>
      <w:r>
        <w:rPr>
          <w:b/>
        </w:rPr>
        <w:t>Unified Process Orchestration:</w:t>
      </w:r>
      <w:r>
        <w:t xml:space="preserve"> Establish a single BPM platform to manage end-to-end workflows across business licensing, renewals, incentives, and grants, ensuring consistency and traceability.</w:t>
      </w:r>
    </w:p>
    <w:p>
      <w:pPr>
        <w:pStyle w:val="ListNumber"/>
      </w:pPr>
      <w:r>
        <w:rPr>
          <w:b/>
        </w:rPr>
        <w:t>Configurable Case Management:</w:t>
      </w:r>
      <w:r>
        <w:t xml:space="preserve"> Enable dynamic case handling with ad-hoc tasks, attachments, notes, and contextual collaboration, supporting both structured and unstructured processes.</w:t>
      </w:r>
    </w:p>
    <w:p>
      <w:pPr>
        <w:pStyle w:val="ListNumber"/>
      </w:pPr>
      <w:r>
        <w:rPr>
          <w:b/>
        </w:rPr>
        <w:t>Operational Transparency:</w:t>
      </w:r>
      <w:r>
        <w:t xml:space="preserve"> Provide dashboards and reports for monitoring case volumes, workload distribution, SLA performance, and bottlenecks, empowering business users with self-service analytics.</w:t>
      </w:r>
    </w:p>
    <w:p>
      <w:pPr>
        <w:pStyle w:val="ListNumber"/>
      </w:pPr>
      <w:r>
        <w:rPr>
          <w:b/>
        </w:rPr>
        <w:t>Governance and Compliance:</w:t>
      </w:r>
      <w:r>
        <w:t xml:space="preserve"> Implement centralized rules management, versioning, and controlled deployment to ensure policy compliance and auditability.</w:t>
      </w:r>
    </w:p>
    <w:p>
      <w:pPr>
        <w:pStyle w:val="ListNumber"/>
      </w:pPr>
      <w:r>
        <w:rPr>
          <w:b/>
        </w:rPr>
        <w:t>User Experience and Accessibility:</w:t>
      </w:r>
      <w:r>
        <w:t xml:space="preserve"> Deliver responsive, web-based interfaces with guided steps, contextual help, and self-service portals for internal and external users.</w:t>
      </w:r>
    </w:p>
    <w:p>
      <w:pPr>
        <w:pStyle w:val="ListNumber"/>
      </w:pPr>
      <w:r>
        <w:rPr>
          <w:b/>
        </w:rPr>
        <w:t>Integration and Security:</w:t>
      </w:r>
      <w:r>
        <w:t xml:space="preserve"> Ensure secure integration with MTI’s identity management and single sign-on (SSO) systems, and compliance with national cybersecurity standards.</w:t>
      </w:r>
    </w:p>
    <w:p>
      <w:pPr>
        <w:pStyle w:val="ListNumber"/>
      </w:pPr>
      <w:r>
        <w:rPr>
          <w:b/>
        </w:rPr>
        <w:t>Sustainability and Capability Building:</w:t>
      </w:r>
      <w:r>
        <w:t xml:space="preserve"> Transfer knowledge to MTI teams through structured training, documentation, and change management to build internal capability for ongoing process innovation.</w:t>
      </w:r>
    </w:p>
    <w:p/>
    <w:p>
      <w:r>
        <w:t>FusionAIx’s approach aligns directly with these objectives. Our solution is designed to provide MTI with a configurable, low-code BPM platform that supports both automation and human decision-making, integrates seamlessly with existing systems, and provides the flexibility to evolve as MTI’s needs grow.</w:t>
      </w:r>
    </w:p>
    <w:p/>
    <w:p>
      <w:r>
        <w:t>We also recognize MTI’s emphasis on data integrity and migration from legacy systems. Our proposed data migration strategy ensures a controlled, secure, and validated transition:</w:t>
      </w:r>
    </w:p>
    <w:p/>
    <w:p>
      <w:r>
        <w:t>&gt; “We map legacy/spreadsheet data to the BPM model, clean and validate it, then load it using repeatable ETL scripts/tools in phases (pilot → full load → final delta at cutover). We confirm integrity with reconciliation checks and business sign-off in UAT, with encryption, access controls, and rollback/backups throughout.”</w:t>
      </w:r>
    </w:p>
    <w:p/>
    <w:p>
      <w:r>
        <w:t>This phased, auditable approach ensures that MTI’s historical and active data is accurately migrated, validated, and secured, minimizing disruption and ensuring business continuity.</w:t>
      </w:r>
    </w:p>
    <w:p/>
    <w:p/>
    <w:p>
      <w:pPr>
        <w:pStyle w:val="Heading2"/>
      </w:pPr>
      <w:r>
        <w:t>3. Proposed Solution Overview</w:t>
      </w:r>
    </w:p>
    <w:p/>
    <w:p>
      <w:pPr>
        <w:pStyle w:val="Heading3"/>
      </w:pPr>
      <w:r>
        <w:t>3.1 Platform Architecture</w:t>
      </w:r>
    </w:p>
    <w:p/>
    <w:p>
      <w:r>
        <w:t>FusionAIx proposes Pega Constellation (Enterprise Edition) as the BPM platform for MTI. The architecture supports both SaaS and on-premise deployment models, with high availability, scalability, and security. The platform is built on a microservices-based architecture, supporting containerized deployment on Kubernetes or OpenShift, and integrates seamlessly with MTI’s existing IT ecosystem.</w:t>
      </w:r>
    </w:p>
    <w:p/>
    <w:p>
      <w:r>
        <w:t>Key architectural components include:</w:t>
      </w:r>
    </w:p>
    <w:p/>
    <w:p>
      <w:pPr>
        <w:pStyle w:val="ListBullet"/>
      </w:pPr>
      <w:r>
        <w:rPr>
          <w:b/>
        </w:rPr>
        <w:t>Process Orchestration Engine:</w:t>
      </w:r>
      <w:r>
        <w:t xml:space="preserve"> Executes BPMN-modeled workflows, supporting both straight-through and human-centric processing.</w:t>
      </w:r>
    </w:p>
    <w:p>
      <w:pPr>
        <w:pStyle w:val="ListBullet"/>
      </w:pPr>
      <w:r>
        <w:rPr>
          <w:b/>
        </w:rPr>
        <w:t>Case Management Framework:</w:t>
      </w:r>
      <w:r>
        <w:t xml:space="preserve"> Provides dynamic case handling, ad-hoc task creation, attachments, notes, and contextual collaboration.</w:t>
      </w:r>
    </w:p>
    <w:p>
      <w:pPr>
        <w:pStyle w:val="ListBullet"/>
      </w:pPr>
      <w:r>
        <w:rPr>
          <w:b/>
        </w:rPr>
        <w:t>Decision Management Engine:</w:t>
      </w:r>
      <w:r>
        <w:t xml:space="preserve"> Implements centralized business rules using DMN, enabling versioning, testing, and controlled deployment.</w:t>
      </w:r>
    </w:p>
    <w:p>
      <w:pPr>
        <w:pStyle w:val="ListBullet"/>
      </w:pPr>
      <w:r>
        <w:rPr>
          <w:b/>
        </w:rPr>
        <w:t>User Experience Layer:</w:t>
      </w:r>
      <w:r>
        <w:t xml:space="preserve"> Delivers responsive, web-based interfaces built with Constellation DX components, accessible via standard browsers.</w:t>
      </w:r>
    </w:p>
    <w:p>
      <w:pPr>
        <w:pStyle w:val="ListBullet"/>
      </w:pPr>
      <w:r>
        <w:rPr>
          <w:b/>
        </w:rPr>
        <w:t>Integration Layer:</w:t>
      </w:r>
      <w:r>
        <w:t xml:space="preserve"> Supports REST APIs, message queues, and event-based integration for secure connectivity with external systems.</w:t>
      </w:r>
    </w:p>
    <w:p>
      <w:pPr>
        <w:pStyle w:val="ListBullet"/>
      </w:pPr>
      <w:r>
        <w:rPr>
          <w:b/>
        </w:rPr>
        <w:t>Analytics and Reporting:</w:t>
      </w:r>
      <w:r>
        <w:t xml:space="preserve"> Provides real-time dashboards, SLA monitoring, and self-service reporting capabilities.</w:t>
      </w:r>
    </w:p>
    <w:p>
      <w:pPr>
        <w:pStyle w:val="ListBullet"/>
      </w:pPr>
      <w:r>
        <w:rPr>
          <w:b/>
        </w:rPr>
        <w:t>Security and Governance:</w:t>
      </w:r>
      <w:r>
        <w:t xml:space="preserve"> Enforces role-based access control, audit logging, and compliance with government security standards.</w:t>
      </w:r>
    </w:p>
    <w:p/>
    <w:p>
      <w:pPr>
        <w:pStyle w:val="Heading3"/>
      </w:pPr>
      <w:r>
        <w:t>3.2 Key Functional Capabilities</w:t>
      </w:r>
    </w:p>
    <w:p/>
    <w:p>
      <w:pPr>
        <w:pStyle w:val="ListBullet"/>
      </w:pPr>
      <w:r>
        <w:rPr>
          <w:b/>
        </w:rPr>
        <w:t>Workbasket and Worklist Management:</w:t>
      </w:r>
      <w:r>
        <w:t xml:space="preserve"> Supports shared team queues (workbaskets) and individual task lists (worklists), with configurable routing, prioritization, and workload balancing.</w:t>
      </w:r>
    </w:p>
    <w:p>
      <w:pPr>
        <w:pStyle w:val="ListBullet"/>
      </w:pPr>
      <w:r>
        <w:rPr>
          <w:b/>
        </w:rPr>
        <w:t>SLA and Escalation Management:</w:t>
      </w:r>
      <w:r>
        <w:t xml:space="preserve"> Defines and monitors SLAs per process and case type, with automated escalations, notifications, and reminders.</w:t>
      </w:r>
    </w:p>
    <w:p>
      <w:pPr>
        <w:pStyle w:val="ListBullet"/>
      </w:pPr>
      <w:r>
        <w:rPr>
          <w:b/>
        </w:rPr>
        <w:t>Audit Trail and Compliance:</w:t>
      </w:r>
    </w:p>
    <w:p>
      <w:r>
        <w:t>&gt; “The platform records a full audit history per case: key workflow steps, approvals/rejections, assignments, SLA events, and field-level data changes (who/what/when, plus before/after values and source UI/API). Logs are role-restricted, retained per policy, and viewed in a case ‘history’ timeline or admin audit reports, with export (CSV/PDF) and optional API/SIEM integration for reporting.”</w:t>
      </w:r>
    </w:p>
    <w:p>
      <w:pPr>
        <w:pStyle w:val="ListBullet"/>
      </w:pPr>
      <w:r>
        <w:rPr>
          <w:b/>
        </w:rPr>
        <w:t>Dashboards and Reporting:</w:t>
      </w:r>
      <w:r>
        <w:t xml:space="preserve"> Out-of-the-box dashboards for case volumes, workload distribution, SLA performance, and bottlenecks, with self-service customization.</w:t>
      </w:r>
    </w:p>
    <w:p>
      <w:pPr>
        <w:pStyle w:val="ListBullet"/>
      </w:pPr>
      <w:r>
        <w:rPr>
          <w:b/>
        </w:rPr>
        <w:t>Rules Management:</w:t>
      </w:r>
      <w:r>
        <w:t xml:space="preserve"> Centralized repository for business rules, supporting versioning, testing, and controlled deployment.</w:t>
      </w:r>
    </w:p>
    <w:p>
      <w:pPr>
        <w:pStyle w:val="ListBullet"/>
      </w:pPr>
      <w:r>
        <w:rPr>
          <w:b/>
        </w:rPr>
        <w:t>Security and Access Control:</w:t>
      </w:r>
      <w:r>
        <w:t xml:space="preserve"> Integration with MTI’s identity management and SSO, fine-grained RBAC, and full audit logging.</w:t>
      </w:r>
    </w:p>
    <w:p/>
    <w:p>
      <w:pPr>
        <w:pStyle w:val="Heading3"/>
      </w:pPr>
      <w:r>
        <w:t>3.3 Key Differentiators</w:t>
      </w:r>
    </w:p>
    <w:p/>
    <w:p>
      <w:pPr>
        <w:pStyle w:val="ListBullet"/>
      </w:pPr>
      <w:r>
        <w:rPr>
          <w:b/>
        </w:rPr>
        <w:t>Low-Code, Model-Driven Configuration:</w:t>
      </w:r>
      <w:r>
        <w:t xml:space="preserve"> Enables rapid process design and deployment with minimal coding.</w:t>
      </w:r>
    </w:p>
    <w:p>
      <w:pPr>
        <w:pStyle w:val="ListBullet"/>
      </w:pPr>
      <w:r>
        <w:rPr>
          <w:b/>
        </w:rPr>
        <w:t>AI-Powered Accelerators:</w:t>
      </w:r>
      <w:r>
        <w:t xml:space="preserve"> fusionAIx’s proprietary tools (fxSmartDCO, fxAIStudio) accelerate requirements capture, design, and component reuse.</w:t>
      </w:r>
    </w:p>
    <w:p>
      <w:pPr>
        <w:pStyle w:val="ListBullet"/>
      </w:pPr>
      <w:r>
        <w:rPr>
          <w:b/>
        </w:rPr>
        <w:t>Proven Government Experience:</w:t>
      </w:r>
      <w:r>
        <w:t xml:space="preserve"> Successful delivery of BPM solutions for public sector clients with stringent compliance and security requirements.</w:t>
      </w:r>
    </w:p>
    <w:p>
      <w:pPr>
        <w:pStyle w:val="ListBullet"/>
      </w:pPr>
      <w:r>
        <w:rPr>
          <w:b/>
        </w:rPr>
        <w:t>Comprehensive Training and Change Management:</w:t>
      </w:r>
      <w:r>
        <w:t xml:space="preserve"> Structured, role-based training and adoption support to ensure sustainable capability transfer.</w:t>
      </w:r>
    </w:p>
    <w:p/>
    <w:p/>
    <w:p>
      <w:pPr>
        <w:pStyle w:val="Heading2"/>
      </w:pPr>
      <w:r>
        <w:t>4. Implementation Approach and Methodology</w:t>
      </w:r>
    </w:p>
    <w:p/>
    <w:p>
      <w:r>
        <w:t>FusionAIx follows a structured, agile delivery methodology that emphasizes collaboration, transparency, and incremental value delivery. The approach includes the following phases:</w:t>
      </w:r>
    </w:p>
    <w:p/>
    <w:p>
      <w:pPr>
        <w:pStyle w:val="Heading3"/>
      </w:pPr>
      <w:r>
        <w:t>4.1 Requirements and Design</w:t>
      </w:r>
    </w:p>
    <w:p/>
    <w:p>
      <w:pPr>
        <w:pStyle w:val="ListBullet"/>
      </w:pPr>
      <w:r>
        <w:t>Conduct joint workshops with MTI stakeholders for requirements gathering and refinement.</w:t>
      </w:r>
    </w:p>
    <w:p>
      <w:pPr>
        <w:pStyle w:val="ListBullet"/>
      </w:pPr>
      <w:r>
        <w:t>Model business processes using BPMN and define case types, SLAs, and rules.</w:t>
      </w:r>
    </w:p>
    <w:p>
      <w:pPr>
        <w:pStyle w:val="ListBullet"/>
      </w:pPr>
      <w:r>
        <w:t>Validate designs through interactive prototypes using fxMockUpToView.</w:t>
      </w:r>
    </w:p>
    <w:p/>
    <w:p>
      <w:pPr>
        <w:pStyle w:val="Heading3"/>
      </w:pPr>
      <w:r>
        <w:t>4.2 Build and Configuration</w:t>
      </w:r>
    </w:p>
    <w:p/>
    <w:p>
      <w:pPr>
        <w:pStyle w:val="ListBullet"/>
      </w:pPr>
      <w:r>
        <w:t>Configure workflows, rules, and UI components using Pega’s low-code tools.</w:t>
      </w:r>
    </w:p>
    <w:p>
      <w:pPr>
        <w:pStyle w:val="ListBullet"/>
      </w:pPr>
      <w:r>
        <w:t>Integrate with MTI’s systems via REST APIs and message queues.</w:t>
      </w:r>
    </w:p>
    <w:p>
      <w:pPr>
        <w:pStyle w:val="ListBullet"/>
      </w:pPr>
      <w:r>
        <w:t>Implement security, access control, and audit logging.</w:t>
      </w:r>
    </w:p>
    <w:p/>
    <w:p>
      <w:pPr>
        <w:pStyle w:val="Heading3"/>
      </w:pPr>
      <w:r>
        <w:t>4.3 Data Migration</w:t>
      </w:r>
    </w:p>
    <w:p/>
    <w:p>
      <w:r>
        <w:t>&gt; “We map legacy/spreadsheet data to the BPM model, clean and validate it, then load it using repeatable ETL scripts/tools in phases (pilot → full load → final delta at cutover). We confirm integrity with reconciliation checks and business sign-off in UAT, with encryption, access controls, and rollback/backups throughout.”</w:t>
      </w:r>
    </w:p>
    <w:p/>
    <w:p>
      <w:r>
        <w:t>This ensures a controlled, secure, and validated transition from legacy systems.</w:t>
      </w:r>
    </w:p>
    <w:p/>
    <w:p>
      <w:pPr>
        <w:pStyle w:val="Heading3"/>
      </w:pPr>
      <w:r>
        <w:t>4.4 Testing and Validation</w:t>
      </w:r>
    </w:p>
    <w:p/>
    <w:p>
      <w:pPr>
        <w:pStyle w:val="ListBullet"/>
      </w:pPr>
      <w:r>
        <w:t>Conduct unit, integration, performance, and user acceptance testing.</w:t>
      </w:r>
    </w:p>
    <w:p>
      <w:pPr>
        <w:pStyle w:val="ListBullet"/>
      </w:pPr>
      <w:r>
        <w:t>Validate SLAs, escalations, and reporting accuracy.</w:t>
      </w:r>
    </w:p>
    <w:p/>
    <w:p>
      <w:pPr>
        <w:pStyle w:val="Heading3"/>
      </w:pPr>
      <w:r>
        <w:t>4.5 Training and Change Management</w:t>
      </w:r>
    </w:p>
    <w:p/>
    <w:p>
      <w:r>
        <w:t>&gt; “Training and change management run alongside delivery: we start in weeks 1–2 with stakeholder alignment and a change impact assessment, then provide role-based training materials and train-the-trainer sessions during build (typically weeks 4–8), followed by end-user training in the 2–3 weeks before go-live and daily support during hypercare. Resourcing is led by a Change Manager and Training Lead, supported by a Business Analyst, a Communications/Adoption specialist (as needed), and solution SMEs who deliver admin/super-user sessions.”</w:t>
      </w:r>
    </w:p>
    <w:p/>
    <w:p>
      <w:pPr>
        <w:pStyle w:val="Heading3"/>
      </w:pPr>
      <w:r>
        <w:t>4.6 Go-Live and Hypercare</w:t>
      </w:r>
    </w:p>
    <w:p/>
    <w:p>
      <w:pPr>
        <w:pStyle w:val="ListBullet"/>
      </w:pPr>
      <w:r>
        <w:t>Execute cutover plan with final data delta load.</w:t>
      </w:r>
    </w:p>
    <w:p>
      <w:pPr>
        <w:pStyle w:val="ListBullet"/>
      </w:pPr>
      <w:r>
        <w:t>Provide on-site and remote hypercare support for stabilization.</w:t>
      </w:r>
    </w:p>
    <w:p/>
    <w:p>
      <w:pPr>
        <w:pStyle w:val="Heading3"/>
      </w:pPr>
      <w:r>
        <w:t>4.7 Transition to Support</w:t>
      </w:r>
    </w:p>
    <w:p/>
    <w:p>
      <w:pPr>
        <w:pStyle w:val="ListBullet"/>
      </w:pPr>
      <w:r>
        <w:t>Handover to support team with full documentation and knowledge transfer.</w:t>
      </w:r>
    </w:p>
    <w:p/>
    <w:p/>
    <w:p>
      <w:pPr>
        <w:pStyle w:val="Heading2"/>
      </w:pPr>
      <w:r>
        <w:t>5. Project Plan and Timelines</w:t>
      </w:r>
    </w:p>
    <w:p/>
    <w:p>
      <w:r>
        <w:t>FusionAIx proposes a phased implementation over approximately 24–28 weeks, structured as follows: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a5490" w:val="clear"/>
          </w:tcPr>
          <w:p>
            <w:r>
              <w:rPr>
                <w:b/>
                <w:color w:val="FFFFFF"/>
              </w:rPr>
              <w:t>Phase</w:t>
            </w:r>
          </w:p>
        </w:tc>
        <w:tc>
          <w:tcPr>
            <w:tcW w:type="dxa" w:w="2160"/>
            <w:shd w:fill="1a5490" w:val="clear"/>
          </w:tcPr>
          <w:p>
            <w:r>
              <w:rPr>
                <w:b/>
                <w:color w:val="FFFFFF"/>
              </w:rPr>
              <w:t>Duration</w:t>
            </w:r>
          </w:p>
        </w:tc>
        <w:tc>
          <w:tcPr>
            <w:tcW w:type="dxa" w:w="2160"/>
            <w:shd w:fill="1a5490" w:val="clear"/>
          </w:tcPr>
          <w:p>
            <w:r>
              <w:rPr>
                <w:b/>
                <w:color w:val="FFFFFF"/>
              </w:rPr>
              <w:t>Key Activities</w:t>
            </w:r>
          </w:p>
        </w:tc>
        <w:tc>
          <w:tcPr>
            <w:tcW w:type="dxa" w:w="2160"/>
            <w:shd w:fill="1a5490" w:val="clear"/>
          </w:tcPr>
          <w:p>
            <w:r>
              <w:rPr>
                <w:b/>
                <w:color w:val="FFFFFF"/>
              </w:rPr>
              <w:t>Deliverables</w:t>
            </w:r>
          </w:p>
        </w:tc>
      </w:tr>
      <w:tr>
        <w:tc>
          <w:tcPr>
            <w:tcW w:type="dxa" w:w="2160"/>
          </w:tcPr>
          <w:p>
            <w:r>
              <w:t>Initiation &amp; Planning</w:t>
            </w:r>
          </w:p>
        </w:tc>
        <w:tc>
          <w:tcPr>
            <w:tcW w:type="dxa" w:w="2160"/>
          </w:tcPr>
          <w:p>
            <w:r>
              <w:t>2 weeks</w:t>
            </w:r>
          </w:p>
        </w:tc>
        <w:tc>
          <w:tcPr>
            <w:tcW w:type="dxa" w:w="2160"/>
          </w:tcPr>
          <w:p>
            <w:r>
              <w:t>Kickoff, stakeholder alignment, environment setup</w:t>
            </w:r>
          </w:p>
        </w:tc>
        <w:tc>
          <w:tcPr>
            <w:tcW w:type="dxa" w:w="2160"/>
          </w:tcPr>
          <w:p>
            <w:r>
              <w:t>Project plan, governance model</w:t>
            </w:r>
          </w:p>
        </w:tc>
      </w:tr>
      <w:tr>
        <w:tc>
          <w:tcPr>
            <w:tcW w:type="dxa" w:w="2160"/>
          </w:tcPr>
          <w:p>
            <w:r>
              <w:t>Requirements &amp; Design</w:t>
            </w:r>
          </w:p>
        </w:tc>
        <w:tc>
          <w:tcPr>
            <w:tcW w:type="dxa" w:w="2160"/>
          </w:tcPr>
          <w:p>
            <w:r>
              <w:t>4 weeks</w:t>
            </w:r>
          </w:p>
        </w:tc>
        <w:tc>
          <w:tcPr>
            <w:tcW w:type="dxa" w:w="2160"/>
          </w:tcPr>
          <w:p>
            <w:r>
              <w:t>Workshops, process modeling, UI mockups</w:t>
            </w:r>
          </w:p>
        </w:tc>
        <w:tc>
          <w:tcPr>
            <w:tcW w:type="dxa" w:w="2160"/>
          </w:tcPr>
          <w:p>
            <w:r>
              <w:t>Approved process models, design documents</w:t>
            </w:r>
          </w:p>
        </w:tc>
      </w:tr>
      <w:tr>
        <w:tc>
          <w:tcPr>
            <w:tcW w:type="dxa" w:w="2160"/>
          </w:tcPr>
          <w:p>
            <w:r>
              <w:t>Build &amp; Configuration</w:t>
            </w:r>
          </w:p>
        </w:tc>
        <w:tc>
          <w:tcPr>
            <w:tcW w:type="dxa" w:w="2160"/>
          </w:tcPr>
          <w:p>
            <w:r>
              <w:t>8 weeks</w:t>
            </w:r>
          </w:p>
        </w:tc>
        <w:tc>
          <w:tcPr>
            <w:tcW w:type="dxa" w:w="2160"/>
          </w:tcPr>
          <w:p>
            <w:r>
              <w:t>Workflow configuration, integration, rules setup</w:t>
            </w:r>
          </w:p>
        </w:tc>
        <w:tc>
          <w:tcPr>
            <w:tcW w:type="dxa" w:w="2160"/>
          </w:tcPr>
          <w:p>
            <w:r>
              <w:t>Configured BPM solution</w:t>
            </w:r>
          </w:p>
        </w:tc>
      </w:tr>
      <w:tr>
        <w:tc>
          <w:tcPr>
            <w:tcW w:type="dxa" w:w="2160"/>
          </w:tcPr>
          <w:p>
            <w:r>
              <w:t>Data Migration &amp; Testing</w:t>
            </w:r>
          </w:p>
        </w:tc>
        <w:tc>
          <w:tcPr>
            <w:tcW w:type="dxa" w:w="2160"/>
          </w:tcPr>
          <w:p>
            <w:r>
              <w:t>4 weeks</w:t>
            </w:r>
          </w:p>
        </w:tc>
        <w:tc>
          <w:tcPr>
            <w:tcW w:type="dxa" w:w="2160"/>
          </w:tcPr>
          <w:p>
            <w:r>
              <w:t>ETL setup, UAT, performance testing</w:t>
            </w:r>
          </w:p>
        </w:tc>
        <w:tc>
          <w:tcPr>
            <w:tcW w:type="dxa" w:w="2160"/>
          </w:tcPr>
          <w:p>
            <w:r>
              <w:t>Validated data, UAT sign-off</w:t>
            </w:r>
          </w:p>
        </w:tc>
      </w:tr>
      <w:tr>
        <w:tc>
          <w:tcPr>
            <w:tcW w:type="dxa" w:w="2160"/>
          </w:tcPr>
          <w:p>
            <w:r>
              <w:t>Training &amp; Change Management</w:t>
            </w:r>
          </w:p>
        </w:tc>
        <w:tc>
          <w:tcPr>
            <w:tcW w:type="dxa" w:w="2160"/>
          </w:tcPr>
          <w:p>
            <w:r>
              <w:t>4 weeks (overlapping)</w:t>
            </w:r>
          </w:p>
        </w:tc>
        <w:tc>
          <w:tcPr>
            <w:tcW w:type="dxa" w:w="2160"/>
          </w:tcPr>
          <w:p>
            <w:r>
              <w:t>Role-based training, communication</w:t>
            </w:r>
          </w:p>
        </w:tc>
        <w:tc>
          <w:tcPr>
            <w:tcW w:type="dxa" w:w="2160"/>
          </w:tcPr>
          <w:p>
            <w:r>
              <w:t>Training materials, trained users</w:t>
            </w:r>
          </w:p>
        </w:tc>
      </w:tr>
      <w:tr>
        <w:tc>
          <w:tcPr>
            <w:tcW w:type="dxa" w:w="2160"/>
          </w:tcPr>
          <w:p>
            <w:r>
              <w:t>Go-Live &amp; Hypercare</w:t>
            </w:r>
          </w:p>
        </w:tc>
        <w:tc>
          <w:tcPr>
            <w:tcW w:type="dxa" w:w="2160"/>
          </w:tcPr>
          <w:p>
            <w:r>
              <w:t>2 weeks</w:t>
            </w:r>
          </w:p>
        </w:tc>
        <w:tc>
          <w:tcPr>
            <w:tcW w:type="dxa" w:w="2160"/>
          </w:tcPr>
          <w:p>
            <w:r>
              <w:t>Cutover, stabilization</w:t>
            </w:r>
          </w:p>
        </w:tc>
        <w:tc>
          <w:tcPr>
            <w:tcW w:type="dxa" w:w="2160"/>
          </w:tcPr>
          <w:p>
            <w:r>
              <w:t>Live system, hypercare report</w:t>
            </w:r>
          </w:p>
        </w:tc>
      </w:tr>
      <w:tr>
        <w:tc>
          <w:tcPr>
            <w:tcW w:type="dxa" w:w="2160"/>
          </w:tcPr>
          <w:p>
            <w:r>
              <w:t>Transition to Support</w:t>
            </w:r>
          </w:p>
        </w:tc>
        <w:tc>
          <w:tcPr>
            <w:tcW w:type="dxa" w:w="2160"/>
          </w:tcPr>
          <w:p>
            <w:r>
              <w:t>2 weeks</w:t>
            </w:r>
          </w:p>
        </w:tc>
        <w:tc>
          <w:tcPr>
            <w:tcW w:type="dxa" w:w="2160"/>
          </w:tcPr>
          <w:p>
            <w:r>
              <w:t>Handover, documentation</w:t>
            </w:r>
          </w:p>
        </w:tc>
        <w:tc>
          <w:tcPr>
            <w:tcW w:type="dxa" w:w="2160"/>
          </w:tcPr>
          <w:p>
            <w:r>
              <w:t>Support readiness package</w:t>
            </w:r>
          </w:p>
        </w:tc>
      </w:tr>
    </w:tbl>
    <w:p/>
    <w:p>
      <w:pPr>
        <w:pStyle w:val="Heading2"/>
      </w:pPr>
      <w:r>
        <w:t>6. Proposed Team Structure</w:t>
      </w:r>
    </w:p>
    <w:p/>
    <w:p>
      <w:r>
        <w:t>FusionAIx proposes a multidisciplinary team combining BPM architects, developers, business analysts, and change management specialists.</w:t>
      </w:r>
    </w:p>
    <w:p/>
    <w:tbl>
      <w:tblPr>
        <w:tblStyle w:val="LightGrid-Accent1"/>
        <w:tblW w:type="auto" w:w="0"/>
        <w:tblLook w:firstColumn="1" w:firstRow="1" w:lastColumn="0" w:lastRow="0" w:noHBand="0" w:noVBand="1" w:val="04A0"/>
      </w:tblPr>
      <w:tblGrid>
        <w:gridCol w:w="4320"/>
        <w:gridCol w:w="4320"/>
      </w:tblGrid>
      <w:tr>
        <w:tc>
          <w:tcPr>
            <w:tcW w:type="dxa" w:w="4320"/>
            <w:shd w:fill="1a5490" w:val="clear"/>
          </w:tcPr>
          <w:p>
            <w:r>
              <w:rPr>
                <w:b/>
                <w:color w:val="FFFFFF"/>
              </w:rPr>
              <w:t>Role</w:t>
            </w:r>
          </w:p>
        </w:tc>
        <w:tc>
          <w:tcPr>
            <w:tcW w:type="dxa" w:w="4320"/>
            <w:shd w:fill="1a5490" w:val="clear"/>
          </w:tcPr>
          <w:p>
            <w:r>
              <w:rPr>
                <w:b/>
                <w:color w:val="FFFFFF"/>
              </w:rPr>
              <w:t>Responsibility</w:t>
            </w:r>
          </w:p>
        </w:tc>
      </w:tr>
      <w:tr>
        <w:tc>
          <w:tcPr>
            <w:tcW w:type="dxa" w:w="4320"/>
          </w:tcPr>
          <w:p>
            <w:r>
              <w:t>Project Manager</w:t>
            </w:r>
          </w:p>
        </w:tc>
        <w:tc>
          <w:tcPr>
            <w:tcW w:type="dxa" w:w="4320"/>
          </w:tcPr>
          <w:p>
            <w:r>
              <w:t>Overall delivery governance, stakeholder management</w:t>
            </w:r>
          </w:p>
        </w:tc>
      </w:tr>
      <w:tr>
        <w:tc>
          <w:tcPr>
            <w:tcW w:type="dxa" w:w="4320"/>
          </w:tcPr>
          <w:p>
            <w:r>
              <w:t>BPM Solution Architect</w:t>
            </w:r>
          </w:p>
        </w:tc>
        <w:tc>
          <w:tcPr>
            <w:tcW w:type="dxa" w:w="4320"/>
          </w:tcPr>
          <w:p>
            <w:r>
              <w:t>Solution design, architecture, and integration</w:t>
            </w:r>
          </w:p>
        </w:tc>
      </w:tr>
      <w:tr>
        <w:tc>
          <w:tcPr>
            <w:tcW w:type="dxa" w:w="4320"/>
          </w:tcPr>
          <w:p>
            <w:r>
              <w:t>Lead Developer</w:t>
            </w:r>
          </w:p>
        </w:tc>
        <w:tc>
          <w:tcPr>
            <w:tcW w:type="dxa" w:w="4320"/>
          </w:tcPr>
          <w:p>
            <w:r>
              <w:t>Configuration, rules, and UI development</w:t>
            </w:r>
          </w:p>
        </w:tc>
      </w:tr>
      <w:tr>
        <w:tc>
          <w:tcPr>
            <w:tcW w:type="dxa" w:w="4320"/>
          </w:tcPr>
          <w:p>
            <w:r>
              <w:t>Business Analyst</w:t>
            </w:r>
          </w:p>
        </w:tc>
        <w:tc>
          <w:tcPr>
            <w:tcW w:type="dxa" w:w="4320"/>
          </w:tcPr>
          <w:p>
            <w:r>
              <w:t>Requirements gathering, process modeling</w:t>
            </w:r>
          </w:p>
        </w:tc>
      </w:tr>
      <w:tr>
        <w:tc>
          <w:tcPr>
            <w:tcW w:type="dxa" w:w="4320"/>
          </w:tcPr>
          <w:p>
            <w:r>
              <w:t>Change Manager</w:t>
            </w:r>
          </w:p>
        </w:tc>
        <w:tc>
          <w:tcPr>
            <w:tcW w:type="dxa" w:w="4320"/>
          </w:tcPr>
          <w:p>
            <w:r>
              <w:t>Change impact assessment, adoption strategy</w:t>
            </w:r>
          </w:p>
        </w:tc>
      </w:tr>
      <w:tr>
        <w:tc>
          <w:tcPr>
            <w:tcW w:type="dxa" w:w="4320"/>
          </w:tcPr>
          <w:p>
            <w:r>
              <w:t>Training Lead</w:t>
            </w:r>
          </w:p>
        </w:tc>
        <w:tc>
          <w:tcPr>
            <w:tcW w:type="dxa" w:w="4320"/>
          </w:tcPr>
          <w:p>
            <w:r>
              <w:t>Training material development and delivery</w:t>
            </w:r>
          </w:p>
        </w:tc>
      </w:tr>
      <w:tr>
        <w:tc>
          <w:tcPr>
            <w:tcW w:type="dxa" w:w="4320"/>
          </w:tcPr>
          <w:p>
            <w:r>
              <w:t>QA Lead</w:t>
            </w:r>
          </w:p>
        </w:tc>
        <w:tc>
          <w:tcPr>
            <w:tcW w:type="dxa" w:w="4320"/>
          </w:tcPr>
          <w:p>
            <w:r>
              <w:t>Test planning and execution</w:t>
            </w:r>
          </w:p>
        </w:tc>
      </w:tr>
      <w:tr>
        <w:tc>
          <w:tcPr>
            <w:tcW w:type="dxa" w:w="4320"/>
          </w:tcPr>
          <w:p>
            <w:r>
              <w:t>Support Lead</w:t>
            </w:r>
          </w:p>
        </w:tc>
        <w:tc>
          <w:tcPr>
            <w:tcW w:type="dxa" w:w="4320"/>
          </w:tcPr>
          <w:p>
            <w:r>
              <w:t>Post go-live support and maintenance</w:t>
            </w:r>
          </w:p>
        </w:tc>
      </w:tr>
    </w:tbl>
    <w:p>
      <w:r>
        <w:t>CVs of key personnel will be provided upon request.</w:t>
      </w:r>
    </w:p>
    <w:p/>
    <w:p/>
    <w:p>
      <w:pPr>
        <w:pStyle w:val="Heading2"/>
      </w:pPr>
      <w:r>
        <w:t>7. Functional and Technical Compliance Matrix</w:t>
      </w:r>
    </w:p>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Requirement</w:t>
            </w:r>
          </w:p>
        </w:tc>
        <w:tc>
          <w:tcPr>
            <w:tcW w:type="dxa" w:w="2880"/>
            <w:shd w:fill="1a5490" w:val="clear"/>
          </w:tcPr>
          <w:p>
            <w:r>
              <w:rPr>
                <w:b/>
                <w:color w:val="FFFFFF"/>
              </w:rPr>
              <w:t>Compliance</w:t>
            </w:r>
          </w:p>
        </w:tc>
        <w:tc>
          <w:tcPr>
            <w:tcW w:type="dxa" w:w="2880"/>
            <w:shd w:fill="1a5490" w:val="clear"/>
          </w:tcPr>
          <w:p>
            <w:r>
              <w:rPr>
                <w:b/>
                <w:color w:val="FFFFFF"/>
              </w:rPr>
              <w:t>Remarks</w:t>
            </w:r>
          </w:p>
        </w:tc>
      </w:tr>
      <w:tr>
        <w:tc>
          <w:tcPr>
            <w:tcW w:type="dxa" w:w="2880"/>
          </w:tcPr>
          <w:p>
            <w:r>
              <w:t>Enterprise-grade BPM platform</w:t>
            </w:r>
          </w:p>
        </w:tc>
        <w:tc>
          <w:tcPr>
            <w:tcW w:type="dxa" w:w="2880"/>
          </w:tcPr>
          <w:p>
            <w:r>
              <w:t>Compliant</w:t>
            </w:r>
          </w:p>
        </w:tc>
        <w:tc>
          <w:tcPr>
            <w:tcW w:type="dxa" w:w="2880"/>
          </w:tcPr>
          <w:p>
            <w:r>
              <w:t>Pega Constellation Enterprise</w:t>
            </w:r>
          </w:p>
        </w:tc>
      </w:tr>
      <w:tr>
        <w:tc>
          <w:tcPr>
            <w:tcW w:type="dxa" w:w="2880"/>
          </w:tcPr>
          <w:p>
            <w:r>
              <w:t>Workbasket and worklist support</w:t>
            </w:r>
          </w:p>
        </w:tc>
        <w:tc>
          <w:tcPr>
            <w:tcW w:type="dxa" w:w="2880"/>
          </w:tcPr>
          <w:p>
            <w:r>
              <w:t>Compliant</w:t>
            </w:r>
          </w:p>
        </w:tc>
        <w:tc>
          <w:tcPr>
            <w:tcW w:type="dxa" w:w="2880"/>
          </w:tcPr>
          <w:p>
            <w:r>
              <w:t>Configurable routing and workload balancing</w:t>
            </w:r>
          </w:p>
        </w:tc>
      </w:tr>
      <w:tr>
        <w:tc>
          <w:tcPr>
            <w:tcW w:type="dxa" w:w="2880"/>
          </w:tcPr>
          <w:p>
            <w:r>
              <w:t>Dynamic case management</w:t>
            </w:r>
          </w:p>
        </w:tc>
        <w:tc>
          <w:tcPr>
            <w:tcW w:type="dxa" w:w="2880"/>
          </w:tcPr>
          <w:p>
            <w:r>
              <w:t>Compliant</w:t>
            </w:r>
          </w:p>
        </w:tc>
        <w:tc>
          <w:tcPr>
            <w:tcW w:type="dxa" w:w="2880"/>
          </w:tcPr>
          <w:p>
            <w:r>
              <w:t>Ad-hoc tasks, attachments, notes</w:t>
            </w:r>
          </w:p>
        </w:tc>
      </w:tr>
      <w:tr>
        <w:tc>
          <w:tcPr>
            <w:tcW w:type="dxa" w:w="2880"/>
          </w:tcPr>
          <w:p>
            <w:r>
              <w:t>Centralized rules management</w:t>
            </w:r>
          </w:p>
        </w:tc>
        <w:tc>
          <w:tcPr>
            <w:tcW w:type="dxa" w:w="2880"/>
          </w:tcPr>
          <w:p>
            <w:r>
              <w:t>Compliant</w:t>
            </w:r>
          </w:p>
        </w:tc>
        <w:tc>
          <w:tcPr>
            <w:tcW w:type="dxa" w:w="2880"/>
          </w:tcPr>
          <w:p>
            <w:r>
              <w:t>DMN-based rules, versioning, testing</w:t>
            </w:r>
          </w:p>
        </w:tc>
      </w:tr>
      <w:tr>
        <w:tc>
          <w:tcPr>
            <w:tcW w:type="dxa" w:w="2880"/>
          </w:tcPr>
          <w:p>
            <w:r>
              <w:t>Web-based responsive UI</w:t>
            </w:r>
          </w:p>
        </w:tc>
        <w:tc>
          <w:tcPr>
            <w:tcW w:type="dxa" w:w="2880"/>
          </w:tcPr>
          <w:p>
            <w:r>
              <w:t>Compliant</w:t>
            </w:r>
          </w:p>
        </w:tc>
        <w:tc>
          <w:tcPr>
            <w:tcW w:type="dxa" w:w="2880"/>
          </w:tcPr>
          <w:p>
            <w:r>
              <w:t>Constellation DX components</w:t>
            </w:r>
          </w:p>
        </w:tc>
      </w:tr>
      <w:tr>
        <w:tc>
          <w:tcPr>
            <w:tcW w:type="dxa" w:w="2880"/>
          </w:tcPr>
          <w:p>
            <w:r>
              <w:t>SLA definition and monitoring</w:t>
            </w:r>
          </w:p>
        </w:tc>
        <w:tc>
          <w:tcPr>
            <w:tcW w:type="dxa" w:w="2880"/>
          </w:tcPr>
          <w:p>
            <w:r>
              <w:t>Compliant</w:t>
            </w:r>
          </w:p>
        </w:tc>
        <w:tc>
          <w:tcPr>
            <w:tcW w:type="dxa" w:w="2880"/>
          </w:tcPr>
          <w:p>
            <w:r>
              <w:t>Configurable timers, escalations</w:t>
            </w:r>
          </w:p>
        </w:tc>
      </w:tr>
      <w:tr>
        <w:tc>
          <w:tcPr>
            <w:tcW w:type="dxa" w:w="2880"/>
          </w:tcPr>
          <w:p>
            <w:r>
              <w:t>Integration (REST, MQ, events)</w:t>
            </w:r>
          </w:p>
        </w:tc>
        <w:tc>
          <w:tcPr>
            <w:tcW w:type="dxa" w:w="2880"/>
          </w:tcPr>
          <w:p>
            <w:r>
              <w:t>Compliant</w:t>
            </w:r>
          </w:p>
        </w:tc>
        <w:tc>
          <w:tcPr>
            <w:tcW w:type="dxa" w:w="2880"/>
          </w:tcPr>
          <w:p>
            <w:r>
              <w:t>Standard APIs and connectors</w:t>
            </w:r>
          </w:p>
        </w:tc>
      </w:tr>
      <w:tr>
        <w:tc>
          <w:tcPr>
            <w:tcW w:type="dxa" w:w="2880"/>
          </w:tcPr>
          <w:p>
            <w:r>
              <w:t>Role-based access control</w:t>
            </w:r>
          </w:p>
        </w:tc>
        <w:tc>
          <w:tcPr>
            <w:tcW w:type="dxa" w:w="2880"/>
          </w:tcPr>
          <w:p>
            <w:r>
              <w:t>Compliant</w:t>
            </w:r>
          </w:p>
        </w:tc>
        <w:tc>
          <w:tcPr>
            <w:tcW w:type="dxa" w:w="2880"/>
          </w:tcPr>
          <w:p>
            <w:r>
              <w:t>Fine-grained RBAC, SSO integration</w:t>
            </w:r>
          </w:p>
        </w:tc>
      </w:tr>
      <w:tr>
        <w:tc>
          <w:tcPr>
            <w:tcW w:type="dxa" w:w="2880"/>
          </w:tcPr>
          <w:p>
            <w:r>
              <w:t>Audit logging</w:t>
            </w:r>
          </w:p>
        </w:tc>
        <w:tc>
          <w:tcPr>
            <w:tcW w:type="dxa" w:w="2880"/>
          </w:tcPr>
          <w:p>
            <w:r>
              <w:t>Compliant</w:t>
            </w:r>
          </w:p>
        </w:tc>
        <w:tc>
          <w:tcPr>
            <w:tcW w:type="dxa" w:w="2880"/>
          </w:tcPr>
          <w:p>
            <w:r>
              <w:t>Full audit trail per case</w:t>
            </w:r>
          </w:p>
        </w:tc>
      </w:tr>
      <w:tr>
        <w:tc>
          <w:tcPr>
            <w:tcW w:type="dxa" w:w="2880"/>
          </w:tcPr>
          <w:p>
            <w:r>
              <w:t>Training and change management</w:t>
            </w:r>
          </w:p>
        </w:tc>
        <w:tc>
          <w:tcPr>
            <w:tcW w:type="dxa" w:w="2880"/>
          </w:tcPr>
          <w:p>
            <w:r>
              <w:t>Compliant</w:t>
            </w:r>
          </w:p>
        </w:tc>
        <w:tc>
          <w:tcPr>
            <w:tcW w:type="dxa" w:w="2880"/>
          </w:tcPr>
          <w:p>
            <w:r>
              <w:t>Structured, role-based program</w:t>
            </w:r>
          </w:p>
        </w:tc>
      </w:tr>
      <w:tr>
        <w:tc>
          <w:tcPr>
            <w:tcW w:type="dxa" w:w="2880"/>
          </w:tcPr>
          <w:p>
            <w:r>
              <w:t>3-year support and maintenance</w:t>
            </w:r>
          </w:p>
        </w:tc>
        <w:tc>
          <w:tcPr>
            <w:tcW w:type="dxa" w:w="2880"/>
          </w:tcPr>
          <w:p>
            <w:r>
              <w:t>Compliant</w:t>
            </w:r>
          </w:p>
        </w:tc>
        <w:tc>
          <w:tcPr>
            <w:tcW w:type="dxa" w:w="2880"/>
          </w:tcPr>
          <w:p>
            <w:r>
              <w:t>Included in proposal</w:t>
            </w:r>
          </w:p>
        </w:tc>
      </w:tr>
    </w:tbl>
    <w:p/>
    <w:p>
      <w:pPr>
        <w:pStyle w:val="Heading2"/>
      </w:pPr>
      <w:r>
        <w:t>8. Assumptions, Dependencies, and Risks</w:t>
      </w:r>
    </w:p>
    <w:p/>
    <w:p>
      <w:pPr>
        <w:pStyle w:val="Heading3"/>
      </w:pPr>
      <w:r>
        <w:t>Assumptions</w:t>
      </w:r>
    </w:p>
    <w:p>
      <w:pPr>
        <w:pStyle w:val="ListBullet"/>
      </w:pPr>
      <w:r>
        <w:t>MTI will provide timely access to stakeholders and systems.</w:t>
      </w:r>
    </w:p>
    <w:p>
      <w:pPr>
        <w:pStyle w:val="ListBullet"/>
      </w:pPr>
      <w:r>
        <w:t>Required infrastructure and licenses will be provisioned before build.</w:t>
      </w:r>
    </w:p>
    <w:p>
      <w:pPr>
        <w:pStyle w:val="ListBullet"/>
      </w:pPr>
      <w:r>
        <w:t>Data sources for migration will be accessible and validated.</w:t>
      </w:r>
    </w:p>
    <w:p/>
    <w:p>
      <w:pPr>
        <w:pStyle w:val="Heading3"/>
      </w:pPr>
      <w:r>
        <w:t>Dependencies</w:t>
      </w:r>
    </w:p>
    <w:p>
      <w:pPr>
        <w:pStyle w:val="ListBullet"/>
      </w:pPr>
      <w:r>
        <w:t>Integration with MTI’s identity management and SSO.</w:t>
      </w:r>
    </w:p>
    <w:p>
      <w:pPr>
        <w:pStyle w:val="ListBullet"/>
      </w:pPr>
      <w:r>
        <w:t>Availability of legacy data for migration.</w:t>
      </w:r>
    </w:p>
    <w:p/>
    <w:p>
      <w:pPr>
        <w:pStyle w:val="Heading3"/>
      </w:pPr>
      <w:r>
        <w:t>Risks and Mitigation</w:t>
      </w:r>
    </w:p>
    <w:tbl>
      <w:tblPr>
        <w:tblStyle w:val="LightGrid-Accent1"/>
        <w:tblW w:type="auto" w:w="0"/>
        <w:tblLook w:firstColumn="1" w:firstRow="1" w:lastColumn="0" w:lastRow="0" w:noHBand="0" w:noVBand="1" w:val="04A0"/>
      </w:tblPr>
      <w:tblGrid>
        <w:gridCol w:w="2880"/>
        <w:gridCol w:w="2880"/>
        <w:gridCol w:w="2880"/>
      </w:tblGrid>
      <w:tr>
        <w:tc>
          <w:tcPr>
            <w:tcW w:type="dxa" w:w="2880"/>
            <w:shd w:fill="1a5490" w:val="clear"/>
          </w:tcPr>
          <w:p>
            <w:r>
              <w:rPr>
                <w:b/>
                <w:color w:val="FFFFFF"/>
              </w:rPr>
              <w:t>Risk</w:t>
            </w:r>
          </w:p>
        </w:tc>
        <w:tc>
          <w:tcPr>
            <w:tcW w:type="dxa" w:w="2880"/>
            <w:shd w:fill="1a5490" w:val="clear"/>
          </w:tcPr>
          <w:p>
            <w:r>
              <w:rPr>
                <w:b/>
                <w:color w:val="FFFFFF"/>
              </w:rPr>
              <w:t>Impact</w:t>
            </w:r>
          </w:p>
        </w:tc>
        <w:tc>
          <w:tcPr>
            <w:tcW w:type="dxa" w:w="2880"/>
            <w:shd w:fill="1a5490" w:val="clear"/>
          </w:tcPr>
          <w:p>
            <w:r>
              <w:rPr>
                <w:b/>
                <w:color w:val="FFFFFF"/>
              </w:rPr>
              <w:t>Mitigation</w:t>
            </w:r>
          </w:p>
        </w:tc>
      </w:tr>
      <w:tr>
        <w:tc>
          <w:tcPr>
            <w:tcW w:type="dxa" w:w="2880"/>
          </w:tcPr>
          <w:p>
            <w:r>
              <w:t>Data quality issues</w:t>
            </w:r>
          </w:p>
        </w:tc>
        <w:tc>
          <w:tcPr>
            <w:tcW w:type="dxa" w:w="2880"/>
          </w:tcPr>
          <w:p>
            <w:r>
              <w:t>High</w:t>
            </w:r>
          </w:p>
        </w:tc>
        <w:tc>
          <w:tcPr>
            <w:tcW w:type="dxa" w:w="2880"/>
          </w:tcPr>
          <w:p>
            <w:r>
              <w:t>Phased ETL with validation and reconciliation</w:t>
            </w:r>
          </w:p>
        </w:tc>
      </w:tr>
      <w:tr>
        <w:tc>
          <w:tcPr>
            <w:tcW w:type="dxa" w:w="2880"/>
          </w:tcPr>
          <w:p>
            <w:r>
              <w:t>Change resistance</w:t>
            </w:r>
          </w:p>
        </w:tc>
        <w:tc>
          <w:tcPr>
            <w:tcW w:type="dxa" w:w="2880"/>
          </w:tcPr>
          <w:p>
            <w:r>
              <w:t>Medium</w:t>
            </w:r>
          </w:p>
        </w:tc>
        <w:tc>
          <w:tcPr>
            <w:tcW w:type="dxa" w:w="2880"/>
          </w:tcPr>
          <w:p>
            <w:r>
              <w:t>Early engagement, structured training</w:t>
            </w:r>
          </w:p>
        </w:tc>
      </w:tr>
      <w:tr>
        <w:tc>
          <w:tcPr>
            <w:tcW w:type="dxa" w:w="2880"/>
          </w:tcPr>
          <w:p>
            <w:r>
              <w:t>Integration delays</w:t>
            </w:r>
          </w:p>
        </w:tc>
        <w:tc>
          <w:tcPr>
            <w:tcW w:type="dxa" w:w="2880"/>
          </w:tcPr>
          <w:p>
            <w:r>
              <w:t>Medium</w:t>
            </w:r>
          </w:p>
        </w:tc>
        <w:tc>
          <w:tcPr>
            <w:tcW w:type="dxa" w:w="2880"/>
          </w:tcPr>
          <w:p>
            <w:r>
              <w:t>Early interface definition, mock testing</w:t>
            </w:r>
          </w:p>
        </w:tc>
      </w:tr>
      <w:tr>
        <w:tc>
          <w:tcPr>
            <w:tcW w:type="dxa" w:w="2880"/>
          </w:tcPr>
          <w:p>
            <w:r>
              <w:t>Scope creep</w:t>
            </w:r>
          </w:p>
        </w:tc>
        <w:tc>
          <w:tcPr>
            <w:tcW w:type="dxa" w:w="2880"/>
          </w:tcPr>
          <w:p>
            <w:r>
              <w:t>Medium</w:t>
            </w:r>
          </w:p>
        </w:tc>
        <w:tc>
          <w:tcPr>
            <w:tcW w:type="dxa" w:w="2880"/>
          </w:tcPr>
          <w:p>
            <w:r>
              <w:t>Change control process</w:t>
            </w:r>
          </w:p>
        </w:tc>
      </w:tr>
    </w:tbl>
    <w:p/>
    <w:p>
      <w:pPr>
        <w:pStyle w:val="Heading2"/>
      </w:pPr>
      <w:r>
        <w:t>9. Support and Maintenance Model</w:t>
      </w:r>
    </w:p>
    <w:p/>
    <w:p>
      <w:r>
        <w:t>FusionAIx will provide a minimum of three (3) years of post go-live support and maintenance, including:</w:t>
      </w:r>
    </w:p>
    <w:p/>
    <w:p>
      <w:pPr>
        <w:pStyle w:val="ListBullet"/>
      </w:pPr>
      <w:r>
        <w:rPr>
          <w:b/>
        </w:rPr>
        <w:t>Incident Management:</w:t>
      </w:r>
      <w:r>
        <w:t xml:space="preserve"> 24x7 support for critical issues, with defined SLAs.</w:t>
      </w:r>
    </w:p>
    <w:p>
      <w:pPr>
        <w:pStyle w:val="ListBullet"/>
      </w:pPr>
      <w:r>
        <w:rPr>
          <w:b/>
        </w:rPr>
        <w:t>Patch and Upgrade Management:</w:t>
      </w:r>
      <w:r>
        <w:t xml:space="preserve"> Regular updates and security patches.</w:t>
      </w:r>
    </w:p>
    <w:p>
      <w:pPr>
        <w:pStyle w:val="ListBullet"/>
      </w:pPr>
      <w:r>
        <w:rPr>
          <w:b/>
        </w:rPr>
        <w:t>Performance Monitoring:</w:t>
      </w:r>
      <w:r>
        <w:t xml:space="preserve"> Proactive monitoring and optimization.</w:t>
      </w:r>
    </w:p>
    <w:p>
      <w:pPr>
        <w:pStyle w:val="ListBullet"/>
      </w:pPr>
      <w:r>
        <w:rPr>
          <w:b/>
        </w:rPr>
        <w:t>Knowledge Transfer:</w:t>
      </w:r>
      <w:r>
        <w:t xml:space="preserve"> Continuous training for MTI administrators.</w:t>
      </w:r>
    </w:p>
    <w:p>
      <w:pPr>
        <w:pStyle w:val="ListBullet"/>
      </w:pPr>
      <w:r>
        <w:rPr>
          <w:b/>
        </w:rPr>
        <w:t>SLA Commitments:</w:t>
      </w:r>
    </w:p>
    <w:p>
      <w:pPr>
        <w:pStyle w:val="ListBullet"/>
      </w:pPr>
      <w:r>
        <w:t>Critical incidents: Response within 1 hour, resolution within 4 hours.</w:t>
      </w:r>
    </w:p>
    <w:p>
      <w:pPr>
        <w:pStyle w:val="ListBullet"/>
      </w:pPr>
      <w:r>
        <w:t>High priority: Response within 2 hours, resolution within 8 hours.</w:t>
      </w:r>
    </w:p>
    <w:p>
      <w:pPr>
        <w:pStyle w:val="ListBullet"/>
      </w:pPr>
      <w:r>
        <w:t>Medium priority: Response within 4 hours, resolution within 24 hours.</w:t>
      </w:r>
    </w:p>
    <w:p/>
    <w:p/>
    <w:p>
      <w:pPr>
        <w:pStyle w:val="Heading2"/>
      </w:pPr>
      <w:r>
        <w:t>10. Commercial Proposal</w:t>
      </w:r>
    </w:p>
    <w:p/>
    <w:p>
      <w:r>
        <w:t>FusionAIx’s commercial proposal includes the following components:</w:t>
      </w:r>
    </w:p>
    <w:p/>
    <w:p>
      <w:pPr>
        <w:pStyle w:val="ListNumber"/>
      </w:pPr>
      <w:r>
        <w:rPr>
          <w:b/>
        </w:rPr>
        <w:t>Licensing:</w:t>
      </w:r>
      <w:r>
        <w:t xml:space="preserve"> Pega Constellation Enterprise licenses for MTI’s anticipated user base (internal and external).</w:t>
      </w:r>
    </w:p>
    <w:p>
      <w:pPr>
        <w:pStyle w:val="ListNumber"/>
      </w:pPr>
      <w:r>
        <w:rPr>
          <w:b/>
        </w:rPr>
        <w:t>Implementation Services:</w:t>
      </w:r>
      <w:r>
        <w:t xml:space="preserve"> Fixed-price engagement covering design, configuration, integration, testing, training, and go-live.</w:t>
      </w:r>
    </w:p>
    <w:p>
      <w:pPr>
        <w:pStyle w:val="ListNumber"/>
      </w:pPr>
      <w:r>
        <w:rPr>
          <w:b/>
        </w:rPr>
        <w:t>Support and Maintenance:</w:t>
      </w:r>
      <w:r>
        <w:t xml:space="preserve"> Annual support fee covering incident management, upgrades, and patches for three years.</w:t>
      </w:r>
    </w:p>
    <w:p>
      <w:pPr>
        <w:pStyle w:val="ListNumber"/>
      </w:pPr>
      <w:r>
        <w:rPr>
          <w:b/>
        </w:rPr>
        <w:t>Optional Components:</w:t>
      </w:r>
      <w:r>
        <w:t xml:space="preserve"> AI accelerators (fxAIStudio, fxSmartDCO) and additional analytics modules.</w:t>
      </w:r>
    </w:p>
    <w:p/>
    <w:p>
      <w:r>
        <w:t>Detailed pricing will be provided in the commercial annex upon request.</w:t>
      </w:r>
    </w:p>
    <w:p/>
    <w:p/>
    <w:p>
      <w:r>
        <w:t>FusionAIx appreciates the opportunity to partner with MTI in this strategic initiative. Our proposed solution combines proven technology, deep BPM expertise, and a structured delivery approach to help MTI achieve its digital transformation objectives efficiently and sustainably.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