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We’re </w:t>
      </w:r>
      <w:r w:rsidDel="00000000" w:rsidR="00000000" w:rsidRPr="00000000">
        <w:rPr>
          <w:b w:val="1"/>
          <w:bCs w:val="1"/>
          <w:rtl w:val="0"/>
        </w:rPr>
        <w:t xml:space="preserve">FusionAIx</w:t>
      </w:r>
      <w:r w:rsidDel="00000000" w:rsidR="00000000" w:rsidRPr="00000000">
        <w:rPr>
          <w:rtl w:val="0"/>
        </w:rPr>
        <w:t xml:space="preserve">, a </w:t>
      </w:r>
      <w:r w:rsidDel="00000000" w:rsidR="00000000" w:rsidRPr="00000000">
        <w:rPr>
          <w:b w:val="1"/>
          <w:bCs w:val="1"/>
          <w:rtl w:val="0"/>
        </w:rPr>
        <w:t xml:space="preserve">50-person</w:t>
      </w:r>
      <w:r w:rsidDel="00000000" w:rsidR="00000000" w:rsidRPr="00000000">
        <w:rPr>
          <w:rtl w:val="0"/>
        </w:rPr>
        <w:t xml:space="preserve"> organization operating across </w:t>
      </w:r>
      <w:r w:rsidDel="00000000" w:rsidR="00000000" w:rsidRPr="00000000">
        <w:rPr>
          <w:b w:val="1"/>
          <w:bCs w:val="1"/>
          <w:rtl w:val="0"/>
        </w:rPr>
        <w:t xml:space="preserve">India, UK, </w:t>
      </w:r>
      <w:r w:rsidDel="00000000" w:rsidR="00000000" w:rsidRPr="00000000">
        <w:rPr>
          <w:rtl w:val="0"/>
        </w:rPr>
        <w:t xml:space="preserve">and </w:t>
      </w:r>
      <w:r w:rsidDel="00000000" w:rsidR="00000000" w:rsidRPr="00000000">
        <w:rPr>
          <w:b w:val="1"/>
          <w:bCs w:val="1"/>
          <w:rtl w:val="0"/>
        </w:rPr>
        <w:t xml:space="preserve">the Netherlands</w:t>
      </w:r>
      <w:r w:rsidDel="00000000" w:rsidR="00000000" w:rsidRPr="00000000">
        <w:rPr>
          <w:rtl w:val="0"/>
        </w:rPr>
        <w:t xml:space="preserve">, and for the Thoughtworks engagement you’d work with a dedicated pod of </w:t>
      </w:r>
      <w:r w:rsidDel="00000000" w:rsidR="00000000" w:rsidRPr="00000000">
        <w:rPr>
          <w:b w:val="1"/>
          <w:bCs w:val="1"/>
          <w:rtl w:val="0"/>
        </w:rPr>
        <w:t xml:space="preserve">10</w:t>
      </w:r>
      <w:r w:rsidDel="00000000" w:rsidR="00000000" w:rsidRPr="00000000">
        <w:rPr>
          <w:rtl w:val="0"/>
        </w:rPr>
        <w:t xml:space="preserve"> people (recruiting + operations + finance), led by </w:t>
      </w:r>
      <w:r w:rsidDel="00000000" w:rsidR="00000000" w:rsidRPr="00000000">
        <w:rPr>
          <w:b w:val="1"/>
          <w:bCs w:val="1"/>
          <w:rtl w:val="0"/>
        </w:rPr>
        <w:t xml:space="preserve">Lokesh</w:t>
      </w:r>
      <w:r w:rsidDel="00000000" w:rsidR="00000000" w:rsidRPr="00000000">
        <w:rPr>
          <w:rtl w:val="0"/>
        </w:rPr>
        <w:t xml:space="preserve"> as the primary point of contact; we can also provide </w:t>
      </w:r>
      <w:r w:rsidDel="00000000" w:rsidR="00000000" w:rsidRPr="00000000">
        <w:rPr>
          <w:b w:val="1"/>
          <w:bCs w:val="1"/>
          <w:rtl w:val="0"/>
        </w:rPr>
        <w:t xml:space="preserve">regional and/or country-level contacts</w:t>
      </w:r>
      <w:r w:rsidDel="00000000" w:rsidR="00000000" w:rsidRPr="00000000">
        <w:rPr>
          <w:rtl w:val="0"/>
        </w:rPr>
        <w:t xml:space="preserve"> where needed so you’re not playing “guess who owns this problem” every week. From a legal/compliance standpoint, we support </w:t>
      </w:r>
      <w:r w:rsidDel="00000000" w:rsidR="00000000" w:rsidRPr="00000000">
        <w:rPr>
          <w:b w:val="1"/>
          <w:bCs w:val="1"/>
          <w:rtl w:val="0"/>
        </w:rPr>
        <w:t xml:space="preserve">audit rights</w:t>
      </w:r>
      <w:r w:rsidDel="00000000" w:rsidR="00000000" w:rsidRPr="00000000">
        <w:rPr>
          <w:rtl w:val="0"/>
        </w:rPr>
        <w:t xml:space="preserve"> for verifying compliance with contract terms and applicable regulatory requirements in the contracted location, typically with </w:t>
      </w:r>
      <w:r w:rsidDel="00000000" w:rsidR="00000000" w:rsidRPr="00000000">
        <w:rPr>
          <w:b w:val="1"/>
          <w:bCs w:val="1"/>
          <w:rtl w:val="0"/>
        </w:rPr>
        <w:t xml:space="preserve">[10–15] business days’ notice</w:t>
      </w:r>
      <w:r w:rsidDel="00000000" w:rsidR="00000000" w:rsidRPr="00000000">
        <w:rPr>
          <w:rtl w:val="0"/>
        </w:rPr>
        <w:t xml:space="preserve"> and appropriate confidentiality protections. We can also perform </w:t>
      </w:r>
      <w:r w:rsidDel="00000000" w:rsidR="00000000" w:rsidRPr="00000000">
        <w:rPr>
          <w:b w:val="1"/>
          <w:bCs w:val="1"/>
          <w:rtl w:val="0"/>
        </w:rPr>
        <w:t xml:space="preserve">background checks</w:t>
      </w:r>
      <w:r w:rsidDel="00000000" w:rsidR="00000000" w:rsidRPr="00000000">
        <w:rPr>
          <w:rtl w:val="0"/>
        </w:rPr>
        <w:t xml:space="preserve"> for candidates, with the exact package varying by country and local law/consent—commonly including </w:t>
      </w:r>
      <w:r w:rsidDel="00000000" w:rsidR="00000000" w:rsidRPr="00000000">
        <w:rPr>
          <w:b w:val="1"/>
          <w:bCs w:val="1"/>
          <w:rtl w:val="0"/>
        </w:rPr>
        <w:t xml:space="preserve">identity verification, right-to-work checks, employment and education verification, reference checks, and (where permitted) criminal record screening</w:t>
      </w:r>
      <w:r w:rsidDel="00000000" w:rsidR="00000000" w:rsidRPr="00000000">
        <w:rPr>
          <w:rtl w:val="0"/>
        </w:rPr>
        <w:t xml:space="preserve">; the per-country scope lives in </w:t>
      </w:r>
      <w:r w:rsidDel="00000000" w:rsidR="00000000" w:rsidRPr="00000000">
        <w:rPr>
          <w:b w:val="1"/>
          <w:bCs w:val="1"/>
          <w:rtl w:val="0"/>
        </w:rPr>
        <w:t xml:space="preserve">[Country Check Matrix]</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Commercially, once we receive a complete role brief (stack, seniority, location/remote rules, interview steps, target start date, and rate guidance), our average time to provide a </w:t>
      </w:r>
      <w:r w:rsidDel="00000000" w:rsidR="00000000" w:rsidRPr="00000000">
        <w:rPr>
          <w:b w:val="1"/>
          <w:bCs w:val="1"/>
          <w:rtl w:val="0"/>
        </w:rPr>
        <w:t xml:space="preserve">shortlist</w:t>
      </w:r>
      <w:r w:rsidDel="00000000" w:rsidR="00000000" w:rsidRPr="00000000">
        <w:rPr>
          <w:rtl w:val="0"/>
        </w:rPr>
        <w:t xml:space="preserve"> is </w:t>
      </w:r>
      <w:r w:rsidDel="00000000" w:rsidR="00000000" w:rsidRPr="00000000">
        <w:rPr>
          <w:b w:val="1"/>
          <w:bCs w:val="1"/>
          <w:rtl w:val="0"/>
        </w:rPr>
        <w:t xml:space="preserve">[5–10] business days</w:t>
      </w:r>
      <w:r w:rsidDel="00000000" w:rsidR="00000000" w:rsidRPr="00000000">
        <w:rPr>
          <w:rtl w:val="0"/>
        </w:rPr>
        <w:t xml:space="preserve">. If a contractor resigns, our typical </w:t>
      </w:r>
      <w:r w:rsidDel="00000000" w:rsidR="00000000" w:rsidRPr="00000000">
        <w:rPr>
          <w:b w:val="1"/>
          <w:bCs w:val="1"/>
          <w:rtl w:val="0"/>
        </w:rPr>
        <w:t xml:space="preserve">backfill time</w:t>
      </w:r>
      <w:r w:rsidDel="00000000" w:rsidR="00000000" w:rsidRPr="00000000">
        <w:rPr>
          <w:rtl w:val="0"/>
        </w:rPr>
        <w:t xml:space="preserve"> is </w:t>
      </w:r>
      <w:r w:rsidDel="00000000" w:rsidR="00000000" w:rsidRPr="00000000">
        <w:rPr>
          <w:b w:val="1"/>
          <w:bCs w:val="1"/>
          <w:rtl w:val="0"/>
        </w:rPr>
        <w:t xml:space="preserve">[10–20] business days</w:t>
      </w:r>
      <w:r w:rsidDel="00000000" w:rsidR="00000000" w:rsidRPr="00000000">
        <w:rPr>
          <w:rtl w:val="0"/>
        </w:rPr>
        <w:t xml:space="preserve"> depending on skill scarcity and local market conditions (faster if it’s a common role, slower if it’s “unicorn wrangler with 12 years of Cobol-on-Kubernetes,” you know the type). For billing readiness, we can provide </w:t>
      </w:r>
      <w:r w:rsidDel="00000000" w:rsidR="00000000" w:rsidRPr="00000000">
        <w:rPr>
          <w:b w:val="1"/>
          <w:bCs w:val="1"/>
          <w:rtl w:val="0"/>
        </w:rPr>
        <w:t xml:space="preserve">pre-invoice reports</w:t>
      </w:r>
      <w:r w:rsidDel="00000000" w:rsidR="00000000" w:rsidRPr="00000000">
        <w:rPr>
          <w:rtl w:val="0"/>
        </w:rPr>
        <w:t xml:space="preserve"> of hours and costs on the </w:t>
      </w:r>
      <w:r w:rsidDel="00000000" w:rsidR="00000000" w:rsidRPr="00000000">
        <w:rPr>
          <w:b w:val="1"/>
          <w:bCs w:val="1"/>
          <w:rtl w:val="0"/>
        </w:rPr>
        <w:t xml:space="preserve">first working day after month end</w:t>
      </w:r>
      <w:r w:rsidDel="00000000" w:rsidR="00000000" w:rsidRPr="00000000">
        <w:rPr>
          <w:rtl w:val="0"/>
        </w:rPr>
        <w:t xml:space="preserve">, delivered via </w:t>
      </w:r>
      <w:r w:rsidDel="00000000" w:rsidR="00000000" w:rsidRPr="00000000">
        <w:rPr>
          <w:b w:val="1"/>
          <w:bCs w:val="1"/>
          <w:rtl w:val="0"/>
        </w:rPr>
        <w:t xml:space="preserve">[CSV/Excel export/portal]</w:t>
      </w:r>
      <w:r w:rsidDel="00000000" w:rsidR="00000000" w:rsidRPr="00000000">
        <w:rPr>
          <w:rtl w:val="0"/>
        </w:rPr>
        <w:t xml:space="preserve"> and aligned to your cost centers and approval workflow.</w:t>
      </w:r>
    </w:p>
    <w:p w:rsidR="00000000" w:rsidDel="00000000" w:rsidP="00000000" w:rsidRDefault="00000000" w:rsidRPr="00000000" w14:paraId="00000003">
      <w:pPr>
        <w:spacing w:after="240" w:before="240" w:lineRule="auto"/>
        <w:rPr/>
      </w:pPr>
      <w:r w:rsidDel="00000000" w:rsidR="00000000" w:rsidRPr="00000000">
        <w:rPr>
          <w:rtl w:val="0"/>
        </w:rPr>
        <w:t xml:space="preserve">On security/privacy, all employees complete </w:t>
      </w:r>
      <w:r w:rsidDel="00000000" w:rsidR="00000000" w:rsidRPr="00000000">
        <w:rPr>
          <w:b w:val="1"/>
          <w:bCs w:val="1"/>
          <w:rtl w:val="0"/>
        </w:rPr>
        <w:t xml:space="preserve">mandatory data protection training</w:t>
      </w:r>
      <w:r w:rsidDel="00000000" w:rsidR="00000000" w:rsidRPr="00000000">
        <w:rPr>
          <w:rtl w:val="0"/>
        </w:rPr>
        <w:t xml:space="preserve"> </w:t>
      </w:r>
      <w:r w:rsidDel="00000000" w:rsidR="00000000" w:rsidRPr="00000000">
        <w:rPr>
          <w:b w:val="1"/>
          <w:bCs w:val="1"/>
          <w:rtl w:val="0"/>
        </w:rPr>
        <w:t xml:space="preserve">on onboarding</w:t>
      </w:r>
      <w:r w:rsidDel="00000000" w:rsidR="00000000" w:rsidRPr="00000000">
        <w:rPr>
          <w:rtl w:val="0"/>
        </w:rPr>
        <w:t xml:space="preserve"> and then </w:t>
      </w:r>
      <w:r w:rsidDel="00000000" w:rsidR="00000000" w:rsidRPr="00000000">
        <w:rPr>
          <w:b w:val="1"/>
          <w:bCs w:val="1"/>
          <w:rtl w:val="0"/>
        </w:rPr>
        <w:t xml:space="preserve">[annually]</w:t>
      </w:r>
      <w:r w:rsidDel="00000000" w:rsidR="00000000" w:rsidRPr="00000000">
        <w:rPr>
          <w:rtl w:val="0"/>
        </w:rPr>
        <w:t xml:space="preserve"> (with additional refreshers when policies change), tracked in </w:t>
      </w:r>
      <w:r w:rsidDel="00000000" w:rsidR="00000000" w:rsidRPr="00000000">
        <w:rPr>
          <w:b w:val="1"/>
          <w:bCs w:val="1"/>
          <w:rtl w:val="0"/>
        </w:rPr>
        <w:t xml:space="preserve">[LMS/tool]</w:t>
      </w:r>
      <w:r w:rsidDel="00000000" w:rsidR="00000000" w:rsidRPr="00000000">
        <w:rPr>
          <w:rtl w:val="0"/>
        </w:rPr>
        <w:t xml:space="preserve">. We maintain documented </w:t>
      </w:r>
      <w:r w:rsidDel="00000000" w:rsidR="00000000" w:rsidRPr="00000000">
        <w:rPr>
          <w:b w:val="1"/>
          <w:bCs w:val="1"/>
          <w:rtl w:val="0"/>
        </w:rPr>
        <w:t xml:space="preserve">privacy and data protection policies</w:t>
      </w:r>
      <w:r w:rsidDel="00000000" w:rsidR="00000000" w:rsidRPr="00000000">
        <w:rPr>
          <w:rtl w:val="0"/>
        </w:rPr>
        <w:t xml:space="preserve"> covering access control, secure handling, retention/deletion, incident response, and vendor management; policy packs can be shared under </w:t>
      </w:r>
      <w:r w:rsidDel="00000000" w:rsidR="00000000" w:rsidRPr="00000000">
        <w:rPr>
          <w:b w:val="1"/>
          <w:bCs w:val="1"/>
          <w:rtl w:val="0"/>
        </w:rPr>
        <w:t xml:space="preserve">[NDA]</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On supply readiness, approximately </w:t>
      </w:r>
      <w:r w:rsidDel="00000000" w:rsidR="00000000" w:rsidRPr="00000000">
        <w:rPr>
          <w:b w:val="1"/>
          <w:bCs w:val="1"/>
          <w:rtl w:val="0"/>
        </w:rPr>
        <w:t xml:space="preserve">[80]%</w:t>
      </w:r>
      <w:r w:rsidDel="00000000" w:rsidR="00000000" w:rsidRPr="00000000">
        <w:rPr>
          <w:rtl w:val="0"/>
        </w:rPr>
        <w:t xml:space="preserve"> of our active talent pool meets </w:t>
      </w:r>
      <w:r w:rsidDel="00000000" w:rsidR="00000000" w:rsidRPr="00000000">
        <w:rPr>
          <w:b w:val="1"/>
          <w:bCs w:val="1"/>
          <w:rtl w:val="0"/>
        </w:rPr>
        <w:t xml:space="preserve">B2 English or above</w:t>
      </w:r>
      <w:r w:rsidDel="00000000" w:rsidR="00000000" w:rsidRPr="00000000">
        <w:rPr>
          <w:rtl w:val="0"/>
        </w:rPr>
        <w:t xml:space="preserve">, validated through screening and interview interaction (we aim for “clear communication,” not “Shakespeare recital,” unless requested). We source and maintain our talent pool through direct recruiting, referrals, vetted partners, and curated communities; interviews are conducted by </w:t>
      </w:r>
      <w:r w:rsidDel="00000000" w:rsidR="00000000" w:rsidRPr="00000000">
        <w:rPr>
          <w:b w:val="1"/>
          <w:bCs w:val="1"/>
          <w:rtl w:val="0"/>
        </w:rPr>
        <w:t xml:space="preserve">[Recruiting Lead]</w:t>
      </w:r>
      <w:r w:rsidDel="00000000" w:rsidR="00000000" w:rsidRPr="00000000">
        <w:rPr>
          <w:rtl w:val="0"/>
        </w:rPr>
        <w:t xml:space="preserve"> plus a technical SME where appropriate, and the typical interview process runs </w:t>
      </w:r>
      <w:r w:rsidDel="00000000" w:rsidR="00000000" w:rsidRPr="00000000">
        <w:rPr>
          <w:b w:val="1"/>
          <w:bCs w:val="1"/>
          <w:rtl w:val="0"/>
        </w:rPr>
        <w:t xml:space="preserve">[2–3] stages over [7–12] calendar days</w:t>
      </w:r>
      <w:r w:rsidDel="00000000" w:rsidR="00000000" w:rsidRPr="00000000">
        <w:rPr>
          <w:rFonts w:ascii="Arial Unicode MS" w:cs="Arial Unicode MS" w:eastAsia="Arial Unicode MS" w:hAnsi="Arial Unicode MS"/>
          <w:rtl w:val="0"/>
        </w:rPr>
        <w:t xml:space="preserve"> depending on availability. If performance issues arise, the escalation path is Thoughtworks lead → our </w:t>
      </w:r>
      <w:r w:rsidDel="00000000" w:rsidR="00000000" w:rsidRPr="00000000">
        <w:rPr>
          <w:b w:val="1"/>
          <w:bCs w:val="1"/>
          <w:rtl w:val="0"/>
        </w:rPr>
        <w:t xml:space="preserve">Delivery/Account Manager (primary escalation)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Regional Operations Lead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Executive Sponsor</w:t>
      </w:r>
      <w:r w:rsidDel="00000000" w:rsidR="00000000" w:rsidRPr="00000000">
        <w:rPr>
          <w:rtl w:val="0"/>
        </w:rPr>
        <w:t xml:space="preserve">; we acknowledge within </w:t>
      </w:r>
      <w:r w:rsidDel="00000000" w:rsidR="00000000" w:rsidRPr="00000000">
        <w:rPr>
          <w:b w:val="1"/>
          <w:bCs w:val="1"/>
          <w:rtl w:val="0"/>
        </w:rPr>
        <w:t xml:space="preserve">[1] business day</w:t>
      </w:r>
      <w:r w:rsidDel="00000000" w:rsidR="00000000" w:rsidRPr="00000000">
        <w:rPr>
          <w:rtl w:val="0"/>
        </w:rPr>
        <w:t xml:space="preserve"> and provide an action plan within </w:t>
      </w:r>
      <w:r w:rsidDel="00000000" w:rsidR="00000000" w:rsidRPr="00000000">
        <w:rPr>
          <w:b w:val="1"/>
          <w:bCs w:val="1"/>
          <w:rtl w:val="0"/>
        </w:rPr>
        <w:t xml:space="preserve">[2–3] business days</w:t>
      </w:r>
      <w:r w:rsidDel="00000000" w:rsidR="00000000" w:rsidRPr="00000000">
        <w:rPr>
          <w:rtl w:val="0"/>
        </w:rPr>
        <w:t xml:space="preserve">. And yes—if on-site work is requested, our talent can be </w:t>
      </w:r>
      <w:r w:rsidDel="00000000" w:rsidR="00000000" w:rsidRPr="00000000">
        <w:rPr>
          <w:b w:val="1"/>
          <w:bCs w:val="1"/>
          <w:rtl w:val="0"/>
        </w:rPr>
        <w:t xml:space="preserve">travel-ready</w:t>
      </w:r>
      <w:r w:rsidDel="00000000" w:rsidR="00000000" w:rsidRPr="00000000">
        <w:rPr>
          <w:rtl w:val="0"/>
        </w:rPr>
        <w:t xml:space="preserve"> where requirements are communicated upfront, subject to visa constraints and candidate consent, typically with </w:t>
      </w:r>
      <w:r w:rsidDel="00000000" w:rsidR="00000000" w:rsidRPr="00000000">
        <w:rPr>
          <w:b w:val="1"/>
          <w:bCs w:val="1"/>
          <w:rtl w:val="0"/>
        </w:rPr>
        <w:t xml:space="preserve">[2–4 weeks] notice</w:t>
      </w:r>
      <w:r w:rsidDel="00000000" w:rsidR="00000000" w:rsidRPr="00000000">
        <w:rPr>
          <w:rtl w:val="0"/>
        </w:rPr>
        <w:t xml:space="preserve">. Finally, we have strong experience supplying </w:t>
      </w:r>
      <w:r w:rsidDel="00000000" w:rsidR="00000000" w:rsidRPr="00000000">
        <w:rPr>
          <w:b w:val="1"/>
          <w:bCs w:val="1"/>
          <w:rtl w:val="0"/>
        </w:rPr>
        <w:t xml:space="preserve">senior-level contractors</w:t>
      </w:r>
      <w:r w:rsidDel="00000000" w:rsidR="00000000" w:rsidRPr="00000000">
        <w:rPr>
          <w:rtl w:val="0"/>
        </w:rPr>
        <w:t xml:space="preserve"> (e.g., Senior Engineer/Tech Lead/Architect), with senior profiles making up </w:t>
      </w:r>
      <w:r w:rsidDel="00000000" w:rsidR="00000000" w:rsidRPr="00000000">
        <w:rPr>
          <w:b w:val="1"/>
          <w:bCs w:val="1"/>
          <w:rtl w:val="0"/>
        </w:rPr>
        <w:t xml:space="preserve">[~60]%</w:t>
      </w:r>
      <w:r w:rsidDel="00000000" w:rsidR="00000000" w:rsidRPr="00000000">
        <w:rPr>
          <w:rtl w:val="0"/>
        </w:rPr>
        <w:t xml:space="preserve"> of relevant placements depending on market demand.</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