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propose </w:t>
      </w:r>
      <w:r w:rsidDel="00000000" w:rsidR="00000000" w:rsidRPr="00000000">
        <w:rPr>
          <w:b w:val="1"/>
          <w:bCs w:val="1"/>
          <w:rtl w:val="0"/>
        </w:rPr>
        <w:t xml:space="preserve">Camunda 8 (Enterprise)</w:t>
      </w:r>
      <w:r w:rsidDel="00000000" w:rsidR="00000000" w:rsidRPr="00000000">
        <w:rPr>
          <w:rtl w:val="0"/>
        </w:rPr>
        <w:t xml:space="preserve"> as MTI’s enterprise-grade BPM platform, deployed either as </w:t>
      </w:r>
      <w:r w:rsidDel="00000000" w:rsidR="00000000" w:rsidRPr="00000000">
        <w:rPr>
          <w:b w:val="1"/>
          <w:bCs w:val="1"/>
          <w:rtl w:val="0"/>
        </w:rPr>
        <w:t xml:space="preserve">SaaS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self-managed on MTI’s Kubernetes/OpenShift</w:t>
      </w:r>
      <w:r w:rsidDel="00000000" w:rsidR="00000000" w:rsidRPr="00000000">
        <w:rPr>
          <w:rtl w:val="0"/>
        </w:rPr>
        <w:t xml:space="preserve">, to support a secure, scalable, and highly available foundation for both automated and human-centric workflows. The platform uses </w:t>
      </w:r>
      <w:r w:rsidDel="00000000" w:rsidR="00000000" w:rsidRPr="00000000">
        <w:rPr>
          <w:b w:val="1"/>
          <w:bCs w:val="1"/>
          <w:rtl w:val="0"/>
        </w:rPr>
        <w:t xml:space="preserve">model-driven configuration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b w:val="1"/>
          <w:bCs w:val="1"/>
          <w:rtl w:val="0"/>
        </w:rPr>
        <w:t xml:space="preserve">BPMN</w:t>
      </w:r>
      <w:r w:rsidDel="00000000" w:rsidR="00000000" w:rsidRPr="00000000">
        <w:rPr>
          <w:rtl w:val="0"/>
        </w:rPr>
        <w:t xml:space="preserve"> for process orchestration and </w:t>
      </w:r>
      <w:r w:rsidDel="00000000" w:rsidR="00000000" w:rsidRPr="00000000">
        <w:rPr>
          <w:b w:val="1"/>
          <w:bCs w:val="1"/>
          <w:rtl w:val="0"/>
        </w:rPr>
        <w:t xml:space="preserve">DMN</w:t>
      </w:r>
      <w:r w:rsidDel="00000000" w:rsidR="00000000" w:rsidRPr="00000000">
        <w:rPr>
          <w:rtl w:val="0"/>
        </w:rPr>
        <w:t xml:space="preserve"> for business rules—so MTI can onboard new workflows primarily through configuration (process models, rules, forms, SLAs, routing) rather than custom code, and safely promote versioned changes through DEV/TEST/UAT/PROD with controlled releases and rollback. It supports both </w:t>
      </w:r>
      <w:r w:rsidDel="00000000" w:rsidR="00000000" w:rsidRPr="00000000">
        <w:rPr>
          <w:b w:val="1"/>
          <w:bCs w:val="1"/>
          <w:rtl w:val="0"/>
        </w:rPr>
        <w:t xml:space="preserve">straight-through processing (STP)</w:t>
      </w:r>
      <w:r w:rsidDel="00000000" w:rsidR="00000000" w:rsidRPr="00000000">
        <w:rPr>
          <w:rtl w:val="0"/>
        </w:rPr>
        <w:t xml:space="preserve"> via service tasks, events, and rules, and </w:t>
      </w:r>
      <w:r w:rsidDel="00000000" w:rsidR="00000000" w:rsidRPr="00000000">
        <w:rPr>
          <w:b w:val="1"/>
          <w:bCs w:val="1"/>
          <w:rtl w:val="0"/>
        </w:rPr>
        <w:t xml:space="preserve">human-centric work</w:t>
      </w:r>
      <w:r w:rsidDel="00000000" w:rsidR="00000000" w:rsidRPr="00000000">
        <w:rPr>
          <w:rtl w:val="0"/>
        </w:rPr>
        <w:t xml:space="preserve"> via user tasks with configurable forms and guided task execution, allowing processes to hand off to users only when exceptions or approvals are required and then continue automatically.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task distribution, the solution supports both </w:t>
      </w:r>
      <w:r w:rsidDel="00000000" w:rsidR="00000000" w:rsidRPr="00000000">
        <w:rPr>
          <w:b w:val="1"/>
          <w:bCs w:val="1"/>
          <w:rtl w:val="0"/>
        </w:rPr>
        <w:t xml:space="preserve">workbaskets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worklists</w:t>
      </w:r>
      <w:r w:rsidDel="00000000" w:rsidR="00000000" w:rsidRPr="00000000">
        <w:rPr>
          <w:rtl w:val="0"/>
        </w:rPr>
        <w:t xml:space="preserve">: workbaskets operate as shared team queues where tasks are routed by configurable criteria such as role, skill, priority, location, and SLA status, while worklists represent user-specific assigned tasks created through direct assignment, auto-assignment policies, or claim-from-basket patterns. Supervisors can monitor and rebalance workload with queue-level visibility, manual reassignment, and rule-based workload balancing (e.g., least-loaded, overflow queues), while every claim/assignment/transfer is captured in the audit trail. MTI can define </w:t>
      </w:r>
      <w:r w:rsidDel="00000000" w:rsidR="00000000" w:rsidRPr="00000000">
        <w:rPr>
          <w:b w:val="1"/>
          <w:bCs w:val="1"/>
          <w:rtl w:val="0"/>
        </w:rPr>
        <w:t xml:space="preserve">SLAs and performance targets per process and per case type</w:t>
      </w:r>
      <w:r w:rsidDel="00000000" w:rsidR="00000000" w:rsidRPr="00000000">
        <w:rPr>
          <w:rtl w:val="0"/>
        </w:rPr>
        <w:t xml:space="preserve"> using timers, milestones, and due-date rules aligned to business calendars, and the platform can monitor key metrics in real time such as </w:t>
      </w:r>
      <w:r w:rsidDel="00000000" w:rsidR="00000000" w:rsidRPr="00000000">
        <w:rPr>
          <w:b w:val="1"/>
          <w:bCs w:val="1"/>
          <w:rtl w:val="0"/>
        </w:rPr>
        <w:t xml:space="preserve">first response time, resolution time, task completion time, and queue wait time</w:t>
      </w:r>
      <w:r w:rsidDel="00000000" w:rsidR="00000000" w:rsidRPr="00000000">
        <w:rPr>
          <w:rtl w:val="0"/>
        </w:rPr>
        <w:t xml:space="preserve">, including “at-risk” and breached items. When thresholds are approaching or breached, configurable escalation workflows can automatically trigger </w:t>
      </w:r>
      <w:r w:rsidDel="00000000" w:rsidR="00000000" w:rsidRPr="00000000">
        <w:rPr>
          <w:b w:val="1"/>
          <w:bCs w:val="1"/>
          <w:rtl w:val="0"/>
        </w:rPr>
        <w:t xml:space="preserve">notifications, reminders, priority changes, and reassignment</w:t>
      </w:r>
      <w:r w:rsidDel="00000000" w:rsidR="00000000" w:rsidRPr="00000000">
        <w:rPr>
          <w:rtl w:val="0"/>
        </w:rPr>
        <w:t xml:space="preserve"> to higher-tier workbaskets or supervisors via in-app alerts and standard channels (e.g., email/Teams/webhooks), with full traceability.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and governance are aligned to enterprise/government expectations through </w:t>
      </w:r>
      <w:r w:rsidDel="00000000" w:rsidR="00000000" w:rsidRPr="00000000">
        <w:rPr>
          <w:b w:val="1"/>
          <w:bCs w:val="1"/>
          <w:rtl w:val="0"/>
        </w:rPr>
        <w:t xml:space="preserve">SSO integration using SAML 2.0 and/or OpenID Connect (OIDC)/OAuth 2.0</w:t>
      </w:r>
      <w:r w:rsidDel="00000000" w:rsidR="00000000" w:rsidRPr="00000000">
        <w:rPr>
          <w:rtl w:val="0"/>
        </w:rPr>
        <w:t xml:space="preserve">, enabling centralized authentication (including MFA/conditional access) and </w:t>
      </w:r>
      <w:r w:rsidDel="00000000" w:rsidR="00000000" w:rsidRPr="00000000">
        <w:rPr>
          <w:b w:val="1"/>
          <w:bCs w:val="1"/>
          <w:rtl w:val="0"/>
        </w:rPr>
        <w:t xml:space="preserve">fine-grained RBAC</w:t>
      </w:r>
      <w:r w:rsidDel="00000000" w:rsidR="00000000" w:rsidRPr="00000000">
        <w:rPr>
          <w:rtl w:val="0"/>
        </w:rPr>
        <w:t xml:space="preserve"> mapped from MTI identity groups/claims. Access can be controlled down to process/case types, queues/workbaskets, task actions, and data visibility, enforced consistently across UI and APIs. The solution provides a complete </w:t>
      </w:r>
      <w:r w:rsidDel="00000000" w:rsidR="00000000" w:rsidRPr="00000000">
        <w:rPr>
          <w:b w:val="1"/>
          <w:b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 of user actions (e.g., claim/assign/complete/escalate), configuration and deployment changes (process/rule versions), and key data changes (before/after), with retention aligned to MTI policy and export options to SIEM/BI platforms. Standard integration is supported through </w:t>
      </w:r>
      <w:r w:rsidDel="00000000" w:rsidR="00000000" w:rsidRPr="00000000">
        <w:rPr>
          <w:b w:val="1"/>
          <w:bCs w:val="1"/>
          <w:rtl w:val="0"/>
        </w:rPr>
        <w:t xml:space="preserve">secure REST APIs</w:t>
      </w:r>
      <w:r w:rsidDel="00000000" w:rsidR="00000000" w:rsidRPr="00000000">
        <w:rPr>
          <w:rtl w:val="0"/>
        </w:rPr>
        <w:t xml:space="preserve">, event-based patterns, and message/queue integration, typically implemented via reusable connectors with configurable authentication, retries, timeouts, and error handling, while all traffic is protected using </w:t>
      </w:r>
      <w:r w:rsidDel="00000000" w:rsidR="00000000" w:rsidRPr="00000000">
        <w:rPr>
          <w:b w:val="1"/>
          <w:bCs w:val="1"/>
          <w:rtl w:val="0"/>
        </w:rPr>
        <w:t xml:space="preserve">TLS (and optional mTLS)</w:t>
      </w:r>
      <w:r w:rsidDel="00000000" w:rsidR="00000000" w:rsidRPr="00000000">
        <w:rPr>
          <w:rtl w:val="0"/>
        </w:rPr>
        <w:t xml:space="preserve"> plus encryption at rest where required. Operationally, MTI receives out-of-the-box dashboards for </w:t>
      </w:r>
      <w:r w:rsidDel="00000000" w:rsidR="00000000" w:rsidRPr="00000000">
        <w:rPr>
          <w:b w:val="1"/>
          <w:bCs w:val="1"/>
          <w:rtl w:val="0"/>
        </w:rPr>
        <w:t xml:space="preserve">case volumes, workload distribution, SLA performance, and bottlenecks</w:t>
      </w:r>
      <w:r w:rsidDel="00000000" w:rsidR="00000000" w:rsidRPr="00000000">
        <w:rPr>
          <w:rtl w:val="0"/>
        </w:rPr>
        <w:t xml:space="preserve"> (e.g., stage duration, stuck cases, queue wait times), and business users can tailor views using self-service dashboarding with role-based publishing controls.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