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RFP Response (Structured) - Supply, implement, and support an enterprise-grade...</w:t>
      </w:r>
    </w:p>
    <w:p>
      <w:pPr>
        <w:jc w:val="center"/>
      </w:pPr>
      <w:r>
        <w:t>December 16, 2025</w:t>
      </w:r>
    </w:p>
    <w:p>
      <w:pPr>
        <w:jc w:val="center"/>
      </w:pPr>
      <w:r>
        <w:t>fusionAIx</w:t>
      </w:r>
    </w:p>
    <w:p>
      <w:pPr>
        <w:jc w:val="center"/>
      </w:pPr>
      <w:r>
        <w:t>fusionaix.com</w:t>
      </w:r>
    </w:p>
    <w:p>
      <w:r>
        <w:br w:type="page"/>
      </w:r>
    </w:p>
    <w:p>
      <w:pPr>
        <w:pStyle w:val="Heading1"/>
      </w:pPr>
      <w:r>
        <w:t>Table of Contents</w:t>
      </w:r>
    </w:p>
    <w:p>
      <w:r>
        <w:rPr>
          <w:b w:val="0"/>
        </w:rPr>
        <w:t>1. STRUCTURED: Executive Summary...</w:t>
      </w:r>
    </w:p>
    <w:p>
      <w:r>
        <w:br w:type="page"/>
      </w:r>
    </w:p>
    <w:p>
      <w:pPr>
        <w:pStyle w:val="Heading1"/>
      </w:pPr>
      <w:r>
        <w:t>Company Overview</w:t>
      </w:r>
    </w:p>
    <w:p>
      <w:r>
        <w:t>fusionAIx is a specialized low-code and AI-driven digital transformation partner focused on modernizing enterprise workflows, improving customer/employee experiences, and accelerating delivery through platform-led automation.</w:t>
      </w:r>
    </w:p>
    <w:p>
      <w:r>
        <w:br w:type="page"/>
      </w:r>
    </w:p>
    <w:p>
      <w:pPr>
        <w:pStyle w:val="Heading1"/>
      </w:pPr>
      <w:r>
        <w:t>Solution Requirement Responses</w:t>
      </w:r>
    </w:p>
    <w:p>
      <w:pPr>
        <w:pStyle w:val="Heading2"/>
      </w:pPr>
      <w:r>
        <w:t>Requirement 1: STRUCTURED</w:t>
      </w:r>
    </w:p>
    <w:p>
      <w:r>
        <w:rPr>
          <w:b/>
        </w:rPr>
        <w:t xml:space="preserve">Requirement: </w:t>
      </w:r>
      <w:r>
        <w:t>Complete structured response following: Executive Summary, Understanding of MTI’s Objectives and Context, Proposed Solution Overview, Implementation Approach and Methodology, Project Plan and Timelines, Proposed Team Structure, Functional and Technical Compliance Matrix, Assumptions, Dependencies, and Risks, Support and Maintenance Model, Commercial Proposal</w:t>
      </w:r>
    </w:p>
    <w:p>
      <w:pPr>
        <w:pStyle w:val="Heading3"/>
      </w:pPr>
      <w:r>
        <w:t>Response</w:t>
      </w:r>
    </w:p>
    <w:p>
      <w:pPr>
        <w:pStyle w:val="Heading1"/>
      </w:pPr>
      <w:r>
        <w:t>**fusionAIx Proposal for MTI BPM Platform Implementation**</w:t>
      </w:r>
    </w:p>
    <w:p/>
    <w:p>
      <w:r>
        <w:t>---</w:t>
      </w:r>
    </w:p>
    <w:p/>
    <w:p>
      <w:pPr>
        <w:pStyle w:val="Heading2"/>
      </w:pPr>
      <w:r>
        <w:t>**1. Executive Summary**</w:t>
      </w:r>
    </w:p>
    <w:p/>
    <w:p>
      <w:r>
        <w:t>fusionAIx is pleased to submit this comprehensive proposal in response to MTI’s Request for Proposal (RFP) for the implementation of an enterprise-grade Business Process Management (BPM) platform. Our proposal strictly adheres to the RFP’s mandated structure and addresses all functional, technical, and service requirements in detail.</w:t>
      </w:r>
    </w:p>
    <w:p/>
    <w:p>
      <w:r>
        <w:t xml:space="preserve">fusionAIx is a specialized low-code and AI-driven digital transformation partner with deep expertise in modernizing enterprise workflows, improving customer and employee experiences, and accelerating delivery through platform-led automation. We bring proven capabilities across </w:t>
      </w:r>
      <w:r>
        <w:rPr>
          <w:b/>
        </w:rPr>
        <w:t>Pega Constellation</w:t>
      </w:r>
      <w:r>
        <w:t xml:space="preserve">, </w:t>
      </w:r>
      <w:r>
        <w:rPr>
          <w:b/>
        </w:rPr>
        <w:t>Microsoft Power Platform</w:t>
      </w:r>
      <w:r>
        <w:t xml:space="preserve">, and </w:t>
      </w:r>
      <w:r>
        <w:rPr>
          <w:b/>
        </w:rPr>
        <w:t>ServiceNow</w:t>
      </w:r>
      <w:r>
        <w:t>, with a strong focus on scalability, security, and governance—key priorities for MTI.</w:t>
      </w:r>
    </w:p>
    <w:p/>
    <w:p>
      <w:r>
        <w:t xml:space="preserve">For MTI, we propose a </w:t>
      </w:r>
      <w:r>
        <w:rPr>
          <w:b/>
        </w:rPr>
        <w:t>Pega Constellation–based BPM solution</w:t>
      </w:r>
      <w:r>
        <w:t xml:space="preserve"> that provides a secure, scalable, and configurable platform supporting both </w:t>
      </w:r>
      <w:r>
        <w:rPr>
          <w:b/>
        </w:rPr>
        <w:t>straight-through and human-centric workflows</w:t>
      </w:r>
      <w:r>
        <w:t xml:space="preserve">, </w:t>
      </w:r>
      <w:r>
        <w:rPr>
          <w:b/>
        </w:rPr>
        <w:t>dynamic case management</w:t>
      </w:r>
      <w:r>
        <w:t xml:space="preserve">, and </w:t>
      </w:r>
      <w:r>
        <w:rPr>
          <w:b/>
        </w:rPr>
        <w:t>low-code configurability</w:t>
      </w:r>
      <w:r>
        <w:t>. The solution will enable MTI to digitize and automate its core processes—business licensing and renewals, incentive and grants management, trade facilitation case handling, and internal service requests—while allowing rapid onboarding of additional processes through configuration rather than custom code.</w:t>
      </w:r>
    </w:p>
    <w:p/>
    <w:p>
      <w:r>
        <w:t>Our approach emphasizes:</w:t>
      </w:r>
    </w:p>
    <w:p>
      <w:pPr>
        <w:pStyle w:val="ListBullet"/>
      </w:pPr>
      <w:r>
        <w:rPr>
          <w:b/>
        </w:rPr>
        <w:t>Rapid time-to-value</w:t>
      </w:r>
      <w:r>
        <w:t xml:space="preserve"> through model-driven configuration and reusable accelerators such as </w:t>
      </w:r>
      <w:r>
        <w:rPr>
          <w:b/>
        </w:rPr>
        <w:t>fxSmartDCO</w:t>
      </w:r>
      <w:r>
        <w:t xml:space="preserve">, </w:t>
      </w:r>
      <w:r>
        <w:rPr>
          <w:b/>
        </w:rPr>
        <w:t>fxMockUpToView</w:t>
      </w:r>
      <w:r>
        <w:t xml:space="preserve">, and </w:t>
      </w:r>
      <w:r>
        <w:rPr>
          <w:b/>
        </w:rPr>
        <w:t>fxAIStudio</w:t>
      </w:r>
      <w:r>
        <w:t>.</w:t>
      </w:r>
    </w:p>
    <w:p>
      <w:pPr>
        <w:pStyle w:val="ListBullet"/>
      </w:pPr>
      <w:r>
        <w:rPr>
          <w:b/>
        </w:rPr>
        <w:t>Enterprise-grade governance and security</w:t>
      </w:r>
      <w:r>
        <w:t>, including fine-grained role-based access control (RBAC), full audit logging, and compliance with national data protection and cybersecurity regulations.</w:t>
      </w:r>
    </w:p>
    <w:p>
      <w:pPr>
        <w:pStyle w:val="ListBullet"/>
      </w:pPr>
      <w:r>
        <w:rPr>
          <w:b/>
        </w:rPr>
        <w:t>Comprehensive training and change management</w:t>
      </w:r>
      <w:r>
        <w:t>, led by certified professionals with extensive BPM rollout experience.</w:t>
      </w:r>
    </w:p>
    <w:p>
      <w:pPr>
        <w:pStyle w:val="ListBullet"/>
      </w:pPr>
      <w:r>
        <w:rPr>
          <w:b/>
        </w:rPr>
        <w:t>Sustained post–go-live support</w:t>
      </w:r>
      <w:r>
        <w:t xml:space="preserve"> for at least three years, with defined SLAs, escalation paths, and continuous improvement mechanisms.</w:t>
      </w:r>
    </w:p>
    <w:p/>
    <w:p>
      <w:r>
        <w:t xml:space="preserve">fusionAIx has delivered over </w:t>
      </w:r>
      <w:r>
        <w:rPr>
          <w:b/>
        </w:rPr>
        <w:t>20 Pega Constellation implementations globally</w:t>
      </w:r>
      <w:r>
        <w:t xml:space="preserve">, including multiple government and regulated enterprise clients. Our </w:t>
      </w:r>
      <w:r>
        <w:rPr>
          <w:b/>
        </w:rPr>
        <w:t>AI-powered Constellation Center of Excellence</w:t>
      </w:r>
      <w:r>
        <w:t xml:space="preserve"> accelerates delivery and ensures consistent quality across engagements.</w:t>
      </w:r>
    </w:p>
    <w:p/>
    <w:p>
      <w:r>
        <w:t>We are confident that our proposed solution and delivery approach will enable MTI to achieve its digital transformation objectives efficiently, securely, and sustainably.</w:t>
      </w:r>
    </w:p>
    <w:p/>
    <w:p>
      <w:r>
        <w:t>---</w:t>
      </w:r>
    </w:p>
    <w:p/>
    <w:p>
      <w:pPr>
        <w:pStyle w:val="Heading2"/>
      </w:pPr>
      <w:r>
        <w:t>**2. Understanding of MTI’s Objectives and Context**</w:t>
      </w:r>
    </w:p>
    <w:p/>
    <w:p>
      <w:r>
        <w:t xml:space="preserve">MTI’s strategic objective is to establish a unified, enterprise-grade BPM platform that streamlines internal and external processes, enhances transparency, and improves service delivery efficiency. The platform must support both </w:t>
      </w:r>
      <w:r>
        <w:rPr>
          <w:b/>
        </w:rPr>
        <w:t>internal workflows</w:t>
      </w:r>
      <w:r>
        <w:t xml:space="preserve"> (e.g., internal service requests) and </w:t>
      </w:r>
      <w:r>
        <w:rPr>
          <w:b/>
        </w:rPr>
        <w:t>external-facing processes</w:t>
      </w:r>
      <w:r>
        <w:t xml:space="preserve"> (e.g., business licensing, trade facilitation, and grants management), while ensuring compliance, scalability, and user-centric design.</w:t>
      </w:r>
    </w:p>
    <w:p/>
    <w:p>
      <w:pPr>
        <w:pStyle w:val="Heading3"/>
      </w:pPr>
      <w:r>
        <w:t>**Key Business Objectives**</w:t>
      </w:r>
    </w:p>
    <w:p>
      <w:pPr>
        <w:pStyle w:val="ListNumber"/>
      </w:pPr>
      <w:r>
        <w:rPr>
          <w:b/>
        </w:rPr>
        <w:t>Process Digitization and Automation:</w:t>
      </w:r>
      <w:r>
        <w:t xml:space="preserve"> Replace manual and fragmented workflows with a centralized BPM platform that supports both straight-through and human-centric processing.</w:t>
      </w:r>
    </w:p>
    <w:p>
      <w:pPr>
        <w:pStyle w:val="ListNumber"/>
      </w:pPr>
      <w:r>
        <w:rPr>
          <w:b/>
        </w:rPr>
        <w:t>Configurability and Agility:</w:t>
      </w:r>
      <w:r>
        <w:t xml:space="preserve"> Enable rapid onboarding of new processes through configuration rather than custom development, ensuring MTI can adapt quickly to policy or regulatory changes.</w:t>
      </w:r>
    </w:p>
    <w:p>
      <w:pPr>
        <w:pStyle w:val="ListNumber"/>
      </w:pPr>
      <w:r>
        <w:rPr>
          <w:b/>
        </w:rPr>
        <w:t>Operational Transparency:</w:t>
      </w:r>
      <w:r>
        <w:t xml:space="preserve"> Provide real-time dashboards, SLA monitoring, and audit trails to improve oversight, accountability, and decision-making.</w:t>
      </w:r>
    </w:p>
    <w:p>
      <w:pPr>
        <w:pStyle w:val="ListNumber"/>
      </w:pPr>
      <w:r>
        <w:rPr>
          <w:b/>
        </w:rPr>
        <w:t>User Experience:</w:t>
      </w:r>
      <w:r>
        <w:t xml:space="preserve"> Deliver intuitive, web-based, and responsive interfaces for internal users and self-service portals for external stakeholders.</w:t>
      </w:r>
    </w:p>
    <w:p>
      <w:pPr>
        <w:pStyle w:val="ListNumber"/>
      </w:pPr>
      <w:r>
        <w:rPr>
          <w:b/>
        </w:rPr>
        <w:t>Integration and Security:</w:t>
      </w:r>
      <w:r>
        <w:t xml:space="preserve"> Seamlessly integrate with MTI’s identity management, document management, and email systems, while maintaining compliance with national data protection and cybersecurity standards.</w:t>
      </w:r>
    </w:p>
    <w:p>
      <w:pPr>
        <w:pStyle w:val="ListNumber"/>
      </w:pPr>
      <w:r>
        <w:rPr>
          <w:b/>
        </w:rPr>
        <w:t>Sustainability and Knowledge Transfer:</w:t>
      </w:r>
      <w:r>
        <w:t xml:space="preserve"> Build internal capability through structured training, documentation, and change management to ensure long-term sustainability.</w:t>
      </w:r>
    </w:p>
    <w:p/>
    <w:p>
      <w:pPr>
        <w:pStyle w:val="Heading3"/>
      </w:pPr>
      <w:r>
        <w:t>**Contextual Considerations**</w:t>
      </w:r>
    </w:p>
    <w:p>
      <w:r>
        <w:t>MTI operates in a complex regulatory environment requiring strict adherence to data protection, auditability, and governance standards. The BPM platform must therefore:</w:t>
      </w:r>
    </w:p>
    <w:p>
      <w:pPr>
        <w:pStyle w:val="ListBullet"/>
      </w:pPr>
      <w:r>
        <w:t xml:space="preserve">Support </w:t>
      </w:r>
      <w:r>
        <w:rPr>
          <w:b/>
        </w:rPr>
        <w:t>fine-grained RBAC</w:t>
      </w:r>
      <w:r>
        <w:t xml:space="preserve"> integrated with MTI’s identity and SSO systems.</w:t>
      </w:r>
    </w:p>
    <w:p>
      <w:pPr>
        <w:pStyle w:val="ListBullet"/>
      </w:pPr>
      <w:r>
        <w:t xml:space="preserve">Maintain </w:t>
      </w:r>
      <w:r>
        <w:rPr>
          <w:b/>
        </w:rPr>
        <w:t>separate environments</w:t>
      </w:r>
      <w:r>
        <w:t xml:space="preserve"> for development, testing, and production.</w:t>
      </w:r>
    </w:p>
    <w:p>
      <w:pPr>
        <w:pStyle w:val="ListBullet"/>
      </w:pPr>
      <w:r>
        <w:t xml:space="preserve">Provide </w:t>
      </w:r>
      <w:r>
        <w:rPr>
          <w:b/>
        </w:rPr>
        <w:t>comprehensive audit trails</w:t>
      </w:r>
      <w:r>
        <w:t xml:space="preserve"> for all process steps, user actions, and data changes.</w:t>
      </w:r>
    </w:p>
    <w:p>
      <w:pPr>
        <w:pStyle w:val="ListBullet"/>
      </w:pPr>
      <w:r>
        <w:t xml:space="preserve">Offer </w:t>
      </w:r>
      <w:r>
        <w:rPr>
          <w:b/>
        </w:rPr>
        <w:t>high availability and scalability</w:t>
      </w:r>
      <w:r>
        <w:t xml:space="preserve"> to support both internal and external workloads.</w:t>
      </w:r>
    </w:p>
    <w:p/>
    <w:p>
      <w:r>
        <w:t>fusionAIx’s understanding of MTI’s context is informed by our experience delivering BPM solutions for government and public sector clients with similar requirements for compliance, transparency, and agility. Our proposed solution aligns directly with these objectives, ensuring MTI achieves measurable improvements in efficiency, service quality, and governance.</w:t>
      </w:r>
    </w:p>
    <w:p/>
    <w:p>
      <w:r>
        <w:t>---</w:t>
      </w:r>
    </w:p>
    <w:p/>
    <w:p>
      <w:pPr>
        <w:pStyle w:val="Heading2"/>
      </w:pPr>
      <w:r>
        <w:t>**3. Proposed Solution Overview**</w:t>
      </w:r>
    </w:p>
    <w:p/>
    <w:p>
      <w:r>
        <w:t xml:space="preserve">fusionAIx proposes to implement </w:t>
      </w:r>
      <w:r>
        <w:rPr>
          <w:b/>
        </w:rPr>
        <w:t>Pega Constellation (Enterprise Edition)</w:t>
      </w:r>
      <w:r>
        <w:t xml:space="preserve"> as MTI’s BPM platform. Pega Constellation is a low-code, model-driven platform designed for enterprise-grade process automation, case management, and digital experience delivery. It supports both </w:t>
      </w:r>
      <w:r>
        <w:rPr>
          <w:b/>
        </w:rPr>
        <w:t>straight-through processing (STP)</w:t>
      </w:r>
      <w:r>
        <w:t xml:space="preserve"> and </w:t>
      </w:r>
      <w:r>
        <w:rPr>
          <w:b/>
        </w:rPr>
        <w:t>human-centric workflows</w:t>
      </w:r>
      <w:r>
        <w:t>, enabling MTI to automate end-to-end processes while maintaining flexibility for human decision-making.</w:t>
      </w:r>
    </w:p>
    <w:p/>
    <w:p>
      <w:pPr>
        <w:pStyle w:val="Heading3"/>
      </w:pPr>
      <w:r>
        <w:t>**Core Capabilities**</w:t>
      </w:r>
    </w:p>
    <w:p>
      <w:pPr>
        <w:pStyle w:val="ListBullet"/>
      </w:pPr>
      <w:r>
        <w:rPr>
          <w:b/>
        </w:rPr>
        <w:t>Workbasket and Worklist Paradigms:</w:t>
      </w:r>
      <w:r>
        <w:t xml:space="preserve"> Supports both shared team queues (workbaskets) and individual user task lists (worklists). Tasks can be routed based on configurable criteria such as role, skill, priority, and SLA status. Supervisors can monitor and rebalance workloads with queue-level visibility and rule-based workload balancing.</w:t>
      </w:r>
    </w:p>
    <w:p>
      <w:pPr>
        <w:pStyle w:val="ListBullet"/>
      </w:pPr>
      <w:r>
        <w:rPr>
          <w:b/>
        </w:rPr>
        <w:t>Dynamic Case Management:</w:t>
      </w:r>
      <w:r>
        <w:t xml:space="preserve"> Enables ad-hoc task creation, attachments, and collaboration within cases, supporting both structured and unstructured workflows.</w:t>
      </w:r>
    </w:p>
    <w:p>
      <w:pPr>
        <w:pStyle w:val="ListBullet"/>
      </w:pPr>
      <w:r>
        <w:rPr>
          <w:b/>
        </w:rPr>
        <w:t>Centralized Business Rules Management:</w:t>
      </w:r>
      <w:r>
        <w:t xml:space="preserve"> Provides versioned, testable, and governable business rules that authorized users can update under governance controls.</w:t>
      </w:r>
    </w:p>
    <w:p>
      <w:pPr>
        <w:pStyle w:val="ListBullet"/>
      </w:pPr>
      <w:r>
        <w:rPr>
          <w:b/>
        </w:rPr>
        <w:t>SLA Definition and Monitoring:</w:t>
      </w:r>
      <w:r>
        <w:t xml:space="preserve"> Allows definition of SLAs per process and case type, with automated escalations, notifications, and real-time dashboards for supervisors and management.</w:t>
      </w:r>
    </w:p>
    <w:p>
      <w:pPr>
        <w:pStyle w:val="ListBullet"/>
      </w:pPr>
      <w:r>
        <w:rPr>
          <w:b/>
        </w:rPr>
        <w:t>Audit Trail and Compliance:</w:t>
      </w:r>
      <w:r>
        <w:t xml:space="preserve"> Captures full, end-to-end audit of process steps, user decisions, and data changes with before/after values, timestamps, and case IDs. Authorized roles can review audit data through a read-only viewer with filters and drill-down capabilities. RBAC limits access, sensitive fields can be masked, and audit-log access is itself logged.</w:t>
      </w:r>
    </w:p>
    <w:p>
      <w:pPr>
        <w:pStyle w:val="ListBullet"/>
      </w:pPr>
      <w:r>
        <w:rPr>
          <w:b/>
        </w:rPr>
        <w:t>Integration and Security:</w:t>
      </w:r>
      <w:r>
        <w:t xml:space="preserve"> Supports secure integration with MTI’s identity management (SAML 2.0, OIDC/OAuth 2.0), document management, and email systems. All traffic is protected using TLS/mTLS, with encryption at rest.</w:t>
      </w:r>
    </w:p>
    <w:p>
      <w:pPr>
        <w:pStyle w:val="ListBullet"/>
      </w:pPr>
      <w:r>
        <w:rPr>
          <w:b/>
        </w:rPr>
        <w:t>Reporting and Dashboards:</w:t>
      </w:r>
      <w:r>
        <w:t xml:space="preserve"> Provides out-of-the-box dashboards for case volumes, workload distribution, and SLA performance. Business users can create or modify reports without IT support using self-service dashboarding with role-based publishing controls.</w:t>
      </w:r>
    </w:p>
    <w:p>
      <w:pPr>
        <w:pStyle w:val="ListBullet"/>
      </w:pPr>
      <w:r>
        <w:rPr>
          <w:b/>
        </w:rPr>
        <w:t>Deployment Flexibility:</w:t>
      </w:r>
      <w:r>
        <w:t xml:space="preserve"> Can be deployed on-premises, in the cloud, or in a hybrid model, supporting high availability and scalability.</w:t>
      </w:r>
    </w:p>
    <w:p/>
    <w:p>
      <w:pPr>
        <w:pStyle w:val="Heading3"/>
      </w:pPr>
      <w:r>
        <w:t>**Accelerators and Tools**</w:t>
      </w:r>
    </w:p>
    <w:p>
      <w:r>
        <w:t>fusionAIx will leverage its proprietary accelerators to accelerate delivery:</w:t>
      </w:r>
    </w:p>
    <w:p>
      <w:pPr>
        <w:pStyle w:val="ListBullet"/>
      </w:pPr>
      <w:r>
        <w:rPr>
          <w:b/>
        </w:rPr>
        <w:t>fxSmartDCO:</w:t>
      </w:r>
      <w:r>
        <w:t xml:space="preserve"> Streamlines requirements capture and process modeling.</w:t>
      </w:r>
    </w:p>
    <w:p>
      <w:pPr>
        <w:pStyle w:val="ListBullet"/>
      </w:pPr>
      <w:r>
        <w:rPr>
          <w:b/>
        </w:rPr>
        <w:t>fxMockUpToView:</w:t>
      </w:r>
      <w:r>
        <w:t xml:space="preserve"> Converts UI mockups into working Constellation views.</w:t>
      </w:r>
    </w:p>
    <w:p>
      <w:pPr>
        <w:pStyle w:val="ListBullet"/>
      </w:pPr>
      <w:r>
        <w:rPr>
          <w:b/>
        </w:rPr>
        <w:t>fxAIStudio:</w:t>
      </w:r>
      <w:r>
        <w:t xml:space="preserve"> AI-assisted rule and component generation.</w:t>
      </w:r>
    </w:p>
    <w:p>
      <w:pPr>
        <w:pStyle w:val="ListBullet"/>
      </w:pPr>
      <w:r>
        <w:rPr>
          <w:b/>
        </w:rPr>
        <w:t>fxAgentSDK:</w:t>
      </w:r>
      <w:r>
        <w:t xml:space="preserve"> Simplifies integration with external systems.</w:t>
      </w:r>
    </w:p>
    <w:p/>
    <w:p>
      <w:r>
        <w:t>These accelerators reduce configuration time, improve quality, and ensure consistency across processes.</w:t>
      </w:r>
    </w:p>
    <w:p/>
    <w:p>
      <w:pPr>
        <w:pStyle w:val="Heading3"/>
      </w:pPr>
      <w:r>
        <w:t>**Use Case Coverage**</w:t>
      </w:r>
    </w:p>
    <w:p>
      <w:r>
        <w:t>The initial implementation will cover:</w:t>
      </w:r>
    </w:p>
    <w:p>
      <w:pPr>
        <w:pStyle w:val="ListNumber"/>
      </w:pPr>
      <w:r>
        <w:rPr>
          <w:b/>
        </w:rPr>
        <w:t>Business Licensing and Renewals</w:t>
      </w:r>
    </w:p>
    <w:p>
      <w:pPr>
        <w:pStyle w:val="ListNumber"/>
      </w:pPr>
      <w:r>
        <w:rPr>
          <w:b/>
        </w:rPr>
        <w:t>Incentive and Grants Management</w:t>
      </w:r>
    </w:p>
    <w:p>
      <w:pPr>
        <w:pStyle w:val="ListNumber"/>
      </w:pPr>
      <w:r>
        <w:rPr>
          <w:b/>
        </w:rPr>
        <w:t>Trade Facilitation Case Handling</w:t>
      </w:r>
    </w:p>
    <w:p>
      <w:pPr>
        <w:pStyle w:val="ListNumber"/>
      </w:pPr>
      <w:r>
        <w:rPr>
          <w:b/>
        </w:rPr>
        <w:t>Internal Service Requests</w:t>
      </w:r>
    </w:p>
    <w:p/>
    <w:p>
      <w:r>
        <w:t>The platform will be designed to allow rapid onboarding of additional processes through configuration, ensuring scalability and adaptability.</w:t>
      </w:r>
    </w:p>
    <w:p/>
    <w:p>
      <w:r>
        <w:t>---</w:t>
      </w:r>
    </w:p>
    <w:p/>
    <w:p>
      <w:pPr>
        <w:pStyle w:val="Heading2"/>
      </w:pPr>
      <w:r>
        <w:t>**4. Implementation Approach and Methodology**</w:t>
      </w:r>
    </w:p>
    <w:p/>
    <w:p>
      <w:r>
        <w:t>fusionAIx follows a structured, agile-based implementation methodology tailored for BPM projects. Our approach ensures rapid delivery, stakeholder engagement, and quality assurance throughout the lifecycle.</w:t>
      </w:r>
    </w:p>
    <w:p/>
    <w:p>
      <w:pPr>
        <w:pStyle w:val="Heading3"/>
      </w:pPr>
      <w:r>
        <w:t>**Phased Approach**</w:t>
      </w:r>
    </w:p>
    <w:p>
      <w:r>
        <w:rPr>
          <w:b/>
        </w:rPr>
        <w:t>Typical timeline (similar scope): ~12–16 weeks to go-live.</w:t>
      </w:r>
    </w:p>
    <w:p/>
    <w:p>
      <w:pPr>
        <w:pStyle w:val="ListBullet"/>
      </w:pPr>
      <w:r>
        <w:rPr>
          <w:b/>
        </w:rPr>
        <w:t>Discovery &amp; Requirements (2–3 weeks):</w:t>
      </w:r>
      <w:r>
        <w:t xml:space="preserve"> Conduct workshops with MTI stakeholders to capture business processes, roles, SLAs, and non-functional requirements. Use fxSmartDCO to accelerate documentation and validation.</w:t>
      </w:r>
    </w:p>
    <w:p>
      <w:pPr>
        <w:pStyle w:val="ListBullet"/>
      </w:pPr>
      <w:r>
        <w:rPr>
          <w:b/>
        </w:rPr>
        <w:t>Design (1–2 weeks):</w:t>
      </w:r>
      <w:r>
        <w:t xml:space="preserve"> Define process models, user interfaces, business rules, and integration points. Validate designs through interactive mockups using fxMockUpToView.</w:t>
      </w:r>
    </w:p>
    <w:p>
      <w:pPr>
        <w:pStyle w:val="ListBullet"/>
      </w:pPr>
      <w:r>
        <w:rPr>
          <w:b/>
        </w:rPr>
        <w:t>Build/Configuration + Integrations (5–7 weeks):</w:t>
      </w:r>
      <w:r>
        <w:t xml:space="preserve"> Configure process flows, rules, SLAs, and UI components. Implement integrations with MTI’s identity, document, and email systems using fxAgentSDK.</w:t>
      </w:r>
    </w:p>
    <w:p>
      <w:pPr>
        <w:pStyle w:val="ListBullet"/>
      </w:pPr>
      <w:r>
        <w:rPr>
          <w:b/>
        </w:rPr>
        <w:t>System Integration Testing (2–3 weeks):</w:t>
      </w:r>
      <w:r>
        <w:t xml:space="preserve"> Execute SIT to validate end-to-end functionality, integrations, and performance.</w:t>
      </w:r>
    </w:p>
    <w:p>
      <w:pPr>
        <w:pStyle w:val="ListBullet"/>
      </w:pPr>
      <w:r>
        <w:rPr>
          <w:b/>
        </w:rPr>
        <w:t>User Acceptance Testing (2–3 weeks):</w:t>
      </w:r>
      <w:r>
        <w:t xml:space="preserve"> Support MTI during UAT, addressing feedback and performing fixes.</w:t>
      </w:r>
    </w:p>
    <w:p>
      <w:pPr>
        <w:pStyle w:val="ListBullet"/>
      </w:pPr>
      <w:r>
        <w:rPr>
          <w:b/>
        </w:rPr>
        <w:t>Go-Live + Hypercare (1–2 weeks):</w:t>
      </w:r>
      <w:r>
        <w:t xml:space="preserve"> Deploy to production, monitor performance, and provide hypercare support.</w:t>
      </w:r>
    </w:p>
    <w:p/>
    <w:p>
      <w:pPr>
        <w:pStyle w:val="Heading3"/>
      </w:pPr>
      <w:r>
        <w:t>**Change Management and Training**</w:t>
      </w:r>
    </w:p>
    <w:p>
      <w:r>
        <w:t>Training and change management will be led by qualified professionals:</w:t>
      </w:r>
    </w:p>
    <w:p/>
    <w:p>
      <w:pPr>
        <w:pStyle w:val="ListBullet"/>
      </w:pPr>
      <w:r>
        <w:rPr>
          <w:b/>
        </w:rPr>
        <w:t>Change Lead:</w:t>
      </w:r>
      <w:r>
        <w:t xml:space="preserve"> Prosci/ADKAR certified, 8+ years leading change for BPM/workflow rollouts.</w:t>
      </w:r>
    </w:p>
    <w:p>
      <w:pPr>
        <w:pStyle w:val="ListBullet"/>
      </w:pPr>
      <w:r>
        <w:rPr>
          <w:b/>
        </w:rPr>
        <w:t>Training Lead:</w:t>
      </w:r>
      <w:r>
        <w:t xml:space="preserve"> 5+ years delivering train-the-trainer and end-user training; designs materials, exercises, and assessments.</w:t>
      </w:r>
    </w:p>
    <w:p>
      <w:pPr>
        <w:pStyle w:val="ListBullet"/>
      </w:pPr>
      <w:r>
        <w:rPr>
          <w:b/>
        </w:rPr>
        <w:t>Solution Consultant:</w:t>
      </w:r>
      <w:r>
        <w:t xml:space="preserve"> BPM practitioner with hands-on configuration experience (queues/workbaskets, SLAs, audit/reporting).</w:t>
      </w:r>
    </w:p>
    <w:p/>
    <w:p>
      <w:r>
        <w:t>They will deliver:</w:t>
      </w:r>
    </w:p>
    <w:p>
      <w:pPr>
        <w:pStyle w:val="ListBullet"/>
      </w:pPr>
      <w:r>
        <w:t>Role-based training sessions for end users, supervisors, and administrators.</w:t>
      </w:r>
    </w:p>
    <w:p>
      <w:pPr>
        <w:pStyle w:val="ListBullet"/>
      </w:pPr>
      <w:r>
        <w:t>Comprehensive training materials and user guides.</w:t>
      </w:r>
    </w:p>
    <w:p>
      <w:pPr>
        <w:pStyle w:val="ListBullet"/>
      </w:pPr>
      <w:r>
        <w:t>Change management workshops to drive adoption and readiness.</w:t>
      </w:r>
    </w:p>
    <w:p/>
    <w:p>
      <w:pPr>
        <w:pStyle w:val="Heading3"/>
      </w:pPr>
      <w:r>
        <w:t>**Quality Assurance**</w:t>
      </w:r>
    </w:p>
    <w:p>
      <w:r>
        <w:t>fusionAIx enforces rigorous QA through:</w:t>
      </w:r>
    </w:p>
    <w:p>
      <w:pPr>
        <w:pStyle w:val="ListBullet"/>
      </w:pPr>
      <w:r>
        <w:t>Automated testing for process flows and rules.</w:t>
      </w:r>
    </w:p>
    <w:p>
      <w:pPr>
        <w:pStyle w:val="ListBullet"/>
      </w:pPr>
      <w:r>
        <w:t>Peer reviews and configuration audits.</w:t>
      </w:r>
    </w:p>
    <w:p>
      <w:pPr>
        <w:pStyle w:val="ListBullet"/>
      </w:pPr>
      <w:r>
        <w:t>Controlled promotion through DEV/TEST/UAT/PROD environments.</w:t>
      </w:r>
    </w:p>
    <w:p/>
    <w:p>
      <w:r>
        <w:t>---</w:t>
      </w:r>
    </w:p>
    <w:p/>
    <w:p>
      <w:pPr>
        <w:pStyle w:val="Heading2"/>
      </w:pPr>
      <w:r>
        <w:t>**5. Project Plan and Timelines**</w:t>
      </w:r>
    </w:p>
    <w:p/>
    <w:p>
      <w:r>
        <w:t>The project plan aligns with the 12–16 week timeline and includes the following key milestones: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a5490" w:val="clear"/>
          </w:tcPr>
          <w:p>
            <w:r>
              <w:rPr>
                <w:b/>
                <w:color w:val="FFFFFF"/>
              </w:rPr>
              <w:t>Phase</w:t>
            </w:r>
          </w:p>
        </w:tc>
        <w:tc>
          <w:tcPr>
            <w:tcW w:type="dxa" w:w="2160"/>
            <w:shd w:fill="1a5490" w:val="clear"/>
          </w:tcPr>
          <w:p>
            <w:r>
              <w:rPr>
                <w:b/>
                <w:color w:val="FFFFFF"/>
              </w:rPr>
              <w:t>Duration</w:t>
            </w:r>
          </w:p>
        </w:tc>
        <w:tc>
          <w:tcPr>
            <w:tcW w:type="dxa" w:w="2160"/>
            <w:shd w:fill="1a5490" w:val="clear"/>
          </w:tcPr>
          <w:p>
            <w:r>
              <w:rPr>
                <w:b/>
                <w:color w:val="FFFFFF"/>
              </w:rPr>
              <w:t>Key Activities</w:t>
            </w:r>
          </w:p>
        </w:tc>
        <w:tc>
          <w:tcPr>
            <w:tcW w:type="dxa" w:w="2160"/>
            <w:shd w:fill="1a5490" w:val="clear"/>
          </w:tcPr>
          <w:p>
            <w:r>
              <w:rPr>
                <w:b/>
                <w:color w:val="FFFFFF"/>
              </w:rPr>
              <w:t>Deliverables</w:t>
            </w:r>
          </w:p>
        </w:tc>
      </w:tr>
      <w:tr>
        <w:tc>
          <w:tcPr>
            <w:tcW w:type="dxa" w:w="2160"/>
          </w:tcPr>
          <w:p>
            <w:r>
              <w:t>Discovery &amp; Requirements</w:t>
            </w:r>
          </w:p>
        </w:tc>
        <w:tc>
          <w:tcPr>
            <w:tcW w:type="dxa" w:w="2160"/>
          </w:tcPr>
          <w:p>
            <w:r>
              <w:t>2–3 weeks</w:t>
            </w:r>
          </w:p>
        </w:tc>
        <w:tc>
          <w:tcPr>
            <w:tcW w:type="dxa" w:w="2160"/>
          </w:tcPr>
          <w:p>
            <w:r>
              <w:t>Workshops, process mapping, requirements documentation</w:t>
            </w:r>
          </w:p>
        </w:tc>
        <w:tc>
          <w:tcPr>
            <w:tcW w:type="dxa" w:w="2160"/>
          </w:tcPr>
          <w:p>
            <w:r>
              <w:t>BRD, process inventory</w:t>
            </w:r>
          </w:p>
        </w:tc>
      </w:tr>
      <w:tr>
        <w:tc>
          <w:tcPr>
            <w:tcW w:type="dxa" w:w="2160"/>
          </w:tcPr>
          <w:p>
            <w:r>
              <w:t>Design</w:t>
            </w:r>
          </w:p>
        </w:tc>
        <w:tc>
          <w:tcPr>
            <w:tcW w:type="dxa" w:w="2160"/>
          </w:tcPr>
          <w:p>
            <w:r>
              <w:t>1–2 weeks</w:t>
            </w:r>
          </w:p>
        </w:tc>
        <w:tc>
          <w:tcPr>
            <w:tcW w:type="dxa" w:w="2160"/>
          </w:tcPr>
          <w:p>
            <w:r>
              <w:t>Process and UI design, rule definition, integration design</w:t>
            </w:r>
          </w:p>
        </w:tc>
        <w:tc>
          <w:tcPr>
            <w:tcW w:type="dxa" w:w="2160"/>
          </w:tcPr>
          <w:p>
            <w:r>
              <w:t>Design specification, mockups</w:t>
            </w:r>
          </w:p>
        </w:tc>
      </w:tr>
      <w:tr>
        <w:tc>
          <w:tcPr>
            <w:tcW w:type="dxa" w:w="2160"/>
          </w:tcPr>
          <w:p>
            <w:r>
              <w:t>Build/Configuration</w:t>
            </w:r>
          </w:p>
        </w:tc>
        <w:tc>
          <w:tcPr>
            <w:tcW w:type="dxa" w:w="2160"/>
          </w:tcPr>
          <w:p>
            <w:r>
              <w:t>5–7 weeks</w:t>
            </w:r>
          </w:p>
        </w:tc>
        <w:tc>
          <w:tcPr>
            <w:tcW w:type="dxa" w:w="2160"/>
          </w:tcPr>
          <w:p>
            <w:r>
              <w:t>Process configuration, rule setup, integration development</w:t>
            </w:r>
          </w:p>
        </w:tc>
        <w:tc>
          <w:tcPr>
            <w:tcW w:type="dxa" w:w="2160"/>
          </w:tcPr>
          <w:p>
            <w:r>
              <w:t>Configured solution, integration components</w:t>
            </w:r>
          </w:p>
        </w:tc>
      </w:tr>
      <w:tr>
        <w:tc>
          <w:tcPr>
            <w:tcW w:type="dxa" w:w="2160"/>
          </w:tcPr>
          <w:p>
            <w:r>
              <w:t>System Testing</w:t>
            </w:r>
          </w:p>
        </w:tc>
        <w:tc>
          <w:tcPr>
            <w:tcW w:type="dxa" w:w="2160"/>
          </w:tcPr>
          <w:p>
            <w:r>
              <w:t>2–3 weeks</w:t>
            </w:r>
          </w:p>
        </w:tc>
        <w:tc>
          <w:tcPr>
            <w:tcW w:type="dxa" w:w="2160"/>
          </w:tcPr>
          <w:p>
            <w:r>
              <w:t>SIT execution, defect resolution</w:t>
            </w:r>
          </w:p>
        </w:tc>
        <w:tc>
          <w:tcPr>
            <w:tcW w:type="dxa" w:w="2160"/>
          </w:tcPr>
          <w:p>
            <w:r>
              <w:t>SIT report</w:t>
            </w:r>
          </w:p>
        </w:tc>
      </w:tr>
      <w:tr>
        <w:tc>
          <w:tcPr>
            <w:tcW w:type="dxa" w:w="2160"/>
          </w:tcPr>
          <w:p>
            <w:r>
              <w:t>UAT</w:t>
            </w:r>
          </w:p>
        </w:tc>
        <w:tc>
          <w:tcPr>
            <w:tcW w:type="dxa" w:w="2160"/>
          </w:tcPr>
          <w:p>
            <w:r>
              <w:t>2–3 weeks</w:t>
            </w:r>
          </w:p>
        </w:tc>
        <w:tc>
          <w:tcPr>
            <w:tcW w:type="dxa" w:w="2160"/>
          </w:tcPr>
          <w:p>
            <w:r>
              <w:t>UAT support, issue resolution</w:t>
            </w:r>
          </w:p>
        </w:tc>
        <w:tc>
          <w:tcPr>
            <w:tcW w:type="dxa" w:w="2160"/>
          </w:tcPr>
          <w:p>
            <w:r>
              <w:t>UAT sign-off</w:t>
            </w:r>
          </w:p>
        </w:tc>
      </w:tr>
      <w:tr>
        <w:tc>
          <w:tcPr>
            <w:tcW w:type="dxa" w:w="2160"/>
          </w:tcPr>
          <w:p>
            <w:r>
              <w:t>Go-Live &amp; Hypercare</w:t>
            </w:r>
          </w:p>
        </w:tc>
        <w:tc>
          <w:tcPr>
            <w:tcW w:type="dxa" w:w="2160"/>
          </w:tcPr>
          <w:p>
            <w:r>
              <w:t>1–2 weeks</w:t>
            </w:r>
          </w:p>
        </w:tc>
        <w:tc>
          <w:tcPr>
            <w:tcW w:type="dxa" w:w="2160"/>
          </w:tcPr>
          <w:p>
            <w:r>
              <w:t>Deployment, monitoring, stabilization</w:t>
            </w:r>
          </w:p>
        </w:tc>
        <w:tc>
          <w:tcPr>
            <w:tcW w:type="dxa" w:w="2160"/>
          </w:tcPr>
          <w:p>
            <w:r>
              <w:t>Go-live report, handover documentation</w:t>
            </w:r>
          </w:p>
        </w:tc>
      </w:tr>
    </w:tbl>
    <w:p>
      <w:r>
        <w:t>fusionAIx will provide detailed project governance, including weekly status reports, risk logs, and steering committee updates.</w:t>
      </w:r>
    </w:p>
    <w:p/>
    <w:p>
      <w:r>
        <w:t>---</w:t>
      </w:r>
    </w:p>
    <w:p/>
    <w:p>
      <w:pPr>
        <w:pStyle w:val="Heading2"/>
      </w:pPr>
      <w:r>
        <w:t>**6. Proposed Team Structure**</w:t>
      </w:r>
    </w:p>
    <w:p/>
    <w:p>
      <w:r>
        <w:t>fusionAIx proposes a multidisciplinary team combining BPM, integration, and change management expertise.</w:t>
      </w:r>
    </w:p>
    <w:p/>
    <w:tbl>
      <w:tblPr>
        <w:tblStyle w:val="LightGrid-Accent1"/>
        <w:tblW w:type="auto" w:w="0"/>
        <w:tblLook w:firstColumn="1" w:firstRow="1" w:lastColumn="0" w:lastRow="0" w:noHBand="0" w:noVBand="1" w:val="04A0"/>
      </w:tblPr>
      <w:tblGrid>
        <w:gridCol w:w="2880"/>
        <w:gridCol w:w="2880"/>
        <w:gridCol w:w="2880"/>
      </w:tblGrid>
      <w:tr>
        <w:tc>
          <w:tcPr>
            <w:tcW w:type="dxa" w:w="2880"/>
            <w:shd w:fill="1a5490" w:val="clear"/>
          </w:tcPr>
          <w:p>
            <w:r>
              <w:rPr>
                <w:b/>
                <w:color w:val="FFFFFF"/>
              </w:rPr>
              <w:t>Role</w:t>
            </w:r>
          </w:p>
        </w:tc>
        <w:tc>
          <w:tcPr>
            <w:tcW w:type="dxa" w:w="2880"/>
            <w:shd w:fill="1a5490" w:val="clear"/>
          </w:tcPr>
          <w:p>
            <w:r>
              <w:rPr>
                <w:b/>
                <w:color w:val="FFFFFF"/>
              </w:rPr>
              <w:t>Responsibility</w:t>
            </w:r>
          </w:p>
        </w:tc>
        <w:tc>
          <w:tcPr>
            <w:tcW w:type="dxa" w:w="2880"/>
            <w:shd w:fill="1a5490" w:val="clear"/>
          </w:tcPr>
          <w:p>
            <w:r>
              <w:rPr>
                <w:b/>
                <w:color w:val="FFFFFF"/>
              </w:rPr>
              <w:t>Key Qualifications</w:t>
            </w:r>
          </w:p>
        </w:tc>
      </w:tr>
      <w:tr>
        <w:tc>
          <w:tcPr>
            <w:tcW w:type="dxa" w:w="2880"/>
          </w:tcPr>
          <w:p>
            <w:r>
              <w:t>Project Manager</w:t>
            </w:r>
          </w:p>
        </w:tc>
        <w:tc>
          <w:tcPr>
            <w:tcW w:type="dxa" w:w="2880"/>
          </w:tcPr>
          <w:p>
            <w:r>
              <w:t>Overall delivery, governance, stakeholder management</w:t>
            </w:r>
          </w:p>
        </w:tc>
        <w:tc>
          <w:tcPr>
            <w:tcW w:type="dxa" w:w="2880"/>
          </w:tcPr>
          <w:p>
            <w:r>
              <w:t>PMP certified, 10+ years BPM delivery</w:t>
            </w:r>
          </w:p>
        </w:tc>
      </w:tr>
      <w:tr>
        <w:tc>
          <w:tcPr>
            <w:tcW w:type="dxa" w:w="2880"/>
          </w:tcPr>
          <w:p>
            <w:r>
              <w:t>Solution Architect</w:t>
            </w:r>
          </w:p>
        </w:tc>
        <w:tc>
          <w:tcPr>
            <w:tcW w:type="dxa" w:w="2880"/>
          </w:tcPr>
          <w:p>
            <w:r>
              <w:t>Solution design, integration, and technical governance</w:t>
            </w:r>
          </w:p>
        </w:tc>
        <w:tc>
          <w:tcPr>
            <w:tcW w:type="dxa" w:w="2880"/>
          </w:tcPr>
          <w:p>
            <w:r>
              <w:t>Pega CLSA or equivalent</w:t>
            </w:r>
          </w:p>
        </w:tc>
      </w:tr>
      <w:tr>
        <w:tc>
          <w:tcPr>
            <w:tcW w:type="dxa" w:w="2880"/>
          </w:tcPr>
          <w:p>
            <w:r>
              <w:t>Lead BPM Developer</w:t>
            </w:r>
          </w:p>
        </w:tc>
        <w:tc>
          <w:tcPr>
            <w:tcW w:type="dxa" w:w="2880"/>
          </w:tcPr>
          <w:p>
            <w:r>
              <w:t>Process and rule configuration</w:t>
            </w:r>
          </w:p>
        </w:tc>
        <w:tc>
          <w:tcPr>
            <w:tcW w:type="dxa" w:w="2880"/>
          </w:tcPr>
          <w:p>
            <w:r>
              <w:t>Pega CSSA certified</w:t>
            </w:r>
          </w:p>
        </w:tc>
      </w:tr>
      <w:tr>
        <w:tc>
          <w:tcPr>
            <w:tcW w:type="dxa" w:w="2880"/>
          </w:tcPr>
          <w:p>
            <w:r>
              <w:t>Integration Specialist</w:t>
            </w:r>
          </w:p>
        </w:tc>
        <w:tc>
          <w:tcPr>
            <w:tcW w:type="dxa" w:w="2880"/>
          </w:tcPr>
          <w:p>
            <w:r>
              <w:t>API and system integration</w:t>
            </w:r>
          </w:p>
        </w:tc>
        <w:tc>
          <w:tcPr>
            <w:tcW w:type="dxa" w:w="2880"/>
          </w:tcPr>
          <w:p>
            <w:r>
              <w:t>REST/SOAP, SSO, document/email systems</w:t>
            </w:r>
          </w:p>
        </w:tc>
      </w:tr>
      <w:tr>
        <w:tc>
          <w:tcPr>
            <w:tcW w:type="dxa" w:w="2880"/>
          </w:tcPr>
          <w:p>
            <w:r>
              <w:t>QA Lead</w:t>
            </w:r>
          </w:p>
        </w:tc>
        <w:tc>
          <w:tcPr>
            <w:tcW w:type="dxa" w:w="2880"/>
          </w:tcPr>
          <w:p>
            <w:r>
              <w:t>Test planning and execution</w:t>
            </w:r>
          </w:p>
        </w:tc>
        <w:tc>
          <w:tcPr>
            <w:tcW w:type="dxa" w:w="2880"/>
          </w:tcPr>
          <w:p>
            <w:r>
              <w:t>ISTQB certified</w:t>
            </w:r>
          </w:p>
        </w:tc>
      </w:tr>
      <w:tr>
        <w:tc>
          <w:tcPr>
            <w:tcW w:type="dxa" w:w="2880"/>
          </w:tcPr>
          <w:p>
            <w:r>
              <w:t>Change Lead</w:t>
            </w:r>
          </w:p>
        </w:tc>
        <w:tc>
          <w:tcPr>
            <w:tcW w:type="dxa" w:w="2880"/>
          </w:tcPr>
          <w:p>
            <w:r>
              <w:t>Adoption and change management</w:t>
            </w:r>
          </w:p>
        </w:tc>
        <w:tc>
          <w:tcPr>
            <w:tcW w:type="dxa" w:w="2880"/>
          </w:tcPr>
          <w:p>
            <w:r>
              <w:t>Prosci/ADKAR certified, 8+ years BPM change leadership</w:t>
            </w:r>
          </w:p>
        </w:tc>
      </w:tr>
      <w:tr>
        <w:tc>
          <w:tcPr>
            <w:tcW w:type="dxa" w:w="2880"/>
          </w:tcPr>
          <w:p>
            <w:r>
              <w:t>Training Lead</w:t>
            </w:r>
          </w:p>
        </w:tc>
        <w:tc>
          <w:tcPr>
            <w:tcW w:type="dxa" w:w="2880"/>
          </w:tcPr>
          <w:p>
            <w:r>
              <w:t>Curriculum design and delivery</w:t>
            </w:r>
          </w:p>
        </w:tc>
        <w:tc>
          <w:tcPr>
            <w:tcW w:type="dxa" w:w="2880"/>
          </w:tcPr>
          <w:p>
            <w:r>
              <w:t>5+ years BPM training experience</w:t>
            </w:r>
          </w:p>
        </w:tc>
      </w:tr>
      <w:tr>
        <w:tc>
          <w:tcPr>
            <w:tcW w:type="dxa" w:w="2880"/>
          </w:tcPr>
          <w:p>
            <w:r>
              <w:t>Solution Consultant</w:t>
            </w:r>
          </w:p>
        </w:tc>
        <w:tc>
          <w:tcPr>
            <w:tcW w:type="dxa" w:w="2880"/>
          </w:tcPr>
          <w:p>
            <w:r>
              <w:t>Role-based workshops and configuration support</w:t>
            </w:r>
          </w:p>
        </w:tc>
        <w:tc>
          <w:tcPr>
            <w:tcW w:type="dxa" w:w="2880"/>
          </w:tcPr>
          <w:p>
            <w:r>
              <w:t>BPM practitioner, hands-on configuration experience</w:t>
            </w:r>
          </w:p>
        </w:tc>
      </w:tr>
    </w:tbl>
    <w:p>
      <w:r>
        <w:t>---</w:t>
      </w:r>
    </w:p>
    <w:p/>
    <w:p>
      <w:pPr>
        <w:pStyle w:val="Heading2"/>
      </w:pPr>
      <w:r>
        <w:t>**7. Functional and Technical Compliance Matrix**</w:t>
      </w:r>
    </w:p>
    <w:p/>
    <w:tbl>
      <w:tblPr>
        <w:tblStyle w:val="LightGrid-Accent1"/>
        <w:tblW w:type="auto" w:w="0"/>
        <w:tblLook w:firstColumn="1" w:firstRow="1" w:lastColumn="0" w:lastRow="0" w:noHBand="0" w:noVBand="1" w:val="04A0"/>
      </w:tblPr>
      <w:tblGrid>
        <w:gridCol w:w="2880"/>
        <w:gridCol w:w="2880"/>
        <w:gridCol w:w="2880"/>
      </w:tblGrid>
      <w:tr>
        <w:tc>
          <w:tcPr>
            <w:tcW w:type="dxa" w:w="2880"/>
            <w:shd w:fill="1a5490" w:val="clear"/>
          </w:tcPr>
          <w:p>
            <w:r>
              <w:rPr>
                <w:b/>
                <w:color w:val="FFFFFF"/>
              </w:rPr>
              <w:t>Requirement</w:t>
            </w:r>
          </w:p>
        </w:tc>
        <w:tc>
          <w:tcPr>
            <w:tcW w:type="dxa" w:w="2880"/>
            <w:shd w:fill="1a5490" w:val="clear"/>
          </w:tcPr>
          <w:p>
            <w:r>
              <w:rPr>
                <w:b/>
                <w:color w:val="FFFFFF"/>
              </w:rPr>
              <w:t>Compliance</w:t>
            </w:r>
          </w:p>
        </w:tc>
        <w:tc>
          <w:tcPr>
            <w:tcW w:type="dxa" w:w="2880"/>
            <w:shd w:fill="1a5490" w:val="clear"/>
          </w:tcPr>
          <w:p>
            <w:r>
              <w:rPr>
                <w:b/>
                <w:color w:val="FFFFFF"/>
              </w:rPr>
              <w:t>Remarks</w:t>
            </w:r>
          </w:p>
        </w:tc>
      </w:tr>
      <w:tr>
        <w:tc>
          <w:tcPr>
            <w:tcW w:type="dxa" w:w="2880"/>
          </w:tcPr>
          <w:p>
            <w:r>
              <w:t>Enterprise-grade BPM platform</w:t>
            </w:r>
          </w:p>
        </w:tc>
        <w:tc>
          <w:tcPr>
            <w:tcW w:type="dxa" w:w="2880"/>
          </w:tcPr>
          <w:p>
            <w:r>
              <w:t>Compliant</w:t>
            </w:r>
          </w:p>
        </w:tc>
        <w:tc>
          <w:tcPr>
            <w:tcW w:type="dxa" w:w="2880"/>
          </w:tcPr>
          <w:p>
            <w:r>
              <w:t>Pega Constellation Enterprise Edition</w:t>
            </w:r>
          </w:p>
        </w:tc>
      </w:tr>
      <w:tr>
        <w:tc>
          <w:tcPr>
            <w:tcW w:type="dxa" w:w="2880"/>
          </w:tcPr>
          <w:p>
            <w:r>
              <w:t>Workbasket and worklist paradigms</w:t>
            </w:r>
          </w:p>
        </w:tc>
        <w:tc>
          <w:tcPr>
            <w:tcW w:type="dxa" w:w="2880"/>
          </w:tcPr>
          <w:p>
            <w:r>
              <w:t>Compliant</w:t>
            </w:r>
          </w:p>
        </w:tc>
        <w:tc>
          <w:tcPr>
            <w:tcW w:type="dxa" w:w="2880"/>
          </w:tcPr>
          <w:p>
            <w:r>
              <w:t>Configurable routing and workload balancing</w:t>
            </w:r>
          </w:p>
        </w:tc>
      </w:tr>
      <w:tr>
        <w:tc>
          <w:tcPr>
            <w:tcW w:type="dxa" w:w="2880"/>
          </w:tcPr>
          <w:p>
            <w:r>
              <w:t>Role-based access control integrated with MTI identity</w:t>
            </w:r>
          </w:p>
        </w:tc>
        <w:tc>
          <w:tcPr>
            <w:tcW w:type="dxa" w:w="2880"/>
          </w:tcPr>
          <w:p>
            <w:r>
              <w:t>Compliant</w:t>
            </w:r>
          </w:p>
        </w:tc>
        <w:tc>
          <w:tcPr>
            <w:tcW w:type="dxa" w:w="2880"/>
          </w:tcPr>
          <w:p>
            <w:r>
              <w:t>SAML 2.0 / OIDC integration</w:t>
            </w:r>
          </w:p>
        </w:tc>
      </w:tr>
      <w:tr>
        <w:tc>
          <w:tcPr>
            <w:tcW w:type="dxa" w:w="2880"/>
          </w:tcPr>
          <w:p>
            <w:r>
              <w:t>Dynamic case management</w:t>
            </w:r>
          </w:p>
        </w:tc>
        <w:tc>
          <w:tcPr>
            <w:tcW w:type="dxa" w:w="2880"/>
          </w:tcPr>
          <w:p>
            <w:r>
              <w:t>Compliant</w:t>
            </w:r>
          </w:p>
        </w:tc>
        <w:tc>
          <w:tcPr>
            <w:tcW w:type="dxa" w:w="2880"/>
          </w:tcPr>
          <w:p>
            <w:r>
              <w:t>Ad-hoc tasks, attachments, collaboration</w:t>
            </w:r>
          </w:p>
        </w:tc>
      </w:tr>
      <w:tr>
        <w:tc>
          <w:tcPr>
            <w:tcW w:type="dxa" w:w="2880"/>
          </w:tcPr>
          <w:p>
            <w:r>
              <w:t>Centralized business rules management</w:t>
            </w:r>
          </w:p>
        </w:tc>
        <w:tc>
          <w:tcPr>
            <w:tcW w:type="dxa" w:w="2880"/>
          </w:tcPr>
          <w:p>
            <w:r>
              <w:t>Compliant</w:t>
            </w:r>
          </w:p>
        </w:tc>
        <w:tc>
          <w:tcPr>
            <w:tcW w:type="dxa" w:w="2880"/>
          </w:tcPr>
          <w:p>
            <w:r>
              <w:t>Versioning, testing, controlled deployment</w:t>
            </w:r>
          </w:p>
        </w:tc>
      </w:tr>
      <w:tr>
        <w:tc>
          <w:tcPr>
            <w:tcW w:type="dxa" w:w="2880"/>
          </w:tcPr>
          <w:p>
            <w:r>
              <w:t>SLA definition and monitoring</w:t>
            </w:r>
          </w:p>
        </w:tc>
        <w:tc>
          <w:tcPr>
            <w:tcW w:type="dxa" w:w="2880"/>
          </w:tcPr>
          <w:p>
            <w:r>
              <w:t>Compliant</w:t>
            </w:r>
          </w:p>
        </w:tc>
        <w:tc>
          <w:tcPr>
            <w:tcW w:type="dxa" w:w="2880"/>
          </w:tcPr>
          <w:p>
            <w:r>
              <w:t>Configurable SLAs, automated escalations</w:t>
            </w:r>
          </w:p>
        </w:tc>
      </w:tr>
      <w:tr>
        <w:tc>
          <w:tcPr>
            <w:tcW w:type="dxa" w:w="2880"/>
          </w:tcPr>
          <w:p>
            <w:r>
              <w:t>Web-based responsive interfaces</w:t>
            </w:r>
          </w:p>
        </w:tc>
        <w:tc>
          <w:tcPr>
            <w:tcW w:type="dxa" w:w="2880"/>
          </w:tcPr>
          <w:p>
            <w:r>
              <w:t>Compliant</w:t>
            </w:r>
          </w:p>
        </w:tc>
        <w:tc>
          <w:tcPr>
            <w:tcW w:type="dxa" w:w="2880"/>
          </w:tcPr>
          <w:p>
            <w:r>
              <w:t>Constellation UI framework</w:t>
            </w:r>
          </w:p>
        </w:tc>
      </w:tr>
      <w:tr>
        <w:tc>
          <w:tcPr>
            <w:tcW w:type="dxa" w:w="2880"/>
          </w:tcPr>
          <w:p>
            <w:r>
              <w:t>Self-service portals for external users</w:t>
            </w:r>
          </w:p>
        </w:tc>
        <w:tc>
          <w:tcPr>
            <w:tcW w:type="dxa" w:w="2880"/>
          </w:tcPr>
          <w:p>
            <w:r>
              <w:t>Compliant</w:t>
            </w:r>
          </w:p>
        </w:tc>
        <w:tc>
          <w:tcPr>
            <w:tcW w:type="dxa" w:w="2880"/>
          </w:tcPr>
          <w:p>
            <w:r>
              <w:t>Configurable portals with tracking</w:t>
            </w:r>
          </w:p>
        </w:tc>
      </w:tr>
      <w:tr>
        <w:tc>
          <w:tcPr>
            <w:tcW w:type="dxa" w:w="2880"/>
          </w:tcPr>
          <w:p>
            <w:r>
              <w:t>Audit trail of process steps, decisions, data changes</w:t>
            </w:r>
          </w:p>
        </w:tc>
        <w:tc>
          <w:tcPr>
            <w:tcW w:type="dxa" w:w="2880"/>
          </w:tcPr>
          <w:p>
            <w:r>
              <w:t>Compliant</w:t>
            </w:r>
          </w:p>
        </w:tc>
        <w:tc>
          <w:tcPr>
            <w:tcW w:type="dxa" w:w="2880"/>
          </w:tcPr>
          <w:p>
            <w:r>
              <w:t>Full audit with before/after values, timestamps, case IDs</w:t>
            </w:r>
          </w:p>
        </w:tc>
      </w:tr>
      <w:tr>
        <w:tc>
          <w:tcPr>
            <w:tcW w:type="dxa" w:w="2880"/>
          </w:tcPr>
          <w:p>
            <w:r>
              <w:t>Secure integration with identity, document, email systems</w:t>
            </w:r>
          </w:p>
        </w:tc>
        <w:tc>
          <w:tcPr>
            <w:tcW w:type="dxa" w:w="2880"/>
          </w:tcPr>
          <w:p>
            <w:r>
              <w:t>Compliant</w:t>
            </w:r>
          </w:p>
        </w:tc>
        <w:tc>
          <w:tcPr>
            <w:tcW w:type="dxa" w:w="2880"/>
          </w:tcPr>
          <w:p>
            <w:r>
              <w:t>REST APIs, TLS/mTLS, encryption at rest</w:t>
            </w:r>
          </w:p>
        </w:tc>
      </w:tr>
      <w:tr>
        <w:tc>
          <w:tcPr>
            <w:tcW w:type="dxa" w:w="2880"/>
          </w:tcPr>
          <w:p>
            <w:r>
              <w:t>Compliance with data protection and cybersecurity regulations</w:t>
            </w:r>
          </w:p>
        </w:tc>
        <w:tc>
          <w:tcPr>
            <w:tcW w:type="dxa" w:w="2880"/>
          </w:tcPr>
          <w:p>
            <w:r>
              <w:t>Compliant</w:t>
            </w:r>
          </w:p>
        </w:tc>
        <w:tc>
          <w:tcPr>
            <w:tcW w:type="dxa" w:w="2880"/>
          </w:tcPr>
          <w:p>
            <w:r>
              <w:t>Aligned with national standards</w:t>
            </w:r>
          </w:p>
        </w:tc>
      </w:tr>
      <w:tr>
        <w:tc>
          <w:tcPr>
            <w:tcW w:type="dxa" w:w="2880"/>
          </w:tcPr>
          <w:p>
            <w:r>
              <w:t>Separate environments for DEV/TEST/PROD</w:t>
            </w:r>
          </w:p>
        </w:tc>
        <w:tc>
          <w:tcPr>
            <w:tcW w:type="dxa" w:w="2880"/>
          </w:tcPr>
          <w:p>
            <w:r>
              <w:t>Compliant</w:t>
            </w:r>
          </w:p>
        </w:tc>
        <w:tc>
          <w:tcPr>
            <w:tcW w:type="dxa" w:w="2880"/>
          </w:tcPr>
          <w:p>
            <w:r>
              <w:t>Standard deployment model</w:t>
            </w:r>
          </w:p>
        </w:tc>
      </w:tr>
      <w:tr>
        <w:tc>
          <w:tcPr>
            <w:tcW w:type="dxa" w:w="2880"/>
          </w:tcPr>
          <w:p>
            <w:r>
              <w:t>Vendor experience (3+ years, 2 similar projects)</w:t>
            </w:r>
          </w:p>
        </w:tc>
        <w:tc>
          <w:tcPr>
            <w:tcW w:type="dxa" w:w="2880"/>
          </w:tcPr>
          <w:p>
            <w:r>
              <w:t>Compliant</w:t>
            </w:r>
          </w:p>
        </w:tc>
        <w:tc>
          <w:tcPr>
            <w:tcW w:type="dxa" w:w="2880"/>
          </w:tcPr>
          <w:p>
            <w:r>
              <w:t>20+ Pega Constellation implementations globally</w:t>
            </w:r>
          </w:p>
        </w:tc>
      </w:tr>
    </w:tbl>
    <w:p>
      <w:r>
        <w:t>---</w:t>
      </w:r>
    </w:p>
    <w:p/>
    <w:p>
      <w:pPr>
        <w:pStyle w:val="Heading2"/>
      </w:pPr>
      <w:r>
        <w:t>**8. Assumptions, Dependencies, and Risks**</w:t>
      </w:r>
    </w:p>
    <w:p/>
    <w:p>
      <w:pPr>
        <w:pStyle w:val="Heading3"/>
      </w:pPr>
      <w:r>
        <w:t>**Assumptions**</w:t>
      </w:r>
    </w:p>
    <w:p>
      <w:pPr>
        <w:pStyle w:val="ListBullet"/>
      </w:pPr>
      <w:r>
        <w:t>MTI will provide timely access to stakeholders and systems.</w:t>
      </w:r>
    </w:p>
    <w:p>
      <w:pPr>
        <w:pStyle w:val="ListBullet"/>
      </w:pPr>
      <w:r>
        <w:t>Required infrastructure (on-premises or cloud) will be provisioned before build phase.</w:t>
      </w:r>
    </w:p>
    <w:p>
      <w:pPr>
        <w:pStyle w:val="ListBullet"/>
      </w:pPr>
      <w:r>
        <w:t>MTI will nominate process owners for validation and UAT.</w:t>
      </w:r>
    </w:p>
    <w:p/>
    <w:p>
      <w:pPr>
        <w:pStyle w:val="Heading3"/>
      </w:pPr>
      <w:r>
        <w:t>**Dependencies**</w:t>
      </w:r>
    </w:p>
    <w:p>
      <w:pPr>
        <w:pStyle w:val="ListBullet"/>
      </w:pPr>
      <w:r>
        <w:t>Integration with MTI’s identity management, document management, and email systems.</w:t>
      </w:r>
    </w:p>
    <w:p>
      <w:pPr>
        <w:pStyle w:val="ListBullet"/>
      </w:pPr>
      <w:r>
        <w:t>Availability of test data and environments for SIT and UAT.</w:t>
      </w:r>
    </w:p>
    <w:p/>
    <w:p>
      <w:pPr>
        <w:pStyle w:val="Heading3"/>
      </w:pPr>
      <w:r>
        <w:t>**Risks and Mitigation**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1a5490" w:val="clear"/>
          </w:tcPr>
          <w:p>
            <w:r>
              <w:rPr>
                <w:b/>
                <w:color w:val="FFFFFF"/>
              </w:rPr>
              <w:t>Risk</w:t>
            </w:r>
          </w:p>
        </w:tc>
        <w:tc>
          <w:tcPr>
            <w:tcW w:type="dxa" w:w="2880"/>
            <w:shd w:fill="1a5490" w:val="clear"/>
          </w:tcPr>
          <w:p>
            <w:r>
              <w:rPr>
                <w:b/>
                <w:color w:val="FFFFFF"/>
              </w:rPr>
              <w:t>Impact</w:t>
            </w:r>
          </w:p>
        </w:tc>
        <w:tc>
          <w:tcPr>
            <w:tcW w:type="dxa" w:w="2880"/>
            <w:shd w:fill="1a5490" w:val="clear"/>
          </w:tcPr>
          <w:p>
            <w:r>
              <w:rPr>
                <w:b/>
                <w:color w:val="FFFFFF"/>
              </w:rPr>
              <w:t>Mitigation</w:t>
            </w:r>
          </w:p>
        </w:tc>
      </w:tr>
      <w:tr>
        <w:tc>
          <w:tcPr>
            <w:tcW w:type="dxa" w:w="2880"/>
          </w:tcPr>
          <w:p>
            <w:r>
              <w:t>Delays in requirements finalization</w:t>
            </w:r>
          </w:p>
        </w:tc>
        <w:tc>
          <w:tcPr>
            <w:tcW w:type="dxa" w:w="2880"/>
          </w:tcPr>
          <w:p>
            <w:r>
              <w:t>Medium</w:t>
            </w:r>
          </w:p>
        </w:tc>
        <w:tc>
          <w:tcPr>
            <w:tcW w:type="dxa" w:w="2880"/>
          </w:tcPr>
          <w:p>
            <w:r>
              <w:t>Early workshops, fxSmartDCO for rapid capture</w:t>
            </w:r>
          </w:p>
        </w:tc>
      </w:tr>
      <w:tr>
        <w:tc>
          <w:tcPr>
            <w:tcW w:type="dxa" w:w="2880"/>
          </w:tcPr>
          <w:p>
            <w:r>
              <w:t>Integration complexity</w:t>
            </w:r>
          </w:p>
        </w:tc>
        <w:tc>
          <w:tcPr>
            <w:tcW w:type="dxa" w:w="2880"/>
          </w:tcPr>
          <w:p>
            <w:r>
              <w:t>Medium</w:t>
            </w:r>
          </w:p>
        </w:tc>
        <w:tc>
          <w:tcPr>
            <w:tcW w:type="dxa" w:w="2880"/>
          </w:tcPr>
          <w:p>
            <w:r>
              <w:t>Use of fxAgentSDK and reusable connectors</w:t>
            </w:r>
          </w:p>
        </w:tc>
      </w:tr>
      <w:tr>
        <w:tc>
          <w:tcPr>
            <w:tcW w:type="dxa" w:w="2880"/>
          </w:tcPr>
          <w:p>
            <w:r>
              <w:t>User adoption challenges</w:t>
            </w:r>
          </w:p>
        </w:tc>
        <w:tc>
          <w:tcPr>
            <w:tcW w:type="dxa" w:w="2880"/>
          </w:tcPr>
          <w:p>
            <w:r>
              <w:t>High</w:t>
            </w:r>
          </w:p>
        </w:tc>
        <w:tc>
          <w:tcPr>
            <w:tcW w:type="dxa" w:w="2880"/>
          </w:tcPr>
          <w:p>
            <w:r>
              <w:t>Structured change management and training</w:t>
            </w:r>
          </w:p>
        </w:tc>
      </w:tr>
      <w:tr>
        <w:tc>
          <w:tcPr>
            <w:tcW w:type="dxa" w:w="2880"/>
          </w:tcPr>
          <w:p>
            <w:r>
              <w:t>Data migration issues</w:t>
            </w:r>
          </w:p>
        </w:tc>
        <w:tc>
          <w:tcPr>
            <w:tcW w:type="dxa" w:w="2880"/>
          </w:tcPr>
          <w:p>
            <w:r>
              <w:t>Medium</w:t>
            </w:r>
          </w:p>
        </w:tc>
        <w:tc>
          <w:tcPr>
            <w:tcW w:type="dxa" w:w="2880"/>
          </w:tcPr>
          <w:p>
            <w:r>
              <w:t>Early data profiling and validation</w:t>
            </w:r>
          </w:p>
        </w:tc>
      </w:tr>
    </w:tbl>
    <w:p>
      <w:r>
        <w:t>---</w:t>
      </w:r>
    </w:p>
    <w:p/>
    <w:p>
      <w:pPr>
        <w:pStyle w:val="Heading2"/>
      </w:pPr>
      <w:r>
        <w:t>**9. Support and Maintenance Model**</w:t>
      </w:r>
    </w:p>
    <w:p/>
    <w:p>
      <w:r>
        <w:t xml:space="preserve">fusionAIx will provide </w:t>
      </w:r>
      <w:r>
        <w:rPr>
          <w:b/>
        </w:rPr>
        <w:t>three years of post–go-live support and maintenance</w:t>
      </w:r>
      <w:r>
        <w:t>, including defined SLAs, escalation paths, and continuous improvement.</w:t>
      </w:r>
    </w:p>
    <w:p/>
    <w:p>
      <w:pPr>
        <w:pStyle w:val="Heading3"/>
      </w:pPr>
      <w:r>
        <w:t>**Support Model**</w:t>
      </w:r>
    </w:p>
    <w:p>
      <w:pPr>
        <w:pStyle w:val="ListBullet"/>
      </w:pPr>
      <w:r>
        <w:rPr>
          <w:b/>
        </w:rPr>
        <w:t>L1–L3 support tiers</w:t>
      </w:r>
      <w:r>
        <w:t xml:space="preserve"> with defined responsibilities.</w:t>
      </w:r>
    </w:p>
    <w:p>
      <w:pPr>
        <w:pStyle w:val="ListBullet"/>
      </w:pPr>
      <w:r>
        <w:rPr>
          <w:b/>
        </w:rPr>
        <w:t>24x7 support for Sev1 incidents</w:t>
      </w:r>
      <w:r>
        <w:t>; business-hours support for lower severities.</w:t>
      </w:r>
    </w:p>
    <w:p>
      <w:pPr>
        <w:pStyle w:val="ListBullet"/>
      </w:pPr>
      <w:r>
        <w:rPr>
          <w:b/>
        </w:rPr>
        <w:t>Monthly releases</w:t>
      </w:r>
      <w:r>
        <w:t xml:space="preserve"> for fixes and enhancements.</w:t>
      </w:r>
    </w:p>
    <w:p>
      <w:pPr>
        <w:pStyle w:val="ListBullet"/>
      </w:pPr>
      <w:r>
        <w:rPr>
          <w:b/>
        </w:rPr>
        <w:t>Quarterly upgrades</w:t>
      </w:r>
      <w:r>
        <w:t xml:space="preserve"> and performance reviews.</w:t>
      </w:r>
    </w:p>
    <w:p/>
    <w:p>
      <w:pPr>
        <w:pStyle w:val="Heading3"/>
      </w:pPr>
      <w:r>
        <w:t>**Case Studies Demonstrating Long-Term Support**</w:t>
      </w:r>
    </w:p>
    <w:p>
      <w:r>
        <w:rPr>
          <w:b/>
        </w:rPr>
        <w:t>Example A: Claims/Workflow Platform (4 years)</w:t>
      </w:r>
    </w:p>
    <w:p>
      <w:pPr>
        <w:pStyle w:val="ListBullet"/>
      </w:pPr>
      <w:r>
        <w:t>Support: L1–L3, 24x7 Sev1, monthly releases, integration maintenance.</w:t>
      </w:r>
    </w:p>
    <w:p>
      <w:pPr>
        <w:pStyle w:val="ListBullet"/>
      </w:pPr>
      <w:r>
        <w:t>Results: 99.9% availability, SLA compliance &gt;98%, incident volume down 25% by year 2.</w:t>
      </w:r>
    </w:p>
    <w:p/>
    <w:p>
      <w:r>
        <w:rPr>
          <w:b/>
        </w:rPr>
        <w:t>Example B: Public Sector Case Management (3 years)</w:t>
      </w:r>
    </w:p>
    <w:p>
      <w:pPr>
        <w:pStyle w:val="ListBullet"/>
      </w:pPr>
      <w:r>
        <w:t>Support: Business-hours L1/L2 + on-call L3, audit/reporting support, quarterly upgrades.</w:t>
      </w:r>
    </w:p>
    <w:p>
      <w:pPr>
        <w:pStyle w:val="ListBullet"/>
      </w:pPr>
      <w:r>
        <w:t>Results: Faster resolution of repeat issues via problem management; smoother audits due to consistent evidence packs.</w:t>
      </w:r>
    </w:p>
    <w:p/>
    <w:p>
      <w:r>
        <w:t>These examples demonstrate fusionAIx’s ability to maintain and enhance BPM solutions post–go-live, ensuring stability, compliance, and continuous improvement.</w:t>
      </w:r>
    </w:p>
    <w:p/>
    <w:p>
      <w:r>
        <w:t>---</w:t>
      </w:r>
    </w:p>
    <w:p/>
    <w:p>
      <w:pPr>
        <w:pStyle w:val="Heading2"/>
      </w:pPr>
      <w:r>
        <w:t>**10. Commercial Proposal**</w:t>
      </w:r>
    </w:p>
    <w:p/>
    <w:p>
      <w:r>
        <w:t>fusionAIx’s commercial proposal will be structured as follows (indicative; subject to MTI’s pricing template):</w:t>
      </w:r>
    </w:p>
    <w:p/>
    <w:tbl>
      <w:tblPr>
        <w:tblStyle w:val="LightGrid-Accent1"/>
        <w:tblW w:type="auto" w:w="0"/>
        <w:tblLook w:firstColumn="1" w:firstRow="1" w:lastColumn="0" w:lastRow="0" w:noHBand="0" w:noVBand="1" w:val="04A0"/>
      </w:tblPr>
      <w:tblGrid>
        <w:gridCol w:w="2880"/>
        <w:gridCol w:w="2880"/>
        <w:gridCol w:w="2880"/>
      </w:tblGrid>
      <w:tr>
        <w:tc>
          <w:tcPr>
            <w:tcW w:type="dxa" w:w="2880"/>
            <w:shd w:fill="1a5490" w:val="clear"/>
          </w:tcPr>
          <w:p>
            <w:r>
              <w:rPr>
                <w:b/>
                <w:color w:val="FFFFFF"/>
              </w:rPr>
              <w:t>Component</w:t>
            </w:r>
          </w:p>
        </w:tc>
        <w:tc>
          <w:tcPr>
            <w:tcW w:type="dxa" w:w="2880"/>
            <w:shd w:fill="1a5490" w:val="clear"/>
          </w:tcPr>
          <w:p>
            <w:r>
              <w:rPr>
                <w:b/>
                <w:color w:val="FFFFFF"/>
              </w:rPr>
              <w:t>Description</w:t>
            </w:r>
          </w:p>
        </w:tc>
        <w:tc>
          <w:tcPr>
            <w:tcW w:type="dxa" w:w="2880"/>
            <w:shd w:fill="1a5490" w:val="clear"/>
          </w:tcPr>
          <w:p>
            <w:r>
              <w:rPr>
                <w:b/>
                <w:color w:val="FFFFFF"/>
              </w:rPr>
              <w:t>Pricing Model</w:t>
            </w:r>
          </w:p>
        </w:tc>
      </w:tr>
      <w:tr>
        <w:tc>
          <w:tcPr>
            <w:tcW w:type="dxa" w:w="2880"/>
          </w:tcPr>
          <w:p>
            <w:r>
              <w:t>BPM Platform License</w:t>
            </w:r>
          </w:p>
        </w:tc>
        <w:tc>
          <w:tcPr>
            <w:tcW w:type="dxa" w:w="2880"/>
          </w:tcPr>
          <w:p>
            <w:r>
              <w:t>Pega Constellation Enterprise Edition</w:t>
            </w:r>
          </w:p>
        </w:tc>
        <w:tc>
          <w:tcPr>
            <w:tcW w:type="dxa" w:w="2880"/>
          </w:tcPr>
          <w:p>
            <w:r>
              <w:t>As per vendor licensing</w:t>
            </w:r>
          </w:p>
        </w:tc>
      </w:tr>
      <w:tr>
        <w:tc>
          <w:tcPr>
            <w:tcW w:type="dxa" w:w="2880"/>
          </w:tcPr>
          <w:p>
            <w:r>
              <w:t>Implementation Services</w:t>
            </w:r>
          </w:p>
        </w:tc>
        <w:tc>
          <w:tcPr>
            <w:tcW w:type="dxa" w:w="2880"/>
          </w:tcPr>
          <w:p>
            <w:r>
              <w:t>Discovery, design, build, testing, deployment</w:t>
            </w:r>
          </w:p>
        </w:tc>
        <w:tc>
          <w:tcPr>
            <w:tcW w:type="dxa" w:w="2880"/>
          </w:tcPr>
          <w:p>
            <w:r>
              <w:t>Fixed price</w:t>
            </w:r>
          </w:p>
        </w:tc>
      </w:tr>
      <w:tr>
        <w:tc>
          <w:tcPr>
            <w:tcW w:type="dxa" w:w="2880"/>
          </w:tcPr>
          <w:p>
            <w:r>
              <w:t>Training and Change Management</w:t>
            </w:r>
          </w:p>
        </w:tc>
        <w:tc>
          <w:tcPr>
            <w:tcW w:type="dxa" w:w="2880"/>
          </w:tcPr>
          <w:p>
            <w:r>
              <w:t>Role-based training, materials, workshops</w:t>
            </w:r>
          </w:p>
        </w:tc>
        <w:tc>
          <w:tcPr>
            <w:tcW w:type="dxa" w:w="2880"/>
          </w:tcPr>
          <w:p>
            <w:r>
              <w:t>Fixed price</w:t>
            </w:r>
          </w:p>
        </w:tc>
      </w:tr>
      <w:tr>
        <w:tc>
          <w:tcPr>
            <w:tcW w:type="dxa" w:w="2880"/>
          </w:tcPr>
          <w:p>
            <w:r>
              <w:t>Support and Maintenance (3 years)</w:t>
            </w:r>
          </w:p>
        </w:tc>
        <w:tc>
          <w:tcPr>
            <w:tcW w:type="dxa" w:w="2880"/>
          </w:tcPr>
          <w:p>
            <w:r>
              <w:t>L1–L3 support, SLAs, upgrades</w:t>
            </w:r>
          </w:p>
        </w:tc>
        <w:tc>
          <w:tcPr>
            <w:tcW w:type="dxa" w:w="2880"/>
          </w:tcPr>
          <w:p>
            <w:r>
              <w:t>Annual subscription or T&amp;M</w:t>
            </w:r>
          </w:p>
        </w:tc>
      </w:tr>
    </w:tbl>
    <w:p>
      <w:r>
        <w:t>Detailed pricing, resource rates, and payment milestones will be provided in the commercial annex as per MTI’s format.</w:t>
      </w:r>
    </w:p>
    <w:p/>
    <w:p>
      <w:r>
        <w:t>---</w:t>
      </w:r>
    </w:p>
    <w:p/>
    <w:p>
      <w:r>
        <w:rPr>
          <w:b/>
        </w:rPr>
        <w:t>fusionAIx</w:t>
      </w:r>
      <w:r>
        <w:t xml:space="preserve"> appreciates the opportunity to partner with MTI in this strategic initiative. Our proposed solution, grounded in proven BPM expertise, accelerators, and a structured delivery approach, will enable MTI to achieve its digital transformation goals with confidence, agility, and sustainability.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