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 Supply, implement, and support an enterprise BPM...</w:t>
      </w:r>
    </w:p>
    <w:p>
      <w:pPr>
        <w:jc w:val="center"/>
      </w:pPr>
      <w:r>
        <w:t>December 20, 2025</w:t>
      </w:r>
    </w:p>
    <w:p>
      <w:pPr>
        <w:jc w:val="center"/>
      </w:pPr>
      <w:r>
        <w:t>fusionAIx</w:t>
      </w:r>
    </w:p>
    <w:p>
      <w:pPr>
        <w:jc w:val="center"/>
      </w:pPr>
      <w:r>
        <w:t>www.fusionaix.com</w:t>
      </w:r>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
      <w:pPr>
        <w:pStyle w:val="Heading1"/>
      </w:pPr>
      <w:r>
        <w:t>Proposal for the Ministry of Trade and Industry (MTI)</w:t>
      </w:r>
    </w:p>
    <w:p>
      <w:r>
        <w:t>Implementation of a Unified Business Process Management (BPM) and Case Management Platform</w:t>
      </w:r>
    </w:p>
    <w:p>
      <w:r>
        <w:t>Submitted by: fusionAIx</w:t>
      </w:r>
    </w:p>
    <w:p/>
    <w:p>
      <w:pPr>
        <w:pStyle w:val="Heading2"/>
      </w:pPr>
      <w:r>
        <w:t>1. Executive Summary</w:t>
      </w:r>
    </w:p>
    <w:p/>
    <w:p>
      <w:r>
        <w:t>FusionAIx is pleased to submit this comprehensive proposal in response to the Ministry of Trade and Industry’s (MTI) Request for Proposal for the supply, implementation, and support of a unified Business Process Management (BPM) and Case Management platform.</w:t>
      </w:r>
    </w:p>
    <w:p/>
    <w:p>
      <w:r>
        <w:t>At fusionAIx, we believe that digital transformation succeeds when technology, process, and people are harmonized through intelligent automation. Our proposed solution leverages an enterprise-grade BPM platform—Pega Constellation—to deliver a unified, low-code, AI-enabled process orchestration and case management environment that will empower MTI to streamline operations, enhance transparency, and accelerate service delivery.</w:t>
      </w:r>
    </w:p>
    <w:p/>
    <w:p>
      <w:r>
        <w:t>Our approach is grounded in three pillars:</w:t>
      </w:r>
    </w:p>
    <w:p/>
    <w:p>
      <w:pPr>
        <w:pStyle w:val="ListNumber"/>
      </w:pPr>
      <w:r>
        <w:rPr>
          <w:b/>
        </w:rPr>
        <w:t>Unified Process Orchestration:</w:t>
      </w:r>
      <w:r>
        <w:t xml:space="preserve"> A single BPM platform to manage structured and unstructured workflows, ensuring consistent application of business rules, policies, and regulatory requirements.</w:t>
      </w:r>
    </w:p>
    <w:p>
      <w:pPr>
        <w:pStyle w:val="ListNumber"/>
      </w:pPr>
      <w:r>
        <w:rPr>
          <w:b/>
        </w:rPr>
        <w:t>Configurable Case Management:</w:t>
      </w:r>
      <w:r>
        <w:t xml:space="preserve"> Dynamic, user-driven case handling with full governance, auditability, and flexibility to support both straight-through and human-centric processes.</w:t>
      </w:r>
    </w:p>
    <w:p>
      <w:pPr>
        <w:pStyle w:val="ListNumber"/>
      </w:pPr>
      <w:r>
        <w:rPr>
          <w:b/>
        </w:rPr>
        <w:t>Continuous Improvement and Analytics:</w:t>
      </w:r>
      <w:r>
        <w:t xml:space="preserve"> Real-time dashboards, SLA tracking, and process insights to drive data-informed decision-making and continuous optimization.</w:t>
      </w:r>
    </w:p>
    <w:p/>
    <w:p>
      <w:r>
        <w:t>FusionAIx brings deep expertise in BPM and case management, with over 20 successful Pega Constellation implementations globally. We are a niche Pega partner specializing in low-code digital transformation, AI-driven automation, and rapid delivery through proprietary accelerators such as fxAgentSDK, fxAIStudio, fxMockUpToView, and fxSmartDCO.</w:t>
      </w:r>
    </w:p>
    <w:p/>
    <w:p>
      <w:r>
        <w:t>Our proposed solution will enable MTI to:</w:t>
      </w:r>
    </w:p>
    <w:p>
      <w:pPr>
        <w:pStyle w:val="ListBullet"/>
      </w:pPr>
      <w:r>
        <w:t>Digitize and orchestrate core business processes such as business licensing, renewals, and incentive/grant applications.</w:t>
      </w:r>
    </w:p>
    <w:p>
      <w:pPr>
        <w:pStyle w:val="ListBullet"/>
      </w:pPr>
      <w:r>
        <w:t>Provide a configurable, low-code environment for rapid introduction of new services.</w:t>
      </w:r>
    </w:p>
    <w:p>
      <w:pPr>
        <w:pStyle w:val="ListBullet"/>
      </w:pPr>
      <w:r>
        <w:t>Ensure compliance, transparency, and auditability across all workflows.</w:t>
      </w:r>
    </w:p>
    <w:p>
      <w:pPr>
        <w:pStyle w:val="ListBullet"/>
      </w:pPr>
      <w:r>
        <w:t>Deliver user-friendly, web-based interfaces for staff, management, and external stakeholders.</w:t>
      </w:r>
    </w:p>
    <w:p>
      <w:pPr>
        <w:pStyle w:val="ListBullet"/>
      </w:pPr>
      <w:r>
        <w:t>Establish a foundation for analytics, continuous improvement, and future AI-driven enhancements.</w:t>
      </w:r>
    </w:p>
    <w:p/>
    <w:p>
      <w:r>
        <w:t>FusionAIx commits to a collaborative partnership with MTI, ensuring knowledge transfer, capacity building, and long-term sustainability through structured training, documentation, and post–go-live support.</w:t>
      </w:r>
    </w:p>
    <w:p/>
    <w:p>
      <w:pPr>
        <w:pStyle w:val="Heading2"/>
      </w:pPr>
      <w:r>
        <w:t>2. Understanding of MTI’s Objectives and Context</w:t>
      </w:r>
    </w:p>
    <w:p/>
    <w:p>
      <w:r>
        <w:t>MTI’s strategic objective is to modernize and unify its business process landscape through a single BPM platform that can orchestrate, manage, and continuously improve its core operational processes. The Ministry’s current environment likely consists of multiple siloed systems and manual workflows, leading to inefficiencies, inconsistent policy enforcement, and limited visibility into process performance.</w:t>
      </w:r>
    </w:p>
    <w:p/>
    <w:p>
      <w:r>
        <w:t>FusionAIx understands that MTI’s key objectives include:</w:t>
      </w:r>
    </w:p>
    <w:p/>
    <w:p>
      <w:pPr>
        <w:pStyle w:val="ListBullet"/>
      </w:pPr>
      <w:r>
        <w:rPr>
          <w:b/>
        </w:rPr>
        <w:t>Unified BPM Platform:</w:t>
      </w:r>
      <w:r>
        <w:t xml:space="preserve"> Implement a single, enterprise-grade BPM solution to manage all core business processes, ensuring consistency, scalability, and governance.</w:t>
      </w:r>
    </w:p>
    <w:p>
      <w:pPr>
        <w:pStyle w:val="ListBullet"/>
      </w:pPr>
      <w:r>
        <w:rPr>
          <w:b/>
        </w:rPr>
        <w:t>Configurable Case Management:</w:t>
      </w:r>
      <w:r>
        <w:t xml:space="preserve"> Enable both structured and unstructured workflows, supporting dynamic case handling, ad-hoc tasks, and user-driven updates.</w:t>
      </w:r>
    </w:p>
    <w:p>
      <w:pPr>
        <w:pStyle w:val="ListBullet"/>
      </w:pPr>
      <w:r>
        <w:rPr>
          <w:b/>
        </w:rPr>
        <w:t>Policy and Regulatory Compliance:</w:t>
      </w:r>
      <w:r>
        <w:t xml:space="preserve"> Enforce consistent application of business rules and policies across all processes.</w:t>
      </w:r>
    </w:p>
    <w:p>
      <w:pPr>
        <w:pStyle w:val="ListBullet"/>
      </w:pPr>
      <w:r>
        <w:rPr>
          <w:b/>
        </w:rPr>
        <w:t>Transparency and Auditability:</w:t>
      </w:r>
      <w:r>
        <w:t xml:space="preserve"> Provide end-to-end visibility into cases, tasks, and SLAs, with full audit trails and reporting.</w:t>
      </w:r>
    </w:p>
    <w:p>
      <w:pPr>
        <w:pStyle w:val="ListBullet"/>
      </w:pPr>
      <w:r>
        <w:rPr>
          <w:b/>
        </w:rPr>
        <w:t>Agility and Low-Code Enablement:</w:t>
      </w:r>
      <w:r>
        <w:t xml:space="preserve"> Empower business users to configure and deploy new services rapidly without heavy IT dependency.</w:t>
      </w:r>
    </w:p>
    <w:p>
      <w:pPr>
        <w:pStyle w:val="ListBullet"/>
      </w:pPr>
      <w:r>
        <w:rPr>
          <w:b/>
        </w:rPr>
        <w:t>User Experience:</w:t>
      </w:r>
      <w:r>
        <w:t xml:space="preserve"> Deliver intuitive, responsive interfaces for internal users and external stakeholders.</w:t>
      </w:r>
    </w:p>
    <w:p>
      <w:pPr>
        <w:pStyle w:val="ListBullet"/>
      </w:pPr>
      <w:r>
        <w:rPr>
          <w:b/>
        </w:rPr>
        <w:t>Analytics and Continuous Improvement:</w:t>
      </w:r>
      <w:r>
        <w:t xml:space="preserve"> Establish a foundation for data-driven insights, performance monitoring, and process optimization.</w:t>
      </w:r>
    </w:p>
    <w:p/>
    <w:p>
      <w:r>
        <w:t>FusionAIx recognizes that MTI’s initial implementation will focus on high-impact processes such as:</w:t>
      </w:r>
    </w:p>
    <w:p>
      <w:pPr>
        <w:pStyle w:val="ListBullet"/>
      </w:pPr>
      <w:r>
        <w:t>Business licensing and renewals</w:t>
      </w:r>
    </w:p>
    <w:p>
      <w:pPr>
        <w:pStyle w:val="ListBullet"/>
      </w:pPr>
      <w:r>
        <w:t>Incentive and grants applications</w:t>
      </w:r>
    </w:p>
    <w:p>
      <w:pPr>
        <w:pStyle w:val="ListBullet"/>
      </w:pPr>
      <w:r>
        <w:t>Trade facilitation and regulatory approvals</w:t>
      </w:r>
    </w:p>
    <w:p/>
    <w:p>
      <w:r>
        <w:t>These processes are mission-critical, involving multiple stakeholders, complex rules, and compliance requirements. Our solution will ensure that these workflows are digitized, orchestrated, and monitored end-to-end, with the flexibility to evolve as MTI’s needs grow.</w:t>
      </w:r>
    </w:p>
    <w:p/>
    <w:p>
      <w:r>
        <w:t>We also understand MTI’s emphasis on:</w:t>
      </w:r>
    </w:p>
    <w:p>
      <w:pPr>
        <w:pStyle w:val="ListBullet"/>
      </w:pPr>
      <w:r>
        <w:rPr>
          <w:b/>
        </w:rPr>
        <w:t>Integration with existing enterprise systems</w:t>
      </w:r>
      <w:r>
        <w:t xml:space="preserve"> (ERP, CRM, document management, identity management)</w:t>
      </w:r>
    </w:p>
    <w:p>
      <w:pPr>
        <w:pStyle w:val="ListBullet"/>
      </w:pPr>
      <w:r>
        <w:rPr>
          <w:b/>
        </w:rPr>
        <w:t>Security and compliance</w:t>
      </w:r>
      <w:r>
        <w:t xml:space="preserve"> with national standards</w:t>
      </w:r>
    </w:p>
    <w:p>
      <w:pPr>
        <w:pStyle w:val="ListBullet"/>
      </w:pPr>
      <w:r>
        <w:rPr>
          <w:b/>
        </w:rPr>
        <w:t>Sustainability through training and knowledge transfer</w:t>
      </w:r>
    </w:p>
    <w:p>
      <w:pPr>
        <w:pStyle w:val="ListBullet"/>
      </w:pPr>
      <w:r>
        <w:rPr>
          <w:b/>
        </w:rPr>
        <w:t>Post–go-live support and continuous improvement</w:t>
      </w:r>
    </w:p>
    <w:p/>
    <w:p>
      <w:r>
        <w:t>FusionAIx’s approach aligns directly with these objectives, ensuring that MTI achieves both immediate operational efficiency and long-term digital maturity.</w:t>
      </w:r>
    </w:p>
    <w:p/>
    <w:p>
      <w:pPr>
        <w:pStyle w:val="Heading2"/>
      </w:pPr>
      <w:r>
        <w:t>3. Proposed Solution Overview</w:t>
      </w:r>
    </w:p>
    <w:p/>
    <w:p>
      <w:pPr>
        <w:pStyle w:val="Heading3"/>
      </w:pPr>
      <w:r>
        <w:t>3.1 Platform Overview</w:t>
      </w:r>
    </w:p>
    <w:p/>
    <w:p>
      <w:r>
        <w:t>FusionAIx proposes Pega Constellation (Enterprise Edition) as the BPM and Case Management platform for MTI. Pega Constellation is a proven, enterprise-grade, low-code platform designed for government and large enterprises. It supports both straight-through processing (STP) and human-centric workflows, enabling MTI to automate routine tasks while maintaining flexibility for complex, exception-driven cases.</w:t>
      </w:r>
    </w:p>
    <w:p/>
    <w:p>
      <w:r>
        <w:t>The platform’s model-driven configuration approach allows MTI to define processes, rules, forms, and SLAs through visual models rather than custom code. This ensures rapid deployment, easy maintenance, and controlled versioning.</w:t>
      </w:r>
    </w:p>
    <w:p/>
    <w:p>
      <w:pPr>
        <w:pStyle w:val="Heading3"/>
      </w:pPr>
      <w:r>
        <w:t>3.2 Architecture and Major Components</w:t>
      </w:r>
    </w:p>
    <w:p/>
    <w:p>
      <w:r>
        <w:t>The proposed architecture includes the following layers:</w:t>
      </w:r>
    </w:p>
    <w:p/>
    <w:p>
      <w:pPr>
        <w:pStyle w:val="ListBullet"/>
      </w:pPr>
      <w:r>
        <w:rPr>
          <w:b/>
        </w:rPr>
        <w:t>Process Orchestration Layer:</w:t>
      </w:r>
      <w:r>
        <w:t xml:space="preserve"> BPMN-based process models define end-to-end workflows, integrating human tasks, service calls, and decision logic.</w:t>
      </w:r>
    </w:p>
    <w:p>
      <w:pPr>
        <w:pStyle w:val="ListBullet"/>
      </w:pPr>
      <w:r>
        <w:rPr>
          <w:b/>
        </w:rPr>
        <w:t>Case Management Layer:</w:t>
      </w:r>
      <w:r>
        <w:t xml:space="preserve"> Supports dynamic case handling, ad-hoc tasks, and user-driven updates within governed case templates.</w:t>
      </w:r>
    </w:p>
    <w:p>
      <w:pPr>
        <w:pStyle w:val="ListBullet"/>
      </w:pPr>
      <w:r>
        <w:rPr>
          <w:b/>
        </w:rPr>
        <w:t>Business Rules Engine:</w:t>
      </w:r>
      <w:r>
        <w:t xml:space="preserve"> Centralized rules management using DMN, enabling externalization, versioning, testing, and controlled deployment of business policies.</w:t>
      </w:r>
    </w:p>
    <w:p>
      <w:pPr>
        <w:pStyle w:val="ListBullet"/>
      </w:pPr>
      <w:r>
        <w:rPr>
          <w:b/>
        </w:rPr>
        <w:t>Integration Layer:</w:t>
      </w:r>
      <w:r>
        <w:t xml:space="preserve"> REST APIs, message queues, and event-based integration patterns ensure seamless connectivity with MTI’s ERP, CRM, and document management systems.</w:t>
      </w:r>
    </w:p>
    <w:p>
      <w:pPr>
        <w:pStyle w:val="ListBullet"/>
      </w:pPr>
      <w:r>
        <w:rPr>
          <w:b/>
        </w:rPr>
        <w:t>User Experience Layer:</w:t>
      </w:r>
      <w:r>
        <w:t xml:space="preserve"> Web-based, responsive interfaces for staff, supervisors, and external users, with guided steps and contextual help.</w:t>
      </w:r>
    </w:p>
    <w:p>
      <w:pPr>
        <w:pStyle w:val="ListBullet"/>
      </w:pPr>
      <w:r>
        <w:rPr>
          <w:b/>
        </w:rPr>
        <w:t>Analytics and Reporting Layer:</w:t>
      </w:r>
      <w:r>
        <w:t xml:space="preserve"> Real-time dashboards for SLA tracking, workload distribution, and performance monitoring, with self-service reporting for business users.</w:t>
      </w:r>
    </w:p>
    <w:p>
      <w:pPr>
        <w:pStyle w:val="ListBullet"/>
      </w:pPr>
      <w:r>
        <w:rPr>
          <w:b/>
        </w:rPr>
        <w:t>Security and Governance Layer:</w:t>
      </w:r>
      <w:r>
        <w:t xml:space="preserve"> Role-based access control (RBAC), SSO integration (SAML 2.0/OIDC), and full audit logging of user actions and configuration changes.</w:t>
      </w:r>
    </w:p>
    <w:p/>
    <w:p>
      <w:pPr>
        <w:pStyle w:val="Heading3"/>
      </w:pPr>
      <w:r>
        <w:t>3.3 Case Management Capability</w:t>
      </w:r>
    </w:p>
    <w:p/>
    <w:p>
      <w:r>
        <w:t>FusionAIx will configure the BPM platform’s case management layer to support ad-hoc and unstructured work by enabling dynamic task creation, discretionary workflows, and user-driven case updates within controlled case boundaries. Business users will be allowed to add tasks, assign owners, and trigger ad-hoc approvals using role-based permissions and predefined guardrails, rather than free-form actions. All case activities—including manual interventions, decision overrides, and document changes—will be automatically logged with timestamps and user context to ensure full auditability. Governance will be enforced through configurable case templates, lifecycle states, and policy rules, ensuring flexibility without compromising compliance or traceability.</w:t>
      </w:r>
    </w:p>
    <w:p/>
    <w:p>
      <w:pPr>
        <w:pStyle w:val="Heading3"/>
      </w:pPr>
      <w:r>
        <w:t>3.4 Integration Approach</w:t>
      </w:r>
    </w:p>
    <w:p/>
    <w:p>
      <w:r>
        <w:t>FusionAIx will integrate the BPM platform with MTI’s ERP, CRM, document management, and identity systems using standard integration patterns such as REST APIs, asynchronous messaging, and event-driven workflows, leveraging existing middleware or platform-native connectors where available. An abstraction layer will be used to decouple BPM processes from backend systems, improving resilience and change management. Data consistency will be maintained through canonical data models, controlled transaction boundaries, and reconciliation checks. Security will be enforced via centralized IAM, standards-based authentication, and encryption in transit and at rest.</w:t>
      </w:r>
    </w:p>
    <w:p/>
    <w:p>
      <w:pPr>
        <w:pStyle w:val="Heading3"/>
      </w:pPr>
      <w:r>
        <w:t>3.5 Key Differentiators</w:t>
      </w:r>
    </w:p>
    <w:p/>
    <w:p>
      <w:pPr>
        <w:pStyle w:val="ListBullet"/>
      </w:pPr>
      <w:r>
        <w:rPr>
          <w:b/>
        </w:rPr>
        <w:t>Low-Code Agility:</w:t>
      </w:r>
      <w:r>
        <w:t xml:space="preserve"> Rapid configuration and deployment of new processes using model-driven design.</w:t>
      </w:r>
    </w:p>
    <w:p>
      <w:pPr>
        <w:pStyle w:val="ListBullet"/>
      </w:pPr>
      <w:r>
        <w:rPr>
          <w:b/>
        </w:rPr>
        <w:t>Dynamic Case Management:</w:t>
      </w:r>
      <w:r>
        <w:t xml:space="preserve"> Support for both structured and unstructured workflows with full governance.</w:t>
      </w:r>
    </w:p>
    <w:p>
      <w:pPr>
        <w:pStyle w:val="ListBullet"/>
      </w:pPr>
      <w:r>
        <w:rPr>
          <w:b/>
        </w:rPr>
        <w:t>AI-Driven Insights:</w:t>
      </w:r>
      <w:r>
        <w:t xml:space="preserve"> Integration with fxAIStudio for predictive analytics and process optimization.</w:t>
      </w:r>
    </w:p>
    <w:p>
      <w:pPr>
        <w:pStyle w:val="ListBullet"/>
      </w:pPr>
      <w:r>
        <w:rPr>
          <w:b/>
        </w:rPr>
        <w:t>Accelerated Delivery:</w:t>
      </w:r>
      <w:r>
        <w:t xml:space="preserve"> Proprietary accelerators (fxSmartDCO, fxMockUpToView) reduce time-to-value.</w:t>
      </w:r>
    </w:p>
    <w:p>
      <w:pPr>
        <w:pStyle w:val="ListBullet"/>
      </w:pPr>
      <w:r>
        <w:rPr>
          <w:b/>
        </w:rPr>
        <w:t>Proven Expertise:</w:t>
      </w:r>
      <w:r>
        <w:t xml:space="preserve"> 20+ successful Pega Constellation implementations globally.</w:t>
      </w:r>
    </w:p>
    <w:p>
      <w:pPr>
        <w:pStyle w:val="ListBullet"/>
      </w:pPr>
      <w:r>
        <w:rPr>
          <w:b/>
        </w:rPr>
        <w:t>Government-Grade Security:</w:t>
      </w:r>
      <w:r>
        <w:t xml:space="preserve"> Compliance with national standards, SSO, RBAC, and full auditability.</w:t>
      </w:r>
    </w:p>
    <w:p/>
    <w:p>
      <w:pPr>
        <w:pStyle w:val="Heading2"/>
      </w:pPr>
      <w:r>
        <w:t>4. Implementation Approach and Methodology</w:t>
      </w:r>
    </w:p>
    <w:p/>
    <w:p>
      <w:r>
        <w:t>FusionAIx will adopt a phased, collaborative implementation approach aligned with MTI’s governance and change management framework. Our methodology combines agile delivery with structured controls to ensure quality, transparency, and stakeholder engagement.</w:t>
      </w:r>
    </w:p>
    <w:p/>
    <w:p>
      <w:pPr>
        <w:pStyle w:val="Heading3"/>
      </w:pPr>
      <w:r>
        <w:t>4.1 Discovery and Requirements Gathering</w:t>
      </w:r>
    </w:p>
    <w:p/>
    <w:p>
      <w:r>
        <w:t>We will conduct joint workshops with MTI stakeholders to:</w:t>
      </w:r>
    </w:p>
    <w:p>
      <w:pPr>
        <w:pStyle w:val="ListBullet"/>
      </w:pPr>
      <w:r>
        <w:t>Refine business requirements and process objectives.</w:t>
      </w:r>
    </w:p>
    <w:p>
      <w:pPr>
        <w:pStyle w:val="ListBullet"/>
      </w:pPr>
      <w:r>
        <w:t>Identify key pain points and improvement opportunities.</w:t>
      </w:r>
    </w:p>
    <w:p>
      <w:pPr>
        <w:pStyle w:val="ListBullet"/>
      </w:pPr>
      <w:r>
        <w:t>Define success metrics and KPIs.</w:t>
      </w:r>
    </w:p>
    <w:p/>
    <w:p>
      <w:pPr>
        <w:pStyle w:val="Heading3"/>
      </w:pPr>
      <w:r>
        <w:t>4.2 Process Modelling and Design</w:t>
      </w:r>
    </w:p>
    <w:p/>
    <w:p>
      <w:r>
        <w:t>Using fxSmartDCO, our proprietary accelerator, we will rapidly model MTI’s processes in the BPM platform. This includes:</w:t>
      </w:r>
    </w:p>
    <w:p>
      <w:pPr>
        <w:pStyle w:val="ListBullet"/>
      </w:pPr>
      <w:r>
        <w:t>Process flows (BPMN)</w:t>
      </w:r>
    </w:p>
    <w:p>
      <w:pPr>
        <w:pStyle w:val="ListBullet"/>
      </w:pPr>
      <w:r>
        <w:t>Case types and subcases</w:t>
      </w:r>
    </w:p>
    <w:p>
      <w:pPr>
        <w:pStyle w:val="ListBullet"/>
      </w:pPr>
      <w:r>
        <w:t>Business rules (DMN)</w:t>
      </w:r>
    </w:p>
    <w:p>
      <w:pPr>
        <w:pStyle w:val="ListBullet"/>
      </w:pPr>
      <w:r>
        <w:t>SLAs, escalations, and notifications</w:t>
      </w:r>
    </w:p>
    <w:p>
      <w:pPr>
        <w:pStyle w:val="ListBullet"/>
      </w:pPr>
      <w:r>
        <w:t>User roles and access controls</w:t>
      </w:r>
    </w:p>
    <w:p/>
    <w:p>
      <w:pPr>
        <w:pStyle w:val="Heading3"/>
      </w:pPr>
      <w:r>
        <w:t>4.3 Migration of Existing Workflows</w:t>
      </w:r>
    </w:p>
    <w:p/>
    <w:p>
      <w:r>
        <w:t>FusionAIx will follow a phased migration approach, starting with detailed analysis of MTI’s legacy workflows to assess complexity, usage, risk, and business criticality. Processes will be prioritized into quick wins, core migrations, and deferred candidates, with high-risk or mission-critical workflows transitioned using parallel run and rollback strategies to minimize disruption. Data and integrations will be migrated incrementally using validated mappings, automated reconciliation, and interface abstraction layers. Throughout the transition, existing operations will remain live, with cutovers planned around business cycles and supported by clear communication and change management.</w:t>
      </w:r>
    </w:p>
    <w:p/>
    <w:p>
      <w:pPr>
        <w:pStyle w:val="Heading3"/>
      </w:pPr>
      <w:r>
        <w:t>4.4 Configuration and Development</w:t>
      </w:r>
    </w:p>
    <w:p/>
    <w:p>
      <w:r>
        <w:t>We will configure the BPM platform using low-code tools, focusing on:</w:t>
      </w:r>
    </w:p>
    <w:p>
      <w:pPr>
        <w:pStyle w:val="ListBullet"/>
      </w:pPr>
      <w:r>
        <w:t>Process orchestration</w:t>
      </w:r>
    </w:p>
    <w:p>
      <w:pPr>
        <w:pStyle w:val="ListBullet"/>
      </w:pPr>
      <w:r>
        <w:t>Case management templates</w:t>
      </w:r>
    </w:p>
    <w:p>
      <w:pPr>
        <w:pStyle w:val="ListBullet"/>
      </w:pPr>
      <w:r>
        <w:t>Business rules and decision tables</w:t>
      </w:r>
    </w:p>
    <w:p>
      <w:pPr>
        <w:pStyle w:val="ListBullet"/>
      </w:pPr>
      <w:r>
        <w:t>Integration connectors</w:t>
      </w:r>
    </w:p>
    <w:p>
      <w:pPr>
        <w:pStyle w:val="ListBullet"/>
      </w:pPr>
      <w:r>
        <w:t>User interfaces and forms</w:t>
      </w:r>
    </w:p>
    <w:p>
      <w:pPr>
        <w:pStyle w:val="ListBullet"/>
      </w:pPr>
      <w:r>
        <w:t>Dashboards and reports</w:t>
      </w:r>
    </w:p>
    <w:p/>
    <w:p>
      <w:pPr>
        <w:pStyle w:val="Heading3"/>
      </w:pPr>
      <w:r>
        <w:t>4.5 Testing and Quality Assurance</w:t>
      </w:r>
    </w:p>
    <w:p/>
    <w:p>
      <w:r>
        <w:t>Comprehensive testing will include:</w:t>
      </w:r>
    </w:p>
    <w:p>
      <w:pPr>
        <w:pStyle w:val="ListBullet"/>
      </w:pPr>
      <w:r>
        <w:t>Unit and integration testing</w:t>
      </w:r>
    </w:p>
    <w:p>
      <w:pPr>
        <w:pStyle w:val="ListBullet"/>
      </w:pPr>
      <w:r>
        <w:t>User acceptance testing (UAT)</w:t>
      </w:r>
    </w:p>
    <w:p>
      <w:pPr>
        <w:pStyle w:val="ListBullet"/>
      </w:pPr>
      <w:r>
        <w:t>Performance and security testing</w:t>
      </w:r>
    </w:p>
    <w:p>
      <w:pPr>
        <w:pStyle w:val="ListBullet"/>
      </w:pPr>
      <w:r>
        <w:t>Regression testing for version upgrades</w:t>
      </w:r>
    </w:p>
    <w:p/>
    <w:p>
      <w:pPr>
        <w:pStyle w:val="Heading3"/>
      </w:pPr>
      <w:r>
        <w:t>4.6 Training and Change Management</w:t>
      </w:r>
    </w:p>
    <w:p/>
    <w:p>
      <w:r>
        <w:t>FusionAIx will deliver training for system administrators, business power users, and end users. Training materials and user guides will be provided, and we will support MTI’s change management initiatives through communication, workshops, and user adoption programs.</w:t>
      </w:r>
    </w:p>
    <w:p/>
    <w:p>
      <w:pPr>
        <w:pStyle w:val="Heading3"/>
      </w:pPr>
      <w:r>
        <w:t>4.7 Go-Live and Stabilization</w:t>
      </w:r>
    </w:p>
    <w:p/>
    <w:p>
      <w:r>
        <w:t>A controlled go-live will be executed with rollback plans and hypercare support. During stabilization, fusionAIx will provide shadow support and knowledge transfer to MTI’s internal team.</w:t>
      </w:r>
    </w:p>
    <w:p/>
    <w:p>
      <w:pPr>
        <w:pStyle w:val="Heading2"/>
      </w:pPr>
      <w:r>
        <w:t>5. Project Plan and Timelines</w:t>
      </w:r>
    </w:p>
    <w:p/>
    <w:p>
      <w:r>
        <w:t>A detailed project plan will be finalized during the inception phase. The indicative timeline is as follows:</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Phase</w:t>
            </w:r>
          </w:p>
        </w:tc>
        <w:tc>
          <w:tcPr>
            <w:tcW w:type="dxa" w:w="2340"/>
            <w:shd w:fill="1a5490" w:val="clear"/>
            <w:vAlign w:val="top"/>
            <w:tcMar>
              <w:top w:w="80" w:type="dxa"/>
              <w:right w:w="80" w:type="dxa"/>
              <w:bottom w:w="80" w:type="dxa"/>
              <w:left w:w="80" w:type="dxa"/>
            </w:tcMar>
          </w:tcPr>
          <w:p>
            <w:r>
              <w:rPr>
                <w:b/>
                <w:color w:val="FFFFFF"/>
              </w:rPr>
              <w:t>Duration</w:t>
            </w:r>
          </w:p>
        </w:tc>
        <w:tc>
          <w:tcPr>
            <w:tcW w:type="dxa" w:w="2340"/>
            <w:shd w:fill="1a5490" w:val="clear"/>
            <w:vAlign w:val="top"/>
            <w:tcMar>
              <w:top w:w="80" w:type="dxa"/>
              <w:right w:w="80" w:type="dxa"/>
              <w:bottom w:w="80" w:type="dxa"/>
              <w:left w:w="80" w:type="dxa"/>
            </w:tcMar>
          </w:tcPr>
          <w:p>
            <w:r>
              <w:rPr>
                <w:b/>
                <w:color w:val="FFFFFF"/>
              </w:rPr>
              <w:t>Key Activities</w:t>
            </w:r>
          </w:p>
        </w:tc>
        <w:tc>
          <w:tcPr>
            <w:tcW w:type="dxa" w:w="2340"/>
            <w:shd w:fill="1a5490" w:val="clear"/>
            <w:vAlign w:val="top"/>
            <w:tcMar>
              <w:top w:w="80" w:type="dxa"/>
              <w:right w:w="80" w:type="dxa"/>
              <w:bottom w:w="80" w:type="dxa"/>
              <w:left w:w="80" w:type="dxa"/>
            </w:tcMar>
          </w:tcPr>
          <w:p>
            <w:r>
              <w:rPr>
                <w:b/>
                <w:color w:val="FFFFFF"/>
              </w:rPr>
              <w:t>Deliverables</w:t>
            </w:r>
          </w:p>
        </w:tc>
      </w:tr>
      <w:tr>
        <w:tc>
          <w:tcPr>
            <w:tcW w:type="dxa" w:w="2340"/>
            <w:vAlign w:val="top"/>
            <w:tcMar>
              <w:top w:w="80" w:type="dxa"/>
              <w:right w:w="80" w:type="dxa"/>
              <w:bottom w:w="80" w:type="dxa"/>
              <w:left w:w="80" w:type="dxa"/>
            </w:tcMar>
          </w:tcPr>
          <w:p>
            <w:r>
              <w:t>Inception &amp; Discovery</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Requirements workshops, process inventory, success metrics</w:t>
            </w:r>
          </w:p>
        </w:tc>
        <w:tc>
          <w:tcPr>
            <w:tcW w:type="dxa" w:w="2340"/>
            <w:vAlign w:val="top"/>
            <w:tcMar>
              <w:top w:w="80" w:type="dxa"/>
              <w:right w:w="80" w:type="dxa"/>
              <w:bottom w:w="80" w:type="dxa"/>
              <w:left w:w="80" w:type="dxa"/>
            </w:tcMar>
          </w:tcPr>
          <w:p>
            <w:r>
              <w:t>BRD, Process Inventory</w:t>
            </w:r>
          </w:p>
        </w:tc>
      </w:tr>
      <w:tr>
        <w:tc>
          <w:tcPr>
            <w:tcW w:type="dxa" w:w="2340"/>
            <w:vAlign w:val="top"/>
            <w:tcMar>
              <w:top w:w="80" w:type="dxa"/>
              <w:right w:w="80" w:type="dxa"/>
              <w:bottom w:w="80" w:type="dxa"/>
              <w:left w:w="80" w:type="dxa"/>
            </w:tcMar>
          </w:tcPr>
          <w:p>
            <w:r>
              <w:t>Design &amp; Modelling</w:t>
            </w:r>
          </w:p>
        </w:tc>
        <w:tc>
          <w:tcPr>
            <w:tcW w:type="dxa" w:w="2340"/>
            <w:vAlign w:val="top"/>
            <w:tcMar>
              <w:top w:w="80" w:type="dxa"/>
              <w:right w:w="80" w:type="dxa"/>
              <w:bottom w:w="80" w:type="dxa"/>
              <w:left w:w="80" w:type="dxa"/>
            </w:tcMar>
          </w:tcPr>
          <w:p>
            <w:r>
              <w:t>6 weeks</w:t>
            </w:r>
          </w:p>
        </w:tc>
        <w:tc>
          <w:tcPr>
            <w:tcW w:type="dxa" w:w="2340"/>
            <w:vAlign w:val="top"/>
            <w:tcMar>
              <w:top w:w="80" w:type="dxa"/>
              <w:right w:w="80" w:type="dxa"/>
              <w:bottom w:w="80" w:type="dxa"/>
              <w:left w:w="80" w:type="dxa"/>
            </w:tcMar>
          </w:tcPr>
          <w:p>
            <w:r>
              <w:t>Process modelling, case design, rule definition</w:t>
            </w:r>
          </w:p>
        </w:tc>
        <w:tc>
          <w:tcPr>
            <w:tcW w:type="dxa" w:w="2340"/>
            <w:vAlign w:val="top"/>
            <w:tcMar>
              <w:top w:w="80" w:type="dxa"/>
              <w:right w:w="80" w:type="dxa"/>
              <w:bottom w:w="80" w:type="dxa"/>
              <w:left w:w="80" w:type="dxa"/>
            </w:tcMar>
          </w:tcPr>
          <w:p>
            <w:r>
              <w:t>Process Models, Case Templates</w:t>
            </w:r>
          </w:p>
        </w:tc>
      </w:tr>
      <w:tr>
        <w:tc>
          <w:tcPr>
            <w:tcW w:type="dxa" w:w="2340"/>
            <w:vAlign w:val="top"/>
            <w:tcMar>
              <w:top w:w="80" w:type="dxa"/>
              <w:right w:w="80" w:type="dxa"/>
              <w:bottom w:w="80" w:type="dxa"/>
              <w:left w:w="80" w:type="dxa"/>
            </w:tcMar>
          </w:tcPr>
          <w:p>
            <w:r>
              <w:t>Configuration &amp; Development</w:t>
            </w:r>
          </w:p>
        </w:tc>
        <w:tc>
          <w:tcPr>
            <w:tcW w:type="dxa" w:w="2340"/>
            <w:vAlign w:val="top"/>
            <w:tcMar>
              <w:top w:w="80" w:type="dxa"/>
              <w:right w:w="80" w:type="dxa"/>
              <w:bottom w:w="80" w:type="dxa"/>
              <w:left w:w="80" w:type="dxa"/>
            </w:tcMar>
          </w:tcPr>
          <w:p>
            <w:r>
              <w:t>10 weeks</w:t>
            </w:r>
          </w:p>
        </w:tc>
        <w:tc>
          <w:tcPr>
            <w:tcW w:type="dxa" w:w="2340"/>
            <w:vAlign w:val="top"/>
            <w:tcMar>
              <w:top w:w="80" w:type="dxa"/>
              <w:right w:w="80" w:type="dxa"/>
              <w:bottom w:w="80" w:type="dxa"/>
              <w:left w:w="80" w:type="dxa"/>
            </w:tcMar>
          </w:tcPr>
          <w:p>
            <w:r>
              <w:t>Platform setup, integration, UI design</w:t>
            </w:r>
          </w:p>
        </w:tc>
        <w:tc>
          <w:tcPr>
            <w:tcW w:type="dxa" w:w="2340"/>
            <w:vAlign w:val="top"/>
            <w:tcMar>
              <w:top w:w="80" w:type="dxa"/>
              <w:right w:w="80" w:type="dxa"/>
              <w:bottom w:w="80" w:type="dxa"/>
              <w:left w:w="80" w:type="dxa"/>
            </w:tcMar>
          </w:tcPr>
          <w:p>
            <w:r>
              <w:t>Configured BPM Environment</w:t>
            </w:r>
          </w:p>
        </w:tc>
      </w:tr>
      <w:tr>
        <w:tc>
          <w:tcPr>
            <w:tcW w:type="dxa" w:w="2340"/>
            <w:vAlign w:val="top"/>
            <w:tcMar>
              <w:top w:w="80" w:type="dxa"/>
              <w:right w:w="80" w:type="dxa"/>
              <w:bottom w:w="80" w:type="dxa"/>
              <w:left w:w="80" w:type="dxa"/>
            </w:tcMar>
          </w:tcPr>
          <w:p>
            <w:r>
              <w:t>Testing &amp; UAT</w:t>
            </w:r>
          </w:p>
        </w:tc>
        <w:tc>
          <w:tcPr>
            <w:tcW w:type="dxa" w:w="2340"/>
            <w:vAlign w:val="top"/>
            <w:tcMar>
              <w:top w:w="80" w:type="dxa"/>
              <w:right w:w="80" w:type="dxa"/>
              <w:bottom w:w="80" w:type="dxa"/>
              <w:left w:w="80" w:type="dxa"/>
            </w:tcMar>
          </w:tcPr>
          <w:p>
            <w:r>
              <w:t>6 weeks</w:t>
            </w:r>
          </w:p>
        </w:tc>
        <w:tc>
          <w:tcPr>
            <w:tcW w:type="dxa" w:w="2340"/>
            <w:vAlign w:val="top"/>
            <w:tcMar>
              <w:top w:w="80" w:type="dxa"/>
              <w:right w:w="80" w:type="dxa"/>
              <w:bottom w:w="80" w:type="dxa"/>
              <w:left w:w="80" w:type="dxa"/>
            </w:tcMar>
          </w:tcPr>
          <w:p>
            <w:r>
              <w:t>Functional, integration, and UAT</w:t>
            </w:r>
          </w:p>
        </w:tc>
        <w:tc>
          <w:tcPr>
            <w:tcW w:type="dxa" w:w="2340"/>
            <w:vAlign w:val="top"/>
            <w:tcMar>
              <w:top w:w="80" w:type="dxa"/>
              <w:right w:w="80" w:type="dxa"/>
              <w:bottom w:w="80" w:type="dxa"/>
              <w:left w:w="80" w:type="dxa"/>
            </w:tcMar>
          </w:tcPr>
          <w:p>
            <w:r>
              <w:t>Test Reports, UAT Sign-off</w:t>
            </w:r>
          </w:p>
        </w:tc>
      </w:tr>
      <w:tr>
        <w:tc>
          <w:tcPr>
            <w:tcW w:type="dxa" w:w="2340"/>
            <w:vAlign w:val="top"/>
            <w:tcMar>
              <w:top w:w="80" w:type="dxa"/>
              <w:right w:w="80" w:type="dxa"/>
              <w:bottom w:w="80" w:type="dxa"/>
              <w:left w:w="80" w:type="dxa"/>
            </w:tcMar>
          </w:tcPr>
          <w:p>
            <w:r>
              <w:t>Training &amp; Go-Live</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Training, deployment, hypercare</w:t>
            </w:r>
          </w:p>
        </w:tc>
        <w:tc>
          <w:tcPr>
            <w:tcW w:type="dxa" w:w="2340"/>
            <w:vAlign w:val="top"/>
            <w:tcMar>
              <w:top w:w="80" w:type="dxa"/>
              <w:right w:w="80" w:type="dxa"/>
              <w:bottom w:w="80" w:type="dxa"/>
              <w:left w:w="80" w:type="dxa"/>
            </w:tcMar>
          </w:tcPr>
          <w:p>
            <w:r>
              <w:t>Training Materials, Go-Live Report</w:t>
            </w:r>
          </w:p>
        </w:tc>
      </w:tr>
      <w:tr>
        <w:tc>
          <w:tcPr>
            <w:tcW w:type="dxa" w:w="2340"/>
            <w:vAlign w:val="top"/>
            <w:tcMar>
              <w:top w:w="80" w:type="dxa"/>
              <w:right w:w="80" w:type="dxa"/>
              <w:bottom w:w="80" w:type="dxa"/>
              <w:left w:w="80" w:type="dxa"/>
            </w:tcMar>
          </w:tcPr>
          <w:p>
            <w:r>
              <w:t>Post-Go-Live Support</w:t>
            </w:r>
          </w:p>
        </w:tc>
        <w:tc>
          <w:tcPr>
            <w:tcW w:type="dxa" w:w="2340"/>
            <w:vAlign w:val="top"/>
            <w:tcMar>
              <w:top w:w="80" w:type="dxa"/>
              <w:right w:w="80" w:type="dxa"/>
              <w:bottom w:w="80" w:type="dxa"/>
              <w:left w:w="80" w:type="dxa"/>
            </w:tcMar>
          </w:tcPr>
          <w:p>
            <w:r>
              <w:t>3 years</w:t>
            </w:r>
          </w:p>
        </w:tc>
        <w:tc>
          <w:tcPr>
            <w:tcW w:type="dxa" w:w="2340"/>
            <w:vAlign w:val="top"/>
            <w:tcMar>
              <w:top w:w="80" w:type="dxa"/>
              <w:right w:w="80" w:type="dxa"/>
              <w:bottom w:w="80" w:type="dxa"/>
              <w:left w:w="80" w:type="dxa"/>
            </w:tcMar>
          </w:tcPr>
          <w:p>
            <w:r>
              <w:t>Maintenance, enhancements, monitoring</w:t>
            </w:r>
          </w:p>
        </w:tc>
        <w:tc>
          <w:tcPr>
            <w:tcW w:type="dxa" w:w="2340"/>
            <w:vAlign w:val="top"/>
            <w:tcMar>
              <w:top w:w="80" w:type="dxa"/>
              <w:right w:w="80" w:type="dxa"/>
              <w:bottom w:w="80" w:type="dxa"/>
              <w:left w:w="80" w:type="dxa"/>
            </w:tcMar>
          </w:tcPr>
          <w:p>
            <w:r>
              <w:t>SLA Reports, Health Checks</w:t>
            </w:r>
          </w:p>
        </w:tc>
      </w:tr>
    </w:tbl>
    <w:p/>
    <w:p>
      <w:pPr>
        <w:pStyle w:val="Heading2"/>
      </w:pPr>
      <w:r>
        <w:t>6. Proposed Team Structure</w:t>
      </w:r>
    </w:p>
    <w:p/>
    <w:p>
      <w:r>
        <w:t>FusionAIx will deploy a multidisciplinary team comprising BPM architects, business analysts, developers, testers, and change management specialists.</w:t>
      </w:r>
    </w:p>
    <w:p/>
    <w:p>
      <w:r>
        <w:t>Key Roles:</w:t>
      </w:r>
    </w:p>
    <w:p>
      <w:pPr>
        <w:pStyle w:val="ListBullet"/>
      </w:pPr>
      <w:r>
        <w:rPr>
          <w:b/>
        </w:rPr>
        <w:t>Engagement Manager:</w:t>
      </w:r>
      <w:r>
        <w:t xml:space="preserve"> Overall project governance and client liaison.</w:t>
      </w:r>
    </w:p>
    <w:p>
      <w:pPr>
        <w:pStyle w:val="ListBullet"/>
      </w:pPr>
      <w:r>
        <w:rPr>
          <w:b/>
        </w:rPr>
        <w:t>Solution Architect:</w:t>
      </w:r>
      <w:r>
        <w:t xml:space="preserve"> Platform design, integration, and technical oversight.</w:t>
      </w:r>
    </w:p>
    <w:p>
      <w:pPr>
        <w:pStyle w:val="ListBullet"/>
      </w:pPr>
      <w:r>
        <w:rPr>
          <w:b/>
        </w:rPr>
        <w:t>Business Analyst:</w:t>
      </w:r>
      <w:r>
        <w:t xml:space="preserve"> Requirements gathering, process modelling, and documentation.</w:t>
      </w:r>
    </w:p>
    <w:p>
      <w:pPr>
        <w:pStyle w:val="ListBullet"/>
      </w:pPr>
      <w:r>
        <w:rPr>
          <w:b/>
        </w:rPr>
        <w:t>Lead Developer:</w:t>
      </w:r>
      <w:r>
        <w:t xml:space="preserve"> Configuration, rule design, and UI development.</w:t>
      </w:r>
    </w:p>
    <w:p>
      <w:pPr>
        <w:pStyle w:val="ListBullet"/>
      </w:pPr>
      <w:r>
        <w:rPr>
          <w:b/>
        </w:rPr>
        <w:t>QA Lead:</w:t>
      </w:r>
      <w:r>
        <w:t xml:space="preserve"> Testing strategy and execution.</w:t>
      </w:r>
    </w:p>
    <w:p>
      <w:pPr>
        <w:pStyle w:val="ListBullet"/>
      </w:pPr>
      <w:r>
        <w:rPr>
          <w:b/>
        </w:rPr>
        <w:t>Change Manager:</w:t>
      </w:r>
      <w:r>
        <w:t xml:space="preserve"> Training, communication, and adoption support.</w:t>
      </w:r>
    </w:p>
    <w:p/>
    <w:p>
      <w:r>
        <w:t>CVs of key personnel will be provided upon request.</w:t>
      </w:r>
    </w:p>
    <w:p/>
    <w:p>
      <w:pPr>
        <w:pStyle w:val="Heading2"/>
      </w:pPr>
      <w:r>
        <w:t>7. Functional and Technical Compliance Matrix</w:t>
      </w:r>
    </w:p>
    <w:p/>
    <w:p>
      <w:r>
        <w:t>FusionAIx confirms compliance with all mandatory requirements, including:</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Requirement</w:t>
            </w:r>
          </w:p>
        </w:tc>
        <w:tc>
          <w:tcPr>
            <w:tcW w:type="dxa" w:w="3120"/>
            <w:shd w:fill="1a5490" w:val="clear"/>
            <w:vAlign w:val="top"/>
            <w:tcMar>
              <w:top w:w="80" w:type="dxa"/>
              <w:right w:w="80" w:type="dxa"/>
              <w:bottom w:w="80" w:type="dxa"/>
              <w:left w:w="80" w:type="dxa"/>
            </w:tcMar>
          </w:tcPr>
          <w:p>
            <w:r>
              <w:rPr>
                <w:b/>
                <w:color w:val="FFFFFF"/>
              </w:rPr>
              <w:t>Compliance</w:t>
            </w:r>
          </w:p>
        </w:tc>
        <w:tc>
          <w:tcPr>
            <w:tcW w:type="dxa" w:w="3120"/>
            <w:shd w:fill="1a5490" w:val="clear"/>
            <w:vAlign w:val="top"/>
            <w:tcMar>
              <w:top w:w="80" w:type="dxa"/>
              <w:right w:w="80" w:type="dxa"/>
              <w:bottom w:w="80" w:type="dxa"/>
              <w:left w:w="80" w:type="dxa"/>
            </w:tcMar>
          </w:tcPr>
          <w:p>
            <w:r>
              <w:rPr>
                <w:b/>
                <w:color w:val="FFFFFF"/>
              </w:rPr>
              <w:t>Remarks</w:t>
            </w:r>
          </w:p>
        </w:tc>
      </w:tr>
      <w:tr>
        <w:tc>
          <w:tcPr>
            <w:tcW w:type="dxa" w:w="3120"/>
            <w:vAlign w:val="top"/>
            <w:tcMar>
              <w:top w:w="80" w:type="dxa"/>
              <w:right w:w="80" w:type="dxa"/>
              <w:bottom w:w="80" w:type="dxa"/>
              <w:left w:w="80" w:type="dxa"/>
            </w:tcMar>
          </w:tcPr>
          <w:p>
            <w:r>
              <w:t>Unified BPM platform</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Pega Constellation Enterprise</w:t>
            </w:r>
          </w:p>
        </w:tc>
      </w:tr>
      <w:tr>
        <w:tc>
          <w:tcPr>
            <w:tcW w:type="dxa" w:w="3120"/>
            <w:vAlign w:val="top"/>
            <w:tcMar>
              <w:top w:w="80" w:type="dxa"/>
              <w:right w:w="80" w:type="dxa"/>
              <w:bottom w:w="80" w:type="dxa"/>
              <w:left w:w="80" w:type="dxa"/>
            </w:tcMar>
          </w:tcPr>
          <w:p>
            <w:r>
              <w:t>Case management (structured/unstructured)</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Dynamic case templates, ad-hoc tasks</w:t>
            </w:r>
          </w:p>
        </w:tc>
      </w:tr>
      <w:tr>
        <w:tc>
          <w:tcPr>
            <w:tcW w:type="dxa" w:w="3120"/>
            <w:vAlign w:val="top"/>
            <w:tcMar>
              <w:top w:w="80" w:type="dxa"/>
              <w:right w:w="80" w:type="dxa"/>
              <w:bottom w:w="80" w:type="dxa"/>
              <w:left w:w="80" w:type="dxa"/>
            </w:tcMar>
          </w:tcPr>
          <w:p>
            <w:r>
              <w:t>Business rules management</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Centralized DMN-based rules engine</w:t>
            </w:r>
          </w:p>
        </w:tc>
      </w:tr>
      <w:tr>
        <w:tc>
          <w:tcPr>
            <w:tcW w:type="dxa" w:w="3120"/>
            <w:vAlign w:val="top"/>
            <w:tcMar>
              <w:top w:w="80" w:type="dxa"/>
              <w:right w:w="80" w:type="dxa"/>
              <w:bottom w:w="80" w:type="dxa"/>
              <w:left w:w="80" w:type="dxa"/>
            </w:tcMar>
          </w:tcPr>
          <w:p>
            <w:r>
              <w:t>SLA tracking and dashboards</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Real-time dashboards, alerts, escalations</w:t>
            </w:r>
          </w:p>
        </w:tc>
      </w:tr>
      <w:tr>
        <w:tc>
          <w:tcPr>
            <w:tcW w:type="dxa" w:w="3120"/>
            <w:vAlign w:val="top"/>
            <w:tcMar>
              <w:top w:w="80" w:type="dxa"/>
              <w:right w:w="80" w:type="dxa"/>
              <w:bottom w:w="80" w:type="dxa"/>
              <w:left w:w="80" w:type="dxa"/>
            </w:tcMar>
          </w:tcPr>
          <w:p>
            <w:r>
              <w:t>Low-code configuration</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Model-driven design</w:t>
            </w:r>
          </w:p>
        </w:tc>
      </w:tr>
      <w:tr>
        <w:tc>
          <w:tcPr>
            <w:tcW w:type="dxa" w:w="3120"/>
            <w:vAlign w:val="top"/>
            <w:tcMar>
              <w:top w:w="80" w:type="dxa"/>
              <w:right w:w="80" w:type="dxa"/>
              <w:bottom w:w="80" w:type="dxa"/>
              <w:left w:w="80" w:type="dxa"/>
            </w:tcMar>
          </w:tcPr>
          <w:p>
            <w:r>
              <w:t>Integration (REST, message queues)</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Standard APIs, event-driven patterns</w:t>
            </w:r>
          </w:p>
        </w:tc>
      </w:tr>
      <w:tr>
        <w:tc>
          <w:tcPr>
            <w:tcW w:type="dxa" w:w="3120"/>
            <w:vAlign w:val="top"/>
            <w:tcMar>
              <w:top w:w="80" w:type="dxa"/>
              <w:right w:w="80" w:type="dxa"/>
              <w:bottom w:w="80" w:type="dxa"/>
              <w:left w:w="80" w:type="dxa"/>
            </w:tcMar>
          </w:tcPr>
          <w:p>
            <w:r>
              <w:t>Role-based access control</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Fine-grained RBAC, SSO integration</w:t>
            </w:r>
          </w:p>
        </w:tc>
      </w:tr>
      <w:tr>
        <w:tc>
          <w:tcPr>
            <w:tcW w:type="dxa" w:w="3120"/>
            <w:vAlign w:val="top"/>
            <w:tcMar>
              <w:top w:w="80" w:type="dxa"/>
              <w:right w:w="80" w:type="dxa"/>
              <w:bottom w:w="80" w:type="dxa"/>
              <w:left w:w="80" w:type="dxa"/>
            </w:tcMar>
          </w:tcPr>
          <w:p>
            <w:r>
              <w:t>Audit logging</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Full audit trail of user and system actions</w:t>
            </w:r>
          </w:p>
        </w:tc>
      </w:tr>
      <w:tr>
        <w:tc>
          <w:tcPr>
            <w:tcW w:type="dxa" w:w="3120"/>
            <w:vAlign w:val="top"/>
            <w:tcMar>
              <w:top w:w="80" w:type="dxa"/>
              <w:right w:w="80" w:type="dxa"/>
              <w:bottom w:w="80" w:type="dxa"/>
              <w:left w:w="80" w:type="dxa"/>
            </w:tcMar>
          </w:tcPr>
          <w:p>
            <w:r>
              <w:t>Training and change management</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Structured training and materials</w:t>
            </w:r>
          </w:p>
        </w:tc>
      </w:tr>
      <w:tr>
        <w:tc>
          <w:tcPr>
            <w:tcW w:type="dxa" w:w="3120"/>
            <w:vAlign w:val="top"/>
            <w:tcMar>
              <w:top w:w="80" w:type="dxa"/>
              <w:right w:w="80" w:type="dxa"/>
              <w:bottom w:w="80" w:type="dxa"/>
              <w:left w:w="80" w:type="dxa"/>
            </w:tcMar>
          </w:tcPr>
          <w:p>
            <w:r>
              <w:t>Post–go-live support (3 years)</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Tiered support model with SLAs</w:t>
            </w:r>
          </w:p>
        </w:tc>
      </w:tr>
    </w:tbl>
    <w:p/>
    <w:p>
      <w:pPr>
        <w:pStyle w:val="Heading2"/>
      </w:pPr>
      <w:r>
        <w:t>8. Assumptions, Dependencies, and Risks</w:t>
      </w:r>
    </w:p>
    <w:p/>
    <w:p>
      <w:pPr>
        <w:pStyle w:val="Heading3"/>
      </w:pPr>
      <w:r>
        <w:t>Assumptions</w:t>
      </w:r>
    </w:p>
    <w:p>
      <w:pPr>
        <w:pStyle w:val="ListBullet"/>
      </w:pPr>
      <w:r>
        <w:t>MTI will provide access to existing systems and documentation.</w:t>
      </w:r>
    </w:p>
    <w:p>
      <w:pPr>
        <w:pStyle w:val="ListBullet"/>
      </w:pPr>
      <w:r>
        <w:t>MTI will nominate business SMEs for workshops and UAT.</w:t>
      </w:r>
    </w:p>
    <w:p>
      <w:pPr>
        <w:pStyle w:val="ListBullet"/>
      </w:pPr>
      <w:r>
        <w:t>Infrastructure and network readiness will be ensured by MTI.</w:t>
      </w:r>
    </w:p>
    <w:p/>
    <w:p>
      <w:pPr>
        <w:pStyle w:val="Heading3"/>
      </w:pPr>
      <w:r>
        <w:t>Dependencies</w:t>
      </w:r>
    </w:p>
    <w:p>
      <w:pPr>
        <w:pStyle w:val="ListBullet"/>
      </w:pPr>
      <w:r>
        <w:t>Availability of integration endpoints and credentials.</w:t>
      </w:r>
    </w:p>
    <w:p>
      <w:pPr>
        <w:pStyle w:val="ListBullet"/>
      </w:pPr>
      <w:r>
        <w:t>Timely feedback during UAT and design reviews.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fill="1a5490" w:val="clear"/>
            <w:vAlign w:val="top"/>
            <w:tcMar>
              <w:top w:w="80" w:type="dxa"/>
              <w:right w:w="80" w:type="dxa"/>
              <w:bottom w:w="80" w:type="dxa"/>
              <w:left w:w="80" w:type="dxa"/>
            </w:tcMar>
          </w:tcPr>
          <w:p>
            <w:r>
              <w:rPr>
                <w:b/>
                <w:color w:val="FFFFFF"/>
              </w:rPr>
              <w:t>Risk</w:t>
            </w:r>
          </w:p>
        </w:tc>
        <w:tc>
          <w:tcPr>
            <w:tcW w:type="dxa" w:w="4680"/>
            <w:shd w:fill="1a5490" w:val="clear"/>
            <w:vAlign w:val="top"/>
            <w:tcMar>
              <w:top w:w="80" w:type="dxa"/>
              <w:right w:w="80" w:type="dxa"/>
              <w:bottom w:w="80" w:type="dxa"/>
              <w:left w:w="80" w:type="dxa"/>
            </w:tcMar>
          </w:tcPr>
          <w:p>
            <w:r>
              <w:rPr>
                <w:b/>
                <w:color w:val="FFFFFF"/>
              </w:rPr>
              <w:t>Mitigation</w:t>
            </w:r>
          </w:p>
        </w:tc>
      </w:tr>
      <w:tr>
        <w:tc>
          <w:tcPr>
            <w:tcW w:type="dxa" w:w="4680"/>
            <w:vAlign w:val="top"/>
            <w:tcMar>
              <w:top w:w="80" w:type="dxa"/>
              <w:right w:w="80" w:type="dxa"/>
              <w:bottom w:w="80" w:type="dxa"/>
              <w:left w:w="80" w:type="dxa"/>
            </w:tcMar>
          </w:tcPr>
          <w:p>
            <w:r>
              <w:t>Delays in requirements finalization</w:t>
            </w:r>
          </w:p>
        </w:tc>
        <w:tc>
          <w:tcPr>
            <w:tcW w:type="dxa" w:w="4680"/>
            <w:vAlign w:val="top"/>
            <w:tcMar>
              <w:top w:w="80" w:type="dxa"/>
              <w:right w:w="80" w:type="dxa"/>
              <w:bottom w:w="80" w:type="dxa"/>
              <w:left w:w="80" w:type="dxa"/>
            </w:tcMar>
          </w:tcPr>
          <w:p>
            <w:r>
              <w:t>Early workshops and sign-offs</w:t>
            </w:r>
          </w:p>
        </w:tc>
      </w:tr>
      <w:tr>
        <w:tc>
          <w:tcPr>
            <w:tcW w:type="dxa" w:w="4680"/>
            <w:vAlign w:val="top"/>
            <w:tcMar>
              <w:top w:w="80" w:type="dxa"/>
              <w:right w:w="80" w:type="dxa"/>
              <w:bottom w:w="80" w:type="dxa"/>
              <w:left w:w="80" w:type="dxa"/>
            </w:tcMar>
          </w:tcPr>
          <w:p>
            <w:r>
              <w:t>Integration complexity</w:t>
            </w:r>
          </w:p>
        </w:tc>
        <w:tc>
          <w:tcPr>
            <w:tcW w:type="dxa" w:w="4680"/>
            <w:vAlign w:val="top"/>
            <w:tcMar>
              <w:top w:w="80" w:type="dxa"/>
              <w:right w:w="80" w:type="dxa"/>
              <w:bottom w:w="80" w:type="dxa"/>
              <w:left w:w="80" w:type="dxa"/>
            </w:tcMar>
          </w:tcPr>
          <w:p>
            <w:r>
              <w:t>Use of abstraction layer and standard APIs</w:t>
            </w:r>
          </w:p>
        </w:tc>
      </w:tr>
      <w:tr>
        <w:tc>
          <w:tcPr>
            <w:tcW w:type="dxa" w:w="4680"/>
            <w:vAlign w:val="top"/>
            <w:tcMar>
              <w:top w:w="80" w:type="dxa"/>
              <w:right w:w="80" w:type="dxa"/>
              <w:bottom w:w="80" w:type="dxa"/>
              <w:left w:w="80" w:type="dxa"/>
            </w:tcMar>
          </w:tcPr>
          <w:p>
            <w:r>
              <w:t>User adoption challenges</w:t>
            </w:r>
          </w:p>
        </w:tc>
        <w:tc>
          <w:tcPr>
            <w:tcW w:type="dxa" w:w="4680"/>
            <w:vAlign w:val="top"/>
            <w:tcMar>
              <w:top w:w="80" w:type="dxa"/>
              <w:right w:w="80" w:type="dxa"/>
              <w:bottom w:w="80" w:type="dxa"/>
              <w:left w:w="80" w:type="dxa"/>
            </w:tcMar>
          </w:tcPr>
          <w:p>
            <w:r>
              <w:t>Comprehensive training and change management</w:t>
            </w:r>
          </w:p>
        </w:tc>
      </w:tr>
      <w:tr>
        <w:tc>
          <w:tcPr>
            <w:tcW w:type="dxa" w:w="4680"/>
            <w:vAlign w:val="top"/>
            <w:tcMar>
              <w:top w:w="80" w:type="dxa"/>
              <w:right w:w="80" w:type="dxa"/>
              <w:bottom w:w="80" w:type="dxa"/>
              <w:left w:w="80" w:type="dxa"/>
            </w:tcMar>
          </w:tcPr>
          <w:p>
            <w:r>
              <w:t>Data migration issues</w:t>
            </w:r>
          </w:p>
        </w:tc>
        <w:tc>
          <w:tcPr>
            <w:tcW w:type="dxa" w:w="4680"/>
            <w:vAlign w:val="top"/>
            <w:tcMar>
              <w:top w:w="80" w:type="dxa"/>
              <w:right w:w="80" w:type="dxa"/>
              <w:bottom w:w="80" w:type="dxa"/>
              <w:left w:w="80" w:type="dxa"/>
            </w:tcMar>
          </w:tcPr>
          <w:p>
            <w:r>
              <w:t>Incremental migration and reconciliation checks</w:t>
            </w:r>
          </w:p>
        </w:tc>
      </w:tr>
    </w:tbl>
    <w:p/>
    <w:p>
      <w:pPr>
        <w:pStyle w:val="Heading2"/>
      </w:pPr>
      <w:r>
        <w:t>9. Support and Maintenance Model</w:t>
      </w:r>
    </w:p>
    <w:p/>
    <w:p>
      <w:r>
        <w:t>FusionAIx will provide tiered post–go-live support with clearly defined L1, L2, and L3 responsibilities, covering user issues, application defects, and platform or integration-related incidents respectively. SLAs will be aligned to incident severity, with defined response and resolution targets and a formal escalation path from service desk to solution architects for critical issues. Proactive maintenance will include monitoring, minor enhancements, and periodic health checks. Knowledge transfer to MTI’s internal team will be handled through structured handover sessions, documentation, and shadow support during the initial stabilization period to ensure long-term self-sufficiency.</w:t>
      </w:r>
    </w:p>
    <w:p/>
    <w:p>
      <w:pPr>
        <w:pStyle w:val="Heading2"/>
      </w:pPr>
      <w:r>
        <w:t>10. Commercial Proposal</w:t>
      </w:r>
    </w:p>
    <w:p/>
    <w:p>
      <w:r>
        <w:t>FusionAIx’s commercial proposal will include the following components:</w:t>
      </w:r>
    </w:p>
    <w:p/>
    <w:p>
      <w:pPr>
        <w:pStyle w:val="ListNumber"/>
      </w:pPr>
      <w:r>
        <w:rPr>
          <w:b/>
        </w:rPr>
        <w:t>Licensing Costs:</w:t>
      </w:r>
    </w:p>
    <w:p>
      <w:pPr>
        <w:pStyle w:val="ListBullet"/>
      </w:pPr>
      <w:r>
        <w:t>Enterprise BPM platform licenses (Pega Constellation Enterprise Edition) for internal and external users.</w:t>
      </w:r>
    </w:p>
    <w:p/>
    <w:p>
      <w:pPr>
        <w:pStyle w:val="ListNumber"/>
      </w:pPr>
      <w:r>
        <w:rPr>
          <w:b/>
        </w:rPr>
        <w:t>Implementation Services:</w:t>
      </w:r>
    </w:p>
    <w:p>
      <w:pPr>
        <w:pStyle w:val="ListBullet"/>
      </w:pPr>
      <w:r>
        <w:t>Requirements gathering, process modelling, configuration, integration, testing, and training.</w:t>
      </w:r>
    </w:p>
    <w:p/>
    <w:p>
      <w:pPr>
        <w:pStyle w:val="ListNumber"/>
      </w:pPr>
      <w:r>
        <w:rPr>
          <w:b/>
        </w:rPr>
        <w:t>Support and Maintenance:</w:t>
      </w:r>
    </w:p>
    <w:p>
      <w:pPr>
        <w:pStyle w:val="ListBullet"/>
      </w:pPr>
      <w:r>
        <w:t>Three years of post–go-live support, including patching, upgrades, and incident resolution.</w:t>
      </w:r>
    </w:p>
    <w:p/>
    <w:p>
      <w:pPr>
        <w:pStyle w:val="ListNumber"/>
      </w:pPr>
      <w:r>
        <w:rPr>
          <w:b/>
        </w:rPr>
        <w:t>Optional Components:</w:t>
      </w:r>
    </w:p>
    <w:p>
      <w:pPr>
        <w:pStyle w:val="ListBullet"/>
      </w:pPr>
      <w:r>
        <w:t>AI-driven analytics (fxAIStudio)</w:t>
      </w:r>
    </w:p>
    <w:p>
      <w:pPr>
        <w:pStyle w:val="ListBullet"/>
      </w:pPr>
      <w:r>
        <w:t>Rapid prototyping (fxMockUpToView)</w:t>
      </w:r>
    </w:p>
    <w:p>
      <w:pPr>
        <w:pStyle w:val="ListBullet"/>
      </w:pPr>
      <w:r>
        <w:t>Smart DCO accelerator (fxSmartDCO)</w:t>
      </w:r>
    </w:p>
    <w:p/>
    <w:p>
      <w:r>
        <w:t>Note: Detailed pricing will be provided in the commercial annex upon request.</w:t>
      </w:r>
    </w:p>
    <w:p/>
    <w:p>
      <w:r>
        <w:t>FusionAIx</w:t>
      </w:r>
    </w:p>
    <w:p>
      <w:r>
        <w:t>Empowering Digital Transformation through Intelligent Automation</w:t>
      </w:r>
    </w:p>
    <w:p>
      <w:r>
        <w:t>Contact: [fusionAIx representative contact details]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