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(Structured) - - Supply, implement, and support an enterprise BPM...</w:t>
      </w:r>
    </w:p>
    <w:p>
      <w:pPr>
        <w:jc w:val="center"/>
      </w:pPr>
      <w:r>
        <w:t>December 20, 2025</w:t>
      </w:r>
    </w:p>
    <w:p>
      <w:pPr>
        <w:jc w:val="center"/>
      </w:pPr>
      <w:r>
        <w:t>fusionAIx</w:t>
      </w:r>
    </w:p>
    <w:p>
      <w:pPr>
        <w:jc w:val="center"/>
      </w:pPr>
      <w:r>
        <w:t>www.fusionaix.com</w:t>
      </w:r>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Proposal for the Ministry of Trade and Industry (MTI): Unified BPM and Case Management Platform Implementation</w:t>
      </w:r>
    </w:p>
    <w:p>
      <w:r>
        <w:t>Submitted by: fusionAIx</w:t>
      </w:r>
    </w:p>
    <w:p>
      <w:r>
        <w:t>Date: [Insert Date]</w:t>
      </w:r>
    </w:p>
    <w:p/>
    <w:p>
      <w:pPr>
        <w:pStyle w:val="Heading2"/>
      </w:pPr>
      <w:r>
        <w:t>1. Executive Summary</w:t>
      </w:r>
    </w:p>
    <w:p/>
    <w:p>
      <w:r>
        <w:t>FusionAIx is pleased to submit this comprehensive proposal in response to the Ministry of Trade and Industry’s (MTI) Request for Proposal for the supply, implementation, and support of a unified Business Process Management (BPM) and Case Management platform.</w:t>
      </w:r>
    </w:p>
    <w:p/>
    <w:p>
      <w:r>
        <w:t>At fusionAIx, we believe that digital transformation succeeds when technology empowers people and processes to work seamlessly together. Our proposed solution leverages an enterprise-grade BPM platform—built on a low-code, model-driven foundation—to orchestrate MTI’s core business processes, including business licensing, renewals, incentives, and grants.</w:t>
      </w:r>
    </w:p>
    <w:p/>
    <w:p>
      <w:r>
        <w:t>Our approach is designed to deliver:</w:t>
      </w:r>
    </w:p>
    <w:p>
      <w:pPr>
        <w:pStyle w:val="ListBullet"/>
      </w:pPr>
      <w:r>
        <w:rPr>
          <w:b/>
        </w:rPr>
        <w:t>Unified process orchestration</w:t>
      </w:r>
      <w:r>
        <w:t xml:space="preserve"> across structured and unstructured workflows.</w:t>
      </w:r>
    </w:p>
    <w:p>
      <w:pPr>
        <w:pStyle w:val="ListBullet"/>
      </w:pPr>
      <w:r>
        <w:rPr>
          <w:b/>
        </w:rPr>
        <w:t>Configurable case management</w:t>
      </w:r>
      <w:r>
        <w:t xml:space="preserve"> supporting dynamic, ad-hoc, and user-driven work.</w:t>
      </w:r>
    </w:p>
    <w:p>
      <w:pPr>
        <w:pStyle w:val="ListBullet"/>
      </w:pPr>
      <w:r>
        <w:rPr>
          <w:b/>
        </w:rPr>
        <w:t>Centralized business rules management</w:t>
      </w:r>
      <w:r>
        <w:t xml:space="preserve"> for consistent policy enforcement.</w:t>
      </w:r>
    </w:p>
    <w:p>
      <w:pPr>
        <w:pStyle w:val="ListBullet"/>
      </w:pPr>
      <w:r>
        <w:rPr>
          <w:b/>
        </w:rPr>
        <w:t>End-to-end transparency and auditability</w:t>
      </w:r>
      <w:r>
        <w:t xml:space="preserve"> through real-time dashboards and full traceability.</w:t>
      </w:r>
    </w:p>
    <w:p>
      <w:pPr>
        <w:pStyle w:val="ListBullet"/>
      </w:pPr>
      <w:r>
        <w:rPr>
          <w:b/>
        </w:rPr>
        <w:t>Low-code configurability</w:t>
      </w:r>
      <w:r>
        <w:t xml:space="preserve"> enabling MTI to introduce new services rapidly.</w:t>
      </w:r>
    </w:p>
    <w:p>
      <w:pPr>
        <w:pStyle w:val="ListBullet"/>
      </w:pPr>
      <w:r>
        <w:rPr>
          <w:b/>
        </w:rPr>
        <w:t>Secure, web-based user interfaces</w:t>
      </w:r>
      <w:r>
        <w:t xml:space="preserve"> for internal and external stakeholders.</w:t>
      </w:r>
    </w:p>
    <w:p>
      <w:pPr>
        <w:pStyle w:val="ListBullet"/>
      </w:pPr>
      <w:r>
        <w:rPr>
          <w:b/>
        </w:rPr>
        <w:t>A foundation for analytics and continuous improvement</w:t>
      </w:r>
      <w:r>
        <w:t xml:space="preserve"> through integrated data capture and reporting.</w:t>
      </w:r>
    </w:p>
    <w:p/>
    <w:p>
      <w:r>
        <w:t>FusionAIx brings deep expertise in BPM and case management, with over 20 successful Pega Constellation implementations globally. Our proprietary accelerators—fxAgentSDK, fxAIStudio, fxMockUpToView, and fxSmartDCO—enable rapid configuration, intelligent automation, and accelerated time-to-value.</w:t>
      </w:r>
    </w:p>
    <w:p/>
    <w:p>
      <w:r>
        <w:t>We propose a phased implementation approach that ensures minimal disruption to MTI’s ongoing operations, supported by a robust governance framework, structured change management, and a three-year post–go-live support model with defined SLAs.</w:t>
      </w:r>
    </w:p>
    <w:p/>
    <w:p>
      <w:r>
        <w:t>Our team of certified BPM architects, solution designers, and domain experts will work collaboratively with MTI to deliver a secure, scalable, and future-ready platform that transforms how the Ministry manages its business processes and engages with stakeholders.</w:t>
      </w:r>
    </w:p>
    <w:p/>
    <w:p>
      <w:pPr>
        <w:pStyle w:val="Heading2"/>
      </w:pPr>
      <w:r>
        <w:t>2. Understanding of MTI’s Objectives and Context</w:t>
      </w:r>
    </w:p>
    <w:p/>
    <w:p>
      <w:r>
        <w:t>MTI’s strategic objective is to modernize and unify its business process landscape through a single BPM platform that enhances efficiency, transparency, and service delivery. The Ministry’s current environment likely includes multiple siloed systems and manual workflows that hinder agility, visibility, and compliance.</w:t>
      </w:r>
    </w:p>
    <w:p/>
    <w:p>
      <w:r>
        <w:t>FusionAIx understands that MTI seeks to:</w:t>
      </w:r>
    </w:p>
    <w:p>
      <w:pPr>
        <w:pStyle w:val="ListNumber"/>
      </w:pPr>
      <w:r>
        <w:rPr>
          <w:b/>
        </w:rPr>
        <w:t>Implement a unified BPM platform</w:t>
      </w:r>
      <w:r>
        <w:t xml:space="preserve"> to orchestrate and manage core business processes across departments.</w:t>
      </w:r>
    </w:p>
    <w:p>
      <w:pPr>
        <w:pStyle w:val="ListNumber"/>
      </w:pPr>
      <w:r>
        <w:rPr>
          <w:b/>
        </w:rPr>
        <w:t>Provide configurable case management</w:t>
      </w:r>
      <w:r>
        <w:t xml:space="preserve"> that supports both structured and unstructured work, including ad-hoc tasks and discretionary workflows.</w:t>
      </w:r>
    </w:p>
    <w:p>
      <w:pPr>
        <w:pStyle w:val="ListNumber"/>
      </w:pPr>
      <w:r>
        <w:rPr>
          <w:b/>
        </w:rPr>
        <w:t>Enforce consistent application of business rules and regulatory policies</w:t>
      </w:r>
      <w:r>
        <w:t xml:space="preserve"> through centralized governance.</w:t>
      </w:r>
    </w:p>
    <w:p>
      <w:pPr>
        <w:pStyle w:val="ListNumber"/>
      </w:pPr>
      <w:r>
        <w:rPr>
          <w:b/>
        </w:rPr>
        <w:t>Improve transparency and auditability</w:t>
      </w:r>
      <w:r>
        <w:t xml:space="preserve"> with end-to-end tracking of cases, tasks, and SLAs.</w:t>
      </w:r>
    </w:p>
    <w:p>
      <w:pPr>
        <w:pStyle w:val="ListNumber"/>
      </w:pPr>
      <w:r>
        <w:rPr>
          <w:b/>
        </w:rPr>
        <w:t>Enable faster introduction of new services</w:t>
      </w:r>
      <w:r>
        <w:t xml:space="preserve"> through low-code configuration and model-driven design.</w:t>
      </w:r>
    </w:p>
    <w:p>
      <w:pPr>
        <w:pStyle w:val="ListNumber"/>
      </w:pPr>
      <w:r>
        <w:rPr>
          <w:b/>
        </w:rPr>
        <w:t>Deliver user-friendly interfaces</w:t>
      </w:r>
      <w:r>
        <w:t xml:space="preserve"> for staff, management, and external stakeholders.</w:t>
      </w:r>
    </w:p>
    <w:p>
      <w:pPr>
        <w:pStyle w:val="ListNumber"/>
      </w:pPr>
      <w:r>
        <w:rPr>
          <w:b/>
        </w:rPr>
        <w:t>Lay the foundation for analytics and continuous process improvement.</w:t>
      </w:r>
    </w:p>
    <w:p/>
    <w:p>
      <w:r>
        <w:t>MTI’s initial implementation scope includes:</w:t>
      </w:r>
    </w:p>
    <w:p>
      <w:pPr>
        <w:pStyle w:val="ListBullet"/>
      </w:pPr>
      <w:r>
        <w:rPr>
          <w:b/>
        </w:rPr>
        <w:t>Business licensing and renewals</w:t>
      </w:r>
    </w:p>
    <w:p>
      <w:pPr>
        <w:pStyle w:val="ListBullet"/>
      </w:pPr>
      <w:r>
        <w:rPr>
          <w:b/>
        </w:rPr>
        <w:t>Incentive and grants applications</w:t>
      </w:r>
    </w:p>
    <w:p>
      <w:pPr>
        <w:pStyle w:val="ListBullet"/>
      </w:pPr>
      <w:r>
        <w:rPr>
          <w:b/>
        </w:rPr>
        <w:t>Other regulatory and administrative processes</w:t>
      </w:r>
    </w:p>
    <w:p/>
    <w:p>
      <w:r>
        <w:t>FusionAIx recognizes that MTI’s transformation must balance innovation with compliance, ensuring that all workflows adhere to national data protection, security, and audit standards.</w:t>
      </w:r>
    </w:p>
    <w:p/>
    <w:p>
      <w:r>
        <w:t>Our understanding of MTI’s context also includes the need for:</w:t>
      </w:r>
    </w:p>
    <w:p>
      <w:pPr>
        <w:pStyle w:val="ListBullet"/>
      </w:pPr>
      <w:r>
        <w:rPr>
          <w:b/>
        </w:rPr>
        <w:t>Integration with existing enterprise systems</w:t>
      </w:r>
      <w:r>
        <w:t xml:space="preserve"> (ERP, CRM, document management, and identity management).</w:t>
      </w:r>
    </w:p>
    <w:p>
      <w:pPr>
        <w:pStyle w:val="ListBullet"/>
      </w:pPr>
      <w:r>
        <w:rPr>
          <w:b/>
        </w:rPr>
        <w:t>Support for both straight-through processing and human-centric workflows.</w:t>
      </w:r>
    </w:p>
    <w:p>
      <w:pPr>
        <w:pStyle w:val="ListBullet"/>
      </w:pPr>
      <w:r>
        <w:rPr>
          <w:b/>
        </w:rPr>
        <w:t>Centralized rules management</w:t>
      </w:r>
      <w:r>
        <w:t xml:space="preserve"> to externalize business logic from application code.</w:t>
      </w:r>
    </w:p>
    <w:p>
      <w:pPr>
        <w:pStyle w:val="ListBullet"/>
      </w:pPr>
      <w:r>
        <w:rPr>
          <w:b/>
        </w:rPr>
        <w:t>Role-based access control and full audit logging.</w:t>
      </w:r>
    </w:p>
    <w:p>
      <w:pPr>
        <w:pStyle w:val="ListBullet"/>
      </w:pPr>
      <w:r>
        <w:rPr>
          <w:b/>
        </w:rPr>
        <w:t>A robust support model</w:t>
      </w:r>
      <w:r>
        <w:t xml:space="preserve"> for at least three years post–go-live.</w:t>
      </w:r>
    </w:p>
    <w:p/>
    <w:p>
      <w:r>
        <w:t>FusionAIx’s solution and approach are designed to meet these objectives comprehensively, ensuring that MTI achieves a unified, compliant, and future-ready digital operations platform.</w:t>
      </w:r>
    </w:p>
    <w:p/>
    <w:p>
      <w:pPr>
        <w:pStyle w:val="Heading2"/>
      </w:pPr>
      <w:r>
        <w:t>3. Proposed Solution Overview</w:t>
      </w:r>
    </w:p>
    <w:p/>
    <w:p>
      <w:pPr>
        <w:pStyle w:val="Heading3"/>
      </w:pPr>
      <w:r>
        <w:t>3.1 Platform Architecture</w:t>
      </w:r>
    </w:p>
    <w:p/>
    <w:p>
      <w:r>
        <w:t>FusionAIx proposes an enterprise-grade BPM platform—based on a proven, low-code, model-driven architecture—to serve as MTI’s unified process orchestration and case management environment. The platform supports both structured workflows (e.g., licensing approvals) and unstructured, ad-hoc work (e.g., discretionary reviews, exception handling).</w:t>
      </w:r>
    </w:p>
    <w:p/>
    <w:p>
      <w:r>
        <w:t>The architecture includes:</w:t>
      </w:r>
    </w:p>
    <w:p>
      <w:pPr>
        <w:pStyle w:val="ListBullet"/>
      </w:pPr>
      <w:r>
        <w:rPr>
          <w:b/>
        </w:rPr>
        <w:t>Process Orchestration Layer:</w:t>
      </w:r>
      <w:r>
        <w:t xml:space="preserve"> BPMN-based process models for end-to-end workflow automation.</w:t>
      </w:r>
    </w:p>
    <w:p>
      <w:pPr>
        <w:pStyle w:val="ListBullet"/>
      </w:pPr>
      <w:r>
        <w:rPr>
          <w:b/>
        </w:rPr>
        <w:t>Case Management Layer:</w:t>
      </w:r>
      <w:r>
        <w:t xml:space="preserve"> Dynamic case structures supporting ad-hoc tasks, discretionary approvals, and user-driven updates.</w:t>
      </w:r>
    </w:p>
    <w:p>
      <w:pPr>
        <w:pStyle w:val="ListBullet"/>
      </w:pPr>
      <w:r>
        <w:rPr>
          <w:b/>
        </w:rPr>
        <w:t>Business Rules Engine:</w:t>
      </w:r>
      <w:r>
        <w:t xml:space="preserve"> Centralized rules repository using DMN or equivalent, enabling versioning, testing, and controlled deployment.</w:t>
      </w:r>
    </w:p>
    <w:p>
      <w:pPr>
        <w:pStyle w:val="ListBullet"/>
      </w:pPr>
      <w:r>
        <w:rPr>
          <w:b/>
        </w:rPr>
        <w:t>Integration Layer:</w:t>
      </w:r>
      <w:r>
        <w:t xml:space="preserve"> REST APIs, message queues, and event-based connectors for seamless integration with MTI’s ERP, CRM, and document management systems.</w:t>
      </w:r>
    </w:p>
    <w:p>
      <w:pPr>
        <w:pStyle w:val="ListBullet"/>
      </w:pPr>
      <w:r>
        <w:rPr>
          <w:b/>
        </w:rPr>
        <w:t>User Experience Layer:</w:t>
      </w:r>
      <w:r>
        <w:t xml:space="preserve"> Web-based, responsive interfaces for internal users, supervisors, and external stakeholders.</w:t>
      </w:r>
    </w:p>
    <w:p>
      <w:pPr>
        <w:pStyle w:val="ListBullet"/>
      </w:pPr>
      <w:r>
        <w:rPr>
          <w:b/>
        </w:rPr>
        <w:t>Analytics and Reporting Layer:</w:t>
      </w:r>
      <w:r>
        <w:t xml:space="preserve"> Real-time dashboards for SLA tracking, workload distribution, and performance monitoring.</w:t>
      </w:r>
    </w:p>
    <w:p/>
    <w:p>
      <w:pPr>
        <w:pStyle w:val="Heading3"/>
      </w:pPr>
      <w:r>
        <w:t>3.2 Case Management Capability</w:t>
      </w:r>
    </w:p>
    <w:p/>
    <w:p>
      <w:r>
        <w:t>As per MTI’s requirement for dynamic and ad-hoc work handling, fusionAIx will configure the BPM platform’s case management layer to support ad-hoc and unstructured work by enabling dynamic task creation, discretionary workflows, and user-driven case updates within controlled case boundaries.</w:t>
      </w:r>
    </w:p>
    <w:p/>
    <w:p>
      <w:r>
        <w:t>Business users will be allowed to add tasks, assign owners, and trigger ad-hoc approvals using role-based permissions and predefined guardrails, rather than free-form actions. All case activities—including manual interventions, decision overrides, and document changes—will be automatically logged with timestamps and user context to ensure full auditability. Governance will be enforced through configurable case templates, lifecycle states, and policy rules, ensuring flexibility without compromising compliance or traceability.</w:t>
      </w:r>
    </w:p>
    <w:p/>
    <w:p>
      <w:pPr>
        <w:pStyle w:val="Heading3"/>
      </w:pPr>
      <w:r>
        <w:t>3.3 Integration and Data Consistency</w:t>
      </w:r>
    </w:p>
    <w:p/>
    <w:p>
      <w:r>
        <w:t>FusionAIx will ensure seamless integration of the BPM platform with MTI’s existing enterprise systems (ERP, CRM, document management, and identity management) using standard integration patterns such as REST APIs, asynchronous messaging, and event-driven workflows, leveraging existing middleware or platform-native connectors where available.</w:t>
      </w:r>
    </w:p>
    <w:p/>
    <w:p>
      <w:r>
        <w:t>An abstraction layer will be used to decouple BPM processes from backend systems, improving resilience and change management. Data consistency will be maintained through canonical data models, controlled transaction boundaries, and reconciliation checks. Security will be enforced via centralized IAM and standards-based authentication (SAML 2.0, OIDC, OAuth 2.0).</w:t>
      </w:r>
    </w:p>
    <w:p/>
    <w:p>
      <w:pPr>
        <w:pStyle w:val="Heading3"/>
      </w:pPr>
      <w:r>
        <w:t>3.4 Key Differentiators</w:t>
      </w:r>
    </w:p>
    <w:p/>
    <w:p>
      <w:pPr>
        <w:pStyle w:val="ListBullet"/>
      </w:pPr>
      <w:r>
        <w:rPr>
          <w:b/>
        </w:rPr>
        <w:t>Low-code configurability:</w:t>
      </w:r>
      <w:r>
        <w:t xml:space="preserve"> Rapid process design and deployment using model-driven tools.</w:t>
      </w:r>
    </w:p>
    <w:p>
      <w:pPr>
        <w:pStyle w:val="ListBullet"/>
      </w:pPr>
      <w:r>
        <w:rPr>
          <w:b/>
        </w:rPr>
        <w:t>Dynamic case management:</w:t>
      </w:r>
      <w:r>
        <w:t xml:space="preserve"> Support for both structured and unstructured workflows.</w:t>
      </w:r>
    </w:p>
    <w:p>
      <w:pPr>
        <w:pStyle w:val="ListBullet"/>
      </w:pPr>
      <w:r>
        <w:rPr>
          <w:b/>
        </w:rPr>
        <w:t>Centralized rules management:</w:t>
      </w:r>
      <w:r>
        <w:t xml:space="preserve"> Externalized business logic for agility and compliance.</w:t>
      </w:r>
    </w:p>
    <w:p>
      <w:pPr>
        <w:pStyle w:val="ListBullet"/>
      </w:pPr>
      <w:r>
        <w:rPr>
          <w:b/>
        </w:rPr>
        <w:t>Proprietary accelerators:</w:t>
      </w:r>
      <w:r>
        <w:t xml:space="preserve"> fxAgentSDK, fxAIStudio, fxMockUpToView, and fxSmartDCO for faster delivery.</w:t>
      </w:r>
    </w:p>
    <w:p>
      <w:pPr>
        <w:pStyle w:val="ListBullet"/>
      </w:pPr>
      <w:r>
        <w:rPr>
          <w:b/>
        </w:rPr>
        <w:t>Proven government experience:</w:t>
      </w:r>
      <w:r>
        <w:t xml:space="preserve"> 20+ successful BPM implementations across public and private sectors.</w:t>
      </w:r>
    </w:p>
    <w:p>
      <w:pPr>
        <w:pStyle w:val="ListBullet"/>
      </w:pPr>
      <w:r>
        <w:rPr>
          <w:b/>
        </w:rPr>
        <w:t>AI-driven insights:</w:t>
      </w:r>
      <w:r>
        <w:t xml:space="preserve"> Built-in analytics for continuous process improvement.</w:t>
      </w:r>
    </w:p>
    <w:p/>
    <w:p>
      <w:pPr>
        <w:pStyle w:val="Heading2"/>
      </w:pPr>
      <w:r>
        <w:t>4. Implementation Approach and Methodology</w:t>
      </w:r>
    </w:p>
    <w:p/>
    <w:p>
      <w:r>
        <w:t>FusionAIx’s implementation approach is structured, collaborative, and outcome-driven. It ensures that MTI’s transformation is delivered on time, within scope, and with measurable business value.</w:t>
      </w:r>
    </w:p>
    <w:p/>
    <w:p>
      <w:pPr>
        <w:pStyle w:val="Heading3"/>
      </w:pPr>
      <w:r>
        <w:t>4.1 Phased Implementation</w:t>
      </w:r>
    </w:p>
    <w:p/>
    <w:p>
      <w:r>
        <w:t>Our approach follows a phased migration model, as described in the user-provided Q&amp;A:</w:t>
      </w:r>
    </w:p>
    <w:p/>
    <w:p>
      <w:r>
        <w:t>&gt; fusionAIx will follow a phased migration approach, starting with detailed analysis of MTI’s legacy workflows to assess complexity, usage, risk, and business criticality. Processes will be prioritized into quick wins, core migrations, and deferred candidates, with high-risk or mission-critical workflows transitioned using parallel run and rollback strategies to minimize disruption. Data and integrations will be migrated incrementally using validated mappings, automated reconciliation, and interface abstraction layers. Throughout the transition, existing operations will remain live, with cutovers planned around business cycles and supported by clear communication and change management.</w:t>
      </w:r>
    </w:p>
    <w:p/>
    <w:p>
      <w:pPr>
        <w:pStyle w:val="Heading3"/>
      </w:pPr>
      <w:r>
        <w:t>4.2 Methodology</w:t>
      </w:r>
    </w:p>
    <w:p/>
    <w:p>
      <w:r>
        <w:t>FusionAIx applies an Agile-Iterative Delivery Model aligned with BPM best practices:</w:t>
      </w:r>
    </w:p>
    <w:p>
      <w:pPr>
        <w:pStyle w:val="ListNumber"/>
      </w:pPr>
      <w:r>
        <w:rPr>
          <w:b/>
        </w:rPr>
        <w:t>Discovery and Requirements Gathering:</w:t>
      </w:r>
      <w:r>
        <w:t xml:space="preserve"> Joint workshops with MTI stakeholders to capture business rules, process variations, and integration needs.</w:t>
      </w:r>
    </w:p>
    <w:p>
      <w:pPr>
        <w:pStyle w:val="ListNumber"/>
      </w:pPr>
      <w:r>
        <w:rPr>
          <w:b/>
        </w:rPr>
        <w:t>Design and Configuration:</w:t>
      </w:r>
      <w:r>
        <w:t xml:space="preserve"> Model-driven process and case design using fxSmartDCO and fxMockUpToView accelerators.</w:t>
      </w:r>
    </w:p>
    <w:p>
      <w:pPr>
        <w:pStyle w:val="ListNumber"/>
      </w:pPr>
      <w:r>
        <w:rPr>
          <w:b/>
        </w:rPr>
        <w:t>Development and Integration:</w:t>
      </w:r>
      <w:r>
        <w:t xml:space="preserve"> Configuration of workflows, rules, and interfaces using low-code tools.</w:t>
      </w:r>
    </w:p>
    <w:p>
      <w:pPr>
        <w:pStyle w:val="ListNumber"/>
      </w:pPr>
      <w:r>
        <w:rPr>
          <w:b/>
        </w:rPr>
        <w:t>Testing and Validation:</w:t>
      </w:r>
      <w:r>
        <w:t xml:space="preserve"> Iterative testing cycles (unit, system, UAT) with automated regression testing.</w:t>
      </w:r>
    </w:p>
    <w:p>
      <w:pPr>
        <w:pStyle w:val="ListNumber"/>
      </w:pPr>
      <w:r>
        <w:rPr>
          <w:b/>
        </w:rPr>
        <w:t>Training and Change Management:</w:t>
      </w:r>
      <w:r>
        <w:t xml:space="preserve"> Comprehensive training for administrators, power users, and end users.</w:t>
      </w:r>
    </w:p>
    <w:p>
      <w:pPr>
        <w:pStyle w:val="ListNumber"/>
      </w:pPr>
      <w:r>
        <w:rPr>
          <w:b/>
        </w:rPr>
        <w:t>Go-Live and Stabilization:</w:t>
      </w:r>
      <w:r>
        <w:t xml:space="preserve"> Controlled rollout with parallel run and rollback options.</w:t>
      </w:r>
    </w:p>
    <w:p>
      <w:pPr>
        <w:pStyle w:val="ListNumber"/>
      </w:pPr>
      <w:r>
        <w:rPr>
          <w:b/>
        </w:rPr>
        <w:t>Post–Go-Live Support:</w:t>
      </w:r>
      <w:r>
        <w:t xml:space="preserve"> Tiered support model with defined SLAs and proactive maintenance.</w:t>
      </w:r>
    </w:p>
    <w:p/>
    <w:p>
      <w:pPr>
        <w:pStyle w:val="Heading3"/>
      </w:pPr>
      <w:r>
        <w:t>4.3 Governance and Quality Assurance</w:t>
      </w:r>
    </w:p>
    <w:p/>
    <w:p>
      <w:pPr>
        <w:pStyle w:val="ListBullet"/>
      </w:pPr>
      <w:r>
        <w:rPr>
          <w:b/>
        </w:rPr>
        <w:t>Project Steering Committee:</w:t>
      </w:r>
      <w:r>
        <w:t xml:space="preserve"> Joint MTI–fusionAIx governance body for oversight.</w:t>
      </w:r>
    </w:p>
    <w:p>
      <w:pPr>
        <w:pStyle w:val="ListBullet"/>
      </w:pPr>
      <w:r>
        <w:rPr>
          <w:b/>
        </w:rPr>
        <w:t>Change Control Board:</w:t>
      </w:r>
      <w:r>
        <w:t xml:space="preserve"> Manages scope, configuration, and release approvals.</w:t>
      </w:r>
    </w:p>
    <w:p>
      <w:pPr>
        <w:pStyle w:val="ListBullet"/>
      </w:pPr>
      <w:r>
        <w:rPr>
          <w:b/>
        </w:rPr>
        <w:t>Quality Gates:</w:t>
      </w:r>
      <w:r>
        <w:t xml:space="preserve"> Defined checkpoints for design, testing, and deployment.</w:t>
      </w:r>
    </w:p>
    <w:p>
      <w:pPr>
        <w:pStyle w:val="ListBullet"/>
      </w:pPr>
      <w:r>
        <w:rPr>
          <w:b/>
        </w:rPr>
        <w:t>Documentation:</w:t>
      </w:r>
      <w:r>
        <w:t xml:space="preserve"> Comprehensive design, configuration, and operational documentation.</w:t>
      </w:r>
    </w:p>
    <w:p/>
    <w:p>
      <w:pPr>
        <w:pStyle w:val="Heading2"/>
      </w:pPr>
      <w:r>
        <w:t>5. Project Plan and Timelines</w:t>
      </w:r>
    </w:p>
    <w:p/>
    <w:p>
      <w:r>
        <w:t>FusionAIx proposes a structured project plan with clear milestones and deliverables.</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**Phase**</w:t>
            </w:r>
          </w:p>
        </w:tc>
        <w:tc>
          <w:tcPr>
            <w:tcW w:type="dxa" w:w="2340"/>
            <w:shd w:fill="1a5490" w:val="clear"/>
            <w:vAlign w:val="top"/>
            <w:tcMar>
              <w:top w:w="80" w:type="dxa"/>
              <w:right w:w="80" w:type="dxa"/>
              <w:bottom w:w="80" w:type="dxa"/>
              <w:left w:w="80" w:type="dxa"/>
            </w:tcMar>
          </w:tcPr>
          <w:p>
            <w:r>
              <w:rPr>
                <w:b/>
                <w:color w:val="FFFFFF"/>
              </w:rPr>
              <w:t>**Duration**</w:t>
            </w:r>
          </w:p>
        </w:tc>
        <w:tc>
          <w:tcPr>
            <w:tcW w:type="dxa" w:w="2340"/>
            <w:shd w:fill="1a5490" w:val="clear"/>
            <w:vAlign w:val="top"/>
            <w:tcMar>
              <w:top w:w="80" w:type="dxa"/>
              <w:right w:w="80" w:type="dxa"/>
              <w:bottom w:w="80" w:type="dxa"/>
              <w:left w:w="80" w:type="dxa"/>
            </w:tcMar>
          </w:tcPr>
          <w:p>
            <w:r>
              <w:rPr>
                <w:b/>
                <w:color w:val="FFFFFF"/>
              </w:rPr>
              <w:t>**Key Activities**</w:t>
            </w:r>
          </w:p>
        </w:tc>
        <w:tc>
          <w:tcPr>
            <w:tcW w:type="dxa" w:w="2340"/>
            <w:shd w:fill="1a5490" w:val="clear"/>
            <w:vAlign w:val="top"/>
            <w:tcMar>
              <w:top w:w="80" w:type="dxa"/>
              <w:right w:w="80" w:type="dxa"/>
              <w:bottom w:w="80" w:type="dxa"/>
              <w:left w:w="80" w:type="dxa"/>
            </w:tcMar>
          </w:tcPr>
          <w:p>
            <w:r>
              <w:rPr>
                <w:b/>
                <w:color w:val="FFFFFF"/>
              </w:rPr>
              <w:t>**Deliverables**</w:t>
            </w:r>
          </w:p>
        </w:tc>
      </w:tr>
      <w:tr>
        <w:tc>
          <w:tcPr>
            <w:tcW w:type="dxa" w:w="2340"/>
            <w:vAlign w:val="top"/>
            <w:tcMar>
              <w:top w:w="80" w:type="dxa"/>
              <w:right w:w="80" w:type="dxa"/>
              <w:bottom w:w="80" w:type="dxa"/>
              <w:left w:w="80" w:type="dxa"/>
            </w:tcMar>
          </w:tcPr>
          <w:p>
            <w:r>
              <w:rPr>
                <w:b/>
              </w:rPr>
              <w:t>1. Initiation &amp; Discovery</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Stakeholder workshops, process inventory, requirements documentation</w:t>
            </w:r>
          </w:p>
        </w:tc>
        <w:tc>
          <w:tcPr>
            <w:tcW w:type="dxa" w:w="2340"/>
            <w:vAlign w:val="top"/>
            <w:tcMar>
              <w:top w:w="80" w:type="dxa"/>
              <w:right w:w="80" w:type="dxa"/>
              <w:bottom w:w="80" w:type="dxa"/>
              <w:left w:w="80" w:type="dxa"/>
            </w:tcMar>
          </w:tcPr>
          <w:p>
            <w:r>
              <w:t>Business Requirements Document, Process Inventory</w:t>
            </w:r>
          </w:p>
        </w:tc>
      </w:tr>
      <w:tr>
        <w:tc>
          <w:tcPr>
            <w:tcW w:type="dxa" w:w="2340"/>
            <w:vAlign w:val="top"/>
            <w:tcMar>
              <w:top w:w="80" w:type="dxa"/>
              <w:right w:w="80" w:type="dxa"/>
              <w:bottom w:w="80" w:type="dxa"/>
              <w:left w:w="80" w:type="dxa"/>
            </w:tcMar>
          </w:tcPr>
          <w:p>
            <w:r>
              <w:rPr>
                <w:b/>
              </w:rPr>
              <w:t>2. Design &amp; Configuration</w:t>
            </w:r>
          </w:p>
        </w:tc>
        <w:tc>
          <w:tcPr>
            <w:tcW w:type="dxa" w:w="2340"/>
            <w:vAlign w:val="top"/>
            <w:tcMar>
              <w:top w:w="80" w:type="dxa"/>
              <w:right w:w="80" w:type="dxa"/>
              <w:bottom w:w="80" w:type="dxa"/>
              <w:left w:w="80" w:type="dxa"/>
            </w:tcMar>
          </w:tcPr>
          <w:p>
            <w:r>
              <w:t>8 weeks</w:t>
            </w:r>
          </w:p>
        </w:tc>
        <w:tc>
          <w:tcPr>
            <w:tcW w:type="dxa" w:w="2340"/>
            <w:vAlign w:val="top"/>
            <w:tcMar>
              <w:top w:w="80" w:type="dxa"/>
              <w:right w:w="80" w:type="dxa"/>
              <w:bottom w:w="80" w:type="dxa"/>
              <w:left w:w="80" w:type="dxa"/>
            </w:tcMar>
          </w:tcPr>
          <w:p>
            <w:r>
              <w:t>Process modeling, case design, rules configuration</w:t>
            </w:r>
          </w:p>
        </w:tc>
        <w:tc>
          <w:tcPr>
            <w:tcW w:type="dxa" w:w="2340"/>
            <w:vAlign w:val="top"/>
            <w:tcMar>
              <w:top w:w="80" w:type="dxa"/>
              <w:right w:w="80" w:type="dxa"/>
              <w:bottom w:w="80" w:type="dxa"/>
              <w:left w:w="80" w:type="dxa"/>
            </w:tcMar>
          </w:tcPr>
          <w:p>
            <w:r>
              <w:t>Process Models, Case Templates, Rules Repository</w:t>
            </w:r>
          </w:p>
        </w:tc>
      </w:tr>
      <w:tr>
        <w:tc>
          <w:tcPr>
            <w:tcW w:type="dxa" w:w="2340"/>
            <w:vAlign w:val="top"/>
            <w:tcMar>
              <w:top w:w="80" w:type="dxa"/>
              <w:right w:w="80" w:type="dxa"/>
              <w:bottom w:w="80" w:type="dxa"/>
              <w:left w:w="80" w:type="dxa"/>
            </w:tcMar>
          </w:tcPr>
          <w:p>
            <w:r>
              <w:rPr>
                <w:b/>
              </w:rPr>
              <w:t>3. Integration &amp; Development</w:t>
            </w:r>
          </w:p>
        </w:tc>
        <w:tc>
          <w:tcPr>
            <w:tcW w:type="dxa" w:w="2340"/>
            <w:vAlign w:val="top"/>
            <w:tcMar>
              <w:top w:w="80" w:type="dxa"/>
              <w:right w:w="80" w:type="dxa"/>
              <w:bottom w:w="80" w:type="dxa"/>
              <w:left w:w="80" w:type="dxa"/>
            </w:tcMar>
          </w:tcPr>
          <w:p>
            <w:r>
              <w:t>10 weeks</w:t>
            </w:r>
          </w:p>
        </w:tc>
        <w:tc>
          <w:tcPr>
            <w:tcW w:type="dxa" w:w="2340"/>
            <w:vAlign w:val="top"/>
            <w:tcMar>
              <w:top w:w="80" w:type="dxa"/>
              <w:right w:w="80" w:type="dxa"/>
              <w:bottom w:w="80" w:type="dxa"/>
              <w:left w:w="80" w:type="dxa"/>
            </w:tcMar>
          </w:tcPr>
          <w:p>
            <w:r>
              <w:t>API integration, data migration setup, UI configuration</w:t>
            </w:r>
          </w:p>
        </w:tc>
        <w:tc>
          <w:tcPr>
            <w:tcW w:type="dxa" w:w="2340"/>
            <w:vAlign w:val="top"/>
            <w:tcMar>
              <w:top w:w="80" w:type="dxa"/>
              <w:right w:w="80" w:type="dxa"/>
              <w:bottom w:w="80" w:type="dxa"/>
              <w:left w:w="80" w:type="dxa"/>
            </w:tcMar>
          </w:tcPr>
          <w:p>
            <w:r>
              <w:t>Integrated BPM Environment</w:t>
            </w:r>
          </w:p>
        </w:tc>
      </w:tr>
      <w:tr>
        <w:tc>
          <w:tcPr>
            <w:tcW w:type="dxa" w:w="2340"/>
            <w:vAlign w:val="top"/>
            <w:tcMar>
              <w:top w:w="80" w:type="dxa"/>
              <w:right w:w="80" w:type="dxa"/>
              <w:bottom w:w="80" w:type="dxa"/>
              <w:left w:w="80" w:type="dxa"/>
            </w:tcMar>
          </w:tcPr>
          <w:p>
            <w:r>
              <w:rPr>
                <w:b/>
              </w:rPr>
              <w:t>4. Testing &amp; UAT</w:t>
            </w:r>
          </w:p>
        </w:tc>
        <w:tc>
          <w:tcPr>
            <w:tcW w:type="dxa" w:w="2340"/>
            <w:vAlign w:val="top"/>
            <w:tcMar>
              <w:top w:w="80" w:type="dxa"/>
              <w:right w:w="80" w:type="dxa"/>
              <w:bottom w:w="80" w:type="dxa"/>
              <w:left w:w="80" w:type="dxa"/>
            </w:tcMar>
          </w:tcPr>
          <w:p>
            <w:r>
              <w:t>6 weeks</w:t>
            </w:r>
          </w:p>
        </w:tc>
        <w:tc>
          <w:tcPr>
            <w:tcW w:type="dxa" w:w="2340"/>
            <w:vAlign w:val="top"/>
            <w:tcMar>
              <w:top w:w="80" w:type="dxa"/>
              <w:right w:w="80" w:type="dxa"/>
              <w:bottom w:w="80" w:type="dxa"/>
              <w:left w:w="80" w:type="dxa"/>
            </w:tcMar>
          </w:tcPr>
          <w:p>
            <w:r>
              <w:t>Functional, integration, and user acceptance testing</w:t>
            </w:r>
          </w:p>
        </w:tc>
        <w:tc>
          <w:tcPr>
            <w:tcW w:type="dxa" w:w="2340"/>
            <w:vAlign w:val="top"/>
            <w:tcMar>
              <w:top w:w="80" w:type="dxa"/>
              <w:right w:w="80" w:type="dxa"/>
              <w:bottom w:w="80" w:type="dxa"/>
              <w:left w:w="80" w:type="dxa"/>
            </w:tcMar>
          </w:tcPr>
          <w:p>
            <w:r>
              <w:t>Test Reports, UAT Sign-off</w:t>
            </w:r>
          </w:p>
        </w:tc>
      </w:tr>
      <w:tr>
        <w:tc>
          <w:tcPr>
            <w:tcW w:type="dxa" w:w="2340"/>
            <w:vAlign w:val="top"/>
            <w:tcMar>
              <w:top w:w="80" w:type="dxa"/>
              <w:right w:w="80" w:type="dxa"/>
              <w:bottom w:w="80" w:type="dxa"/>
              <w:left w:w="80" w:type="dxa"/>
            </w:tcMar>
          </w:tcPr>
          <w:p>
            <w:r>
              <w:rPr>
                <w:b/>
              </w:rPr>
              <w:t>5. Training &amp; Go-Live Preparation</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User training, change management, go-live readiness</w:t>
            </w:r>
          </w:p>
        </w:tc>
        <w:tc>
          <w:tcPr>
            <w:tcW w:type="dxa" w:w="2340"/>
            <w:vAlign w:val="top"/>
            <w:tcMar>
              <w:top w:w="80" w:type="dxa"/>
              <w:right w:w="80" w:type="dxa"/>
              <w:bottom w:w="80" w:type="dxa"/>
              <w:left w:w="80" w:type="dxa"/>
            </w:tcMar>
          </w:tcPr>
          <w:p>
            <w:r>
              <w:t>Training Materials, Go-Live Plan</w:t>
            </w:r>
          </w:p>
        </w:tc>
      </w:tr>
      <w:tr>
        <w:tc>
          <w:tcPr>
            <w:tcW w:type="dxa" w:w="2340"/>
            <w:vAlign w:val="top"/>
            <w:tcMar>
              <w:top w:w="80" w:type="dxa"/>
              <w:right w:w="80" w:type="dxa"/>
              <w:bottom w:w="80" w:type="dxa"/>
              <w:left w:w="80" w:type="dxa"/>
            </w:tcMar>
          </w:tcPr>
          <w:p>
            <w:r>
              <w:rPr>
                <w:b/>
              </w:rPr>
              <w:t>6. Go-Live &amp; Stabilization</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Production deployment, hypercare support</w:t>
            </w:r>
          </w:p>
        </w:tc>
        <w:tc>
          <w:tcPr>
            <w:tcW w:type="dxa" w:w="2340"/>
            <w:vAlign w:val="top"/>
            <w:tcMar>
              <w:top w:w="80" w:type="dxa"/>
              <w:right w:w="80" w:type="dxa"/>
              <w:bottom w:w="80" w:type="dxa"/>
              <w:left w:w="80" w:type="dxa"/>
            </w:tcMar>
          </w:tcPr>
          <w:p>
            <w:r>
              <w:t>Go-Live Report, Stabilization Summary</w:t>
            </w:r>
          </w:p>
        </w:tc>
      </w:tr>
      <w:tr>
        <w:tc>
          <w:tcPr>
            <w:tcW w:type="dxa" w:w="2340"/>
            <w:vAlign w:val="top"/>
            <w:tcMar>
              <w:top w:w="80" w:type="dxa"/>
              <w:right w:w="80" w:type="dxa"/>
              <w:bottom w:w="80" w:type="dxa"/>
              <w:left w:w="80" w:type="dxa"/>
            </w:tcMar>
          </w:tcPr>
          <w:p>
            <w:r>
              <w:rPr>
                <w:b/>
              </w:rPr>
              <w:t>7. Post–Go-Live Support</w:t>
            </w:r>
          </w:p>
        </w:tc>
        <w:tc>
          <w:tcPr>
            <w:tcW w:type="dxa" w:w="2340"/>
            <w:vAlign w:val="top"/>
            <w:tcMar>
              <w:top w:w="80" w:type="dxa"/>
              <w:right w:w="80" w:type="dxa"/>
              <w:bottom w:w="80" w:type="dxa"/>
              <w:left w:w="80" w:type="dxa"/>
            </w:tcMar>
          </w:tcPr>
          <w:p>
            <w:r>
              <w:t>3 years</w:t>
            </w:r>
          </w:p>
        </w:tc>
        <w:tc>
          <w:tcPr>
            <w:tcW w:type="dxa" w:w="2340"/>
            <w:vAlign w:val="top"/>
            <w:tcMar>
              <w:top w:w="80" w:type="dxa"/>
              <w:right w:w="80" w:type="dxa"/>
              <w:bottom w:w="80" w:type="dxa"/>
              <w:left w:w="80" w:type="dxa"/>
            </w:tcMar>
          </w:tcPr>
          <w:p>
            <w:r>
              <w:t>Tiered support, maintenance, enhancements</w:t>
            </w:r>
          </w:p>
        </w:tc>
        <w:tc>
          <w:tcPr>
            <w:tcW w:type="dxa" w:w="2340"/>
            <w:vAlign w:val="top"/>
            <w:tcMar>
              <w:top w:w="80" w:type="dxa"/>
              <w:right w:w="80" w:type="dxa"/>
              <w:bottom w:w="80" w:type="dxa"/>
              <w:left w:w="80" w:type="dxa"/>
            </w:tcMar>
          </w:tcPr>
          <w:p>
            <w:r>
              <w:t>SLA Reports, Health Checks</w:t>
            </w:r>
          </w:p>
        </w:tc>
      </w:tr>
    </w:tbl>
    <w:p/>
    <w:p>
      <w:pPr>
        <w:pStyle w:val="Heading2"/>
      </w:pPr>
      <w:r>
        <w:t>6. Proposed Team Structure</w:t>
      </w:r>
    </w:p>
    <w:p/>
    <w:p>
      <w:r>
        <w:t>FusionAIx will deploy a multidisciplinary team comprising BPM architects, solution designers, developers, and change management specialists.</w:t>
      </w:r>
    </w:p>
    <w:p/>
    <w:tbl>
      <w:tblPr>
        <w:tblStyle w:val="LightGrid-Accent1"/>
        <w:tblW w:type="auto" w:w="0"/>
        <w:tblLayout w:type="autofit"/>
        <w:tblLook w:firstColumn="1" w:firstRow="1" w:lastColumn="0" w:lastRow="0" w:noHBand="0" w:noVBand="1" w:val="04A0"/>
      </w:tblPr>
      <w:tblGrid>
        <w:gridCol w:w="4680"/>
        <w:gridCol w:w="4680"/>
      </w:tblGrid>
      <w:tr>
        <w:tc>
          <w:tcPr>
            <w:tcW w:type="dxa" w:w="4680"/>
            <w:shd w:fill="1a5490" w:val="clear"/>
            <w:vAlign w:val="top"/>
            <w:tcMar>
              <w:top w:w="80" w:type="dxa"/>
              <w:right w:w="80" w:type="dxa"/>
              <w:bottom w:w="80" w:type="dxa"/>
              <w:left w:w="80" w:type="dxa"/>
            </w:tcMar>
          </w:tcPr>
          <w:p>
            <w:r>
              <w:rPr>
                <w:b/>
                <w:color w:val="FFFFFF"/>
              </w:rPr>
              <w:t>**Role**</w:t>
            </w:r>
          </w:p>
        </w:tc>
        <w:tc>
          <w:tcPr>
            <w:tcW w:type="dxa" w:w="4680"/>
            <w:shd w:fill="1a5490" w:val="clear"/>
            <w:vAlign w:val="top"/>
            <w:tcMar>
              <w:top w:w="80" w:type="dxa"/>
              <w:right w:w="80" w:type="dxa"/>
              <w:bottom w:w="80" w:type="dxa"/>
              <w:left w:w="80" w:type="dxa"/>
            </w:tcMar>
          </w:tcPr>
          <w:p>
            <w:r>
              <w:rPr>
                <w:b/>
                <w:color w:val="FFFFFF"/>
              </w:rPr>
              <w:t>**Responsibility**</w:t>
            </w:r>
          </w:p>
        </w:tc>
      </w:tr>
      <w:tr>
        <w:tc>
          <w:tcPr>
            <w:tcW w:type="dxa" w:w="4680"/>
            <w:vAlign w:val="top"/>
            <w:tcMar>
              <w:top w:w="80" w:type="dxa"/>
              <w:right w:w="80" w:type="dxa"/>
              <w:bottom w:w="80" w:type="dxa"/>
              <w:left w:w="80" w:type="dxa"/>
            </w:tcMar>
          </w:tcPr>
          <w:p>
            <w:r>
              <w:rPr>
                <w:b/>
              </w:rPr>
              <w:t>Project Director</w:t>
            </w:r>
          </w:p>
        </w:tc>
        <w:tc>
          <w:tcPr>
            <w:tcW w:type="dxa" w:w="4680"/>
            <w:vAlign w:val="top"/>
            <w:tcMar>
              <w:top w:w="80" w:type="dxa"/>
              <w:right w:w="80" w:type="dxa"/>
              <w:bottom w:w="80" w:type="dxa"/>
              <w:left w:w="80" w:type="dxa"/>
            </w:tcMar>
          </w:tcPr>
          <w:p>
            <w:r>
              <w:t>Executive oversight, stakeholder engagement</w:t>
            </w:r>
          </w:p>
        </w:tc>
      </w:tr>
      <w:tr>
        <w:tc>
          <w:tcPr>
            <w:tcW w:type="dxa" w:w="4680"/>
            <w:vAlign w:val="top"/>
            <w:tcMar>
              <w:top w:w="80" w:type="dxa"/>
              <w:right w:w="80" w:type="dxa"/>
              <w:bottom w:w="80" w:type="dxa"/>
              <w:left w:w="80" w:type="dxa"/>
            </w:tcMar>
          </w:tcPr>
          <w:p>
            <w:r>
              <w:rPr>
                <w:b/>
              </w:rPr>
              <w:t>Program Manager</w:t>
            </w:r>
          </w:p>
        </w:tc>
        <w:tc>
          <w:tcPr>
            <w:tcW w:type="dxa" w:w="4680"/>
            <w:vAlign w:val="top"/>
            <w:tcMar>
              <w:top w:w="80" w:type="dxa"/>
              <w:right w:w="80" w:type="dxa"/>
              <w:bottom w:w="80" w:type="dxa"/>
              <w:left w:w="80" w:type="dxa"/>
            </w:tcMar>
          </w:tcPr>
          <w:p>
            <w:r>
              <w:t>End-to-end delivery management</w:t>
            </w:r>
          </w:p>
        </w:tc>
      </w:tr>
      <w:tr>
        <w:tc>
          <w:tcPr>
            <w:tcW w:type="dxa" w:w="4680"/>
            <w:vAlign w:val="top"/>
            <w:tcMar>
              <w:top w:w="80" w:type="dxa"/>
              <w:right w:w="80" w:type="dxa"/>
              <w:bottom w:w="80" w:type="dxa"/>
              <w:left w:w="80" w:type="dxa"/>
            </w:tcMar>
          </w:tcPr>
          <w:p>
            <w:r>
              <w:rPr>
                <w:b/>
              </w:rPr>
              <w:t>Solution Architect</w:t>
            </w:r>
          </w:p>
        </w:tc>
        <w:tc>
          <w:tcPr>
            <w:tcW w:type="dxa" w:w="4680"/>
            <w:vAlign w:val="top"/>
            <w:tcMar>
              <w:top w:w="80" w:type="dxa"/>
              <w:right w:w="80" w:type="dxa"/>
              <w:bottom w:w="80" w:type="dxa"/>
              <w:left w:w="80" w:type="dxa"/>
            </w:tcMar>
          </w:tcPr>
          <w:p>
            <w:r>
              <w:t>Platform architecture, integration design</w:t>
            </w:r>
          </w:p>
        </w:tc>
      </w:tr>
      <w:tr>
        <w:tc>
          <w:tcPr>
            <w:tcW w:type="dxa" w:w="4680"/>
            <w:vAlign w:val="top"/>
            <w:tcMar>
              <w:top w:w="80" w:type="dxa"/>
              <w:right w:w="80" w:type="dxa"/>
              <w:bottom w:w="80" w:type="dxa"/>
              <w:left w:w="80" w:type="dxa"/>
            </w:tcMar>
          </w:tcPr>
          <w:p>
            <w:r>
              <w:rPr>
                <w:b/>
              </w:rPr>
              <w:t>Lead BPM Developer</w:t>
            </w:r>
          </w:p>
        </w:tc>
        <w:tc>
          <w:tcPr>
            <w:tcW w:type="dxa" w:w="4680"/>
            <w:vAlign w:val="top"/>
            <w:tcMar>
              <w:top w:w="80" w:type="dxa"/>
              <w:right w:w="80" w:type="dxa"/>
              <w:bottom w:w="80" w:type="dxa"/>
              <w:left w:w="80" w:type="dxa"/>
            </w:tcMar>
          </w:tcPr>
          <w:p>
            <w:r>
              <w:t>Workflow and case configuration</w:t>
            </w:r>
          </w:p>
        </w:tc>
      </w:tr>
      <w:tr>
        <w:tc>
          <w:tcPr>
            <w:tcW w:type="dxa" w:w="4680"/>
            <w:vAlign w:val="top"/>
            <w:tcMar>
              <w:top w:w="80" w:type="dxa"/>
              <w:right w:w="80" w:type="dxa"/>
              <w:bottom w:w="80" w:type="dxa"/>
              <w:left w:w="80" w:type="dxa"/>
            </w:tcMar>
          </w:tcPr>
          <w:p>
            <w:r>
              <w:rPr>
                <w:b/>
              </w:rPr>
              <w:t>Business Analyst</w:t>
            </w:r>
          </w:p>
        </w:tc>
        <w:tc>
          <w:tcPr>
            <w:tcW w:type="dxa" w:w="4680"/>
            <w:vAlign w:val="top"/>
            <w:tcMar>
              <w:top w:w="80" w:type="dxa"/>
              <w:right w:w="80" w:type="dxa"/>
              <w:bottom w:w="80" w:type="dxa"/>
              <w:left w:w="80" w:type="dxa"/>
            </w:tcMar>
          </w:tcPr>
          <w:p>
            <w:r>
              <w:t>Requirements gathering, process modeling</w:t>
            </w:r>
          </w:p>
        </w:tc>
      </w:tr>
      <w:tr>
        <w:tc>
          <w:tcPr>
            <w:tcW w:type="dxa" w:w="4680"/>
            <w:vAlign w:val="top"/>
            <w:tcMar>
              <w:top w:w="80" w:type="dxa"/>
              <w:right w:w="80" w:type="dxa"/>
              <w:bottom w:w="80" w:type="dxa"/>
              <w:left w:w="80" w:type="dxa"/>
            </w:tcMar>
          </w:tcPr>
          <w:p>
            <w:r>
              <w:rPr>
                <w:b/>
              </w:rPr>
              <w:t>QA Lead</w:t>
            </w:r>
          </w:p>
        </w:tc>
        <w:tc>
          <w:tcPr>
            <w:tcW w:type="dxa" w:w="4680"/>
            <w:vAlign w:val="top"/>
            <w:tcMar>
              <w:top w:w="80" w:type="dxa"/>
              <w:right w:w="80" w:type="dxa"/>
              <w:bottom w:w="80" w:type="dxa"/>
              <w:left w:w="80" w:type="dxa"/>
            </w:tcMar>
          </w:tcPr>
          <w:p>
            <w:r>
              <w:t>Testing strategy and execution</w:t>
            </w:r>
          </w:p>
        </w:tc>
      </w:tr>
      <w:tr>
        <w:tc>
          <w:tcPr>
            <w:tcW w:type="dxa" w:w="4680"/>
            <w:vAlign w:val="top"/>
            <w:tcMar>
              <w:top w:w="80" w:type="dxa"/>
              <w:right w:w="80" w:type="dxa"/>
              <w:bottom w:w="80" w:type="dxa"/>
              <w:left w:w="80" w:type="dxa"/>
            </w:tcMar>
          </w:tcPr>
          <w:p>
            <w:r>
              <w:rPr>
                <w:b/>
              </w:rPr>
              <w:t>Change Manager</w:t>
            </w:r>
          </w:p>
        </w:tc>
        <w:tc>
          <w:tcPr>
            <w:tcW w:type="dxa" w:w="4680"/>
            <w:vAlign w:val="top"/>
            <w:tcMar>
              <w:top w:w="80" w:type="dxa"/>
              <w:right w:w="80" w:type="dxa"/>
              <w:bottom w:w="80" w:type="dxa"/>
              <w:left w:w="80" w:type="dxa"/>
            </w:tcMar>
          </w:tcPr>
          <w:p>
            <w:r>
              <w:t>Training, communication, adoption</w:t>
            </w:r>
          </w:p>
        </w:tc>
      </w:tr>
      <w:tr>
        <w:tc>
          <w:tcPr>
            <w:tcW w:type="dxa" w:w="4680"/>
            <w:vAlign w:val="top"/>
            <w:tcMar>
              <w:top w:w="80" w:type="dxa"/>
              <w:right w:w="80" w:type="dxa"/>
              <w:bottom w:w="80" w:type="dxa"/>
              <w:left w:w="80" w:type="dxa"/>
            </w:tcMar>
          </w:tcPr>
          <w:p>
            <w:r>
              <w:rPr>
                <w:b/>
              </w:rPr>
              <w:t>Support Lead</w:t>
            </w:r>
          </w:p>
        </w:tc>
        <w:tc>
          <w:tcPr>
            <w:tcW w:type="dxa" w:w="4680"/>
            <w:vAlign w:val="top"/>
            <w:tcMar>
              <w:top w:w="80" w:type="dxa"/>
              <w:right w:w="80" w:type="dxa"/>
              <w:bottom w:w="80" w:type="dxa"/>
              <w:left w:w="80" w:type="dxa"/>
            </w:tcMar>
          </w:tcPr>
          <w:p>
            <w:r>
              <w:t>Post–go-live support and maintenance</w:t>
            </w:r>
          </w:p>
        </w:tc>
      </w:tr>
    </w:tbl>
    <w:p>
      <w:r>
        <w:t>CVs of key personnel will be provided upon request.</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4680"/>
        <w:gridCol w:w="4680"/>
      </w:tblGrid>
      <w:tr>
        <w:tc>
          <w:tcPr>
            <w:tcW w:type="dxa" w:w="4680"/>
            <w:shd w:fill="1a5490" w:val="clear"/>
            <w:vAlign w:val="top"/>
            <w:tcMar>
              <w:top w:w="80" w:type="dxa"/>
              <w:right w:w="80" w:type="dxa"/>
              <w:bottom w:w="80" w:type="dxa"/>
              <w:left w:w="80" w:type="dxa"/>
            </w:tcMar>
          </w:tcPr>
          <w:p>
            <w:r>
              <w:rPr>
                <w:b/>
                <w:color w:val="FFFFFF"/>
              </w:rPr>
              <w:t>**Requirement**</w:t>
            </w:r>
          </w:p>
        </w:tc>
        <w:tc>
          <w:tcPr>
            <w:tcW w:type="dxa" w:w="4680"/>
            <w:shd w:fill="1a5490" w:val="clear"/>
            <w:vAlign w:val="top"/>
            <w:tcMar>
              <w:top w:w="80" w:type="dxa"/>
              <w:right w:w="80" w:type="dxa"/>
              <w:bottom w:w="80" w:type="dxa"/>
              <w:left w:w="80" w:type="dxa"/>
            </w:tcMar>
          </w:tcPr>
          <w:p>
            <w:r>
              <w:rPr>
                <w:b/>
                <w:color w:val="FFFFFF"/>
              </w:rPr>
              <w:t>**fusionAIx Response**</w:t>
            </w:r>
          </w:p>
        </w:tc>
      </w:tr>
      <w:tr>
        <w:tc>
          <w:tcPr>
            <w:tcW w:type="dxa" w:w="4680"/>
            <w:vAlign w:val="top"/>
            <w:tcMar>
              <w:top w:w="80" w:type="dxa"/>
              <w:right w:w="80" w:type="dxa"/>
              <w:bottom w:w="80" w:type="dxa"/>
              <w:left w:w="80" w:type="dxa"/>
            </w:tcMar>
          </w:tcPr>
          <w:p>
            <w:r>
              <w:t>Unified BPM platform</w:t>
            </w:r>
          </w:p>
        </w:tc>
        <w:tc>
          <w:tcPr>
            <w:tcW w:type="dxa" w:w="4680"/>
            <w:vAlign w:val="top"/>
            <w:tcMar>
              <w:top w:w="80" w:type="dxa"/>
              <w:right w:w="80" w:type="dxa"/>
              <w:bottom w:w="80" w:type="dxa"/>
              <w:left w:w="80" w:type="dxa"/>
            </w:tcMar>
          </w:tcPr>
          <w:p>
            <w:r>
              <w:t>Compliant – Enterprise-grade BPM with low-code configuration</w:t>
            </w:r>
          </w:p>
        </w:tc>
      </w:tr>
      <w:tr>
        <w:tc>
          <w:tcPr>
            <w:tcW w:type="dxa" w:w="4680"/>
            <w:vAlign w:val="top"/>
            <w:tcMar>
              <w:top w:w="80" w:type="dxa"/>
              <w:right w:w="80" w:type="dxa"/>
              <w:bottom w:w="80" w:type="dxa"/>
              <w:left w:w="80" w:type="dxa"/>
            </w:tcMar>
          </w:tcPr>
          <w:p>
            <w:r>
              <w:t>Case management (structured/unstructured)</w:t>
            </w:r>
          </w:p>
        </w:tc>
        <w:tc>
          <w:tcPr>
            <w:tcW w:type="dxa" w:w="4680"/>
            <w:vAlign w:val="top"/>
            <w:tcMar>
              <w:top w:w="80" w:type="dxa"/>
              <w:right w:w="80" w:type="dxa"/>
              <w:bottom w:w="80" w:type="dxa"/>
              <w:left w:w="80" w:type="dxa"/>
            </w:tcMar>
          </w:tcPr>
          <w:p>
            <w:r>
              <w:t>Compliant – Dynamic case management with ad-hoc task creation and auditability</w:t>
            </w:r>
          </w:p>
        </w:tc>
      </w:tr>
      <w:tr>
        <w:tc>
          <w:tcPr>
            <w:tcW w:type="dxa" w:w="4680"/>
            <w:vAlign w:val="top"/>
            <w:tcMar>
              <w:top w:w="80" w:type="dxa"/>
              <w:right w:w="80" w:type="dxa"/>
              <w:bottom w:w="80" w:type="dxa"/>
              <w:left w:w="80" w:type="dxa"/>
            </w:tcMar>
          </w:tcPr>
          <w:p>
            <w:r>
              <w:t>Business rules management</w:t>
            </w:r>
          </w:p>
        </w:tc>
        <w:tc>
          <w:tcPr>
            <w:tcW w:type="dxa" w:w="4680"/>
            <w:vAlign w:val="top"/>
            <w:tcMar>
              <w:top w:w="80" w:type="dxa"/>
              <w:right w:w="80" w:type="dxa"/>
              <w:bottom w:w="80" w:type="dxa"/>
              <w:left w:w="80" w:type="dxa"/>
            </w:tcMar>
          </w:tcPr>
          <w:p>
            <w:r>
              <w:t>Compliant – Centralized rules engine with versioning and controlled deployment</w:t>
            </w:r>
          </w:p>
        </w:tc>
      </w:tr>
      <w:tr>
        <w:tc>
          <w:tcPr>
            <w:tcW w:type="dxa" w:w="4680"/>
            <w:vAlign w:val="top"/>
            <w:tcMar>
              <w:top w:w="80" w:type="dxa"/>
              <w:right w:w="80" w:type="dxa"/>
              <w:bottom w:w="80" w:type="dxa"/>
              <w:left w:w="80" w:type="dxa"/>
            </w:tcMar>
          </w:tcPr>
          <w:p>
            <w:r>
              <w:t>SLA tracking and dashboards</w:t>
            </w:r>
          </w:p>
        </w:tc>
        <w:tc>
          <w:tcPr>
            <w:tcW w:type="dxa" w:w="4680"/>
            <w:vAlign w:val="top"/>
            <w:tcMar>
              <w:top w:w="80" w:type="dxa"/>
              <w:right w:w="80" w:type="dxa"/>
              <w:bottom w:w="80" w:type="dxa"/>
              <w:left w:w="80" w:type="dxa"/>
            </w:tcMar>
          </w:tcPr>
          <w:p>
            <w:r>
              <w:t>Compliant – Real-time dashboards and automated escalations</w:t>
            </w:r>
          </w:p>
        </w:tc>
      </w:tr>
      <w:tr>
        <w:tc>
          <w:tcPr>
            <w:tcW w:type="dxa" w:w="4680"/>
            <w:vAlign w:val="top"/>
            <w:tcMar>
              <w:top w:w="80" w:type="dxa"/>
              <w:right w:w="80" w:type="dxa"/>
              <w:bottom w:w="80" w:type="dxa"/>
              <w:left w:w="80" w:type="dxa"/>
            </w:tcMar>
          </w:tcPr>
          <w:p>
            <w:r>
              <w:t>Integration with ERP/CRM/IDM</w:t>
            </w:r>
          </w:p>
        </w:tc>
        <w:tc>
          <w:tcPr>
            <w:tcW w:type="dxa" w:w="4680"/>
            <w:vAlign w:val="top"/>
            <w:tcMar>
              <w:top w:w="80" w:type="dxa"/>
              <w:right w:w="80" w:type="dxa"/>
              <w:bottom w:w="80" w:type="dxa"/>
              <w:left w:w="80" w:type="dxa"/>
            </w:tcMar>
          </w:tcPr>
          <w:p>
            <w:r>
              <w:t>Compliant – REST APIs, message queues, event-driven integration</w:t>
            </w:r>
          </w:p>
        </w:tc>
      </w:tr>
      <w:tr>
        <w:tc>
          <w:tcPr>
            <w:tcW w:type="dxa" w:w="4680"/>
            <w:vAlign w:val="top"/>
            <w:tcMar>
              <w:top w:w="80" w:type="dxa"/>
              <w:right w:w="80" w:type="dxa"/>
              <w:bottom w:w="80" w:type="dxa"/>
              <w:left w:w="80" w:type="dxa"/>
            </w:tcMar>
          </w:tcPr>
          <w:p>
            <w:r>
              <w:t>Role-based access control</w:t>
            </w:r>
          </w:p>
        </w:tc>
        <w:tc>
          <w:tcPr>
            <w:tcW w:type="dxa" w:w="4680"/>
            <w:vAlign w:val="top"/>
            <w:tcMar>
              <w:top w:w="80" w:type="dxa"/>
              <w:right w:w="80" w:type="dxa"/>
              <w:bottom w:w="80" w:type="dxa"/>
              <w:left w:w="80" w:type="dxa"/>
            </w:tcMar>
          </w:tcPr>
          <w:p>
            <w:r>
              <w:t>Compliant – Fine-grained RBAC with full audit logging</w:t>
            </w:r>
          </w:p>
        </w:tc>
      </w:tr>
      <w:tr>
        <w:tc>
          <w:tcPr>
            <w:tcW w:type="dxa" w:w="4680"/>
            <w:vAlign w:val="top"/>
            <w:tcMar>
              <w:top w:w="80" w:type="dxa"/>
              <w:right w:w="80" w:type="dxa"/>
              <w:bottom w:w="80" w:type="dxa"/>
              <w:left w:w="80" w:type="dxa"/>
            </w:tcMar>
          </w:tcPr>
          <w:p>
            <w:r>
              <w:t>Web-based responsive UI</w:t>
            </w:r>
          </w:p>
        </w:tc>
        <w:tc>
          <w:tcPr>
            <w:tcW w:type="dxa" w:w="4680"/>
            <w:vAlign w:val="top"/>
            <w:tcMar>
              <w:top w:w="80" w:type="dxa"/>
              <w:right w:w="80" w:type="dxa"/>
              <w:bottom w:w="80" w:type="dxa"/>
              <w:left w:w="80" w:type="dxa"/>
            </w:tcMar>
          </w:tcPr>
          <w:p>
            <w:r>
              <w:t>Compliant – Accessible via standard browsers</w:t>
            </w:r>
          </w:p>
        </w:tc>
      </w:tr>
      <w:tr>
        <w:tc>
          <w:tcPr>
            <w:tcW w:type="dxa" w:w="4680"/>
            <w:vAlign w:val="top"/>
            <w:tcMar>
              <w:top w:w="80" w:type="dxa"/>
              <w:right w:w="80" w:type="dxa"/>
              <w:bottom w:w="80" w:type="dxa"/>
              <w:left w:w="80" w:type="dxa"/>
            </w:tcMar>
          </w:tcPr>
          <w:p>
            <w:r>
              <w:t>Training and change management</w:t>
            </w:r>
          </w:p>
        </w:tc>
        <w:tc>
          <w:tcPr>
            <w:tcW w:type="dxa" w:w="4680"/>
            <w:vAlign w:val="top"/>
            <w:tcMar>
              <w:top w:w="80" w:type="dxa"/>
              <w:right w:w="80" w:type="dxa"/>
              <w:bottom w:w="80" w:type="dxa"/>
              <w:left w:w="80" w:type="dxa"/>
            </w:tcMar>
          </w:tcPr>
          <w:p>
            <w:r>
              <w:t>Compliant – Comprehensive training and user enablement</w:t>
            </w:r>
          </w:p>
        </w:tc>
      </w:tr>
      <w:tr>
        <w:tc>
          <w:tcPr>
            <w:tcW w:type="dxa" w:w="4680"/>
            <w:vAlign w:val="top"/>
            <w:tcMar>
              <w:top w:w="80" w:type="dxa"/>
              <w:right w:w="80" w:type="dxa"/>
              <w:bottom w:w="80" w:type="dxa"/>
              <w:left w:w="80" w:type="dxa"/>
            </w:tcMar>
          </w:tcPr>
          <w:p>
            <w:r>
              <w:t>Post–go-live support (3 years)</w:t>
            </w:r>
          </w:p>
        </w:tc>
        <w:tc>
          <w:tcPr>
            <w:tcW w:type="dxa" w:w="4680"/>
            <w:vAlign w:val="top"/>
            <w:tcMar>
              <w:top w:w="80" w:type="dxa"/>
              <w:right w:w="80" w:type="dxa"/>
              <w:bottom w:w="80" w:type="dxa"/>
              <w:left w:w="80" w:type="dxa"/>
            </w:tcMar>
          </w:tcPr>
          <w:p>
            <w:r>
              <w:t>Compliant – Tiered support model with defined SLAs</w:t>
            </w:r>
          </w:p>
        </w:tc>
      </w:tr>
      <w:tr>
        <w:tc>
          <w:tcPr>
            <w:tcW w:type="dxa" w:w="4680"/>
            <w:vAlign w:val="top"/>
            <w:tcMar>
              <w:top w:w="80" w:type="dxa"/>
              <w:right w:w="80" w:type="dxa"/>
              <w:bottom w:w="80" w:type="dxa"/>
              <w:left w:w="80" w:type="dxa"/>
            </w:tcMar>
          </w:tcPr>
          <w:p>
            <w:r>
              <w:t>Proven experience</w:t>
            </w:r>
          </w:p>
        </w:tc>
        <w:tc>
          <w:tcPr>
            <w:tcW w:type="dxa" w:w="4680"/>
            <w:vAlign w:val="top"/>
            <w:tcMar>
              <w:top w:w="80" w:type="dxa"/>
              <w:right w:w="80" w:type="dxa"/>
              <w:bottom w:w="80" w:type="dxa"/>
              <w:left w:w="80" w:type="dxa"/>
            </w:tcMar>
          </w:tcPr>
          <w:p>
            <w:r>
              <w:t>Compliant – 20+ BPM implementations globally</w:t>
            </w:r>
          </w:p>
        </w:tc>
      </w:tr>
    </w:tbl>
    <w:p/>
    <w:p>
      <w:pPr>
        <w:pStyle w:val="Heading2"/>
      </w:pPr>
      <w:r>
        <w:t>8. Assumptions, Dependencies, and Risks</w:t>
      </w:r>
    </w:p>
    <w:p/>
    <w:p>
      <w:pPr>
        <w:pStyle w:val="Heading3"/>
      </w:pPr>
      <w:r>
        <w:t>Assumptions</w:t>
      </w:r>
    </w:p>
    <w:p>
      <w:pPr>
        <w:pStyle w:val="ListBullet"/>
      </w:pPr>
      <w:r>
        <w:t>MTI will provide access to existing systems and documentation.</w:t>
      </w:r>
    </w:p>
    <w:p>
      <w:pPr>
        <w:pStyle w:val="ListBullet"/>
      </w:pPr>
      <w:r>
        <w:t>Required infrastructure (servers, network, security) will be provisioned by MTI.</w:t>
      </w:r>
    </w:p>
    <w:p>
      <w:pPr>
        <w:pStyle w:val="ListBullet"/>
      </w:pPr>
      <w:r>
        <w:t>MTI will nominate business SMEs for workshops and UAT.</w:t>
      </w:r>
    </w:p>
    <w:p/>
    <w:p>
      <w:pPr>
        <w:pStyle w:val="Heading3"/>
      </w:pPr>
      <w:r>
        <w:t>Dependencies</w:t>
      </w:r>
    </w:p>
    <w:p>
      <w:pPr>
        <w:pStyle w:val="ListBullet"/>
      </w:pPr>
      <w:r>
        <w:t>Timely availability of integration endpoints.</w:t>
      </w:r>
    </w:p>
    <w:p>
      <w:pPr>
        <w:pStyle w:val="ListBullet"/>
      </w:pPr>
      <w:r>
        <w:t>Alignment with MTI’s IAM and security policies.</w:t>
      </w:r>
    </w:p>
    <w:p>
      <w:pPr>
        <w:pStyle w:val="ListBullet"/>
      </w:pPr>
      <w:r>
        <w:t>Coordination with other ongoing digital initiatives.</w:t>
      </w:r>
    </w:p>
    <w:p/>
    <w:p>
      <w:pPr>
        <w:pStyle w:val="Heading3"/>
      </w:pPr>
      <w:r>
        <w:t>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requirements finalization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workshops and sign-off checkpoints</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of abstraction layer and standard APIs</w:t>
            </w:r>
          </w:p>
        </w:tc>
      </w:tr>
      <w:tr>
        <w:tc>
          <w:tcPr>
            <w:tcW w:type="dxa" w:w="3120"/>
            <w:vAlign w:val="top"/>
            <w:tcMar>
              <w:top w:w="80" w:type="dxa"/>
              <w:right w:w="80" w:type="dxa"/>
              <w:bottom w:w="80" w:type="dxa"/>
              <w:left w:w="80" w:type="dxa"/>
            </w:tcMar>
          </w:tcPr>
          <w:p>
            <w:r>
              <w:t>User adoption challenges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Structured training and change management</w:t>
            </w:r>
          </w:p>
        </w:tc>
      </w:tr>
      <w:tr>
        <w:tc>
          <w:tcPr>
            <w:tcW w:type="dxa" w:w="3120"/>
            <w:vAlign w:val="top"/>
            <w:tcMar>
              <w:top w:w="80" w:type="dxa"/>
              <w:right w:w="80" w:type="dxa"/>
              <w:bottom w:w="80" w:type="dxa"/>
              <w:left w:w="80" w:type="dxa"/>
            </w:tcMar>
          </w:tcPr>
          <w:p>
            <w:r>
              <w:t>Data migration errors</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Automated reconciliation and validation scripts</w:t>
            </w:r>
          </w:p>
        </w:tc>
      </w:tr>
    </w:tbl>
    <w:p/>
    <w:p>
      <w:pPr>
        <w:pStyle w:val="Heading2"/>
      </w:pPr>
      <w:r>
        <w:t>9. Support and Maintenance Model</w:t>
      </w:r>
    </w:p>
    <w:p/>
    <w:p>
      <w:r>
        <w:t>FusionAIx will provide tiered post–go-live support with clearly defined L1, L2, and L3 responsibilities, covering user issues, application defects, and platform or integration-related incidents respectively.</w:t>
      </w:r>
    </w:p>
    <w:p/>
    <w:p>
      <w:r>
        <w:t>SLAs will be aligned to incident severity, with defined response and resolution targets and a formal escalation path from service desk to solution architects for critical issues. Proactive maintenance will include monitoring, minor enhancements, and periodic health checks.</w:t>
      </w:r>
    </w:p>
    <w:p/>
    <w:p>
      <w:r>
        <w:t>Knowledge transfer to MTI’s internal team will be handled through structured handover sessions, documentation, and shadow support during the initial stabilization period to ensure long-term self-sufficiency.</w:t>
      </w:r>
    </w:p>
    <w:p/>
    <w:p>
      <w:pPr>
        <w:pStyle w:val="Heading2"/>
      </w:pPr>
      <w:r>
        <w:t>10. Commercial Proposal</w:t>
      </w:r>
    </w:p>
    <w:p/>
    <w:p>
      <w:r>
        <w:t>FusionAIx’s commercial proposal includes:</w:t>
      </w:r>
    </w:p>
    <w:p>
      <w:pPr>
        <w:pStyle w:val="ListBullet"/>
      </w:pPr>
      <w:r>
        <w:rPr>
          <w:b/>
        </w:rPr>
        <w:t>Licensing:</w:t>
      </w:r>
      <w:r>
        <w:t xml:space="preserve"> Enterprise BPM platform licenses for MTI’s anticipated user base (internal and external).</w:t>
      </w:r>
    </w:p>
    <w:p>
      <w:pPr>
        <w:pStyle w:val="ListBullet"/>
      </w:pPr>
      <w:r>
        <w:rPr>
          <w:b/>
        </w:rPr>
        <w:t>Implementation Services:</w:t>
      </w:r>
      <w:r>
        <w:t xml:space="preserve"> Requirements gathering, configuration, integration, testing, and training.</w:t>
      </w:r>
    </w:p>
    <w:p>
      <w:pPr>
        <w:pStyle w:val="ListBullet"/>
      </w:pPr>
      <w:r>
        <w:rPr>
          <w:b/>
        </w:rPr>
        <w:t>Support and Maintenance:</w:t>
      </w:r>
      <w:r>
        <w:t xml:space="preserve"> Three years of post–go-live support with defined SLAs.</w:t>
      </w:r>
    </w:p>
    <w:p>
      <w:pPr>
        <w:pStyle w:val="ListBullet"/>
      </w:pPr>
      <w:r>
        <w:rPr>
          <w:b/>
        </w:rPr>
        <w:t>Optional Components:</w:t>
      </w:r>
      <w:r>
        <w:t xml:space="preserve"> AI-driven analytics, chatbot integration, and advanced reporting modules.</w:t>
      </w:r>
    </w:p>
    <w:p/>
    <w:p>
      <w:r>
        <w:t>Note: Detailed pricing, license quantities, and rate cards will be provided in the commercial annex upon request.</w:t>
      </w:r>
    </w:p>
    <w:p/>
    <w:p>
      <w:r>
        <w:t>FusionAIx appreciates the opportunity to partner with MTI in this transformative initiative. Our proposed solution combines proven technology, deep expertise, and a commitment to excellence—ensuring that MTI achieves its vision of a unified, transparent, and agile digital operations platform.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