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RFP Response (Structured) - - Supply, implement, and support an enterprise BPM...</w:t>
      </w:r>
    </w:p>
    <w:p>
      <w:pPr>
        <w:jc w:val="center"/>
      </w:pPr>
      <w:r>
        <w:t>December 20, 2025</w:t>
      </w:r>
    </w:p>
    <w:p>
      <w:pPr>
        <w:jc w:val="center"/>
      </w:pPr>
      <w:r>
        <w:t>fusionAIx</w:t>
      </w:r>
    </w:p>
    <w:p>
      <w:pPr>
        <w:jc w:val="center"/>
      </w:pPr>
      <w:r>
        <w:t>www.fusionaix.com</w:t>
      </w:r>
    </w:p>
    <w:p>
      <w:r>
        <w:br w:type="page"/>
      </w:r>
    </w:p>
    <w:p>
      <w:pPr>
        <w:pStyle w:val="Heading1"/>
      </w:pPr>
      <w:r>
        <w:t>Table of Contents</w:t>
      </w:r>
    </w:p>
    <w:p>
      <w:r>
        <w:fldSimple w:instr="TOC \o &quot;1-3&quot; \h \z \u"/>
      </w:r>
    </w:p>
    <w:p>
      <w:r>
        <w:br w:type="page"/>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
      <w:pPr>
        <w:pStyle w:val="Heading1"/>
      </w:pPr>
      <w:r>
        <w:t>Proposal for the Ministry of Trade and Industry (MTI)</w:t>
      </w:r>
    </w:p>
    <w:p>
      <w:r>
        <w:t>Implementation of a Unified Business Process Management (BPM) and Case Management Platform</w:t>
      </w:r>
    </w:p>
    <w:p>
      <w:r>
        <w:t>Submitted by: fusionAIx</w:t>
      </w:r>
    </w:p>
    <w:p/>
    <w:p>
      <w:pPr>
        <w:pStyle w:val="Heading2"/>
      </w:pPr>
      <w:r>
        <w:t>1. Executive Summary</w:t>
      </w:r>
    </w:p>
    <w:p/>
    <w:p>
      <w:r>
        <w:t>FusionAIx is pleased to submit this comprehensive proposal in response to the Ministry of Trade and Industry’s (MTI) Request for Proposal for the supply, implementation, and support of a unified Business Process Management (BPM) and Case Management platform.</w:t>
      </w:r>
    </w:p>
    <w:p/>
    <w:p>
      <w:r>
        <w:t>At fusionAIx, we believe that the future of digital transformation lies in the seamless blend of low-code platforms and artificial intelligence. Our mission is to empower government and enterprise organizations to reimagine their processes, accelerate service delivery, and achieve operational excellence through intelligent automation.</w:t>
      </w:r>
    </w:p>
    <w:p/>
    <w:p>
      <w:r>
        <w:t>We propose to implement an enterprise-grade BPM platform that will serve as the digital backbone for MTI’s core business processes, including business licensing and renewals, incentive and grant applications, and related regulatory workflows. The proposed solution will unify structured and unstructured work, enforce consistent application of business rules and policies, and provide end-to-end transparency and auditability across all case types.</w:t>
      </w:r>
    </w:p>
    <w:p/>
    <w:p>
      <w:r>
        <w:t>Our approach leverages fusionAIx’s deep expertise in low-code BPM platforms—particularly Pega Constellation, Microsoft Power Platform, and ServiceNow—and our proprietary accelerators such as fxAgentSDK, fxAIStudio, fxMockUpToView, and fxSmartDCO. These accelerators enable rapid configuration, intelligent automation, and streamlined delivery, ensuring faster time-to-value for MTI.</w:t>
      </w:r>
    </w:p>
    <w:p/>
    <w:p>
      <w:r>
        <w:t>FusionAIx brings over 20 successful enterprise BPM implementations globally, including multiple government and regulatory agencies. We are a Great Place To Work® Certified Company (2025–26), reflecting our commitment to excellence, innovation, and people-first values.</w:t>
      </w:r>
    </w:p>
    <w:p/>
    <w:p>
      <w:r>
        <w:t>Our proposed solution will deliver:</w:t>
      </w:r>
    </w:p>
    <w:p>
      <w:pPr>
        <w:pStyle w:val="ListBullet"/>
      </w:pPr>
      <w:r>
        <w:t>A unified BPM and case management platform supporting both structured and ad-hoc workflows.</w:t>
      </w:r>
    </w:p>
    <w:p>
      <w:pPr>
        <w:pStyle w:val="ListBullet"/>
      </w:pPr>
      <w:r>
        <w:t>Centralized business rules management for consistent policy enforcement.</w:t>
      </w:r>
    </w:p>
    <w:p>
      <w:pPr>
        <w:pStyle w:val="ListBullet"/>
      </w:pPr>
      <w:r>
        <w:t>Real-time dashboards and analytics for SLA tracking, workload management, and performance optimization.</w:t>
      </w:r>
    </w:p>
    <w:p>
      <w:pPr>
        <w:pStyle w:val="ListBullet"/>
      </w:pPr>
      <w:r>
        <w:t>Low-code configuration for rapid introduction of new services and process changes.</w:t>
      </w:r>
    </w:p>
    <w:p>
      <w:pPr>
        <w:pStyle w:val="ListBullet"/>
      </w:pPr>
      <w:r>
        <w:t>Secure, web-based, responsive interfaces for internal and external users.</w:t>
      </w:r>
    </w:p>
    <w:p>
      <w:pPr>
        <w:pStyle w:val="ListBullet"/>
      </w:pPr>
      <w:r>
        <w:t>Seamless integration with MTI’s existing enterprise systems (ERP, CRM, DMS, IAM).</w:t>
      </w:r>
    </w:p>
    <w:p>
      <w:pPr>
        <w:pStyle w:val="ListBullet"/>
      </w:pPr>
      <w:r>
        <w:t>A robust support and maintenance model with defined SLAs and knowledge transfer to MTI’s internal teams.</w:t>
      </w:r>
    </w:p>
    <w:p/>
    <w:p>
      <w:r>
        <w:t>FusionAIx is confident that our proposed solution and approach will enable MTI to achieve its strategic objectives of digital transformation, operational efficiency, and citizen-centric service delivery.</w:t>
      </w:r>
    </w:p>
    <w:p/>
    <w:p>
      <w:pPr>
        <w:pStyle w:val="Heading2"/>
      </w:pPr>
      <w:r>
        <w:t>2. Understanding of MTI’s Objectives and Context</w:t>
      </w:r>
    </w:p>
    <w:p/>
    <w:p>
      <w:r>
        <w:t>MTI’s vision is to modernize and unify its business process landscape through a single, enterprise-grade BPM platform that can orchestrate, manage, and continuously improve its core business processes. The Ministry’s objectives, as we understand them, are as follows:</w:t>
      </w:r>
    </w:p>
    <w:p/>
    <w:p>
      <w:pPr>
        <w:pStyle w:val="ListNumber"/>
      </w:pPr>
      <w:r>
        <w:rPr>
          <w:b/>
        </w:rPr>
        <w:t>Unified BPM Platform:</w:t>
      </w:r>
      <w:r>
        <w:t xml:space="preserve"> Implement a single, enterprise-grade BPM platform to orchestrate and manage MTI’s core business processes, replacing fragmented legacy systems and manual workflows.</w:t>
      </w:r>
    </w:p>
    <w:p/>
    <w:p>
      <w:pPr>
        <w:pStyle w:val="ListNumber"/>
      </w:pPr>
      <w:r>
        <w:rPr>
          <w:b/>
        </w:rPr>
        <w:t>Configurable Case Management:</w:t>
      </w:r>
      <w:r>
        <w:t xml:space="preserve"> Provide a configurable case management capability that supports both structured and unstructured work, enabling MTI to handle dynamic, ad-hoc, and discretionary tasks while maintaining governance and auditability.</w:t>
      </w:r>
    </w:p>
    <w:p/>
    <w:p>
      <w:pPr>
        <w:pStyle w:val="ListNumber"/>
      </w:pPr>
      <w:r>
        <w:rPr>
          <w:b/>
        </w:rPr>
        <w:t>Consistent Policy Enforcement:</w:t>
      </w:r>
      <w:r>
        <w:t xml:space="preserve"> Enforce consistent application of business rules, policies, and regulatory requirements across all processes through centralized rules management and version control.</w:t>
      </w:r>
    </w:p>
    <w:p/>
    <w:p>
      <w:pPr>
        <w:pStyle w:val="ListNumber"/>
      </w:pPr>
      <w:r>
        <w:rPr>
          <w:b/>
        </w:rPr>
        <w:t>Transparency and Auditability:</w:t>
      </w:r>
      <w:r>
        <w:t xml:space="preserve"> Improve transparency and auditability through end-to-end tracking of cases, tasks, and SLAs, ensuring accountability and compliance with national data governance standards.</w:t>
      </w:r>
    </w:p>
    <w:p/>
    <w:p>
      <w:pPr>
        <w:pStyle w:val="ListNumber"/>
      </w:pPr>
      <w:r>
        <w:rPr>
          <w:b/>
        </w:rPr>
        <w:t>Agility and Low-Code Enablement:</w:t>
      </w:r>
      <w:r>
        <w:t xml:space="preserve"> Enable faster introduction of new services and process changes via low-code configuration, reducing dependency on custom development and IT bottlenecks.</w:t>
      </w:r>
    </w:p>
    <w:p/>
    <w:p>
      <w:pPr>
        <w:pStyle w:val="ListNumber"/>
      </w:pPr>
      <w:r>
        <w:rPr>
          <w:b/>
        </w:rPr>
        <w:t>User Experience and Accessibility:</w:t>
      </w:r>
      <w:r>
        <w:t xml:space="preserve"> Provide user-friendly, web-based, and responsive interfaces for staff, management, and external stakeholders, with guided steps, contextual help, and self-service capabilities.</w:t>
      </w:r>
    </w:p>
    <w:p/>
    <w:p>
      <w:pPr>
        <w:pStyle w:val="ListNumber"/>
      </w:pPr>
      <w:r>
        <w:rPr>
          <w:b/>
        </w:rPr>
        <w:t>Analytics and Continuous Improvement:</w:t>
      </w:r>
      <w:r>
        <w:t xml:space="preserve"> Lay the foundation for analytics and continuous process improvement through real-time dashboards, performance metrics, and process mining capabilities.</w:t>
      </w:r>
    </w:p>
    <w:p/>
    <w:p>
      <w:pPr>
        <w:pStyle w:val="ListNumber"/>
      </w:pPr>
      <w:r>
        <w:rPr>
          <w:b/>
        </w:rPr>
        <w:t>Integration and Security:</w:t>
      </w:r>
      <w:r>
        <w:t xml:space="preserve"> Ensure seamless integration with MTI’s existing enterprise systems (ERP, CRM, DMS, IAM) using secure, standards-based APIs and identity federation mechanisms.</w:t>
      </w:r>
    </w:p>
    <w:p/>
    <w:p>
      <w:pPr>
        <w:pStyle w:val="ListNumber"/>
      </w:pPr>
      <w:r>
        <w:rPr>
          <w:b/>
        </w:rPr>
        <w:t>Sustainability and Support:</w:t>
      </w:r>
      <w:r>
        <w:t xml:space="preserve"> Provide a robust support and maintenance model for at least three years post–go-live, including patching, upgrades, and incident resolution, with defined SLAs and escalation paths.</w:t>
      </w:r>
    </w:p>
    <w:p/>
    <w:p>
      <w:r>
        <w:t>FusionAIx fully aligns with these objectives. Our proposed solution and approach are designed to deliver measurable outcomes in efficiency, transparency, and service quality, while ensuring compliance, scalability, and long-term sustainability.</w:t>
      </w:r>
    </w:p>
    <w:p/>
    <w:p>
      <w:pPr>
        <w:pStyle w:val="Heading2"/>
      </w:pPr>
      <w:r>
        <w:t>3. Proposed Solution Overview</w:t>
      </w:r>
    </w:p>
    <w:p/>
    <w:p>
      <w:pPr>
        <w:pStyle w:val="Heading3"/>
      </w:pPr>
      <w:r>
        <w:t>3.1 Solution Architecture</w:t>
      </w:r>
    </w:p>
    <w:p/>
    <w:p>
      <w:r>
        <w:t>FusionAIx proposes the deployment of an enterprise-grade BPM platform—based on a proven, low-code, model-driven architecture—capable of supporting both straight-through processing (STP) and human-centric workflows. The platform will be deployed either as SaaS or on MTI’s preferred infrastructure (Kubernetes/OpenShift), ensuring scalability, high availability, and security.</w:t>
      </w:r>
    </w:p>
    <w:p/>
    <w:p>
      <w:r>
        <w:t>The architecture comprises the following major components:</w:t>
      </w:r>
    </w:p>
    <w:p/>
    <w:p>
      <w:pPr>
        <w:pStyle w:val="ListBullet"/>
      </w:pPr>
      <w:r>
        <w:rPr>
          <w:b/>
        </w:rPr>
        <w:t>Process Orchestration Layer:</w:t>
      </w:r>
      <w:r>
        <w:t xml:space="preserve"> Model-driven BPMN workflows for end-to-end process automation, including service tasks, user tasks, events, and gateways.</w:t>
      </w:r>
    </w:p>
    <w:p/>
    <w:p>
      <w:pPr>
        <w:pStyle w:val="ListBullet"/>
      </w:pPr>
      <w:r>
        <w:rPr>
          <w:b/>
        </w:rPr>
        <w:t>Case Management Layer:</w:t>
      </w:r>
      <w:r>
        <w:t xml:space="preserve"> Configurable case types supporting structured and unstructured work, ad-hoc task creation, discretionary workflows, and user-driven updates.</w:t>
      </w:r>
    </w:p>
    <w:p/>
    <w:p>
      <w:pPr>
        <w:pStyle w:val="ListBullet"/>
      </w:pPr>
      <w:r>
        <w:rPr>
          <w:b/>
        </w:rPr>
        <w:t>Business Rules Engine:</w:t>
      </w:r>
      <w:r>
        <w:t xml:space="preserve"> Centralized rules management using DMN or equivalent, enabling externalization of business policies from application code, versioning, testing, and controlled deployment.</w:t>
      </w:r>
    </w:p>
    <w:p/>
    <w:p>
      <w:pPr>
        <w:pStyle w:val="ListBullet"/>
      </w:pPr>
      <w:r>
        <w:rPr>
          <w:b/>
        </w:rPr>
        <w:t>User Experience Layer:</w:t>
      </w:r>
      <w:r>
        <w:t xml:space="preserve"> Web-based, responsive interfaces accessible via standard browsers, with guided steps, contextual help, and self-service portals for external stakeholders.</w:t>
      </w:r>
    </w:p>
    <w:p/>
    <w:p>
      <w:pPr>
        <w:pStyle w:val="ListBullet"/>
      </w:pPr>
      <w:r>
        <w:rPr>
          <w:b/>
        </w:rPr>
        <w:t>Integration Layer:</w:t>
      </w:r>
      <w:r>
        <w:t xml:space="preserve"> REST APIs, message queues, and event-based integration patterns for seamless connectivity with MTI’s ERP, CRM, DMS, and IAM systems.</w:t>
      </w:r>
    </w:p>
    <w:p/>
    <w:p>
      <w:pPr>
        <w:pStyle w:val="ListBullet"/>
      </w:pPr>
      <w:r>
        <w:rPr>
          <w:b/>
        </w:rPr>
        <w:t>Analytics and Reporting Layer:</w:t>
      </w:r>
      <w:r>
        <w:t xml:space="preserve"> Real-time dashboards and reports for monitoring case volumes, workload distribution, SLA performance, and bottlenecks, with self-service dashboarding for business users.</w:t>
      </w:r>
    </w:p>
    <w:p/>
    <w:p>
      <w:pPr>
        <w:pStyle w:val="ListBullet"/>
      </w:pPr>
      <w:r>
        <w:rPr>
          <w:b/>
        </w:rPr>
        <w:t>Security and Governance Layer:</w:t>
      </w:r>
      <w:r>
        <w:t xml:space="preserve"> Role-based access control (RBAC), fine-grained permissions, full audit logging, and compliance with national cybersecurity and data protection standards.</w:t>
      </w:r>
    </w:p>
    <w:p/>
    <w:p>
      <w:pPr>
        <w:pStyle w:val="Heading3"/>
      </w:pPr>
      <w:r>
        <w:t>3.2 Case Management Capability</w:t>
      </w:r>
    </w:p>
    <w:p/>
    <w:p>
      <w:r>
        <w:t>FusionAIx will configure the BPM platform’s case management layer to support ad-hoc and unstructured work by enabling dynamic task creation, discretionary workflows, and user-driven case updates within controlled case boundaries. Business users will be allowed to add tasks, assign owners, and trigger ad-hoc approvals using role-based permissions and predefined guardrails, rather than free-form actions. All case activities—including manual interventions, decision overrides, and document changes—will be automatically logged with timestamps and user context to ensure full auditability. Governance will be enforced through configurable case templates, lifecycle states, and policy rules, ensuring flexibility without compromising compliance or traceability.</w:t>
      </w:r>
    </w:p>
    <w:p/>
    <w:p>
      <w:pPr>
        <w:pStyle w:val="Heading3"/>
      </w:pPr>
      <w:r>
        <w:t>3.3 Integration Approach</w:t>
      </w:r>
    </w:p>
    <w:p/>
    <w:p>
      <w:r>
        <w:t>FusionAIx will integrate the BPM platform with MTI’s ERP, CRM, document management, and identity systems using standard integration patterns such as REST APIs, asynchronous messaging, and event-driven workflows, leveraging existing middleware or platform-native connectors where available. An abstraction layer will be used to decouple BPM processes from backend systems, improving resilience and change management. Data consistency will be maintained through canonical data models, controlled transaction boundaries, and reconciliation checks. Security will be enforced via centralized IAM, standards-based authentication (SAML 2.0, OIDC, OAuth 2.0), and fine-grained RBAC mapped from MTI identity groups.</w:t>
      </w:r>
    </w:p>
    <w:p/>
    <w:p>
      <w:pPr>
        <w:pStyle w:val="Heading3"/>
      </w:pPr>
      <w:r>
        <w:t>3.4 Key Differentiators</w:t>
      </w:r>
    </w:p>
    <w:p/>
    <w:p>
      <w:pPr>
        <w:pStyle w:val="ListBullet"/>
      </w:pPr>
      <w:r>
        <w:t>Proven expertise in low-code BPM implementations across government and enterprise sectors.</w:t>
      </w:r>
    </w:p>
    <w:p>
      <w:pPr>
        <w:pStyle w:val="ListBullet"/>
      </w:pPr>
      <w:r>
        <w:t>Proprietary accelerators (fxAgentSDK, fxAIStudio, fxMockUpToView, fxSmartDCO) for rapid configuration and delivery.</w:t>
      </w:r>
    </w:p>
    <w:p>
      <w:pPr>
        <w:pStyle w:val="ListBullet"/>
      </w:pPr>
      <w:r>
        <w:t>Deep experience in Constellation-based pattern development for faster go-lives.</w:t>
      </w:r>
    </w:p>
    <w:p>
      <w:pPr>
        <w:pStyle w:val="ListBullet"/>
      </w:pPr>
      <w:r>
        <w:t>Strong governance, auditability, and compliance features aligned with government standards.</w:t>
      </w:r>
    </w:p>
    <w:p>
      <w:pPr>
        <w:pStyle w:val="ListBullet"/>
      </w:pPr>
      <w:r>
        <w:t>Comprehensive post–go-live support and knowledge transfer model ensuring MTI’s self-sufficiency.</w:t>
      </w:r>
    </w:p>
    <w:p/>
    <w:p>
      <w:pPr>
        <w:pStyle w:val="Heading2"/>
      </w:pPr>
      <w:r>
        <w:t>4. Implementation Approach and Methodology</w:t>
      </w:r>
    </w:p>
    <w:p/>
    <w:p>
      <w:r>
        <w:t>FusionAIx will adopt a phased, agile implementation approach that ensures rapid value realization while maintaining quality, governance, and stakeholder alignment.</w:t>
      </w:r>
    </w:p>
    <w:p/>
    <w:p>
      <w:pPr>
        <w:pStyle w:val="Heading3"/>
      </w:pPr>
      <w:r>
        <w:t>4.1 Discovery and Requirements Gathering</w:t>
      </w:r>
    </w:p>
    <w:p/>
    <w:p>
      <w:r>
        <w:t>We will conduct collaborative workshops with MTI stakeholders to capture detailed business requirements, process pain points, and improvement opportunities. Using our fxSmartDCO accelerator, we will facilitate real-time process modeling and validation sessions, ensuring alignment between business and IT from the outset.</w:t>
      </w:r>
    </w:p>
    <w:p/>
    <w:p>
      <w:pPr>
        <w:pStyle w:val="Heading3"/>
      </w:pPr>
      <w:r>
        <w:t>4.2 Process Modeling and Design</w:t>
      </w:r>
    </w:p>
    <w:p/>
    <w:p>
      <w:r>
        <w:t>Processes will be modeled using BPMN for orchestration and DMN for business rules. Case types, SLAs, and routing logic will be defined collaboratively with MTI’s process owners. The design will emphasize reusability, modularity, and compliance with MTI’s governance standards.</w:t>
      </w:r>
    </w:p>
    <w:p/>
    <w:p>
      <w:pPr>
        <w:pStyle w:val="Heading3"/>
      </w:pPr>
      <w:r>
        <w:t>4.3 Migration of Existing Workflows</w:t>
      </w:r>
    </w:p>
    <w:p/>
    <w:p>
      <w:r>
        <w:t>FusionAIx will follow a phased migration approach, starting with detailed analysis of MTI’s legacy workflows to assess complexity, usage, risk, and business criticality. Processes will be prioritized into quick wins, core migrations, and deferred candidates, with high-risk or mission-critical workflows transitioned using parallel run and rollback strategies to minimize disruption. Data and integrations will be migrated incrementally using validated mappings, automated reconciliation, and interface abstraction layers. Throughout the transition, existing operations will remain live, with cutovers planned around business cycles and supported by clear communication and change management.</w:t>
      </w:r>
    </w:p>
    <w:p/>
    <w:p>
      <w:pPr>
        <w:pStyle w:val="Heading3"/>
      </w:pPr>
      <w:r>
        <w:t>4.4 Configuration and Development</w:t>
      </w:r>
    </w:p>
    <w:p/>
    <w:p>
      <w:r>
        <w:t>Using our low-code accelerators, we will configure process models, case types, forms, SLAs, and business rules. Custom components, if required, will be developed following secure coding and version control practices. Integration endpoints will be configured using REST APIs and message queues.</w:t>
      </w:r>
    </w:p>
    <w:p/>
    <w:p>
      <w:pPr>
        <w:pStyle w:val="Heading3"/>
      </w:pPr>
      <w:r>
        <w:t>4.5 Testing and Quality Assurance</w:t>
      </w:r>
    </w:p>
    <w:p/>
    <w:p>
      <w:r>
        <w:t>Comprehensive testing will include unit, integration, system, and user acceptance testing (UAT). Automated test scripts will be used where possible to ensure repeatability and coverage. Performance and security testing will validate scalability and compliance.</w:t>
      </w:r>
    </w:p>
    <w:p/>
    <w:p>
      <w:pPr>
        <w:pStyle w:val="Heading3"/>
      </w:pPr>
      <w:r>
        <w:t>4.6 Training and Change Management</w:t>
      </w:r>
    </w:p>
    <w:p/>
    <w:p>
      <w:r>
        <w:t>FusionAIx will deliver training for system administrators, business power users, and end users. Training materials and user guides will be provided, and change management will be supported through communication plans, stakeholder engagement, and feedback loops.</w:t>
      </w:r>
    </w:p>
    <w:p/>
    <w:p>
      <w:pPr>
        <w:pStyle w:val="Heading3"/>
      </w:pPr>
      <w:r>
        <w:t>4.7 Go-Live and Stabilization</w:t>
      </w:r>
    </w:p>
    <w:p/>
    <w:p>
      <w:r>
        <w:t>A controlled go-live will be executed with rollback plans in place. Post–go-live stabilization will include hypercare support, performance monitoring, and issue resolution.</w:t>
      </w:r>
    </w:p>
    <w:p/>
    <w:p>
      <w:pPr>
        <w:pStyle w:val="Heading3"/>
      </w:pPr>
      <w:r>
        <w:t>4.8 Knowledge Transfer</w:t>
      </w:r>
    </w:p>
    <w:p/>
    <w:p>
      <w:r>
        <w:t>Knowledge transfer to MTI’s internal team will be handled through structured handover sessions, documentation, and shadow support during the initial stabilization period to ensure long-term self-sufficiency.</w:t>
      </w:r>
    </w:p>
    <w:p/>
    <w:p>
      <w:pPr>
        <w:pStyle w:val="Heading2"/>
      </w:pPr>
      <w:r>
        <w:t>5. Project Plan and Timelines</w:t>
      </w:r>
    </w:p>
    <w:p/>
    <w:p>
      <w:r>
        <w:t>A detailed project plan will be finalized during the initiation phase. The indicative timeline is as follows:</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Phase</w:t>
            </w:r>
          </w:p>
        </w:tc>
        <w:tc>
          <w:tcPr>
            <w:tcW w:type="dxa" w:w="2340"/>
            <w:shd w:fill="1a5490" w:val="clear"/>
            <w:vAlign w:val="top"/>
            <w:tcMar>
              <w:top w:w="80" w:type="dxa"/>
              <w:right w:w="80" w:type="dxa"/>
              <w:bottom w:w="80" w:type="dxa"/>
              <w:left w:w="80" w:type="dxa"/>
            </w:tcMar>
          </w:tcPr>
          <w:p>
            <w:r>
              <w:rPr>
                <w:b/>
                <w:color w:val="FFFFFF"/>
              </w:rPr>
              <w:t>Duration</w:t>
            </w:r>
          </w:p>
        </w:tc>
        <w:tc>
          <w:tcPr>
            <w:tcW w:type="dxa" w:w="2340"/>
            <w:shd w:fill="1a5490" w:val="clear"/>
            <w:vAlign w:val="top"/>
            <w:tcMar>
              <w:top w:w="80" w:type="dxa"/>
              <w:right w:w="80" w:type="dxa"/>
              <w:bottom w:w="80" w:type="dxa"/>
              <w:left w:w="80" w:type="dxa"/>
            </w:tcMar>
          </w:tcPr>
          <w:p>
            <w:r>
              <w:rPr>
                <w:b/>
                <w:color w:val="FFFFFF"/>
              </w:rPr>
              <w:t>Key Activities</w:t>
            </w:r>
          </w:p>
        </w:tc>
        <w:tc>
          <w:tcPr>
            <w:tcW w:type="dxa" w:w="2340"/>
            <w:shd w:fill="1a5490" w:val="clear"/>
            <w:vAlign w:val="top"/>
            <w:tcMar>
              <w:top w:w="80" w:type="dxa"/>
              <w:right w:w="80" w:type="dxa"/>
              <w:bottom w:w="80" w:type="dxa"/>
              <w:left w:w="80" w:type="dxa"/>
            </w:tcMar>
          </w:tcPr>
          <w:p>
            <w:r>
              <w:rPr>
                <w:b/>
                <w:color w:val="FFFFFF"/>
              </w:rPr>
              <w:t>Deliverables</w:t>
            </w:r>
          </w:p>
        </w:tc>
      </w:tr>
      <w:tr>
        <w:tc>
          <w:tcPr>
            <w:tcW w:type="dxa" w:w="2340"/>
            <w:vAlign w:val="top"/>
            <w:tcMar>
              <w:top w:w="80" w:type="dxa"/>
              <w:right w:w="80" w:type="dxa"/>
              <w:bottom w:w="80" w:type="dxa"/>
              <w:left w:w="80" w:type="dxa"/>
            </w:tcMar>
          </w:tcPr>
          <w:p>
            <w:r>
              <w:t>Initiation &amp; Discovery</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Requirements workshops, process inventory, environment setup</w:t>
            </w:r>
          </w:p>
        </w:tc>
        <w:tc>
          <w:tcPr>
            <w:tcW w:type="dxa" w:w="2340"/>
            <w:vAlign w:val="top"/>
            <w:tcMar>
              <w:top w:w="80" w:type="dxa"/>
              <w:right w:w="80" w:type="dxa"/>
              <w:bottom w:w="80" w:type="dxa"/>
              <w:left w:w="80" w:type="dxa"/>
            </w:tcMar>
          </w:tcPr>
          <w:p>
            <w:r>
              <w:t>BRD, project plan</w:t>
            </w:r>
          </w:p>
        </w:tc>
      </w:tr>
      <w:tr>
        <w:tc>
          <w:tcPr>
            <w:tcW w:type="dxa" w:w="2340"/>
            <w:vAlign w:val="top"/>
            <w:tcMar>
              <w:top w:w="80" w:type="dxa"/>
              <w:right w:w="80" w:type="dxa"/>
              <w:bottom w:w="80" w:type="dxa"/>
              <w:left w:w="80" w:type="dxa"/>
            </w:tcMar>
          </w:tcPr>
          <w:p>
            <w:r>
              <w:t>Design &amp; Configuration</w:t>
            </w:r>
          </w:p>
        </w:tc>
        <w:tc>
          <w:tcPr>
            <w:tcW w:type="dxa" w:w="2340"/>
            <w:vAlign w:val="top"/>
            <w:tcMar>
              <w:top w:w="80" w:type="dxa"/>
              <w:right w:w="80" w:type="dxa"/>
              <w:bottom w:w="80" w:type="dxa"/>
              <w:left w:w="80" w:type="dxa"/>
            </w:tcMar>
          </w:tcPr>
          <w:p>
            <w:r>
              <w:t>8 weeks</w:t>
            </w:r>
          </w:p>
        </w:tc>
        <w:tc>
          <w:tcPr>
            <w:tcW w:type="dxa" w:w="2340"/>
            <w:vAlign w:val="top"/>
            <w:tcMar>
              <w:top w:w="80" w:type="dxa"/>
              <w:right w:w="80" w:type="dxa"/>
              <w:bottom w:w="80" w:type="dxa"/>
              <w:left w:w="80" w:type="dxa"/>
            </w:tcMar>
          </w:tcPr>
          <w:p>
            <w:r>
              <w:t>Process modeling, case design, rule configuration</w:t>
            </w:r>
          </w:p>
        </w:tc>
        <w:tc>
          <w:tcPr>
            <w:tcW w:type="dxa" w:w="2340"/>
            <w:vAlign w:val="top"/>
            <w:tcMar>
              <w:top w:w="80" w:type="dxa"/>
              <w:right w:w="80" w:type="dxa"/>
              <w:bottom w:w="80" w:type="dxa"/>
              <w:left w:w="80" w:type="dxa"/>
            </w:tcMar>
          </w:tcPr>
          <w:p>
            <w:r>
              <w:t>Configured workflows</w:t>
            </w:r>
          </w:p>
        </w:tc>
      </w:tr>
      <w:tr>
        <w:tc>
          <w:tcPr>
            <w:tcW w:type="dxa" w:w="2340"/>
            <w:vAlign w:val="top"/>
            <w:tcMar>
              <w:top w:w="80" w:type="dxa"/>
              <w:right w:w="80" w:type="dxa"/>
              <w:bottom w:w="80" w:type="dxa"/>
              <w:left w:w="80" w:type="dxa"/>
            </w:tcMar>
          </w:tcPr>
          <w:p>
            <w:r>
              <w:t>Integration &amp; Migration</w:t>
            </w:r>
          </w:p>
        </w:tc>
        <w:tc>
          <w:tcPr>
            <w:tcW w:type="dxa" w:w="2340"/>
            <w:vAlign w:val="top"/>
            <w:tcMar>
              <w:top w:w="80" w:type="dxa"/>
              <w:right w:w="80" w:type="dxa"/>
              <w:bottom w:w="80" w:type="dxa"/>
              <w:left w:w="80" w:type="dxa"/>
            </w:tcMar>
          </w:tcPr>
          <w:p>
            <w:r>
              <w:t>6 weeks</w:t>
            </w:r>
          </w:p>
        </w:tc>
        <w:tc>
          <w:tcPr>
            <w:tcW w:type="dxa" w:w="2340"/>
            <w:vAlign w:val="top"/>
            <w:tcMar>
              <w:top w:w="80" w:type="dxa"/>
              <w:right w:w="80" w:type="dxa"/>
              <w:bottom w:w="80" w:type="dxa"/>
              <w:left w:w="80" w:type="dxa"/>
            </w:tcMar>
          </w:tcPr>
          <w:p>
            <w:r>
              <w:t>API setup, data migration, interface testing</w:t>
            </w:r>
          </w:p>
        </w:tc>
        <w:tc>
          <w:tcPr>
            <w:tcW w:type="dxa" w:w="2340"/>
            <w:vAlign w:val="top"/>
            <w:tcMar>
              <w:top w:w="80" w:type="dxa"/>
              <w:right w:w="80" w:type="dxa"/>
              <w:bottom w:w="80" w:type="dxa"/>
              <w:left w:w="80" w:type="dxa"/>
            </w:tcMar>
          </w:tcPr>
          <w:p>
            <w:r>
              <w:t>Integrated platform</w:t>
            </w:r>
          </w:p>
        </w:tc>
      </w:tr>
      <w:tr>
        <w:tc>
          <w:tcPr>
            <w:tcW w:type="dxa" w:w="2340"/>
            <w:vAlign w:val="top"/>
            <w:tcMar>
              <w:top w:w="80" w:type="dxa"/>
              <w:right w:w="80" w:type="dxa"/>
              <w:bottom w:w="80" w:type="dxa"/>
              <w:left w:w="80" w:type="dxa"/>
            </w:tcMar>
          </w:tcPr>
          <w:p>
            <w:r>
              <w:t>Testing &amp; UAT</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Functional, integration, and UAT testing</w:t>
            </w:r>
          </w:p>
        </w:tc>
        <w:tc>
          <w:tcPr>
            <w:tcW w:type="dxa" w:w="2340"/>
            <w:vAlign w:val="top"/>
            <w:tcMar>
              <w:top w:w="80" w:type="dxa"/>
              <w:right w:w="80" w:type="dxa"/>
              <w:bottom w:w="80" w:type="dxa"/>
              <w:left w:w="80" w:type="dxa"/>
            </w:tcMar>
          </w:tcPr>
          <w:p>
            <w:r>
              <w:t>Test reports, UAT sign-off</w:t>
            </w:r>
          </w:p>
        </w:tc>
      </w:tr>
      <w:tr>
        <w:tc>
          <w:tcPr>
            <w:tcW w:type="dxa" w:w="2340"/>
            <w:vAlign w:val="top"/>
            <w:tcMar>
              <w:top w:w="80" w:type="dxa"/>
              <w:right w:w="80" w:type="dxa"/>
              <w:bottom w:w="80" w:type="dxa"/>
              <w:left w:w="80" w:type="dxa"/>
            </w:tcMar>
          </w:tcPr>
          <w:p>
            <w:r>
              <w:t>Training &amp; Go-Live</w:t>
            </w:r>
          </w:p>
        </w:tc>
        <w:tc>
          <w:tcPr>
            <w:tcW w:type="dxa" w:w="2340"/>
            <w:vAlign w:val="top"/>
            <w:tcMar>
              <w:top w:w="80" w:type="dxa"/>
              <w:right w:w="80" w:type="dxa"/>
              <w:bottom w:w="80" w:type="dxa"/>
              <w:left w:w="80" w:type="dxa"/>
            </w:tcMar>
          </w:tcPr>
          <w:p>
            <w:r>
              <w:t>2 weeks</w:t>
            </w:r>
          </w:p>
        </w:tc>
        <w:tc>
          <w:tcPr>
            <w:tcW w:type="dxa" w:w="2340"/>
            <w:vAlign w:val="top"/>
            <w:tcMar>
              <w:top w:w="80" w:type="dxa"/>
              <w:right w:w="80" w:type="dxa"/>
              <w:bottom w:w="80" w:type="dxa"/>
              <w:left w:w="80" w:type="dxa"/>
            </w:tcMar>
          </w:tcPr>
          <w:p>
            <w:r>
              <w:t>User training, go-live execution</w:t>
            </w:r>
          </w:p>
        </w:tc>
        <w:tc>
          <w:tcPr>
            <w:tcW w:type="dxa" w:w="2340"/>
            <w:vAlign w:val="top"/>
            <w:tcMar>
              <w:top w:w="80" w:type="dxa"/>
              <w:right w:w="80" w:type="dxa"/>
              <w:bottom w:w="80" w:type="dxa"/>
              <w:left w:w="80" w:type="dxa"/>
            </w:tcMar>
          </w:tcPr>
          <w:p>
            <w:r>
              <w:t>Trained users, go-live</w:t>
            </w:r>
          </w:p>
        </w:tc>
      </w:tr>
      <w:tr>
        <w:tc>
          <w:tcPr>
            <w:tcW w:type="dxa" w:w="2340"/>
            <w:vAlign w:val="top"/>
            <w:tcMar>
              <w:top w:w="80" w:type="dxa"/>
              <w:right w:w="80" w:type="dxa"/>
              <w:bottom w:w="80" w:type="dxa"/>
              <w:left w:w="80" w:type="dxa"/>
            </w:tcMar>
          </w:tcPr>
          <w:p>
            <w:r>
              <w:t>Stabilization &amp; Handover</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Hypercare, knowledge transfer</w:t>
            </w:r>
          </w:p>
        </w:tc>
        <w:tc>
          <w:tcPr>
            <w:tcW w:type="dxa" w:w="2340"/>
            <w:vAlign w:val="top"/>
            <w:tcMar>
              <w:top w:w="80" w:type="dxa"/>
              <w:right w:w="80" w:type="dxa"/>
              <w:bottom w:w="80" w:type="dxa"/>
              <w:left w:w="80" w:type="dxa"/>
            </w:tcMar>
          </w:tcPr>
          <w:p>
            <w:r>
              <w:t>Handover documentation</w:t>
            </w:r>
          </w:p>
        </w:tc>
      </w:tr>
    </w:tbl>
    <w:p/>
    <w:p>
      <w:pPr>
        <w:pStyle w:val="Heading2"/>
      </w:pPr>
      <w:r>
        <w:t>6. Proposed Team Structure</w:t>
      </w:r>
    </w:p>
    <w:p/>
    <w:p>
      <w:r>
        <w:t>FusionAIx will deploy a multidisciplinary team comprising BPM architects, business analysts, developers, testers, and change management specialists.</w:t>
      </w:r>
    </w:p>
    <w:p/>
    <w:p>
      <w:r>
        <w:t>Key Roles:</w:t>
      </w:r>
    </w:p>
    <w:p>
      <w:pPr>
        <w:pStyle w:val="ListBullet"/>
      </w:pPr>
      <w:r>
        <w:rPr>
          <w:b/>
        </w:rPr>
        <w:t>Project Manager:</w:t>
      </w:r>
      <w:r>
        <w:t xml:space="preserve"> Overall delivery governance and stakeholder management.</w:t>
      </w:r>
    </w:p>
    <w:p>
      <w:pPr>
        <w:pStyle w:val="ListBullet"/>
      </w:pPr>
      <w:r>
        <w:rPr>
          <w:b/>
        </w:rPr>
        <w:t>Solution Architect:</w:t>
      </w:r>
      <w:r>
        <w:t xml:space="preserve"> Platform architecture, integration design, and technical oversight.</w:t>
      </w:r>
    </w:p>
    <w:p>
      <w:pPr>
        <w:pStyle w:val="ListBullet"/>
      </w:pPr>
      <w:r>
        <w:rPr>
          <w:b/>
        </w:rPr>
        <w:t>Business Analyst:</w:t>
      </w:r>
      <w:r>
        <w:t xml:space="preserve"> Requirements gathering, process modeling, and validation.</w:t>
      </w:r>
    </w:p>
    <w:p>
      <w:pPr>
        <w:pStyle w:val="ListBullet"/>
      </w:pPr>
      <w:r>
        <w:rPr>
          <w:b/>
        </w:rPr>
        <w:t>BPM Developer:</w:t>
      </w:r>
      <w:r>
        <w:t xml:space="preserve"> Configuration of workflows, rules, and UI components.</w:t>
      </w:r>
    </w:p>
    <w:p>
      <w:pPr>
        <w:pStyle w:val="ListBullet"/>
      </w:pPr>
      <w:r>
        <w:rPr>
          <w:b/>
        </w:rPr>
        <w:t>QA Lead:</w:t>
      </w:r>
      <w:r>
        <w:t xml:space="preserve"> Test planning, execution, and quality assurance.</w:t>
      </w:r>
    </w:p>
    <w:p>
      <w:pPr>
        <w:pStyle w:val="ListBullet"/>
      </w:pPr>
      <w:r>
        <w:rPr>
          <w:b/>
        </w:rPr>
        <w:t>Change Manager:</w:t>
      </w:r>
      <w:r>
        <w:t xml:space="preserve"> Training, communication, and adoption support.</w:t>
      </w:r>
    </w:p>
    <w:p/>
    <w:p>
      <w:r>
        <w:t>CVs of key personnel will be provided upon request.</w:t>
      </w:r>
    </w:p>
    <w:p/>
    <w:p>
      <w:pPr>
        <w:pStyle w:val="Heading2"/>
      </w:pPr>
      <w:r>
        <w:t>7. Functional and Technical Compliance Matrix</w:t>
      </w:r>
    </w:p>
    <w:p/>
    <w:p>
      <w:r>
        <w:t>FusionAIx confirms compliance with all mandatory requirements, including:</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Requirement</w:t>
            </w:r>
          </w:p>
        </w:tc>
        <w:tc>
          <w:tcPr>
            <w:tcW w:type="dxa" w:w="3120"/>
            <w:shd w:fill="1a5490" w:val="clear"/>
            <w:vAlign w:val="top"/>
            <w:tcMar>
              <w:top w:w="80" w:type="dxa"/>
              <w:right w:w="80" w:type="dxa"/>
              <w:bottom w:w="80" w:type="dxa"/>
              <w:left w:w="80" w:type="dxa"/>
            </w:tcMar>
          </w:tcPr>
          <w:p>
            <w:r>
              <w:rPr>
                <w:b/>
                <w:color w:val="FFFFFF"/>
              </w:rPr>
              <w:t>Compliance</w:t>
            </w:r>
          </w:p>
        </w:tc>
        <w:tc>
          <w:tcPr>
            <w:tcW w:type="dxa" w:w="3120"/>
            <w:shd w:fill="1a5490" w:val="clear"/>
            <w:vAlign w:val="top"/>
            <w:tcMar>
              <w:top w:w="80" w:type="dxa"/>
              <w:right w:w="80" w:type="dxa"/>
              <w:bottom w:w="80" w:type="dxa"/>
              <w:left w:w="80" w:type="dxa"/>
            </w:tcMar>
          </w:tcPr>
          <w:p>
            <w:r>
              <w:rPr>
                <w:b/>
                <w:color w:val="FFFFFF"/>
              </w:rPr>
              <w:t>Remarks</w:t>
            </w:r>
          </w:p>
        </w:tc>
      </w:tr>
      <w:tr>
        <w:tc>
          <w:tcPr>
            <w:tcW w:type="dxa" w:w="3120"/>
            <w:vAlign w:val="top"/>
            <w:tcMar>
              <w:top w:w="80" w:type="dxa"/>
              <w:right w:w="80" w:type="dxa"/>
              <w:bottom w:w="80" w:type="dxa"/>
              <w:left w:w="80" w:type="dxa"/>
            </w:tcMar>
          </w:tcPr>
          <w:p>
            <w:r>
              <w:t>Unified BPM platform</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Enterprise-grade BPM supporting STP and human workflows</w:t>
            </w:r>
          </w:p>
        </w:tc>
      </w:tr>
      <w:tr>
        <w:tc>
          <w:tcPr>
            <w:tcW w:type="dxa" w:w="3120"/>
            <w:vAlign w:val="top"/>
            <w:tcMar>
              <w:top w:w="80" w:type="dxa"/>
              <w:right w:w="80" w:type="dxa"/>
              <w:bottom w:w="80" w:type="dxa"/>
              <w:left w:w="80" w:type="dxa"/>
            </w:tcMar>
          </w:tcPr>
          <w:p>
            <w:r>
              <w:t>Case management (structured/unstructured)</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Dynamic task creation, ad-hoc approvals, full auditability</w:t>
            </w:r>
          </w:p>
        </w:tc>
      </w:tr>
      <w:tr>
        <w:tc>
          <w:tcPr>
            <w:tcW w:type="dxa" w:w="3120"/>
            <w:vAlign w:val="top"/>
            <w:tcMar>
              <w:top w:w="80" w:type="dxa"/>
              <w:right w:w="80" w:type="dxa"/>
              <w:bottom w:w="80" w:type="dxa"/>
              <w:left w:w="80" w:type="dxa"/>
            </w:tcMar>
          </w:tcPr>
          <w:p>
            <w:r>
              <w:t>Business rules management</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Centralized rules engine with versioning and testing</w:t>
            </w:r>
          </w:p>
        </w:tc>
      </w:tr>
      <w:tr>
        <w:tc>
          <w:tcPr>
            <w:tcW w:type="dxa" w:w="3120"/>
            <w:vAlign w:val="top"/>
            <w:tcMar>
              <w:top w:w="80" w:type="dxa"/>
              <w:right w:w="80" w:type="dxa"/>
              <w:bottom w:w="80" w:type="dxa"/>
              <w:left w:w="80" w:type="dxa"/>
            </w:tcMar>
          </w:tcPr>
          <w:p>
            <w:r>
              <w:t>SLA tracking and dashboards</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Real-time dashboards, self-service reporting</w:t>
            </w:r>
          </w:p>
        </w:tc>
      </w:tr>
      <w:tr>
        <w:tc>
          <w:tcPr>
            <w:tcW w:type="dxa" w:w="3120"/>
            <w:vAlign w:val="top"/>
            <w:tcMar>
              <w:top w:w="80" w:type="dxa"/>
              <w:right w:w="80" w:type="dxa"/>
              <w:bottom w:w="80" w:type="dxa"/>
              <w:left w:w="80" w:type="dxa"/>
            </w:tcMar>
          </w:tcPr>
          <w:p>
            <w:r>
              <w:t>Integration with ERP/CRM/DMS/IAM</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REST APIs, message queues, event-driven integration</w:t>
            </w:r>
          </w:p>
        </w:tc>
      </w:tr>
      <w:tr>
        <w:tc>
          <w:tcPr>
            <w:tcW w:type="dxa" w:w="3120"/>
            <w:vAlign w:val="top"/>
            <w:tcMar>
              <w:top w:w="80" w:type="dxa"/>
              <w:right w:w="80" w:type="dxa"/>
              <w:bottom w:w="80" w:type="dxa"/>
              <w:left w:w="80" w:type="dxa"/>
            </w:tcMar>
          </w:tcPr>
          <w:p>
            <w:r>
              <w:t>Role-based access control</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Fine-grained RBAC, full audit logging</w:t>
            </w:r>
          </w:p>
        </w:tc>
      </w:tr>
      <w:tr>
        <w:tc>
          <w:tcPr>
            <w:tcW w:type="dxa" w:w="3120"/>
            <w:vAlign w:val="top"/>
            <w:tcMar>
              <w:top w:w="80" w:type="dxa"/>
              <w:right w:w="80" w:type="dxa"/>
              <w:bottom w:w="80" w:type="dxa"/>
              <w:left w:w="80" w:type="dxa"/>
            </w:tcMar>
          </w:tcPr>
          <w:p>
            <w:r>
              <w:t>Training and change management</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Comprehensive training and user enablement</w:t>
            </w:r>
          </w:p>
        </w:tc>
      </w:tr>
      <w:tr>
        <w:tc>
          <w:tcPr>
            <w:tcW w:type="dxa" w:w="3120"/>
            <w:vAlign w:val="top"/>
            <w:tcMar>
              <w:top w:w="80" w:type="dxa"/>
              <w:right w:w="80" w:type="dxa"/>
              <w:bottom w:w="80" w:type="dxa"/>
              <w:left w:w="80" w:type="dxa"/>
            </w:tcMar>
          </w:tcPr>
          <w:p>
            <w:r>
              <w:t>Post–go-live support (3 years)</w:t>
            </w:r>
          </w:p>
        </w:tc>
        <w:tc>
          <w:tcPr>
            <w:tcW w:type="dxa" w:w="3120"/>
            <w:vAlign w:val="top"/>
            <w:tcMar>
              <w:top w:w="80" w:type="dxa"/>
              <w:right w:w="80" w:type="dxa"/>
              <w:bottom w:w="80" w:type="dxa"/>
              <w:left w:w="80" w:type="dxa"/>
            </w:tcMar>
          </w:tcPr>
          <w:p>
            <w:r>
              <w:t>Compliant</w:t>
            </w:r>
          </w:p>
        </w:tc>
        <w:tc>
          <w:tcPr>
            <w:tcW w:type="dxa" w:w="3120"/>
            <w:vAlign w:val="top"/>
            <w:tcMar>
              <w:top w:w="80" w:type="dxa"/>
              <w:right w:w="80" w:type="dxa"/>
              <w:bottom w:w="80" w:type="dxa"/>
              <w:left w:w="80" w:type="dxa"/>
            </w:tcMar>
          </w:tcPr>
          <w:p>
            <w:r>
              <w:t>Tiered support model with defined SLAs</w:t>
            </w:r>
          </w:p>
        </w:tc>
      </w:tr>
    </w:tbl>
    <w:p/>
    <w:p>
      <w:pPr>
        <w:pStyle w:val="Heading2"/>
      </w:pPr>
      <w:r>
        <w:t>8. Assumptions, Dependencies, and Risks</w:t>
      </w:r>
    </w:p>
    <w:p/>
    <w:p>
      <w:pPr>
        <w:pStyle w:val="Heading3"/>
      </w:pPr>
      <w:r>
        <w:t>Assumptions</w:t>
      </w:r>
    </w:p>
    <w:p>
      <w:pPr>
        <w:pStyle w:val="ListBullet"/>
      </w:pPr>
      <w:r>
        <w:t>MTI will provide access to existing systems, documentation, and SMEs.</w:t>
      </w:r>
    </w:p>
    <w:p>
      <w:pPr>
        <w:pStyle w:val="ListBullet"/>
      </w:pPr>
      <w:r>
        <w:t>Required infrastructure and licenses will be provisioned prior to configuration.</w:t>
      </w:r>
    </w:p>
    <w:p>
      <w:pPr>
        <w:pStyle w:val="ListBullet"/>
      </w:pPr>
      <w:r>
        <w:t>MTI will nominate process owners for validation and UAT.</w:t>
      </w:r>
    </w:p>
    <w:p/>
    <w:p>
      <w:pPr>
        <w:pStyle w:val="Heading3"/>
      </w:pPr>
      <w:r>
        <w:t>Dependencies</w:t>
      </w:r>
    </w:p>
    <w:p>
      <w:pPr>
        <w:pStyle w:val="ListBullet"/>
      </w:pPr>
      <w:r>
        <w:t>Availability of integration endpoints and credentials.</w:t>
      </w:r>
    </w:p>
    <w:p>
      <w:pPr>
        <w:pStyle w:val="ListBullet"/>
      </w:pPr>
      <w:r>
        <w:t>Timely feedback during design and testing phases.</w:t>
      </w:r>
    </w:p>
    <w:p/>
    <w:p>
      <w:pPr>
        <w:pStyle w:val="Heading3"/>
      </w:pPr>
      <w:r>
        <w:t>Risks and Mitigation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Delays in requirements finalization</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Early workshops, iterative validation</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Use of abstraction layer, phased integration</w:t>
            </w:r>
          </w:p>
        </w:tc>
      </w:tr>
      <w:tr>
        <w:tc>
          <w:tcPr>
            <w:tcW w:type="dxa" w:w="3120"/>
            <w:vAlign w:val="top"/>
            <w:tcMar>
              <w:top w:w="80" w:type="dxa"/>
              <w:right w:w="80" w:type="dxa"/>
              <w:bottom w:w="80" w:type="dxa"/>
              <w:left w:w="80" w:type="dxa"/>
            </w:tcMar>
          </w:tcPr>
          <w:p>
            <w:r>
              <w:t>User adoption challenges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Comprehensive training, change management</w:t>
            </w:r>
          </w:p>
        </w:tc>
      </w:tr>
      <w:tr>
        <w:tc>
          <w:tcPr>
            <w:tcW w:type="dxa" w:w="3120"/>
            <w:vAlign w:val="top"/>
            <w:tcMar>
              <w:top w:w="80" w:type="dxa"/>
              <w:right w:w="80" w:type="dxa"/>
              <w:bottom w:w="80" w:type="dxa"/>
              <w:left w:w="80" w:type="dxa"/>
            </w:tcMar>
          </w:tcPr>
          <w:p>
            <w:r>
              <w:t>Data migration issues</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Incremental migration, reconciliation checks</w:t>
            </w:r>
          </w:p>
        </w:tc>
      </w:tr>
    </w:tbl>
    <w:p/>
    <w:p>
      <w:pPr>
        <w:pStyle w:val="Heading2"/>
      </w:pPr>
      <w:r>
        <w:t>9. Support and Maintenance Model</w:t>
      </w:r>
    </w:p>
    <w:p/>
    <w:p>
      <w:r>
        <w:t>FusionAIx will provide tiered post–go-live support with clearly defined L1, L2, and L3 responsibilities, covering user issues, application defects, and platform or integration-related incidents respectively. SLAs will be aligned to incident severity, with defined response and resolution targets and a formal escalation path from service desk to solution architects for critical issues. Proactive maintenance will include monitoring, minor enhancements, and periodic health checks. Knowledge transfer to MTI’s internal team will be handled through structured handover sessions, documentation, and shadow support during the initial stabilization period to ensure long-term self-sufficiency.</w:t>
      </w:r>
    </w:p>
    <w:p/>
    <w:p>
      <w:pPr>
        <w:pStyle w:val="Heading2"/>
      </w:pPr>
      <w:r>
        <w:t>10. Commercial Proposal</w:t>
      </w:r>
    </w:p>
    <w:p/>
    <w:p>
      <w:r>
        <w:t>FusionAIx’s commercial proposal will include the following components:</w:t>
      </w:r>
    </w:p>
    <w:p/>
    <w:p>
      <w:pPr>
        <w:pStyle w:val="ListNumber"/>
      </w:pPr>
      <w:r>
        <w:rPr>
          <w:b/>
        </w:rPr>
        <w:t>Licensing Costs:</w:t>
      </w:r>
      <w:r>
        <w:t xml:space="preserve"> Enterprise BPM platform licenses for MTI’s anticipated user base (internal and external users).</w:t>
      </w:r>
    </w:p>
    <w:p/>
    <w:p>
      <w:pPr>
        <w:pStyle w:val="ListNumber"/>
      </w:pPr>
      <w:r>
        <w:rPr>
          <w:b/>
        </w:rPr>
        <w:t>Implementation Services:</w:t>
      </w:r>
      <w:r>
        <w:t xml:space="preserve"> Fixed-price or time-and-materials model covering design, configuration, integration, testing, training, and go-live.</w:t>
      </w:r>
    </w:p>
    <w:p/>
    <w:p>
      <w:pPr>
        <w:pStyle w:val="ListNumber"/>
      </w:pPr>
      <w:r>
        <w:rPr>
          <w:b/>
        </w:rPr>
        <w:t>Support and Maintenance:</w:t>
      </w:r>
      <w:r>
        <w:t xml:space="preserve"> Annual support fees covering L1–L3 support, patching, upgrades, and enhancements for three years post–go-live.</w:t>
      </w:r>
    </w:p>
    <w:p/>
    <w:p>
      <w:pPr>
        <w:pStyle w:val="ListNumber"/>
      </w:pPr>
      <w:r>
        <w:rPr>
          <w:b/>
        </w:rPr>
        <w:t>Optional Components:</w:t>
      </w:r>
    </w:p>
    <w:p>
      <w:pPr>
        <w:pStyle w:val="ListBullet"/>
      </w:pPr>
      <w:r>
        <w:t>Advanced analytics and process mining modules.</w:t>
      </w:r>
    </w:p>
    <w:p>
      <w:pPr>
        <w:pStyle w:val="ListBullet"/>
      </w:pPr>
      <w:r>
        <w:t>AI-driven decisioning and predictive SLA management.</w:t>
      </w:r>
    </w:p>
    <w:p>
      <w:pPr>
        <w:pStyle w:val="ListBullet"/>
      </w:pPr>
      <w:r>
        <w:t>Additional process onboarding beyond initial scope.</w:t>
      </w:r>
    </w:p>
    <w:p/>
    <w:p>
      <w:r>
        <w:t>Detailed pricing will be provided in the commercial annex, aligned with MTI’s procurement format.</w:t>
      </w:r>
    </w:p>
    <w:p/>
    <w:p>
      <w:r>
        <w:t>FusionAIx appreciates the opportunity to partner with the Ministry of Trade and Industry in this transformative initiative. We are confident that our proposed solution, proven methodology, and experienced team will deliver a robust, scalable, and future-ready BPM platform that empowers MTI to achieve its strategic objectives.</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