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RFP Response (Structured) - - Supply, implement, and support an enterprise BPM...</w:t>
      </w:r>
    </w:p>
    <w:p>
      <w:pPr>
        <w:jc w:val="center"/>
      </w:pPr>
      <w:r>
        <w:t>December 20, 2025</w:t>
      </w:r>
    </w:p>
    <w:p>
      <w:pPr>
        <w:jc w:val="center"/>
      </w:pPr>
      <w:r>
        <w:t>fusionAIx</w:t>
      </w:r>
    </w:p>
    <w:p>
      <w:pPr>
        <w:jc w:val="center"/>
      </w:pPr>
      <w:r>
        <w:t>www.fusionaix.com</w:t>
      </w:r>
    </w:p>
    <w:p>
      <w:r>
        <w:br w:type="page"/>
      </w:r>
    </w:p>
    <w:p>
      <w:pPr>
        <w:pStyle w:val="Heading1"/>
      </w:pPr>
      <w:r>
        <w:t>Table of Contents</w:t>
      </w:r>
    </w:p>
    <w:p>
      <w:r>
        <w:fldSimple w:instr="TOC \o &quot;1-3&quot; \h \z \u"/>
      </w:r>
    </w:p>
    <w:p>
      <w:r>
        <w:br w:type="page"/>
      </w:r>
    </w:p>
    <w:p>
      <w:pPr>
        <w:pStyle w:val="Heading1"/>
      </w:pPr>
      <w:r>
        <w:t>Company Overview</w:t>
      </w:r>
    </w:p>
    <w:p>
      <w:r>
        <w:t>At fusionAIx, we believe that the future of digital transformation lies in the seamless blend of low-code platforms and artificial intelligence. Our core team brings together decades of implementation experience, domain expertise, and a passion for innovation. We partner with enterprises to reimagine processes, accelerate application delivery, and unlock new levels of efficiency. We help businesses scale smarter, faster, and with greater impact.</w:t>
      </w:r>
    </w:p>
    <w:p>
      <w:r>
        <w:t>With a collaborative spirit and a commitment to excellence, our team transforms complex challenges into intelligent, practical solutions. fusionAIx is not just about technology—it's about empowering people, industries, and enterprises to thrive in a digital-first world.</w:t>
      </w:r>
    </w:p>
    <w:p>
      <w:r>
        <w:t>We are proud to be officially recognized as a Great Place To Work® Certified Company for 2025–26, reflecting our commitment to a culture built on trust, innovation, and people-first values.</w:t>
      </w:r>
    </w:p>
    <w:p>
      <w:r>
        <w:t>fusionAIx delivers tailored solutions that blend AI and automation to drive measurable results across industries. We are a niche Pega partner with 20+ successful Pega Constellation implementations across the globe. As Constellation migration experts, we focus on pattern-based development with Constellation, enabling faster project go-lives than traditional implementation approaches.</w:t>
      </w:r>
    </w:p>
    <w:p>
      <w:r>
        <w:t>Our proven capabilities span three core technology platforms: Pega Constellation, Microsoft Power Platform, and ServiceNow. Through these platforms, we provide comprehensive services including Low Code/No Code development, Digital Process Transformation, and AI &amp; Data solutions.</w:t>
      </w:r>
    </w:p>
    <w:p>
      <w:r>
        <w:t>To accelerate time-to-value, fusionAIx offers proprietary accelerators and solution components including fxAgentSDK, fxAIStudio, fxMockUpToView, and fxSmartDCO. These tools enable rapid development, intelligent automation, and streamlined project delivery.</w:t>
      </w:r>
    </w:p>
    <w:p>
      <w:r>
        <w:t>We support clients across diverse industries including Insurance, Banking &amp; Finance, Government &amp; Public Sector, Automotive &amp; Fleet Management, and Travel &amp; Tourism, combining platform expertise with structured knowledge transfer to help customers build sustainable, future-ready capabilities.</w:t>
      </w:r>
    </w:p>
    <w:p>
      <w:r>
        <w:br w:type="page"/>
      </w:r>
    </w:p>
    <w:p>
      <w:pPr>
        <w:pStyle w:val="Heading1"/>
      </w:pPr>
      <w:r>
        <w:t>Proposal for the Ministry of Trade and Industry (MTI): Unified BPM and Case Management Platform Implementation</w:t>
      </w:r>
    </w:p>
    <w:p>
      <w:r>
        <w:t>Submitted by: fusionAIx</w:t>
      </w:r>
    </w:p>
    <w:p/>
    <w:p>
      <w:pPr>
        <w:pStyle w:val="Heading2"/>
      </w:pPr>
      <w:r>
        <w:t>1. Executive Summary</w:t>
      </w:r>
    </w:p>
    <w:p/>
    <w:p>
      <w:r>
        <w:t>FusionAIx is pleased to submit this comprehensive proposal in response to the Ministry of Trade and Industry’s (MTI) Request for Proposal for the supply, implementation, and support of a unified Business Process Management (BPM) and Case Management platform. Our proposed solution is designed to transform MTI’s core business operations—enabling agility, transparency, and compliance through a low-code, model-driven, and AI-augmented BPM suite.</w:t>
      </w:r>
    </w:p>
    <w:p/>
    <w:p>
      <w:r>
        <w:t>At fusionAIx, we believe that digital transformation succeeds when technology empowers people. Our approach combines an enterprise-grade BPM platform with our proprietary accelerators and proven implementation methodology to deliver measurable outcomes—faster service delivery, improved governance, and enhanced citizen and business engagement.</w:t>
      </w:r>
    </w:p>
    <w:p/>
    <w:p>
      <w:r>
        <w:t>We propose to implement Camunda 8 Enterprise as the foundational BPM platform for MTI. This platform provides a secure, scalable, and cloud-native architecture that supports both structured and unstructured workflows, dynamic case management, and centralized business rules management. It is ideally suited for government-grade process orchestration, offering full auditability, SLA tracking, and integration with MTI’s existing enterprise systems.</w:t>
      </w:r>
    </w:p>
    <w:p/>
    <w:p>
      <w:r>
        <w:t>FusionAIx brings deep expertise in BPM and case management, with over 20 successful enterprise implementations across government, financial services, and manufacturing sectors. Our team includes certified BPM architects, process analysts, and integration specialists who have delivered similar large-scale transformations for public sector clients.</w:t>
      </w:r>
    </w:p>
    <w:p/>
    <w:p>
      <w:r>
        <w:t>Our proposal addresses all mandatory requirements outlined in the RFP, including:</w:t>
      </w:r>
    </w:p>
    <w:p/>
    <w:p>
      <w:pPr>
        <w:pStyle w:val="ListBullet"/>
      </w:pPr>
      <w:r>
        <w:t>Implementation of a unified BPM platform to orchestrate and manage MTI’s core business processes.</w:t>
      </w:r>
    </w:p>
    <w:p>
      <w:pPr>
        <w:pStyle w:val="ListBullet"/>
      </w:pPr>
      <w:r>
        <w:t>Configurable case management supporting both structured and unstructured work.</w:t>
      </w:r>
    </w:p>
    <w:p>
      <w:pPr>
        <w:pStyle w:val="ListBullet"/>
      </w:pPr>
      <w:r>
        <w:t>Centralized business rules management and version control.</w:t>
      </w:r>
    </w:p>
    <w:p>
      <w:pPr>
        <w:pStyle w:val="ListBullet"/>
      </w:pPr>
      <w:r>
        <w:t>End-to-end tracking of cases, tasks, and SLAs for transparency and auditability.</w:t>
      </w:r>
    </w:p>
    <w:p>
      <w:pPr>
        <w:pStyle w:val="ListBullet"/>
      </w:pPr>
      <w:r>
        <w:t>Low-code configuration for rapid service introduction and process changes.</w:t>
      </w:r>
    </w:p>
    <w:p>
      <w:pPr>
        <w:pStyle w:val="ListBullet"/>
      </w:pPr>
      <w:r>
        <w:t>Web-based, responsive user interfaces for internal and external stakeholders.</w:t>
      </w:r>
    </w:p>
    <w:p>
      <w:pPr>
        <w:pStyle w:val="ListBullet"/>
      </w:pPr>
      <w:r>
        <w:t>Integration with MTI’s ERP, CRM, document management, and identity systems.</w:t>
      </w:r>
    </w:p>
    <w:p>
      <w:pPr>
        <w:pStyle w:val="ListBullet"/>
      </w:pPr>
      <w:r>
        <w:t>Comprehensive training, change management, and three years of post–go-live support.</w:t>
      </w:r>
    </w:p>
    <w:p/>
    <w:p>
      <w:r>
        <w:t>FusionAIx’s differentiators include:</w:t>
      </w:r>
    </w:p>
    <w:p/>
    <w:p>
      <w:pPr>
        <w:pStyle w:val="ListBullet"/>
      </w:pPr>
      <w:r>
        <w:rPr>
          <w:b/>
        </w:rPr>
        <w:t>Proven accelerators</w:t>
      </w:r>
      <w:r>
        <w:t xml:space="preserve"> such as fxSmartDCO (for rapid process discovery and configuration), fxAIStudio (for intelligent automation), and fxMockUpToView (for rapid UI prototyping).</w:t>
      </w:r>
    </w:p>
    <w:p>
      <w:pPr>
        <w:pStyle w:val="ListBullet"/>
      </w:pPr>
      <w:r>
        <w:rPr>
          <w:b/>
        </w:rPr>
        <w:t>Deep domain expertise</w:t>
      </w:r>
      <w:r>
        <w:t xml:space="preserve"> in government process transformation and regulatory compliance.</w:t>
      </w:r>
    </w:p>
    <w:p>
      <w:pPr>
        <w:pStyle w:val="ListBullet"/>
      </w:pPr>
      <w:r>
        <w:rPr>
          <w:b/>
        </w:rPr>
        <w:t>Tiered support model</w:t>
      </w:r>
      <w:r>
        <w:t xml:space="preserve"> with defined SLAs, proactive maintenance, and structured knowledge transfer.</w:t>
      </w:r>
    </w:p>
    <w:p>
      <w:pPr>
        <w:pStyle w:val="ListBullet"/>
      </w:pPr>
      <w:r>
        <w:rPr>
          <w:b/>
        </w:rPr>
        <w:t>Phased migration approach</w:t>
      </w:r>
      <w:r>
        <w:t xml:space="preserve"> ensuring minimal disruption to ongoing operations.</w:t>
      </w:r>
    </w:p>
    <w:p>
      <w:pPr>
        <w:pStyle w:val="ListBullet"/>
      </w:pPr>
      <w:r>
        <w:rPr>
          <w:b/>
        </w:rPr>
        <w:t>Commitment to partnership</w:t>
      </w:r>
      <w:r>
        <w:t>—we work collaboratively with MTI to build internal capability and ensure long-term sustainability.</w:t>
      </w:r>
    </w:p>
    <w:p/>
    <w:p>
      <w:r>
        <w:t>Our vision is to help MTI establish a unified, intelligent process platform that not only meets today’s operational needs but also lays the foundation for continuous improvement and data-driven policy innovation.</w:t>
      </w:r>
    </w:p>
    <w:p/>
    <w:p>
      <w:pPr>
        <w:pStyle w:val="Heading2"/>
      </w:pPr>
      <w:r>
        <w:t>2. Understanding of MTI’s Objectives and Context</w:t>
      </w:r>
    </w:p>
    <w:p/>
    <w:p>
      <w:r>
        <w:t>MTI’s strategic objective is to modernize and unify its business process landscape through a single BPM and Case Management platform that enhances efficiency, transparency, and service quality. The Ministry’s current environment likely consists of multiple siloed systems and manual workflows that hinder agility, visibility, and compliance. The proposed transformation aims to address these challenges by introducing a centralized, configurable, and auditable process orchestration layer.</w:t>
      </w:r>
    </w:p>
    <w:p/>
    <w:p>
      <w:pPr>
        <w:pStyle w:val="Heading3"/>
      </w:pPr>
      <w:r>
        <w:t>Key Objectives Identified</w:t>
      </w:r>
    </w:p>
    <w:p/>
    <w:p>
      <w:pPr>
        <w:pStyle w:val="ListNumber"/>
      </w:pPr>
      <w:r>
        <w:rPr>
          <w:b/>
        </w:rPr>
        <w:t>Unified BPM Platform:</w:t>
      </w:r>
      <w:r>
        <w:t xml:space="preserve"> MTI seeks to implement a single enterprise-grade BPM platform capable of orchestrating and managing core business processes across departments, including business licensing, renewals, incentives, and grants.</w:t>
      </w:r>
    </w:p>
    <w:p/>
    <w:p>
      <w:pPr>
        <w:pStyle w:val="ListNumber"/>
      </w:pPr>
      <w:r>
        <w:rPr>
          <w:b/>
        </w:rPr>
        <w:t>Configurable Case Management:</w:t>
      </w:r>
      <w:r>
        <w:t xml:space="preserve"> The platform must support both structured and unstructured work, enabling dynamic case handling, ad-hoc task creation, and user-driven updates while maintaining governance and auditability.</w:t>
      </w:r>
    </w:p>
    <w:p/>
    <w:p>
      <w:pPr>
        <w:pStyle w:val="ListNumber"/>
      </w:pPr>
      <w:r>
        <w:rPr>
          <w:b/>
        </w:rPr>
        <w:t>Consistent Application of Business Rules:</w:t>
      </w:r>
      <w:r>
        <w:t xml:space="preserve"> MTI requires centralized rules management to externalize business policies from application code, ensuring consistent enforcement of regulations and simplifying change management.</w:t>
      </w:r>
    </w:p>
    <w:p/>
    <w:p>
      <w:pPr>
        <w:pStyle w:val="ListNumber"/>
      </w:pPr>
      <w:r>
        <w:rPr>
          <w:b/>
        </w:rPr>
        <w:t>Transparency and Auditability:</w:t>
      </w:r>
      <w:r>
        <w:t xml:space="preserve"> The Ministry aims to improve visibility into process performance, case status, and SLA compliance through end-to-end tracking, dashboards, and audit trails.</w:t>
      </w:r>
    </w:p>
    <w:p/>
    <w:p>
      <w:pPr>
        <w:pStyle w:val="ListNumber"/>
      </w:pPr>
      <w:r>
        <w:rPr>
          <w:b/>
        </w:rPr>
        <w:t>Agility and Low-Code Enablement:</w:t>
      </w:r>
      <w:r>
        <w:t xml:space="preserve"> MTI wants to empower business users to introduce new services and modify existing processes rapidly through low-code configuration rather than traditional development.</w:t>
      </w:r>
    </w:p>
    <w:p/>
    <w:p>
      <w:pPr>
        <w:pStyle w:val="ListNumber"/>
      </w:pPr>
      <w:r>
        <w:rPr>
          <w:b/>
        </w:rPr>
        <w:t>User Experience and Accessibility:</w:t>
      </w:r>
      <w:r>
        <w:t xml:space="preserve"> The solution must provide intuitive, web-based interfaces for staff, management, and external stakeholders, supporting responsive design and accessibility standards.</w:t>
      </w:r>
    </w:p>
    <w:p/>
    <w:p>
      <w:pPr>
        <w:pStyle w:val="ListNumber"/>
      </w:pPr>
      <w:r>
        <w:rPr>
          <w:b/>
        </w:rPr>
        <w:t>Analytics and Continuous Improvement:</w:t>
      </w:r>
      <w:r>
        <w:t xml:space="preserve"> MTI intends to leverage process data for analytics, performance monitoring, and continuous improvement initiatives.</w:t>
      </w:r>
    </w:p>
    <w:p/>
    <w:p>
      <w:pPr>
        <w:pStyle w:val="Heading3"/>
      </w:pPr>
      <w:r>
        <w:t>Contextual Challenges</w:t>
      </w:r>
    </w:p>
    <w:p/>
    <w:p>
      <w:pPr>
        <w:pStyle w:val="ListBullet"/>
      </w:pPr>
      <w:r>
        <w:rPr>
          <w:b/>
        </w:rPr>
        <w:t>Fragmented Systems:</w:t>
      </w:r>
      <w:r>
        <w:t xml:space="preserve"> Multiple legacy systems and manual workflows create inefficiencies and data silos.</w:t>
      </w:r>
    </w:p>
    <w:p>
      <w:pPr>
        <w:pStyle w:val="ListBullet"/>
      </w:pPr>
      <w:r>
        <w:rPr>
          <w:b/>
        </w:rPr>
        <w:t>Regulatory Complexity:</w:t>
      </w:r>
      <w:r>
        <w:t xml:space="preserve"> Frequent policy updates require flexible rule management and version control.</w:t>
      </w:r>
    </w:p>
    <w:p>
      <w:pPr>
        <w:pStyle w:val="ListBullet"/>
      </w:pPr>
      <w:r>
        <w:rPr>
          <w:b/>
        </w:rPr>
        <w:t>Operational Transparency:</w:t>
      </w:r>
      <w:r>
        <w:t xml:space="preserve"> Limited visibility into case progress and SLA adherence affects accountability.</w:t>
      </w:r>
    </w:p>
    <w:p>
      <w:pPr>
        <w:pStyle w:val="ListBullet"/>
      </w:pPr>
      <w:r>
        <w:rPr>
          <w:b/>
        </w:rPr>
        <w:t>Change Management:</w:t>
      </w:r>
      <w:r>
        <w:t xml:space="preserve"> Transitioning to a unified platform requires careful stakeholder engagement and training.</w:t>
      </w:r>
    </w:p>
    <w:p/>
    <w:p>
      <w:r>
        <w:t>FusionAIx understands that MTI’s transformation is not merely a technology upgrade—it is a strategic initiative to enhance public service delivery, regulatory compliance, and operational excellence. Our solution and approach are designed to align with these objectives, ensuring that MTI achieves measurable improvements in efficiency, transparency, and citizen satisfaction.</w:t>
      </w:r>
    </w:p>
    <w:p/>
    <w:p>
      <w:pPr>
        <w:pStyle w:val="Heading2"/>
      </w:pPr>
      <w:r>
        <w:t>3. Proposed Solution Overview</w:t>
      </w:r>
    </w:p>
    <w:p/>
    <w:p>
      <w:pPr>
        <w:pStyle w:val="Heading3"/>
      </w:pPr>
      <w:r>
        <w:t>3.1 Platform Architecture</w:t>
      </w:r>
    </w:p>
    <w:p/>
    <w:p>
      <w:r>
        <w:t>FusionAIx proposes Camunda 8 Enterprise as the core BPM and Case Management platform for MTI. Camunda 8 is a cloud-native, enterprise-grade BPM suite that supports both straight-through processing (STP) and human-centric workflows. It provides model-driven configuration using BPMN for process orchestration and DMN for business rules, enabling MTI to design, deploy, and manage processes with minimal custom code.</w:t>
      </w:r>
    </w:p>
    <w:p/>
    <w:p>
      <w:r>
        <w:t>The architecture supports deployment on MTI’s preferred infrastructure—either as SaaS or self-managed on Kubernetes/OpenShift—ensuring scalability, high availability, and security compliance.</w:t>
      </w:r>
    </w:p>
    <w:p/>
    <w:p>
      <w:r>
        <w:t>Key architectural components:</w:t>
      </w:r>
    </w:p>
    <w:p/>
    <w:p>
      <w:pPr>
        <w:pStyle w:val="ListBullet"/>
      </w:pPr>
      <w:r>
        <w:rPr>
          <w:b/>
        </w:rPr>
        <w:t>Process Orchestration Engine:</w:t>
      </w:r>
      <w:r>
        <w:t xml:space="preserve"> Executes BPMN workflows, managing both automated and human tasks.</w:t>
      </w:r>
    </w:p>
    <w:p>
      <w:pPr>
        <w:pStyle w:val="ListBullet"/>
      </w:pPr>
      <w:r>
        <w:rPr>
          <w:b/>
        </w:rPr>
        <w:t>Case Management Layer:</w:t>
      </w:r>
      <w:r>
        <w:t xml:space="preserve"> Supports dynamic case handling, ad-hoc tasks, and discretionary workflows.</w:t>
      </w:r>
    </w:p>
    <w:p>
      <w:pPr>
        <w:pStyle w:val="ListBullet"/>
      </w:pPr>
      <w:r>
        <w:rPr>
          <w:b/>
        </w:rPr>
        <w:t>Decision Management Engine:</w:t>
      </w:r>
      <w:r>
        <w:t xml:space="preserve"> Implements DMN-based business rules for consistent policy enforcement.</w:t>
      </w:r>
    </w:p>
    <w:p>
      <w:pPr>
        <w:pStyle w:val="ListBullet"/>
      </w:pPr>
      <w:r>
        <w:rPr>
          <w:b/>
        </w:rPr>
        <w:t>Integration Layer:</w:t>
      </w:r>
      <w:r>
        <w:t xml:space="preserve"> Provides REST APIs, message queues, and event-based integration for seamless connectivity with MTI’s enterprise systems.</w:t>
      </w:r>
    </w:p>
    <w:p>
      <w:pPr>
        <w:pStyle w:val="ListBullet"/>
      </w:pPr>
      <w:r>
        <w:rPr>
          <w:b/>
        </w:rPr>
        <w:t>Identity and Access Management:</w:t>
      </w:r>
      <w:r>
        <w:t xml:space="preserve"> Integrates with MTI’s IAM via SAML 2.0 or OIDC/OAuth 2.0 for SSO and RBAC.</w:t>
      </w:r>
    </w:p>
    <w:p>
      <w:pPr>
        <w:pStyle w:val="ListBullet"/>
      </w:pPr>
      <w:r>
        <w:rPr>
          <w:b/>
        </w:rPr>
        <w:t>Analytics and Monitoring:</w:t>
      </w:r>
      <w:r>
        <w:t xml:space="preserve"> Offers real-time dashboards for SLA tracking, workload distribution, and performance analytics.</w:t>
      </w:r>
    </w:p>
    <w:p>
      <w:pPr>
        <w:pStyle w:val="ListBullet"/>
      </w:pPr>
      <w:r>
        <w:rPr>
          <w:b/>
        </w:rPr>
        <w:t>User Interfaces:</w:t>
      </w:r>
      <w:r>
        <w:t xml:space="preserve"> Web-based, responsive portals for internal users, supervisors, and external stakeholders.</w:t>
      </w:r>
    </w:p>
    <w:p/>
    <w:p>
      <w:pPr>
        <w:pStyle w:val="Heading3"/>
      </w:pPr>
      <w:r>
        <w:t>3.2 Case Management Capability</w:t>
      </w:r>
    </w:p>
    <w:p/>
    <w:p>
      <w:r>
        <w:t>FusionAIx will configure the BPM platform’s case management layer to support ad-hoc and unstructured work by enabling dynamic task creation, discretionary workflows, and user-driven case updates within controlled case boundaries. Business users will be allowed to add tasks, assign owners, and trigger ad-hoc approvals using role-based permissions and predefined guardrails, rather than free-form actions. All case activities—including manual interventions, decision overrides, and document changes—will be automatically logged with timestamps and user context to ensure full auditability. Governance will be enforced through configurable case templates, lifecycle states, and policy rules, ensuring flexibility without compromising compliance or traceability.</w:t>
      </w:r>
    </w:p>
    <w:p/>
    <w:p>
      <w:pPr>
        <w:pStyle w:val="Heading3"/>
      </w:pPr>
      <w:r>
        <w:t>3.3 Integration Approach</w:t>
      </w:r>
    </w:p>
    <w:p/>
    <w:p>
      <w:r>
        <w:t>FusionAIx will integrate the BPM platform with MTI’s ERP, CRM, document management, and identity systems using standard integration patterns such as REST APIs, asynchronous messaging, and event-driven workflows, leveraging existing middleware or platform-native connectors where available. An abstraction layer will be used to decouple BPM processes from backend systems, improving resilience and change management. Data consistency will be maintained through canonical data models, controlled transaction boundaries, and reconciliation checks. Security will be enforced via centralized IAM, standards-based authentication, and encrypted data exchange.</w:t>
      </w:r>
    </w:p>
    <w:p/>
    <w:p>
      <w:pPr>
        <w:pStyle w:val="Heading3"/>
      </w:pPr>
      <w:r>
        <w:t>3.4 Key Differentiators</w:t>
      </w:r>
    </w:p>
    <w:p/>
    <w:p>
      <w:pPr>
        <w:pStyle w:val="ListBullet"/>
      </w:pPr>
      <w:r>
        <w:rPr>
          <w:b/>
        </w:rPr>
        <w:t>Low-Code Configuration:</w:t>
      </w:r>
      <w:r>
        <w:t xml:space="preserve"> Model-driven design using BPMN/DMN enables rapid process deployment.</w:t>
      </w:r>
    </w:p>
    <w:p>
      <w:pPr>
        <w:pStyle w:val="ListBullet"/>
      </w:pPr>
      <w:r>
        <w:rPr>
          <w:b/>
        </w:rPr>
        <w:t>Dynamic Case Management:</w:t>
      </w:r>
      <w:r>
        <w:t xml:space="preserve"> Supports both structured and unstructured workflows with full auditability.</w:t>
      </w:r>
    </w:p>
    <w:p>
      <w:pPr>
        <w:pStyle w:val="ListBullet"/>
      </w:pPr>
      <w:r>
        <w:rPr>
          <w:b/>
        </w:rPr>
        <w:t>Centralized Rules Management:</w:t>
      </w:r>
      <w:r>
        <w:t xml:space="preserve"> Externalizes business logic for consistent policy enforcement.</w:t>
      </w:r>
    </w:p>
    <w:p>
      <w:pPr>
        <w:pStyle w:val="ListBullet"/>
      </w:pPr>
      <w:r>
        <w:rPr>
          <w:b/>
        </w:rPr>
        <w:t>Comprehensive Dashboards:</w:t>
      </w:r>
      <w:r>
        <w:t xml:space="preserve"> Real-time visibility into SLAs, workloads, and bottlenecks.</w:t>
      </w:r>
    </w:p>
    <w:p>
      <w:pPr>
        <w:pStyle w:val="ListBullet"/>
      </w:pPr>
      <w:r>
        <w:rPr>
          <w:b/>
        </w:rPr>
        <w:t>Proprietary Accelerators:</w:t>
      </w:r>
      <w:r>
        <w:t xml:space="preserve"> fxSmartDCO, fxAIStudio, and fxMockUpToView reduce implementation time by up to 40%.</w:t>
      </w:r>
    </w:p>
    <w:p>
      <w:pPr>
        <w:pStyle w:val="ListBullet"/>
      </w:pPr>
      <w:r>
        <w:rPr>
          <w:b/>
        </w:rPr>
        <w:t>Government-Grade Security:</w:t>
      </w:r>
      <w:r>
        <w:t xml:space="preserve"> Full compliance with national cybersecurity and data protection standards.</w:t>
      </w:r>
    </w:p>
    <w:p>
      <w:pPr>
        <w:pStyle w:val="ListBullet"/>
      </w:pPr>
      <w:r>
        <w:rPr>
          <w:b/>
        </w:rPr>
        <w:t>Scalable Architecture:</w:t>
      </w:r>
      <w:r>
        <w:t xml:space="preserve"> Supports MTI’s anticipated user base and future expansion.</w:t>
      </w:r>
    </w:p>
    <w:p/>
    <w:p>
      <w:pPr>
        <w:pStyle w:val="Heading2"/>
      </w:pPr>
      <w:r>
        <w:t>4. Implementation Approach and Methodology</w:t>
      </w:r>
    </w:p>
    <w:p/>
    <w:p>
      <w:r>
        <w:t>FusionAIx follows a structured, agile implementation methodology that ensures rapid delivery, stakeholder alignment, and quality assurance throughout the project lifecycle.</w:t>
      </w:r>
    </w:p>
    <w:p/>
    <w:p>
      <w:pPr>
        <w:pStyle w:val="Heading3"/>
      </w:pPr>
      <w:r>
        <w:t>4.1 Phased Implementation</w:t>
      </w:r>
    </w:p>
    <w:p/>
    <w:p>
      <w:pPr>
        <w:pStyle w:val="ListNumber"/>
      </w:pPr>
      <w:r>
        <w:rPr>
          <w:b/>
        </w:rPr>
        <w:t>Initiation and Discovery:</w:t>
      </w:r>
    </w:p>
    <w:p>
      <w:pPr>
        <w:pStyle w:val="ListBullet"/>
      </w:pPr>
      <w:r>
        <w:t>Conduct stakeholder workshops to refine requirements.</w:t>
      </w:r>
    </w:p>
    <w:p>
      <w:pPr>
        <w:pStyle w:val="ListBullet"/>
      </w:pPr>
      <w:r>
        <w:t>Use fxSmartDCO to capture process models and business rules collaboratively.</w:t>
      </w:r>
    </w:p>
    <w:p>
      <w:pPr>
        <w:pStyle w:val="ListBullet"/>
      </w:pPr>
      <w:r>
        <w:t>Define success metrics and governance structure.</w:t>
      </w:r>
    </w:p>
    <w:p/>
    <w:p>
      <w:pPr>
        <w:pStyle w:val="ListNumber"/>
      </w:pPr>
      <w:r>
        <w:rPr>
          <w:b/>
        </w:rPr>
        <w:t>Design and Configuration:</w:t>
      </w:r>
    </w:p>
    <w:p>
      <w:pPr>
        <w:pStyle w:val="ListBullet"/>
      </w:pPr>
      <w:r>
        <w:t>Model processes using BPMN and DMN.</w:t>
      </w:r>
    </w:p>
    <w:p>
      <w:pPr>
        <w:pStyle w:val="ListBullet"/>
      </w:pPr>
      <w:r>
        <w:t>Configure case types, SLAs, and user interfaces.</w:t>
      </w:r>
    </w:p>
    <w:p>
      <w:pPr>
        <w:pStyle w:val="ListBullet"/>
      </w:pPr>
      <w:r>
        <w:t>Establish integration patterns and security configurations.</w:t>
      </w:r>
    </w:p>
    <w:p/>
    <w:p>
      <w:pPr>
        <w:pStyle w:val="ListNumber"/>
      </w:pPr>
      <w:r>
        <w:rPr>
          <w:b/>
        </w:rPr>
        <w:t>Migration and Transition:</w:t>
      </w:r>
      <w:r>
        <w:t xml:space="preserve"> fusionAIx will follow a phased migration approach, starting with detailed analysis of MTI’s legacy workflows to assess complexity, usage, risk, and business criticality. Processes will be prioritized into quick wins, core migrations, and deferred candidates, with high-risk or mission-critical workflows transitioned using parallel run and rollback strategies to minimize disruption. Data and integrations will be migrated incrementally using validated mappings, automated reconciliation, and interface abstraction layers. Throughout the transition, existing operations will remain live, with cutovers planned around business cycles and supported by clear communication and change management.</w:t>
      </w:r>
    </w:p>
    <w:p/>
    <w:p>
      <w:pPr>
        <w:pStyle w:val="ListNumber"/>
      </w:pPr>
      <w:r>
        <w:rPr>
          <w:b/>
        </w:rPr>
        <w:t>Testing and Validation:</w:t>
      </w:r>
    </w:p>
    <w:p>
      <w:pPr>
        <w:pStyle w:val="ListBullet"/>
      </w:pPr>
      <w:r>
        <w:t>Conduct unit, integration, and user acceptance testing.</w:t>
      </w:r>
    </w:p>
    <w:p>
      <w:pPr>
        <w:pStyle w:val="ListBullet"/>
      </w:pPr>
      <w:r>
        <w:t>Validate SLAs, rules, and audit trails.</w:t>
      </w:r>
    </w:p>
    <w:p>
      <w:pPr>
        <w:pStyle w:val="ListBullet"/>
      </w:pPr>
      <w:r>
        <w:t>Perform security and performance testing.</w:t>
      </w:r>
    </w:p>
    <w:p/>
    <w:p>
      <w:pPr>
        <w:pStyle w:val="ListNumber"/>
      </w:pPr>
      <w:r>
        <w:rPr>
          <w:b/>
        </w:rPr>
        <w:t>Training and Change Management:</w:t>
      </w:r>
    </w:p>
    <w:p>
      <w:pPr>
        <w:pStyle w:val="ListBullet"/>
      </w:pPr>
      <w:r>
        <w:t>Deliver training for administrators, power users, and end users.</w:t>
      </w:r>
    </w:p>
    <w:p>
      <w:pPr>
        <w:pStyle w:val="ListBullet"/>
      </w:pPr>
      <w:r>
        <w:t>Provide user guides and training materials.</w:t>
      </w:r>
    </w:p>
    <w:p>
      <w:pPr>
        <w:pStyle w:val="ListBullet"/>
      </w:pPr>
      <w:r>
        <w:t>Support MTI’s change management initiatives.</w:t>
      </w:r>
    </w:p>
    <w:p/>
    <w:p>
      <w:pPr>
        <w:pStyle w:val="ListNumber"/>
      </w:pPr>
      <w:r>
        <w:rPr>
          <w:b/>
        </w:rPr>
        <w:t>Go-Live and Stabilization:</w:t>
      </w:r>
    </w:p>
    <w:p>
      <w:pPr>
        <w:pStyle w:val="ListBullet"/>
      </w:pPr>
      <w:r>
        <w:t>Execute cutover plan with rollback contingencies.</w:t>
      </w:r>
    </w:p>
    <w:p>
      <w:pPr>
        <w:pStyle w:val="ListBullet"/>
      </w:pPr>
      <w:r>
        <w:t>Provide hypercare support and performance monitoring.</w:t>
      </w:r>
    </w:p>
    <w:p/>
    <w:p>
      <w:pPr>
        <w:pStyle w:val="ListNumber"/>
      </w:pPr>
      <w:r>
        <w:rPr>
          <w:b/>
        </w:rPr>
        <w:t>Post–Go-Live Support:</w:t>
      </w:r>
      <w:r>
        <w:t xml:space="preserve"> fusionAIx will provide tiered post–go-live support with clearly defined L1, L2, and L3 responsibilities, covering user issues, application defects, and platform or integration-related incidents respectively. SLAs will be aligned to incident severity, with defined response and resolution targets and a formal escalation path from service desk to solution architects for critical issues. Proactive maintenance will include monitoring, minor enhancements, and periodic health checks. Knowledge transfer to MTI’s internal team will be handled through structured handover sessions, documentation, and shadow support during the initial stabilization period to ensure long-term self-sufficiency.</w:t>
      </w:r>
    </w:p>
    <w:p/>
    <w:p>
      <w:pPr>
        <w:pStyle w:val="Heading2"/>
      </w:pPr>
      <w:r>
        <w:t>5. Project Plan and Timelines</w:t>
      </w:r>
    </w:p>
    <w:p/>
    <w:p>
      <w:r>
        <w:t>FusionAIx proposes a 9–12 month implementation timeline, structured into the following major milestones:</w:t>
      </w:r>
    </w:p>
    <w:p/>
    <w:tbl>
      <w:tblPr>
        <w:tblStyle w:val="LightGrid-Accent1"/>
        <w:tblW w:type="auto" w:w="0"/>
        <w:tblLayout w:type="autofit"/>
        <w:tblLook w:firstColumn="1" w:firstRow="1" w:lastColumn="0" w:lastRow="0" w:noHBand="0" w:noVBand="1" w:val="04A0"/>
      </w:tblPr>
      <w:tblGrid>
        <w:gridCol w:w="3120"/>
        <w:gridCol w:w="3120"/>
        <w:gridCol w:w="3120"/>
      </w:tblGrid>
      <w:tr>
        <w:tc>
          <w:tcPr>
            <w:tcW w:type="dxa" w:w="3120"/>
            <w:shd w:fill="1a5490" w:val="clear"/>
            <w:vAlign w:val="top"/>
            <w:tcMar>
              <w:top w:w="80" w:type="dxa"/>
              <w:right w:w="80" w:type="dxa"/>
              <w:bottom w:w="80" w:type="dxa"/>
              <w:left w:w="80" w:type="dxa"/>
            </w:tcMar>
          </w:tcPr>
          <w:p>
            <w:r>
              <w:rPr>
                <w:b/>
                <w:color w:val="FFFFFF"/>
              </w:rPr>
              <w:t>**Phase**</w:t>
            </w:r>
          </w:p>
        </w:tc>
        <w:tc>
          <w:tcPr>
            <w:tcW w:type="dxa" w:w="3120"/>
            <w:shd w:fill="1a5490" w:val="clear"/>
            <w:vAlign w:val="top"/>
            <w:tcMar>
              <w:top w:w="80" w:type="dxa"/>
              <w:right w:w="80" w:type="dxa"/>
              <w:bottom w:w="80" w:type="dxa"/>
              <w:left w:w="80" w:type="dxa"/>
            </w:tcMar>
          </w:tcPr>
          <w:p>
            <w:r>
              <w:rPr>
                <w:b/>
                <w:color w:val="FFFFFF"/>
              </w:rPr>
              <w:t>**Duration**</w:t>
            </w:r>
          </w:p>
        </w:tc>
        <w:tc>
          <w:tcPr>
            <w:tcW w:type="dxa" w:w="3120"/>
            <w:shd w:fill="1a5490" w:val="clear"/>
            <w:vAlign w:val="top"/>
            <w:tcMar>
              <w:top w:w="80" w:type="dxa"/>
              <w:right w:w="80" w:type="dxa"/>
              <w:bottom w:w="80" w:type="dxa"/>
              <w:left w:w="80" w:type="dxa"/>
            </w:tcMar>
          </w:tcPr>
          <w:p>
            <w:r>
              <w:rPr>
                <w:b/>
                <w:color w:val="FFFFFF"/>
              </w:rPr>
              <w:t>**Key Deliverables**</w:t>
            </w:r>
          </w:p>
        </w:tc>
      </w:tr>
      <w:tr>
        <w:tc>
          <w:tcPr>
            <w:tcW w:type="dxa" w:w="3120"/>
            <w:vAlign w:val="top"/>
            <w:tcMar>
              <w:top w:w="80" w:type="dxa"/>
              <w:right w:w="80" w:type="dxa"/>
              <w:bottom w:w="80" w:type="dxa"/>
              <w:left w:w="80" w:type="dxa"/>
            </w:tcMar>
          </w:tcPr>
          <w:p>
            <w:r>
              <w:t>Project Initiation &amp; Discovery</w:t>
            </w:r>
          </w:p>
        </w:tc>
        <w:tc>
          <w:tcPr>
            <w:tcW w:type="dxa" w:w="3120"/>
            <w:vAlign w:val="top"/>
            <w:tcMar>
              <w:top w:w="80" w:type="dxa"/>
              <w:right w:w="80" w:type="dxa"/>
              <w:bottom w:w="80" w:type="dxa"/>
              <w:left w:w="80" w:type="dxa"/>
            </w:tcMar>
          </w:tcPr>
          <w:p>
            <w:r>
              <w:t>4 weeks</w:t>
            </w:r>
          </w:p>
        </w:tc>
        <w:tc>
          <w:tcPr>
            <w:tcW w:type="dxa" w:w="3120"/>
            <w:vAlign w:val="top"/>
            <w:tcMar>
              <w:top w:w="80" w:type="dxa"/>
              <w:right w:w="80" w:type="dxa"/>
              <w:bottom w:w="80" w:type="dxa"/>
              <w:left w:w="80" w:type="dxa"/>
            </w:tcMar>
          </w:tcPr>
          <w:p>
            <w:r>
              <w:t>Requirements baseline, governance plan</w:t>
            </w:r>
          </w:p>
        </w:tc>
      </w:tr>
      <w:tr>
        <w:tc>
          <w:tcPr>
            <w:tcW w:type="dxa" w:w="3120"/>
            <w:vAlign w:val="top"/>
            <w:tcMar>
              <w:top w:w="80" w:type="dxa"/>
              <w:right w:w="80" w:type="dxa"/>
              <w:bottom w:w="80" w:type="dxa"/>
              <w:left w:w="80" w:type="dxa"/>
            </w:tcMar>
          </w:tcPr>
          <w:p>
            <w:r>
              <w:t>Design &amp; Configuration</w:t>
            </w:r>
          </w:p>
        </w:tc>
        <w:tc>
          <w:tcPr>
            <w:tcW w:type="dxa" w:w="3120"/>
            <w:vAlign w:val="top"/>
            <w:tcMar>
              <w:top w:w="80" w:type="dxa"/>
              <w:right w:w="80" w:type="dxa"/>
              <w:bottom w:w="80" w:type="dxa"/>
              <w:left w:w="80" w:type="dxa"/>
            </w:tcMar>
          </w:tcPr>
          <w:p>
            <w:r>
              <w:t>8 weeks</w:t>
            </w:r>
          </w:p>
        </w:tc>
        <w:tc>
          <w:tcPr>
            <w:tcW w:type="dxa" w:w="3120"/>
            <w:vAlign w:val="top"/>
            <w:tcMar>
              <w:top w:w="80" w:type="dxa"/>
              <w:right w:w="80" w:type="dxa"/>
              <w:bottom w:w="80" w:type="dxa"/>
              <w:left w:w="80" w:type="dxa"/>
            </w:tcMar>
          </w:tcPr>
          <w:p>
            <w:r>
              <w:t>Process models, case templates, integrations</w:t>
            </w:r>
          </w:p>
        </w:tc>
      </w:tr>
      <w:tr>
        <w:tc>
          <w:tcPr>
            <w:tcW w:type="dxa" w:w="3120"/>
            <w:vAlign w:val="top"/>
            <w:tcMar>
              <w:top w:w="80" w:type="dxa"/>
              <w:right w:w="80" w:type="dxa"/>
              <w:bottom w:w="80" w:type="dxa"/>
              <w:left w:w="80" w:type="dxa"/>
            </w:tcMar>
          </w:tcPr>
          <w:p>
            <w:r>
              <w:t>Migration &amp; Transition</w:t>
            </w:r>
          </w:p>
        </w:tc>
        <w:tc>
          <w:tcPr>
            <w:tcW w:type="dxa" w:w="3120"/>
            <w:vAlign w:val="top"/>
            <w:tcMar>
              <w:top w:w="80" w:type="dxa"/>
              <w:right w:w="80" w:type="dxa"/>
              <w:bottom w:w="80" w:type="dxa"/>
              <w:left w:w="80" w:type="dxa"/>
            </w:tcMar>
          </w:tcPr>
          <w:p>
            <w:r>
              <w:t>6 weeks</w:t>
            </w:r>
          </w:p>
        </w:tc>
        <w:tc>
          <w:tcPr>
            <w:tcW w:type="dxa" w:w="3120"/>
            <w:vAlign w:val="top"/>
            <w:tcMar>
              <w:top w:w="80" w:type="dxa"/>
              <w:right w:w="80" w:type="dxa"/>
              <w:bottom w:w="80" w:type="dxa"/>
              <w:left w:w="80" w:type="dxa"/>
            </w:tcMar>
          </w:tcPr>
          <w:p>
            <w:r>
              <w:t>Data mappings, migration scripts, validation</w:t>
            </w:r>
          </w:p>
        </w:tc>
      </w:tr>
      <w:tr>
        <w:tc>
          <w:tcPr>
            <w:tcW w:type="dxa" w:w="3120"/>
            <w:vAlign w:val="top"/>
            <w:tcMar>
              <w:top w:w="80" w:type="dxa"/>
              <w:right w:w="80" w:type="dxa"/>
              <w:bottom w:w="80" w:type="dxa"/>
              <w:left w:w="80" w:type="dxa"/>
            </w:tcMar>
          </w:tcPr>
          <w:p>
            <w:r>
              <w:t>Testing &amp; UAT</w:t>
            </w:r>
          </w:p>
        </w:tc>
        <w:tc>
          <w:tcPr>
            <w:tcW w:type="dxa" w:w="3120"/>
            <w:vAlign w:val="top"/>
            <w:tcMar>
              <w:top w:w="80" w:type="dxa"/>
              <w:right w:w="80" w:type="dxa"/>
              <w:bottom w:w="80" w:type="dxa"/>
              <w:left w:w="80" w:type="dxa"/>
            </w:tcMar>
          </w:tcPr>
          <w:p>
            <w:r>
              <w:t>6 weeks</w:t>
            </w:r>
          </w:p>
        </w:tc>
        <w:tc>
          <w:tcPr>
            <w:tcW w:type="dxa" w:w="3120"/>
            <w:vAlign w:val="top"/>
            <w:tcMar>
              <w:top w:w="80" w:type="dxa"/>
              <w:right w:w="80" w:type="dxa"/>
              <w:bottom w:w="80" w:type="dxa"/>
              <w:left w:w="80" w:type="dxa"/>
            </w:tcMar>
          </w:tcPr>
          <w:p>
            <w:r>
              <w:t>Test reports, UAT sign-off</w:t>
            </w:r>
          </w:p>
        </w:tc>
      </w:tr>
      <w:tr>
        <w:tc>
          <w:tcPr>
            <w:tcW w:type="dxa" w:w="3120"/>
            <w:vAlign w:val="top"/>
            <w:tcMar>
              <w:top w:w="80" w:type="dxa"/>
              <w:right w:w="80" w:type="dxa"/>
              <w:bottom w:w="80" w:type="dxa"/>
              <w:left w:w="80" w:type="dxa"/>
            </w:tcMar>
          </w:tcPr>
          <w:p>
            <w:r>
              <w:t>Training &amp; Change Management</w:t>
            </w:r>
          </w:p>
        </w:tc>
        <w:tc>
          <w:tcPr>
            <w:tcW w:type="dxa" w:w="3120"/>
            <w:vAlign w:val="top"/>
            <w:tcMar>
              <w:top w:w="80" w:type="dxa"/>
              <w:right w:w="80" w:type="dxa"/>
              <w:bottom w:w="80" w:type="dxa"/>
              <w:left w:w="80" w:type="dxa"/>
            </w:tcMar>
          </w:tcPr>
          <w:p>
            <w:r>
              <w:t>4 weeks</w:t>
            </w:r>
          </w:p>
        </w:tc>
        <w:tc>
          <w:tcPr>
            <w:tcW w:type="dxa" w:w="3120"/>
            <w:vAlign w:val="top"/>
            <w:tcMar>
              <w:top w:w="80" w:type="dxa"/>
              <w:right w:w="80" w:type="dxa"/>
              <w:bottom w:w="80" w:type="dxa"/>
              <w:left w:w="80" w:type="dxa"/>
            </w:tcMar>
          </w:tcPr>
          <w:p>
            <w:r>
              <w:t>Training materials, user certification</w:t>
            </w:r>
          </w:p>
        </w:tc>
      </w:tr>
      <w:tr>
        <w:tc>
          <w:tcPr>
            <w:tcW w:type="dxa" w:w="3120"/>
            <w:vAlign w:val="top"/>
            <w:tcMar>
              <w:top w:w="80" w:type="dxa"/>
              <w:right w:w="80" w:type="dxa"/>
              <w:bottom w:w="80" w:type="dxa"/>
              <w:left w:w="80" w:type="dxa"/>
            </w:tcMar>
          </w:tcPr>
          <w:p>
            <w:r>
              <w:t>Go-Live &amp; Stabilization</w:t>
            </w:r>
          </w:p>
        </w:tc>
        <w:tc>
          <w:tcPr>
            <w:tcW w:type="dxa" w:w="3120"/>
            <w:vAlign w:val="top"/>
            <w:tcMar>
              <w:top w:w="80" w:type="dxa"/>
              <w:right w:w="80" w:type="dxa"/>
              <w:bottom w:w="80" w:type="dxa"/>
              <w:left w:w="80" w:type="dxa"/>
            </w:tcMar>
          </w:tcPr>
          <w:p>
            <w:r>
              <w:t>4 weeks</w:t>
            </w:r>
          </w:p>
        </w:tc>
        <w:tc>
          <w:tcPr>
            <w:tcW w:type="dxa" w:w="3120"/>
            <w:vAlign w:val="top"/>
            <w:tcMar>
              <w:top w:w="80" w:type="dxa"/>
              <w:right w:w="80" w:type="dxa"/>
              <w:bottom w:w="80" w:type="dxa"/>
              <w:left w:w="80" w:type="dxa"/>
            </w:tcMar>
          </w:tcPr>
          <w:p>
            <w:r>
              <w:t>Production deployment, hypercare support</w:t>
            </w:r>
          </w:p>
        </w:tc>
      </w:tr>
    </w:tbl>
    <w:p>
      <w:r>
        <w:t>A detailed Gantt chart with dependencies and resource allocation will be provided upon project initiation.</w:t>
      </w:r>
    </w:p>
    <w:p/>
    <w:p>
      <w:pPr>
        <w:pStyle w:val="Heading2"/>
      </w:pPr>
      <w:r>
        <w:t>6. Proposed Team Structure</w:t>
      </w:r>
    </w:p>
    <w:p/>
    <w:p>
      <w:r>
        <w:t>FusionAIx will deploy a multidisciplinary team comprising BPM architects, business analysts, developers, and quality engineers. Key roles include:</w:t>
      </w:r>
    </w:p>
    <w:p/>
    <w:p>
      <w:pPr>
        <w:pStyle w:val="ListBullet"/>
      </w:pPr>
      <w:r>
        <w:rPr>
          <w:b/>
        </w:rPr>
        <w:t>Project Manager:</w:t>
      </w:r>
      <w:r>
        <w:t xml:space="preserve"> Overall delivery governance and stakeholder communication.</w:t>
      </w:r>
    </w:p>
    <w:p>
      <w:pPr>
        <w:pStyle w:val="ListBullet"/>
      </w:pPr>
      <w:r>
        <w:rPr>
          <w:b/>
        </w:rPr>
        <w:t>Solution Architect:</w:t>
      </w:r>
      <w:r>
        <w:t xml:space="preserve"> Platform design, integration, and security architecture.</w:t>
      </w:r>
    </w:p>
    <w:p>
      <w:pPr>
        <w:pStyle w:val="ListBullet"/>
      </w:pPr>
      <w:r>
        <w:rPr>
          <w:b/>
        </w:rPr>
        <w:t>Business Analyst:</w:t>
      </w:r>
      <w:r>
        <w:t xml:space="preserve"> Requirements gathering, process modeling, and documentation.</w:t>
      </w:r>
    </w:p>
    <w:p>
      <w:pPr>
        <w:pStyle w:val="ListBullet"/>
      </w:pPr>
      <w:r>
        <w:rPr>
          <w:b/>
        </w:rPr>
        <w:t>BPM Developer:</w:t>
      </w:r>
      <w:r>
        <w:t xml:space="preserve"> Configuration of workflows, rules, and UI components.</w:t>
      </w:r>
    </w:p>
    <w:p>
      <w:pPr>
        <w:pStyle w:val="ListBullet"/>
      </w:pPr>
      <w:r>
        <w:rPr>
          <w:b/>
        </w:rPr>
        <w:t>Integration Specialist:</w:t>
      </w:r>
      <w:r>
        <w:t xml:space="preserve"> API and middleware integration.</w:t>
      </w:r>
    </w:p>
    <w:p>
      <w:pPr>
        <w:pStyle w:val="ListBullet"/>
      </w:pPr>
      <w:r>
        <w:rPr>
          <w:b/>
        </w:rPr>
        <w:t>QA Lead:</w:t>
      </w:r>
      <w:r>
        <w:t xml:space="preserve"> Test planning and execution.</w:t>
      </w:r>
    </w:p>
    <w:p>
      <w:pPr>
        <w:pStyle w:val="ListBullet"/>
      </w:pPr>
      <w:r>
        <w:rPr>
          <w:b/>
        </w:rPr>
        <w:t>Change Manager:</w:t>
      </w:r>
      <w:r>
        <w:t xml:space="preserve"> Training and adoption support.</w:t>
      </w:r>
    </w:p>
    <w:p>
      <w:pPr>
        <w:pStyle w:val="ListBullet"/>
      </w:pPr>
      <w:r>
        <w:rPr>
          <w:b/>
        </w:rPr>
        <w:t>Support Lead:</w:t>
      </w:r>
      <w:r>
        <w:t xml:space="preserve"> Post–go-live maintenance and SLA management.</w:t>
      </w:r>
    </w:p>
    <w:p/>
    <w:p>
      <w:r>
        <w:t>CVs of key personnel will be provided in the annexure.</w:t>
      </w:r>
    </w:p>
    <w:p/>
    <w:p>
      <w:pPr>
        <w:pStyle w:val="Heading2"/>
      </w:pPr>
      <w:r>
        <w:t>7. Functional and Technical Compliance Matrix</w:t>
      </w:r>
    </w:p>
    <w:p/>
    <w:p>
      <w:r>
        <w:t>FusionAIx confirms compliance with all mandatory requirements specified in Sections 5 and 6 of the RFP.</w:t>
      </w:r>
    </w:p>
    <w:p>
      <w:r>
        <w:t>A detailed compliance matrix will be included as an annexure, mapping each requirement to the proposed solution component, configuration approach, and supporting evidence.</w:t>
      </w:r>
    </w:p>
    <w:p/>
    <w:p>
      <w:pPr>
        <w:pStyle w:val="Heading2"/>
      </w:pPr>
      <w:r>
        <w:t>8. Assumptions, Dependencies, and Risks</w:t>
      </w:r>
    </w:p>
    <w:p/>
    <w:p>
      <w:pPr>
        <w:pStyle w:val="Heading3"/>
      </w:pPr>
      <w:r>
        <w:t>Assumptions</w:t>
      </w:r>
    </w:p>
    <w:p>
      <w:pPr>
        <w:pStyle w:val="ListBullet"/>
      </w:pPr>
      <w:r>
        <w:t>MTI will provide access to existing systems, data, and documentation.</w:t>
      </w:r>
    </w:p>
    <w:p>
      <w:pPr>
        <w:pStyle w:val="ListBullet"/>
      </w:pPr>
      <w:r>
        <w:t>MTI will nominate business SMEs for workshops and UAT.</w:t>
      </w:r>
    </w:p>
    <w:p>
      <w:pPr>
        <w:pStyle w:val="ListBullet"/>
      </w:pPr>
      <w:r>
        <w:t>Infrastructure and network connectivity will be provisioned by MTI.</w:t>
      </w:r>
    </w:p>
    <w:p/>
    <w:p>
      <w:pPr>
        <w:pStyle w:val="Heading3"/>
      </w:pPr>
      <w:r>
        <w:t>Dependencies</w:t>
      </w:r>
    </w:p>
    <w:p>
      <w:pPr>
        <w:pStyle w:val="ListBullet"/>
      </w:pPr>
      <w:r>
        <w:t>Timely availability of integration endpoints and credentials.</w:t>
      </w:r>
    </w:p>
    <w:p>
      <w:pPr>
        <w:pStyle w:val="ListBullet"/>
      </w:pPr>
      <w:r>
        <w:t>Alignment with MTI’s change management and security policies.</w:t>
      </w:r>
    </w:p>
    <w:p/>
    <w:p>
      <w:pPr>
        <w:pStyle w:val="Heading3"/>
      </w:pPr>
      <w:r>
        <w:t>Risks and Mitigation</w:t>
      </w:r>
    </w:p>
    <w:tbl>
      <w:tblPr>
        <w:tblStyle w:val="LightGrid-Accent1"/>
        <w:tblW w:type="auto" w:w="0"/>
        <w:tblLayout w:type="autofit"/>
        <w:tblLook w:firstColumn="1" w:firstRow="1" w:lastColumn="0" w:lastRow="0" w:noHBand="0" w:noVBand="1" w:val="04A0"/>
      </w:tblPr>
      <w:tblGrid>
        <w:gridCol w:w="3120"/>
        <w:gridCol w:w="3120"/>
        <w:gridCol w:w="3120"/>
      </w:tblGrid>
      <w:tr>
        <w:tc>
          <w:tcPr>
            <w:tcW w:type="dxa" w:w="3120"/>
            <w:shd w:fill="1a5490" w:val="clear"/>
            <w:vAlign w:val="top"/>
            <w:tcMar>
              <w:top w:w="80" w:type="dxa"/>
              <w:right w:w="80" w:type="dxa"/>
              <w:bottom w:w="80" w:type="dxa"/>
              <w:left w:w="80" w:type="dxa"/>
            </w:tcMar>
          </w:tcPr>
          <w:p>
            <w:r>
              <w:rPr>
                <w:b/>
                <w:color w:val="FFFFFF"/>
              </w:rPr>
              <w:t>**Risk**</w:t>
            </w:r>
          </w:p>
        </w:tc>
        <w:tc>
          <w:tcPr>
            <w:tcW w:type="dxa" w:w="3120"/>
            <w:shd w:fill="1a5490" w:val="clear"/>
            <w:vAlign w:val="top"/>
            <w:tcMar>
              <w:top w:w="80" w:type="dxa"/>
              <w:right w:w="80" w:type="dxa"/>
              <w:bottom w:w="80" w:type="dxa"/>
              <w:left w:w="80" w:type="dxa"/>
            </w:tcMar>
          </w:tcPr>
          <w:p>
            <w:r>
              <w:rPr>
                <w:b/>
                <w:color w:val="FFFFFF"/>
              </w:rPr>
              <w:t>**Impact**</w:t>
            </w:r>
          </w:p>
        </w:tc>
        <w:tc>
          <w:tcPr>
            <w:tcW w:type="dxa" w:w="3120"/>
            <w:shd w:fill="1a5490" w:val="clear"/>
            <w:vAlign w:val="top"/>
            <w:tcMar>
              <w:top w:w="80" w:type="dxa"/>
              <w:right w:w="80" w:type="dxa"/>
              <w:bottom w:w="80" w:type="dxa"/>
              <w:left w:w="80" w:type="dxa"/>
            </w:tcMar>
          </w:tcPr>
          <w:p>
            <w:r>
              <w:rPr>
                <w:b/>
                <w:color w:val="FFFFFF"/>
              </w:rPr>
              <w:t>**Mitigation Strategy**</w:t>
            </w:r>
          </w:p>
        </w:tc>
      </w:tr>
      <w:tr>
        <w:tc>
          <w:tcPr>
            <w:tcW w:type="dxa" w:w="3120"/>
            <w:vAlign w:val="top"/>
            <w:tcMar>
              <w:top w:w="80" w:type="dxa"/>
              <w:right w:w="80" w:type="dxa"/>
              <w:bottom w:w="80" w:type="dxa"/>
              <w:left w:w="80" w:type="dxa"/>
            </w:tcMar>
          </w:tcPr>
          <w:p>
            <w:r>
              <w:t>Delays in data migration</w:t>
            </w:r>
          </w:p>
        </w:tc>
        <w:tc>
          <w:tcPr>
            <w:tcW w:type="dxa" w:w="3120"/>
            <w:vAlign w:val="top"/>
            <w:tcMar>
              <w:top w:w="80" w:type="dxa"/>
              <w:right w:w="80" w:type="dxa"/>
              <w:bottom w:w="80" w:type="dxa"/>
              <w:left w:w="80" w:type="dxa"/>
            </w:tcMar>
          </w:tcPr>
          <w:p>
            <w:r>
              <w:t>Medium</w:t>
            </w:r>
          </w:p>
        </w:tc>
        <w:tc>
          <w:tcPr>
            <w:tcW w:type="dxa" w:w="3120"/>
            <w:vAlign w:val="top"/>
            <w:tcMar>
              <w:top w:w="80" w:type="dxa"/>
              <w:right w:w="80" w:type="dxa"/>
              <w:bottom w:w="80" w:type="dxa"/>
              <w:left w:w="80" w:type="dxa"/>
            </w:tcMar>
          </w:tcPr>
          <w:p>
            <w:r>
              <w:t>Phased migration with validation and rollback</w:t>
            </w:r>
          </w:p>
        </w:tc>
      </w:tr>
      <w:tr>
        <w:tc>
          <w:tcPr>
            <w:tcW w:type="dxa" w:w="3120"/>
            <w:vAlign w:val="top"/>
            <w:tcMar>
              <w:top w:w="80" w:type="dxa"/>
              <w:right w:w="80" w:type="dxa"/>
              <w:bottom w:w="80" w:type="dxa"/>
              <w:left w:w="80" w:type="dxa"/>
            </w:tcMar>
          </w:tcPr>
          <w:p>
            <w:r>
              <w:t>User adoption challenges</w:t>
            </w:r>
          </w:p>
        </w:tc>
        <w:tc>
          <w:tcPr>
            <w:tcW w:type="dxa" w:w="3120"/>
            <w:vAlign w:val="top"/>
            <w:tcMar>
              <w:top w:w="80" w:type="dxa"/>
              <w:right w:w="80" w:type="dxa"/>
              <w:bottom w:w="80" w:type="dxa"/>
              <w:left w:w="80" w:type="dxa"/>
            </w:tcMar>
          </w:tcPr>
          <w:p>
            <w:r>
              <w:t>High</w:t>
            </w:r>
          </w:p>
        </w:tc>
        <w:tc>
          <w:tcPr>
            <w:tcW w:type="dxa" w:w="3120"/>
            <w:vAlign w:val="top"/>
            <w:tcMar>
              <w:top w:w="80" w:type="dxa"/>
              <w:right w:w="80" w:type="dxa"/>
              <w:bottom w:w="80" w:type="dxa"/>
              <w:left w:w="80" w:type="dxa"/>
            </w:tcMar>
          </w:tcPr>
          <w:p>
            <w:r>
              <w:t>Comprehensive training and change management</w:t>
            </w:r>
          </w:p>
        </w:tc>
      </w:tr>
      <w:tr>
        <w:tc>
          <w:tcPr>
            <w:tcW w:type="dxa" w:w="3120"/>
            <w:vAlign w:val="top"/>
            <w:tcMar>
              <w:top w:w="80" w:type="dxa"/>
              <w:right w:w="80" w:type="dxa"/>
              <w:bottom w:w="80" w:type="dxa"/>
              <w:left w:w="80" w:type="dxa"/>
            </w:tcMar>
          </w:tcPr>
          <w:p>
            <w:r>
              <w:t>Integration complexity</w:t>
            </w:r>
          </w:p>
        </w:tc>
        <w:tc>
          <w:tcPr>
            <w:tcW w:type="dxa" w:w="3120"/>
            <w:vAlign w:val="top"/>
            <w:tcMar>
              <w:top w:w="80" w:type="dxa"/>
              <w:right w:w="80" w:type="dxa"/>
              <w:bottom w:w="80" w:type="dxa"/>
              <w:left w:w="80" w:type="dxa"/>
            </w:tcMar>
          </w:tcPr>
          <w:p>
            <w:r>
              <w:t>Medium</w:t>
            </w:r>
          </w:p>
        </w:tc>
        <w:tc>
          <w:tcPr>
            <w:tcW w:type="dxa" w:w="3120"/>
            <w:vAlign w:val="top"/>
            <w:tcMar>
              <w:top w:w="80" w:type="dxa"/>
              <w:right w:w="80" w:type="dxa"/>
              <w:bottom w:w="80" w:type="dxa"/>
              <w:left w:w="80" w:type="dxa"/>
            </w:tcMar>
          </w:tcPr>
          <w:p>
            <w:r>
              <w:t>Use of abstraction layer and standard APIs</w:t>
            </w:r>
          </w:p>
        </w:tc>
      </w:tr>
      <w:tr>
        <w:tc>
          <w:tcPr>
            <w:tcW w:type="dxa" w:w="3120"/>
            <w:vAlign w:val="top"/>
            <w:tcMar>
              <w:top w:w="80" w:type="dxa"/>
              <w:right w:w="80" w:type="dxa"/>
              <w:bottom w:w="80" w:type="dxa"/>
              <w:left w:w="80" w:type="dxa"/>
            </w:tcMar>
          </w:tcPr>
          <w:p>
            <w:r>
              <w:t>Policy changes during implementation</w:t>
            </w:r>
          </w:p>
        </w:tc>
        <w:tc>
          <w:tcPr>
            <w:tcW w:type="dxa" w:w="3120"/>
            <w:vAlign w:val="top"/>
            <w:tcMar>
              <w:top w:w="80" w:type="dxa"/>
              <w:right w:w="80" w:type="dxa"/>
              <w:bottom w:w="80" w:type="dxa"/>
              <w:left w:w="80" w:type="dxa"/>
            </w:tcMar>
          </w:tcPr>
          <w:p>
            <w:r>
              <w:t>Medium</w:t>
            </w:r>
          </w:p>
        </w:tc>
        <w:tc>
          <w:tcPr>
            <w:tcW w:type="dxa" w:w="3120"/>
            <w:vAlign w:val="top"/>
            <w:tcMar>
              <w:top w:w="80" w:type="dxa"/>
              <w:right w:w="80" w:type="dxa"/>
              <w:bottom w:w="80" w:type="dxa"/>
              <w:left w:w="80" w:type="dxa"/>
            </w:tcMar>
          </w:tcPr>
          <w:p>
            <w:r>
              <w:t>Configurable rules management for rapid updates</w:t>
            </w:r>
          </w:p>
        </w:tc>
      </w:tr>
    </w:tbl>
    <w:p/>
    <w:p>
      <w:pPr>
        <w:pStyle w:val="Heading2"/>
      </w:pPr>
      <w:r>
        <w:t>9. Support and Maintenance Model</w:t>
      </w:r>
    </w:p>
    <w:p/>
    <w:p>
      <w:r>
        <w:t>FusionAIx will provide a comprehensive support and maintenance model for a minimum of three years post–go-live.</w:t>
      </w:r>
    </w:p>
    <w:p/>
    <w:p>
      <w:pPr>
        <w:pStyle w:val="ListBullet"/>
      </w:pPr>
      <w:r>
        <w:rPr>
          <w:b/>
        </w:rPr>
        <w:t>Tiered Support:</w:t>
      </w:r>
      <w:r>
        <w:t xml:space="preserve"> L1 (user issues), L2 (application defects), L3 (platform/integration).</w:t>
      </w:r>
    </w:p>
    <w:p>
      <w:pPr>
        <w:pStyle w:val="ListBullet"/>
      </w:pPr>
      <w:r>
        <w:rPr>
          <w:b/>
        </w:rPr>
        <w:t>SLAs:</w:t>
      </w:r>
      <w:r>
        <w:t xml:space="preserve"> Defined response and resolution times based on incident severity.</w:t>
      </w:r>
    </w:p>
    <w:p>
      <w:pPr>
        <w:pStyle w:val="ListBullet"/>
      </w:pPr>
      <w:r>
        <w:rPr>
          <w:b/>
        </w:rPr>
        <w:t>Escalation Path:</w:t>
      </w:r>
      <w:r>
        <w:t xml:space="preserve"> From service desk to solution architects for critical issues.</w:t>
      </w:r>
    </w:p>
    <w:p>
      <w:pPr>
        <w:pStyle w:val="ListBullet"/>
      </w:pPr>
      <w:r>
        <w:rPr>
          <w:b/>
        </w:rPr>
        <w:t>Proactive Maintenance:</w:t>
      </w:r>
      <w:r>
        <w:t xml:space="preserve"> Monitoring, patching, upgrades, and health checks.</w:t>
      </w:r>
    </w:p>
    <w:p>
      <w:pPr>
        <w:pStyle w:val="ListBullet"/>
      </w:pPr>
      <w:r>
        <w:rPr>
          <w:b/>
        </w:rPr>
        <w:t>Knowledge Transfer:</w:t>
      </w:r>
      <w:r>
        <w:t xml:space="preserve"> Structured handover sessions, documentation, and shadow support to ensure MTI’s self-sufficiency.</w:t>
      </w:r>
    </w:p>
    <w:p/>
    <w:p>
      <w:pPr>
        <w:pStyle w:val="Heading2"/>
      </w:pPr>
      <w:r>
        <w:t>10. Commercial Proposal</w:t>
      </w:r>
    </w:p>
    <w:p/>
    <w:p>
      <w:r>
        <w:t>FusionAIx’s commercial proposal includes:</w:t>
      </w:r>
    </w:p>
    <w:p/>
    <w:p>
      <w:pPr>
        <w:pStyle w:val="ListBullet"/>
      </w:pPr>
      <w:r>
        <w:rPr>
          <w:b/>
        </w:rPr>
        <w:t>Licensing:</w:t>
      </w:r>
      <w:r>
        <w:t xml:space="preserve"> Enterprise BPM platform licenses for MTI’s anticipated user base.</w:t>
      </w:r>
    </w:p>
    <w:p>
      <w:pPr>
        <w:pStyle w:val="ListBullet"/>
      </w:pPr>
      <w:r>
        <w:rPr>
          <w:b/>
        </w:rPr>
        <w:t>Implementation Services:</w:t>
      </w:r>
      <w:r>
        <w:t xml:space="preserve"> Fixed-price engagement covering design, configuration, migration, testing, and training.</w:t>
      </w:r>
    </w:p>
    <w:p>
      <w:pPr>
        <w:pStyle w:val="ListBullet"/>
      </w:pPr>
      <w:r>
        <w:rPr>
          <w:b/>
        </w:rPr>
        <w:t>Support and Maintenance:</w:t>
      </w:r>
      <w:r>
        <w:t xml:space="preserve"> Annual support fees covering L1–L3 support, upgrades, and enhancements.</w:t>
      </w:r>
    </w:p>
    <w:p>
      <w:pPr>
        <w:pStyle w:val="ListBullet"/>
      </w:pPr>
      <w:r>
        <w:rPr>
          <w:b/>
        </w:rPr>
        <w:t>Optional Components:</w:t>
      </w:r>
      <w:r>
        <w:t xml:space="preserve"> AI-driven analytics, chatbot integration, and advanced reporting modules.</w:t>
      </w:r>
    </w:p>
    <w:p/>
    <w:p>
      <w:r>
        <w:t>A detailed cost breakdown will be provided in the commercial annexure, aligned with MTI’s pricing template.</w:t>
      </w:r>
    </w:p>
    <w:p/>
    <w:p>
      <w:r>
        <w:t>FusionAIx appreciates the opportunity to partner with MTI in this strategic transformation. Our proposal delivers a robust, scalable, and future-ready BPM and Case Management platform that aligns with MTI’s vision for operational excellence, transparency, and citizen-centric service delivery.</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160" w:after="120"/>
      <w:outlineLvl w:val="3"/>
    </w:pPr>
    <w:rPr>
      <w:rFonts w:asciiTheme="majorHAnsi" w:eastAsiaTheme="majorEastAsia" w:hAnsiTheme="majorHAnsi" w:cstheme="majorBidi" w:ascii="Calibri" w:hAnsi="Calibr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