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5510892" cy="1371600"/>
            <wp:docPr id="1" name="Picture 1"/>
            <wp:cNvGraphicFramePr>
              <a:graphicFrameLocks noChangeAspect="1"/>
            </wp:cNvGraphicFramePr>
            <a:graphic>
              <a:graphicData uri="http://schemas.openxmlformats.org/drawingml/2006/picture">
                <pic:pic>
                  <pic:nvPicPr>
                    <pic:cNvPr id="0" name="logo-transparent.png"/>
                    <pic:cNvPicPr/>
                  </pic:nvPicPr>
                  <pic:blipFill>
                    <a:blip r:embed="rId10"/>
                    <a:stretch>
                      <a:fillRect/>
                    </a:stretch>
                  </pic:blipFill>
                  <pic:spPr>
                    <a:xfrm>
                      <a:off x="0" y="0"/>
                      <a:ext cx="5510892" cy="1371600"/>
                    </a:xfrm>
                    <a:prstGeom prst="rect"/>
                  </pic:spPr>
                </pic:pic>
              </a:graphicData>
            </a:graphic>
          </wp:inline>
        </w:drawing>
      </w:r>
    </w:p>
    <w:p/>
    <w:p/>
    <w:p>
      <w:pPr>
        <w:keepNext w:val="0"/>
        <w:keepLines w:val="0"/>
        <w:widowControl w:val="0"/>
        <w:spacing w:after="240" w:before="0"/>
        <w:jc w:val="center"/>
        <w:wordWrap w:val="0"/>
        <w:overflowPunct w:val="0"/>
      </w:pPr>
      <w:r>
        <w:rPr>
          <w:rFonts w:ascii="Calibri" w:hAnsi="Calibri"/>
          <w:b/>
          <w:color w:val="1A5490"/>
          <w:sz w:val="64"/>
        </w:rPr>
        <w:t>Enterprise BPM Platform Implementation</w:t>
      </w:r>
    </w:p>
    <w:p/>
    <w:p/>
    <w:p>
      <w:pPr>
        <w:jc w:val="center"/>
      </w:pPr>
      <w:r>
        <w:rPr>
          <w:rFonts w:ascii="Calibri" w:hAnsi="Calibri"/>
          <w:color w:val="646464"/>
          <w:sz w:val="28"/>
        </w:rPr>
        <w:t>December 22, 2025</w:t>
      </w:r>
    </w:p>
    <w:p/>
    <w:p/>
    <w:p/>
    <w:p/>
    <w:p>
      <w:pPr>
        <w:jc w:val="center"/>
      </w:pPr>
      <w:r>
        <w:rPr>
          <w:rFonts w:ascii="Calibri" w:hAnsi="Calibri"/>
          <w:b/>
          <w:color w:val="1A5490"/>
          <w:sz w:val="40"/>
        </w:rPr>
        <w:t>fusionAIx</w:t>
      </w:r>
    </w:p>
    <w:p>
      <w:pPr>
        <w:jc w:val="center"/>
      </w:pPr>
      <w:r>
        <w:rPr>
          <w:rFonts w:ascii="Calibri" w:hAnsi="Calibri"/>
          <w:color w:val="646464"/>
          <w:sz w:val="24"/>
        </w:rPr>
        <w:t>www.fusionaix.com</w:t>
      </w:r>
    </w:p>
    <w:p/>
    <w:p>
      <w:pPr>
        <w:sectPr>
          <w:footerReference w:type="default" r:id="rId9"/>
          <w:pgSz w:w="12240" w:h="15840"/>
          <w:pgMar w:top="1440" w:right="1440" w:bottom="1440" w:left="1440" w:header="720" w:footer="720" w:gutter="0"/>
          <w:cols w:space="720"/>
          <w:docGrid w:linePitch="360"/>
        </w:sectPr>
      </w:pPr>
    </w:p>
    <w:p>
      <w:pPr>
        <w:pStyle w:val="Heading1"/>
      </w:pPr>
      <w:r>
        <w:t>Table of Contents</w:t>
      </w:r>
    </w:p>
    <w:p/>
    <w:p>
      <w:pPr/>
      <w:r>
        <w:rPr>
          <w:rFonts w:ascii="Calibri" w:hAnsi="Calibri"/>
          <w:sz w:val="22"/>
        </w:rPr>
        <w:t>1. Executive Summary</w:t>
      </w:r>
    </w:p>
    <w:p>
      <w:pPr/>
      <w:r>
        <w:rPr>
          <w:rFonts w:ascii="Calibri" w:hAnsi="Calibri"/>
          <w:sz w:val="22"/>
        </w:rPr>
        <w:t>2. Understanding of MTI’s Objectives and Context</w:t>
      </w:r>
    </w:p>
    <w:p>
      <w:pPr/>
      <w:r>
        <w:rPr>
          <w:rFonts w:ascii="Calibri" w:hAnsi="Calibri"/>
          <w:sz w:val="22"/>
        </w:rPr>
        <w:t>3. Proposed Solution Overview (architecture, major components, key differentiators)</w:t>
      </w:r>
    </w:p>
    <w:p>
      <w:pPr/>
      <w:r>
        <w:rPr>
          <w:rFonts w:ascii="Calibri" w:hAnsi="Calibri"/>
          <w:sz w:val="22"/>
        </w:rPr>
        <w:t>4. Implementation Approach and Methodology</w:t>
      </w:r>
    </w:p>
    <w:p>
      <w:pPr/>
      <w:r>
        <w:rPr>
          <w:rFonts w:ascii="Calibri" w:hAnsi="Calibri"/>
          <w:sz w:val="22"/>
        </w:rPr>
        <w:t>5. Project Plan and Timelines, including major milestones</w:t>
      </w:r>
    </w:p>
    <w:p>
      <w:pPr/>
      <w:r>
        <w:rPr>
          <w:rFonts w:ascii="Calibri" w:hAnsi="Calibri"/>
          <w:sz w:val="22"/>
        </w:rPr>
        <w:t>6. Proposed Team Structure, roles, and CVs of key personnel</w:t>
      </w:r>
    </w:p>
    <w:p>
      <w:pPr/>
      <w:r>
        <w:rPr>
          <w:rFonts w:ascii="Calibri" w:hAnsi="Calibri"/>
          <w:sz w:val="22"/>
        </w:rPr>
        <w:t>7. Functional and Technical Compliance Matrix responding to the requirements in Sections 5 and 6</w:t>
      </w:r>
    </w:p>
    <w:p>
      <w:pPr/>
      <w:r>
        <w:rPr>
          <w:rFonts w:ascii="Calibri" w:hAnsi="Calibri"/>
          <w:sz w:val="22"/>
        </w:rPr>
        <w:t>8. Assumptions, Dependencies, and Risks, with proposed mitigation strategies</w:t>
      </w:r>
    </w:p>
    <w:p>
      <w:pPr/>
      <w:r>
        <w:rPr>
          <w:rFonts w:ascii="Calibri" w:hAnsi="Calibri"/>
          <w:sz w:val="22"/>
        </w:rPr>
        <w:t>9. Support and Maintenance Model, including SLAs</w:t>
      </w:r>
    </w:p>
    <w:p>
      <w:pPr/>
      <w:r>
        <w:rPr>
          <w:rFonts w:ascii="Calibri" w:hAnsi="Calibri"/>
          <w:sz w:val="22"/>
        </w:rPr>
        <w:t>10. Commercial Proposal (licensing, implementation services, support, and any optional components)</w:t>
      </w:r>
    </w:p>
    <w:p>
      <w:pPr>
        <w:sectPr>
          <w:headerReference w:type="default" r:id="rId11"/>
          <w:footerReference w:type="default" r:id="rId12"/>
          <w:pgSz w:w="12240" w:h="15840"/>
          <w:pgMar w:top="1440" w:right="1440" w:bottom="1440" w:left="1440" w:header="720" w:footer="720" w:gutter="0"/>
          <w:cols w:space="720"/>
          <w:docGrid w:linePitch="360"/>
        </w:sectPr>
      </w:pPr>
    </w:p>
    <w:p>
      <w:pPr>
        <w:pStyle w:val="Heading1"/>
      </w:pPr>
      <w:r>
        <w:t>Company Overview</w:t>
      </w:r>
    </w:p>
    <w:p>
      <w:r>
        <w:t>At fusionAIx, we believe that the future of digital transformation lies in the seamless blend of low-code platforms and artificial intelligence. Our core team brings together decades of implementation experience, domain expertise, and a passion for innovation. We partner with enterprises to reimagine processes, accelerate application delivery, and unlock new levels of efficiency. We help businesses scale smarter, faster, and with greater impact.</w:t>
      </w:r>
    </w:p>
    <w:p>
      <w:r>
        <w:t>With a collaborative spirit and a commitment to excellence, our team transforms complex challenges into intelligent, practical solutions. fusionAIx is not just about technology—it's about empowering people, industries, and enterprises to thrive in a digital-first world.</w:t>
      </w:r>
    </w:p>
    <w:p>
      <w:r>
        <w:t>We are proud to be officially recognized as a Great Place To Work® Certified Company for 2025–26, reflecting our commitment to a culture built on trust, innovation, and people-first values.</w:t>
      </w:r>
    </w:p>
    <w:p>
      <w:r>
        <w:t>fusionAIx delivers tailored solutions that blend AI and automation to drive measurable results across industries. We are a niche Pega partner with 20+ successful Pega Constellation implementations across the globe. As Constellation migration experts, we focus on pattern-based development with Constellation, enabling faster project go-lives than traditional implementation approaches.</w:t>
      </w:r>
    </w:p>
    <w:p>
      <w:r>
        <w:t>Our proven capabilities span three core technology platforms: Pega Constellation, Microsoft Power Platform, and ServiceNow. Through these platforms, we provide comprehensive services including Low Code/No Code development, Digital Process Transformation, and AI &amp; Data solutions.</w:t>
      </w:r>
    </w:p>
    <w:p>
      <w:r>
        <w:t>To accelerate time-to-value, fusionAIx offers proprietary accelerators and solution components including fxAgentSDK, fxAIStudio, fxMockUpToView, and fxSmartDCO. These tools enable rapid development, intelligent automation, and streamlined project delivery.</w:t>
      </w:r>
    </w:p>
    <w:p>
      <w:r>
        <w:t>We support clients across diverse industries including Insurance, Banking &amp; Finance, Government &amp; Public Sector, Automotive &amp; Fleet Management, and Travel &amp; Tourism, combining platform expertise with structured knowledge transfer to help customers build sustainable, future-ready capabilities.</w:t>
      </w:r>
    </w:p>
    <w:p>
      <w:r>
        <w:br w:type="page"/>
      </w:r>
    </w:p>
    <w:p>
      <w:pPr>
        <w:pStyle w:val="Heading1"/>
      </w:pPr>
      <w:r>
        <w:t>fusionAIx Proposal for MTI BPM Platform Implementation</w:t>
      </w:r>
    </w:p>
    <w:p>
      <w:pPr>
        <w:pStyle w:val="Heading2"/>
      </w:pPr>
      <w:r>
        <w:t>1. Executive Summary</w:t>
      </w:r>
    </w:p>
    <w:p>
      <w:r>
        <w:t>FusionAIx is pleased to submit this comprehensive proposal in response to MTI’s Request for Proposal (RFP) for the implementation of an enterprise-grade Business Process Management (BPM) platform. Our proposed solution is designed to enable MTI to digitize, automate, and optimize its core business processes—including business licensing and renewals, incentive and grants applications, and other mission-critical workflows—through a secure, scalable, and low-code BPM suite.</w:t>
      </w:r>
    </w:p>
    <w:p>
      <w:r>
        <w:t>At fusionAIx, we believe that the future of digital transformation lies in the seamless blend of low-code platforms and artificial intelligence. Our team brings together decades of implementation experience, domain expertise, and a passion for innovation. We partner with enterprises to reimagine processes, accelerate application delivery, and unlock new levels of efficiency. We help businesses scale smarter, faster, and with greater impact.</w:t>
      </w:r>
    </w:p>
    <w:p>
      <w:r>
        <w:t>Our proposed BPM solution is based on Pega Constellation, a proven, enterprise-grade BPM suite suitable for government and large enterprises. It supports both straight-through processing and human-centric workflows, enabling MTI to manage structured and dynamic case management scenarios with equal ease. The platform’s low-code, model-driven configuration approach minimizes custom development, accelerates delivery, and empowers MTI’s internal teams to extend and maintain processes independently.</w:t>
      </w:r>
    </w:p>
    <w:p>
      <w:r>
        <w:t>FusionAIx’s proposal includes:</w:t>
      </w:r>
    </w:p>
    <w:p>
      <w:pPr>
        <w:spacing w:after="120"/>
        <w:ind w:left="360" w:hanging="360"/>
      </w:pPr>
      <w:r>
        <w:rPr>
          <w:rFonts w:ascii="Calibri" w:hAnsi="Calibri"/>
          <w:sz w:val="22"/>
        </w:rPr>
        <w:t xml:space="preserve">• </w:t>
      </w:r>
      <w:r>
        <w:rPr>
          <w:rFonts w:ascii="Calibri" w:hAnsi="Calibri"/>
          <w:b/>
          <w:sz w:val="22"/>
        </w:rPr>
        <w:t>Platform licensing and provisioning</w:t>
      </w:r>
      <w:r>
        <w:rPr>
          <w:rFonts w:ascii="Calibri" w:hAnsi="Calibri"/>
          <w:sz w:val="22"/>
        </w:rPr>
        <w:t xml:space="preserve"> for MTI’s internal and external users</w:t>
      </w:r>
    </w:p>
    <w:p>
      <w:pPr>
        <w:spacing w:after="120"/>
        <w:ind w:left="360" w:hanging="360"/>
      </w:pPr>
      <w:r>
        <w:rPr>
          <w:rFonts w:ascii="Calibri" w:hAnsi="Calibri"/>
          <w:sz w:val="22"/>
        </w:rPr>
        <w:t xml:space="preserve">• </w:t>
      </w:r>
      <w:r>
        <w:rPr>
          <w:rFonts w:ascii="Calibri" w:hAnsi="Calibri"/>
          <w:b/>
          <w:sz w:val="22"/>
        </w:rPr>
        <w:t>Implementation services</w:t>
      </w:r>
      <w:r>
        <w:rPr>
          <w:rFonts w:ascii="Calibri" w:hAnsi="Calibri"/>
          <w:sz w:val="22"/>
        </w:rPr>
        <w:t xml:space="preserve"> covering process discovery, design, configuration, integration, testing, and training</w:t>
      </w:r>
    </w:p>
    <w:p>
      <w:pPr>
        <w:spacing w:after="120"/>
        <w:ind w:left="360" w:hanging="360"/>
      </w:pPr>
      <w:r>
        <w:rPr>
          <w:rFonts w:ascii="Calibri" w:hAnsi="Calibri"/>
          <w:sz w:val="22"/>
        </w:rPr>
        <w:t xml:space="preserve">• </w:t>
      </w:r>
      <w:r>
        <w:rPr>
          <w:rFonts w:ascii="Calibri" w:hAnsi="Calibri"/>
          <w:b/>
          <w:sz w:val="22"/>
        </w:rPr>
        <w:t>Reporting and analytics dashboards</w:t>
      </w:r>
      <w:r>
        <w:rPr>
          <w:rFonts w:ascii="Calibri" w:hAnsi="Calibri"/>
          <w:sz w:val="22"/>
        </w:rPr>
        <w:t xml:space="preserve"> for real-time visibility into performance and SLAs</w:t>
      </w:r>
    </w:p>
    <w:p>
      <w:pPr>
        <w:spacing w:after="120"/>
        <w:ind w:left="360" w:hanging="360"/>
      </w:pPr>
      <w:r>
        <w:rPr>
          <w:rFonts w:ascii="Calibri" w:hAnsi="Calibri"/>
          <w:sz w:val="22"/>
        </w:rPr>
        <w:t xml:space="preserve">• </w:t>
      </w:r>
      <w:r>
        <w:rPr>
          <w:rFonts w:ascii="Calibri" w:hAnsi="Calibri"/>
          <w:b/>
          <w:sz w:val="22"/>
        </w:rPr>
        <w:t>Three years of post go-live support and maintenance</w:t>
      </w:r>
      <w:r>
        <w:rPr>
          <w:rFonts w:ascii="Calibri" w:hAnsi="Calibri"/>
          <w:sz w:val="22"/>
        </w:rPr>
        <w:t>, including patching, upgrades, and incident resolution</w:t>
      </w:r>
    </w:p>
    <w:p>
      <w:pPr>
        <w:spacing w:after="120"/>
        <w:ind w:left="360" w:hanging="360"/>
      </w:pPr>
      <w:r>
        <w:rPr>
          <w:rFonts w:ascii="Calibri" w:hAnsi="Calibri"/>
          <w:sz w:val="22"/>
        </w:rPr>
        <w:t xml:space="preserve">• </w:t>
      </w:r>
      <w:r>
        <w:rPr>
          <w:rFonts w:ascii="Calibri" w:hAnsi="Calibri"/>
          <w:b/>
          <w:sz w:val="22"/>
        </w:rPr>
        <w:t>Comprehensive training and change enablement</w:t>
      </w:r>
      <w:r>
        <w:rPr>
          <w:rFonts w:ascii="Calibri" w:hAnsi="Calibri"/>
          <w:sz w:val="22"/>
        </w:rPr>
        <w:t xml:space="preserve"> for MTI’s administrators, business users, and end users</w:t>
      </w:r>
    </w:p>
    <w:p>
      <w:r>
        <w:t>Our approach leverages fusionAIx’s proprietary accelerators—fxAgentSDK, fxAIStudio, fxMockUpToView, and fxSmartDCO—to reduce time-to-value and ensure consistent quality across all project phases. These accelerators, combined with our deep expertise in Pega Constellation, enable us to deliver faster go-lives and measurable business outcomes.</w:t>
      </w:r>
    </w:p>
    <w:p>
      <w:r>
        <w:t>FusionAIx is a Great Place To Work® Certified Company (2025–26), reflecting our commitment to excellence, trust, and innovation. We have successfully delivered over 20 Pega Constellation implementations globally, including several for government and public sector clients with similar requirements to MTI’s.</w:t>
      </w:r>
    </w:p>
    <w:p>
      <w:r>
        <w:t>Our proposal is fully compliant with MTI’s RFP structure and requirements, and we are confident that our solution will empower MTI to achieve its digital transformation objectives efficiently, securely, and sustainably.</w:t>
      </w:r>
    </w:p>
    <w:p>
      <w:pPr>
        <w:pStyle w:val="Heading2"/>
      </w:pPr>
      <w:r>
        <w:t>2. Understanding of MTI’s Objectives and Context</w:t>
      </w:r>
    </w:p>
    <w:p>
      <w:r>
        <w:t>We understand that MTI seeks to implement a unified BPM platform to streamline and automate its key business processes, including but not limited to:</w:t>
      </w:r>
    </w:p>
    <w:p>
      <w:pPr>
        <w:spacing w:after="120"/>
        <w:ind w:left="360" w:hanging="360"/>
      </w:pPr>
      <w:r>
        <w:rPr>
          <w:rFonts w:ascii="Calibri" w:hAnsi="Calibri"/>
          <w:sz w:val="22"/>
        </w:rPr>
        <w:t xml:space="preserve">• </w:t>
      </w:r>
      <w:r>
        <w:rPr>
          <w:rFonts w:ascii="Calibri" w:hAnsi="Calibri"/>
          <w:b/>
          <w:sz w:val="22"/>
        </w:rPr>
        <w:t>Business licensing and renewals</w:t>
      </w:r>
    </w:p>
    <w:p>
      <w:pPr>
        <w:spacing w:after="120"/>
        <w:ind w:left="360" w:hanging="360"/>
      </w:pPr>
      <w:r>
        <w:rPr>
          <w:rFonts w:ascii="Calibri" w:hAnsi="Calibri"/>
          <w:sz w:val="22"/>
        </w:rPr>
        <w:t xml:space="preserve">• </w:t>
      </w:r>
      <w:r>
        <w:rPr>
          <w:rFonts w:ascii="Calibri" w:hAnsi="Calibri"/>
          <w:b/>
          <w:sz w:val="22"/>
        </w:rPr>
        <w:t>Incentive and grants applications</w:t>
      </w:r>
    </w:p>
    <w:p>
      <w:pPr>
        <w:spacing w:after="120"/>
        <w:ind w:left="360" w:hanging="360"/>
      </w:pPr>
      <w:r>
        <w:rPr>
          <w:rFonts w:ascii="Calibri" w:hAnsi="Calibri"/>
          <w:sz w:val="22"/>
        </w:rPr>
        <w:t xml:space="preserve">• </w:t>
      </w:r>
      <w:r>
        <w:rPr>
          <w:rFonts w:ascii="Calibri" w:hAnsi="Calibri"/>
          <w:b/>
          <w:sz w:val="22"/>
        </w:rPr>
        <w:t>Internal service requests and approvals</w:t>
      </w:r>
    </w:p>
    <w:p>
      <w:r>
        <w:t>MTI’s objectives are to:</w:t>
      </w:r>
    </w:p>
    <w:p>
      <w:pPr>
        <w:pStyle w:val="ListNumber"/>
      </w:pPr>
      <w:r>
        <w:rPr>
          <w:b/>
        </w:rPr>
        <w:t>Digitize and standardize</w:t>
      </w:r>
      <w:r>
        <w:t xml:space="preserve"> end-to-end business processes across departments.</w:t>
      </w:r>
    </w:p>
    <w:p>
      <w:pPr>
        <w:pStyle w:val="ListNumber"/>
      </w:pPr>
      <w:r>
        <w:rPr>
          <w:b/>
        </w:rPr>
        <w:t>Enhance transparency and accountability</w:t>
      </w:r>
      <w:r>
        <w:t xml:space="preserve"> through centralized case management and audit trails.</w:t>
      </w:r>
    </w:p>
    <w:p>
      <w:pPr>
        <w:pStyle w:val="ListNumber"/>
      </w:pPr>
      <w:r>
        <w:rPr>
          <w:b/>
        </w:rPr>
        <w:t>Improve service delivery</w:t>
      </w:r>
      <w:r>
        <w:t xml:space="preserve"> by reducing manual interventions and turnaround times.</w:t>
      </w:r>
    </w:p>
    <w:p>
      <w:pPr>
        <w:pStyle w:val="ListNumber"/>
      </w:pPr>
      <w:r>
        <w:rPr>
          <w:b/>
        </w:rPr>
        <w:t>Empower business users</w:t>
      </w:r>
      <w:r>
        <w:t xml:space="preserve"> to configure and manage workflows with minimal IT dependency.</w:t>
      </w:r>
    </w:p>
    <w:p>
      <w:pPr>
        <w:pStyle w:val="ListNumber"/>
      </w:pPr>
      <w:r>
        <w:rPr>
          <w:b/>
        </w:rPr>
        <w:t>Ensure compliance</w:t>
      </w:r>
      <w:r>
        <w:t xml:space="preserve"> with national data protection, security, and audit requirements.</w:t>
      </w:r>
    </w:p>
    <w:p>
      <w:pPr>
        <w:pStyle w:val="ListNumber"/>
      </w:pPr>
      <w:r>
        <w:rPr>
          <w:b/>
        </w:rPr>
        <w:t>Provide real-time visibility</w:t>
      </w:r>
      <w:r>
        <w:t xml:space="preserve"> into performance metrics, SLAs, and workload distribution.</w:t>
      </w:r>
    </w:p>
    <w:p>
      <w:r>
        <w:t>FusionAIx recognizes that MTI’s transformation initiative is not merely a technology upgrade—it is a strategic shift toward a digital-first operating model. The BPM platform must therefore serve as a foundation for continuous improvement, enabling MTI to adapt rapidly to policy changes, new service offerings, and evolving citizen expectations.</w:t>
      </w:r>
    </w:p>
    <w:p>
      <w:r>
        <w:t>Our understanding of MTI’s context includes:</w:t>
      </w:r>
    </w:p>
    <w:p>
      <w:pPr>
        <w:spacing w:after="120"/>
        <w:ind w:left="360" w:hanging="360"/>
      </w:pPr>
      <w:r>
        <w:rPr>
          <w:rFonts w:ascii="Calibri" w:hAnsi="Calibri"/>
          <w:sz w:val="22"/>
        </w:rPr>
        <w:t xml:space="preserve">• </w:t>
      </w:r>
      <w:r>
        <w:rPr>
          <w:rFonts w:ascii="Calibri" w:hAnsi="Calibri"/>
          <w:b/>
          <w:sz w:val="22"/>
        </w:rPr>
        <w:t>Diverse user base:</w:t>
      </w:r>
      <w:r>
        <w:rPr>
          <w:rFonts w:ascii="Calibri" w:hAnsi="Calibri"/>
          <w:sz w:val="22"/>
        </w:rPr>
        <w:t xml:space="preserve"> Internal staff, external applicants, and partner agencies will interact with the system through web-based, responsive interfaces.</w:t>
      </w:r>
    </w:p>
    <w:p>
      <w:pPr>
        <w:spacing w:after="120"/>
        <w:ind w:left="360" w:hanging="360"/>
      </w:pPr>
      <w:r>
        <w:rPr>
          <w:rFonts w:ascii="Calibri" w:hAnsi="Calibri"/>
          <w:sz w:val="22"/>
        </w:rPr>
        <w:t xml:space="preserve">• </w:t>
      </w:r>
      <w:r>
        <w:rPr>
          <w:rFonts w:ascii="Calibri" w:hAnsi="Calibri"/>
          <w:b/>
          <w:sz w:val="22"/>
        </w:rPr>
        <w:t>Integration landscape:</w:t>
      </w:r>
      <w:r>
        <w:rPr>
          <w:rFonts w:ascii="Calibri" w:hAnsi="Calibri"/>
          <w:sz w:val="22"/>
        </w:rPr>
        <w:t xml:space="preserve"> The BPM platform must integrate securely with MTI’s existing identity management system (e.g., Active Directory) and other enterprise systems.</w:t>
      </w:r>
    </w:p>
    <w:p>
      <w:pPr>
        <w:spacing w:after="120"/>
        <w:ind w:left="360" w:hanging="360"/>
      </w:pPr>
      <w:r>
        <w:rPr>
          <w:rFonts w:ascii="Calibri" w:hAnsi="Calibri"/>
          <w:sz w:val="22"/>
        </w:rPr>
        <w:t xml:space="preserve">• </w:t>
      </w:r>
      <w:r>
        <w:rPr>
          <w:rFonts w:ascii="Calibri" w:hAnsi="Calibri"/>
          <w:b/>
          <w:sz w:val="22"/>
        </w:rPr>
        <w:t>Governance and compliance:</w:t>
      </w:r>
      <w:r>
        <w:rPr>
          <w:rFonts w:ascii="Calibri" w:hAnsi="Calibri"/>
          <w:sz w:val="22"/>
        </w:rPr>
        <w:t xml:space="preserve"> The solution must support role-based access control, full audit logging, and adherence to national cybersecurity standards.</w:t>
      </w:r>
    </w:p>
    <w:p>
      <w:pPr>
        <w:spacing w:after="120"/>
        <w:ind w:left="360" w:hanging="360"/>
      </w:pPr>
      <w:r>
        <w:rPr>
          <w:rFonts w:ascii="Calibri" w:hAnsi="Calibri"/>
          <w:sz w:val="22"/>
        </w:rPr>
        <w:t xml:space="preserve">• </w:t>
      </w:r>
      <w:r>
        <w:rPr>
          <w:rFonts w:ascii="Calibri" w:hAnsi="Calibri"/>
          <w:b/>
          <w:sz w:val="22"/>
        </w:rPr>
        <w:t>Scalability and flexibility:</w:t>
      </w:r>
      <w:r>
        <w:rPr>
          <w:rFonts w:ascii="Calibri" w:hAnsi="Calibri"/>
          <w:sz w:val="22"/>
        </w:rPr>
        <w:t xml:space="preserve"> The platform should support future expansion to additional processes and departments without major rework.</w:t>
      </w:r>
    </w:p>
    <w:p>
      <w:r>
        <w:t>FusionAIx’s proposed solution directly addresses these objectives through a combination of low-code configurability, AI-driven insights, and robust governance frameworks. Our approach ensures that MTI can achieve rapid initial value while building long-term capability for self-sufficiency and continuous innovation.</w:t>
      </w:r>
    </w:p>
    <w:p>
      <w:pPr>
        <w:pStyle w:val="Heading2"/>
      </w:pPr>
      <w:r>
        <w:t>3. Proposed Solution Overview</w:t>
      </w:r>
    </w:p>
    <w:p>
      <w:pPr>
        <w:pStyle w:val="Heading3"/>
      </w:pPr>
      <w:r>
        <w:t>3.1 Solution Architecture</w:t>
      </w:r>
    </w:p>
    <w:p>
      <w:r>
        <w:t>The proposed solution is built on Pega Constellation, an enterprise-grade BPM and case management platform that supports both straight-through processing and human-centric workflows. It provides a unified environment for process modeling, rules management, user interface design, and integration.</w:t>
      </w:r>
    </w:p>
    <w:p>
      <w:r>
        <w:drawing>
          <wp:inline xmlns:a="http://schemas.openxmlformats.org/drawingml/2006/main" xmlns:pic="http://schemas.openxmlformats.org/drawingml/2006/picture">
            <wp:extent cx="4572000" cy="1872776"/>
            <wp:docPr id="2" name="Picture 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572000" cy="1872776"/>
                    </a:xfrm>
                    <a:prstGeom prst="rect"/>
                  </pic:spPr>
                </pic:pic>
              </a:graphicData>
            </a:graphic>
          </wp:inline>
        </w:drawing>
      </w:r>
    </w:p>
    <w:p>
      <w:r>
        <w:t>Caption: High-level architecture of the proposed BPM solution for MTI.</w:t>
      </w:r>
    </w:p>
    <w:p>
      <w:pPr>
        <w:pStyle w:val="Heading3"/>
      </w:pPr>
      <w:r>
        <w:t>3.2 Major Components</w:t>
      </w:r>
    </w:p>
    <w:p>
      <w:pPr>
        <w:pStyle w:val="ListNumber"/>
      </w:pPr>
      <w:r>
        <w:rPr>
          <w:b/>
        </w:rPr>
        <w:t>Case Management Engine:</w:t>
      </w:r>
      <w:r>
        <w:t xml:space="preserve"> Supports dynamic case management, ad-hoc tasks, attachments, and notes. Enables both structured workflows and flexible, event-driven processes.</w:t>
      </w:r>
    </w:p>
    <w:p>
      <w:pPr>
        <w:pStyle w:val="ListNumber"/>
      </w:pPr>
      <w:r>
        <w:rPr>
          <w:b/>
        </w:rPr>
        <w:t>Business Rules Engine:</w:t>
      </w:r>
      <w:r>
        <w:t xml:space="preserve"> Provides centralized rules management to externalize business policies from application code. Supports versioning, testing, and controlled deployment of rules.</w:t>
      </w:r>
    </w:p>
    <w:p>
      <w:pPr>
        <w:pStyle w:val="ListNumber"/>
      </w:pPr>
      <w:r>
        <w:rPr>
          <w:b/>
        </w:rPr>
        <w:t>User Interface Layer:</w:t>
      </w:r>
      <w:r>
        <w:t xml:space="preserve"> Web-based, responsive interfaces accessible via standard browsers. Includes guided steps, contextual help, and self-service portals for external users.</w:t>
      </w:r>
    </w:p>
    <w:p>
      <w:pPr>
        <w:pStyle w:val="ListNumber"/>
      </w:pPr>
      <w:r>
        <w:rPr>
          <w:b/>
        </w:rPr>
        <w:t>Integration Layer:</w:t>
      </w:r>
      <w:r>
        <w:t xml:space="preserve"> Supports standard integration mechanisms such as REST APIs, message queues, and event-based integration. Ensures secure connectivity with MTI’s identity management and other enterprise systems.</w:t>
      </w:r>
    </w:p>
    <w:p>
      <w:pPr>
        <w:pStyle w:val="ListNumber"/>
      </w:pPr>
      <w:r>
        <w:rPr>
          <w:b/>
        </w:rPr>
        <w:t>Reporting and Analytics:</w:t>
      </w:r>
      <w:r>
        <w:t xml:space="preserve"> Provides dashboards and reports for monitoring case volumes, workload distribution, SLA performance, and bottlenecks. Enables business users to create their own reports.</w:t>
      </w:r>
    </w:p>
    <w:p>
      <w:pPr>
        <w:pStyle w:val="ListNumber"/>
      </w:pPr>
      <w:r>
        <w:rPr>
          <w:b/>
        </w:rPr>
        <w:t>Security and Compliance:</w:t>
      </w:r>
      <w:r>
        <w:t xml:space="preserve"> Implements role-based access control with fine-grained permissions, full audit logging, and compliance with national data protection standards.</w:t>
      </w:r>
    </w:p>
    <w:p>
      <w:pPr>
        <w:pStyle w:val="Heading3"/>
      </w:pPr>
      <w:r>
        <w:t>3.3 Key Differentiators</w:t>
      </w:r>
    </w:p>
    <w:p>
      <w:pPr>
        <w:spacing w:after="120"/>
        <w:ind w:left="360" w:hanging="360"/>
      </w:pPr>
      <w:r>
        <w:rPr>
          <w:rFonts w:ascii="Calibri" w:hAnsi="Calibri"/>
          <w:sz w:val="22"/>
        </w:rPr>
        <w:t xml:space="preserve">• </w:t>
      </w:r>
      <w:r>
        <w:rPr>
          <w:rFonts w:ascii="Calibri" w:hAnsi="Calibri"/>
          <w:b/>
          <w:sz w:val="22"/>
        </w:rPr>
        <w:t>Low-Code Configuration Framework:</w:t>
      </w:r>
      <w:r>
        <w:rPr>
          <w:rFonts w:ascii="Calibri" w:hAnsi="Calibri"/>
          <w:sz w:val="22"/>
        </w:rPr>
        <w:t xml:space="preserve"> MTI gets low-code tools for processes, forms, rules, SLAs, and dashboards. Governance uses versioned packages, approvals, and Dev/Test/Prod promotions. Accelerators include case templates, routing patterns, connectors, and test scripts. This framework empowers MTI’s internal team to onboard new processes rapidly without vendor dependency.</w:t>
      </w:r>
    </w:p>
    <w:p>
      <w:pPr>
        <w:spacing w:after="120"/>
        <w:ind w:left="360" w:hanging="360"/>
      </w:pPr>
      <w:r>
        <w:rPr>
          <w:rFonts w:ascii="Calibri" w:hAnsi="Calibri"/>
          <w:sz w:val="22"/>
        </w:rPr>
        <w:t xml:space="preserve">• </w:t>
      </w:r>
      <w:r>
        <w:rPr>
          <w:rFonts w:ascii="Calibri" w:hAnsi="Calibri"/>
          <w:b/>
          <w:sz w:val="22"/>
        </w:rPr>
        <w:t>Seamless Identity Integration:</w:t>
      </w:r>
      <w:r>
        <w:rPr>
          <w:rFonts w:ascii="Calibri" w:hAnsi="Calibri"/>
          <w:sz w:val="22"/>
        </w:rPr>
        <w:t xml:space="preserve"> Authentication uses SSO via SAML 2.0 or OAuth2/OIDC. Users provision just-in-time or via scheduled directory sync. AD groups map to roles; changes sync automatically with audit logs. This ensures secure, automated user management aligned with MTI’s existing identity governance.</w:t>
      </w:r>
    </w:p>
    <w:p>
      <w:pPr>
        <w:spacing w:after="120"/>
        <w:ind w:left="360" w:hanging="360"/>
      </w:pPr>
      <w:r>
        <w:rPr>
          <w:rFonts w:ascii="Calibri" w:hAnsi="Calibri"/>
          <w:sz w:val="22"/>
        </w:rPr>
        <w:t xml:space="preserve">• </w:t>
      </w:r>
      <w:r>
        <w:rPr>
          <w:rFonts w:ascii="Calibri" w:hAnsi="Calibri"/>
          <w:b/>
          <w:sz w:val="22"/>
        </w:rPr>
        <w:t>Proven Accelerators:</w:t>
      </w:r>
      <w:r>
        <w:rPr>
          <w:rFonts w:ascii="Calibri" w:hAnsi="Calibri"/>
          <w:sz w:val="22"/>
        </w:rPr>
        <w:t xml:space="preserve"> fusionAIx’s proprietary accelerators—fxAgentSDK, fxAIStudio, fxMockUpToView, and fxSmartDCO—enable rapid development, intelligent automation, and streamlined project delivery.</w:t>
      </w:r>
    </w:p>
    <w:p>
      <w:pPr>
        <w:spacing w:after="120"/>
        <w:ind w:left="360" w:hanging="360"/>
      </w:pPr>
      <w:r>
        <w:rPr>
          <w:rFonts w:ascii="Calibri" w:hAnsi="Calibri"/>
          <w:sz w:val="22"/>
        </w:rPr>
        <w:t xml:space="preserve">• </w:t>
      </w:r>
      <w:r>
        <w:rPr>
          <w:rFonts w:ascii="Calibri" w:hAnsi="Calibri"/>
          <w:b/>
          <w:sz w:val="22"/>
        </w:rPr>
        <w:t>Scalable Deployment Options:</w:t>
      </w:r>
      <w:r>
        <w:rPr>
          <w:rFonts w:ascii="Calibri" w:hAnsi="Calibri"/>
          <w:sz w:val="22"/>
        </w:rPr>
        <w:t xml:space="preserve"> The platform can be deployed on-premises, in the cloud, or in a hybrid model, ensuring flexibility and scalability as MTI’s needs evolve. *(Note: Specific hosting model details to be confirmed with MTI.)*</w:t>
      </w:r>
    </w:p>
    <w:p>
      <w:pPr>
        <w:spacing w:after="120"/>
        <w:ind w:left="360" w:hanging="360"/>
      </w:pPr>
      <w:r>
        <w:rPr>
          <w:rFonts w:ascii="Calibri" w:hAnsi="Calibri"/>
          <w:sz w:val="22"/>
        </w:rPr>
        <w:t xml:space="preserve">• </w:t>
      </w:r>
      <w:r>
        <w:rPr>
          <w:rFonts w:ascii="Calibri" w:hAnsi="Calibri"/>
          <w:b/>
          <w:sz w:val="22"/>
        </w:rPr>
        <w:t>AI-Driven Insights:</w:t>
      </w:r>
      <w:r>
        <w:rPr>
          <w:rFonts w:ascii="Calibri" w:hAnsi="Calibri"/>
          <w:sz w:val="22"/>
        </w:rPr>
        <w:t xml:space="preserve"> Built-in analytics and AI capabilities provide predictive insights into process performance, helping MTI identify bottlenecks and optimize operations continuously.</w:t>
      </w:r>
    </w:p>
    <w:p>
      <w:pPr>
        <w:pStyle w:val="Heading2"/>
      </w:pPr>
      <w:r>
        <w:t>4. Implementation Approach and Methodology</w:t>
      </w:r>
    </w:p>
    <w:p>
      <w:r>
        <w:t>FusionAIx follows a phased, agile implementation methodology that ensures rapid delivery of value while maintaining strong governance and quality assurance. Our approach is designed to align closely with MTI’s business priorities and stakeholder expectations.</w:t>
      </w:r>
    </w:p>
    <w:p>
      <w:pPr>
        <w:pStyle w:val="Heading3"/>
      </w:pPr>
      <w:r>
        <w:t>4.1 Discovery and Requirements Refinement</w:t>
      </w:r>
    </w:p>
    <w:p>
      <w:pPr>
        <w:spacing w:after="120"/>
        <w:ind w:left="360" w:hanging="360"/>
      </w:pPr>
      <w:r>
        <w:rPr>
          <w:rFonts w:ascii="Calibri" w:hAnsi="Calibri"/>
          <w:sz w:val="22"/>
        </w:rPr>
        <w:t xml:space="preserve">• </w:t>
      </w:r>
      <w:r>
        <w:rPr>
          <w:rFonts w:ascii="Calibri" w:hAnsi="Calibri"/>
          <w:sz w:val="22"/>
        </w:rPr>
        <w:t>Conduct collaborative workshops with MTI stakeholders to gather and refine requirements.</w:t>
      </w:r>
    </w:p>
    <w:p>
      <w:pPr>
        <w:spacing w:after="120"/>
        <w:ind w:left="360" w:hanging="360"/>
      </w:pPr>
      <w:r>
        <w:rPr>
          <w:rFonts w:ascii="Calibri" w:hAnsi="Calibri"/>
          <w:sz w:val="22"/>
        </w:rPr>
        <w:t xml:space="preserve">• </w:t>
      </w:r>
      <w:r>
        <w:rPr>
          <w:rFonts w:ascii="Calibri" w:hAnsi="Calibri"/>
          <w:sz w:val="22"/>
        </w:rPr>
        <w:t xml:space="preserve">Use </w:t>
      </w:r>
      <w:r>
        <w:rPr>
          <w:rFonts w:ascii="Calibri" w:hAnsi="Calibri"/>
          <w:b/>
          <w:sz w:val="22"/>
        </w:rPr>
        <w:t>fxSmartDCO</w:t>
      </w:r>
      <w:r>
        <w:rPr>
          <w:rFonts w:ascii="Calibri" w:hAnsi="Calibri"/>
          <w:sz w:val="22"/>
        </w:rPr>
        <w:t xml:space="preserve"> (Direct Capture of Objectives) to model processes, data, and rules directly within the BPM platform.</w:t>
      </w:r>
    </w:p>
    <w:p>
      <w:pPr>
        <w:spacing w:after="120"/>
        <w:ind w:left="360" w:hanging="360"/>
      </w:pPr>
      <w:r>
        <w:rPr>
          <w:rFonts w:ascii="Calibri" w:hAnsi="Calibri"/>
          <w:sz w:val="22"/>
        </w:rPr>
        <w:t xml:space="preserve">• </w:t>
      </w:r>
      <w:r>
        <w:rPr>
          <w:rFonts w:ascii="Calibri" w:hAnsi="Calibri"/>
          <w:sz w:val="22"/>
        </w:rPr>
        <w:t>Validate process flows, SLAs, and business rules with MTI’s process owners.</w:t>
      </w:r>
    </w:p>
    <w:p>
      <w:pPr>
        <w:pStyle w:val="Heading3"/>
      </w:pPr>
      <w:r>
        <w:t>4.2 Design and Configuration</w:t>
      </w:r>
    </w:p>
    <w:p>
      <w:pPr>
        <w:spacing w:after="120"/>
        <w:ind w:left="360" w:hanging="360"/>
      </w:pPr>
      <w:r>
        <w:rPr>
          <w:rFonts w:ascii="Calibri" w:hAnsi="Calibri"/>
          <w:sz w:val="22"/>
        </w:rPr>
        <w:t xml:space="preserve">• </w:t>
      </w:r>
      <w:r>
        <w:rPr>
          <w:rFonts w:ascii="Calibri" w:hAnsi="Calibri"/>
          <w:sz w:val="22"/>
        </w:rPr>
        <w:t>Configure processes, forms, rules, and dashboards using the platform’s low-code tools.</w:t>
      </w:r>
    </w:p>
    <w:p>
      <w:pPr>
        <w:spacing w:after="120"/>
        <w:ind w:left="360" w:hanging="360"/>
      </w:pPr>
      <w:r>
        <w:rPr>
          <w:rFonts w:ascii="Calibri" w:hAnsi="Calibri"/>
          <w:sz w:val="22"/>
        </w:rPr>
        <w:t xml:space="preserve">• </w:t>
      </w:r>
      <w:r>
        <w:rPr>
          <w:rFonts w:ascii="Calibri" w:hAnsi="Calibri"/>
          <w:sz w:val="22"/>
        </w:rPr>
        <w:t>Apply reusable templates and accelerators (case templates, routing patterns, connectors, test scripts) to ensure consistency and speed.</w:t>
      </w:r>
    </w:p>
    <w:p>
      <w:pPr>
        <w:spacing w:after="120"/>
        <w:ind w:left="360" w:hanging="360"/>
      </w:pPr>
      <w:r>
        <w:rPr>
          <w:rFonts w:ascii="Calibri" w:hAnsi="Calibri"/>
          <w:sz w:val="22"/>
        </w:rPr>
        <w:t xml:space="preserve">• </w:t>
      </w:r>
      <w:r>
        <w:rPr>
          <w:rFonts w:ascii="Calibri" w:hAnsi="Calibri"/>
          <w:sz w:val="22"/>
        </w:rPr>
        <w:t>Implement governance through versioned packages, approvals, and Dev/Test/Prod promotions.</w:t>
      </w:r>
    </w:p>
    <w:p>
      <w:pPr>
        <w:pStyle w:val="Heading3"/>
      </w:pPr>
      <w:r>
        <w:t>4.3 Integration and Security Setup</w:t>
      </w:r>
    </w:p>
    <w:p>
      <w:pPr>
        <w:spacing w:after="120"/>
        <w:ind w:left="360" w:hanging="360"/>
      </w:pPr>
      <w:r>
        <w:rPr>
          <w:rFonts w:ascii="Calibri" w:hAnsi="Calibri"/>
          <w:sz w:val="22"/>
        </w:rPr>
        <w:t xml:space="preserve">• </w:t>
      </w:r>
      <w:r>
        <w:rPr>
          <w:rFonts w:ascii="Calibri" w:hAnsi="Calibri"/>
          <w:sz w:val="22"/>
        </w:rPr>
        <w:t>Integrate with MTI’s identity management system using SSO via SAML 2.0 or OAuth2/OIDC.</w:t>
      </w:r>
    </w:p>
    <w:p>
      <w:pPr>
        <w:spacing w:after="120"/>
        <w:ind w:left="360" w:hanging="360"/>
      </w:pPr>
      <w:r>
        <w:rPr>
          <w:rFonts w:ascii="Calibri" w:hAnsi="Calibri"/>
          <w:sz w:val="22"/>
        </w:rPr>
        <w:t xml:space="preserve">• </w:t>
      </w:r>
      <w:r>
        <w:rPr>
          <w:rFonts w:ascii="Calibri" w:hAnsi="Calibri"/>
          <w:sz w:val="22"/>
        </w:rPr>
        <w:t>Configure just-in-time or scheduled directory synchronization for user provisioning.</w:t>
      </w:r>
    </w:p>
    <w:p>
      <w:pPr>
        <w:spacing w:after="120"/>
        <w:ind w:left="360" w:hanging="360"/>
      </w:pPr>
      <w:r>
        <w:rPr>
          <w:rFonts w:ascii="Calibri" w:hAnsi="Calibri"/>
          <w:sz w:val="22"/>
        </w:rPr>
        <w:t xml:space="preserve">• </w:t>
      </w:r>
      <w:r>
        <w:rPr>
          <w:rFonts w:ascii="Calibri" w:hAnsi="Calibri"/>
          <w:sz w:val="22"/>
        </w:rPr>
        <w:t>Map AD groups to roles with automatic synchronization and audit logging.</w:t>
      </w:r>
    </w:p>
    <w:p>
      <w:pPr>
        <w:pStyle w:val="Heading3"/>
      </w:pPr>
      <w:r>
        <w:t>4.4 Testing and Quality Assurance</w:t>
      </w:r>
    </w:p>
    <w:p>
      <w:pPr>
        <w:spacing w:after="120"/>
        <w:ind w:left="360" w:hanging="360"/>
      </w:pPr>
      <w:r>
        <w:rPr>
          <w:rFonts w:ascii="Calibri" w:hAnsi="Calibri"/>
          <w:sz w:val="22"/>
        </w:rPr>
        <w:t xml:space="preserve">• </w:t>
      </w:r>
      <w:r>
        <w:rPr>
          <w:rFonts w:ascii="Calibri" w:hAnsi="Calibri"/>
          <w:sz w:val="22"/>
        </w:rPr>
        <w:t>Conduct system and integration testing (SIT), performance testing, and security testing.</w:t>
      </w:r>
    </w:p>
    <w:p>
      <w:pPr>
        <w:spacing w:after="120"/>
        <w:ind w:left="360" w:hanging="360"/>
      </w:pPr>
      <w:r>
        <w:rPr>
          <w:rFonts w:ascii="Calibri" w:hAnsi="Calibri"/>
          <w:sz w:val="22"/>
        </w:rPr>
        <w:t xml:space="preserve">• </w:t>
      </w:r>
      <w:r>
        <w:rPr>
          <w:rFonts w:ascii="Calibri" w:hAnsi="Calibri"/>
          <w:sz w:val="22"/>
        </w:rPr>
        <w:t>Support MTI during user acceptance testing (UAT), including environment readiness, defect triage, and release sign-off.</w:t>
      </w:r>
    </w:p>
    <w:p>
      <w:pPr>
        <w:pStyle w:val="Heading3"/>
      </w:pPr>
      <w:r>
        <w:t>4.5 Training and Change Enablement</w:t>
      </w:r>
    </w:p>
    <w:p>
      <w:pPr>
        <w:spacing w:after="120"/>
        <w:ind w:left="360" w:hanging="360"/>
      </w:pPr>
      <w:r>
        <w:rPr>
          <w:rFonts w:ascii="Calibri" w:hAnsi="Calibri"/>
          <w:sz w:val="22"/>
        </w:rPr>
        <w:t xml:space="preserve">• </w:t>
      </w:r>
      <w:r>
        <w:rPr>
          <w:rFonts w:ascii="Calibri" w:hAnsi="Calibri"/>
          <w:sz w:val="22"/>
        </w:rPr>
        <w:t>Deliver training for system administrators, business power users, and end users.</w:t>
      </w:r>
    </w:p>
    <w:p>
      <w:pPr>
        <w:spacing w:after="120"/>
        <w:ind w:left="360" w:hanging="360"/>
      </w:pPr>
      <w:r>
        <w:rPr>
          <w:rFonts w:ascii="Calibri" w:hAnsi="Calibri"/>
          <w:sz w:val="22"/>
        </w:rPr>
        <w:t xml:space="preserve">• </w:t>
      </w:r>
      <w:r>
        <w:rPr>
          <w:rFonts w:ascii="Calibri" w:hAnsi="Calibri"/>
          <w:sz w:val="22"/>
        </w:rPr>
        <w:t>Provide comprehensive training materials and user guides.</w:t>
      </w:r>
    </w:p>
    <w:p>
      <w:pPr>
        <w:spacing w:after="120"/>
        <w:ind w:left="360" w:hanging="360"/>
      </w:pPr>
      <w:r>
        <w:rPr>
          <w:rFonts w:ascii="Calibri" w:hAnsi="Calibri"/>
          <w:sz w:val="22"/>
        </w:rPr>
        <w:t xml:space="preserve">• </w:t>
      </w:r>
      <w:r>
        <w:rPr>
          <w:rFonts w:ascii="Calibri" w:hAnsi="Calibri"/>
          <w:sz w:val="22"/>
        </w:rPr>
        <w:t>Support MTI’s change management and communication activities to ensure smooth adoption.</w:t>
      </w:r>
    </w:p>
    <w:p>
      <w:pPr>
        <w:pStyle w:val="Heading3"/>
      </w:pPr>
      <w:r>
        <w:t>4.6 Go-Live and Hypercare</w:t>
      </w:r>
    </w:p>
    <w:p>
      <w:pPr>
        <w:spacing w:after="120"/>
        <w:ind w:left="360" w:hanging="360"/>
      </w:pPr>
      <w:r>
        <w:rPr>
          <w:rFonts w:ascii="Calibri" w:hAnsi="Calibri"/>
          <w:sz w:val="22"/>
        </w:rPr>
        <w:t xml:space="preserve">• </w:t>
      </w:r>
      <w:r>
        <w:rPr>
          <w:rFonts w:ascii="Calibri" w:hAnsi="Calibri"/>
          <w:sz w:val="22"/>
        </w:rPr>
        <w:t>Execute cutover and go-live activities with minimal disruption.</w:t>
      </w:r>
    </w:p>
    <w:p>
      <w:pPr>
        <w:spacing w:after="120"/>
        <w:ind w:left="360" w:hanging="360"/>
      </w:pPr>
      <w:r>
        <w:rPr>
          <w:rFonts w:ascii="Calibri" w:hAnsi="Calibri"/>
          <w:sz w:val="22"/>
        </w:rPr>
        <w:t xml:space="preserve">• </w:t>
      </w:r>
      <w:r>
        <w:rPr>
          <w:rFonts w:ascii="Calibri" w:hAnsi="Calibri"/>
          <w:sz w:val="22"/>
        </w:rPr>
        <w:t>Provide hypercare support for stabilization and performance monitoring.</w:t>
      </w:r>
    </w:p>
    <w:p>
      <w:pPr>
        <w:spacing w:after="120"/>
        <w:ind w:left="360" w:hanging="360"/>
      </w:pPr>
      <w:r>
        <w:rPr>
          <w:rFonts w:ascii="Calibri" w:hAnsi="Calibri"/>
          <w:sz w:val="22"/>
        </w:rPr>
        <w:t xml:space="preserve">• </w:t>
      </w:r>
      <w:r>
        <w:rPr>
          <w:rFonts w:ascii="Calibri" w:hAnsi="Calibri"/>
          <w:sz w:val="22"/>
        </w:rPr>
        <w:t>Transition to steady-state support operations after successful stabilization.</w:t>
      </w:r>
    </w:p>
    <w:p>
      <w:pPr>
        <w:pStyle w:val="Heading3"/>
      </w:pPr>
      <w:r>
        <w:t>4.7 Continuous Improvement</w:t>
      </w:r>
    </w:p>
    <w:p>
      <w:pPr>
        <w:spacing w:after="120"/>
        <w:ind w:left="360" w:hanging="360"/>
      </w:pPr>
      <w:r>
        <w:rPr>
          <w:rFonts w:ascii="Calibri" w:hAnsi="Calibri"/>
          <w:sz w:val="22"/>
        </w:rPr>
        <w:t xml:space="preserve">• </w:t>
      </w:r>
      <w:r>
        <w:rPr>
          <w:rFonts w:ascii="Calibri" w:hAnsi="Calibri"/>
          <w:sz w:val="22"/>
        </w:rPr>
        <w:t>Conduct regular reviews of KPIs and SLAs.</w:t>
      </w:r>
    </w:p>
    <w:p>
      <w:pPr>
        <w:spacing w:after="120"/>
        <w:ind w:left="360" w:hanging="360"/>
      </w:pPr>
      <w:r>
        <w:rPr>
          <w:rFonts w:ascii="Calibri" w:hAnsi="Calibri"/>
          <w:sz w:val="22"/>
        </w:rPr>
        <w:t xml:space="preserve">• </w:t>
      </w:r>
      <w:r>
        <w:rPr>
          <w:rFonts w:ascii="Calibri" w:hAnsi="Calibri"/>
          <w:sz w:val="22"/>
        </w:rPr>
        <w:t>Identify enhancement opportunities and manage iterative releases for continuous improvement.</w:t>
      </w:r>
    </w:p>
    <w:p>
      <w:pPr>
        <w:pStyle w:val="Heading2"/>
      </w:pPr>
      <w:r>
        <w:t>5. Project Plan and Timelines</w:t>
      </w:r>
    </w:p>
    <w:p>
      <w:r>
        <w:t>The following baseline timeline assumes an initial release covering two priority processes (e.g., business licensing and grants management). The timeline will be refined once MTI confirms process priorities, user volumes, and deployment model.</w:t>
      </w:r>
    </w:p>
    <w:p>
      <w:r>
        <w:t>| Phase | Duration | Key Activities | Deliverables |</w:t>
      </w:r>
    </w:p>
    <w:p>
      <w:r>
        <w:t>|-------|-----------|----------------|---------------|</w:t>
      </w:r>
    </w:p>
    <w:p>
      <w:r>
        <w:t>| Discovery &amp; Requirements | 4 weeks | Workshops, process mapping, requirements validation | Process models, requirements document |</w:t>
      </w:r>
    </w:p>
    <w:p>
      <w:r>
        <w:t>| Design &amp; Configuration | 8 weeks | Low-code configuration, rules setup, UI design | Configured workflows, forms, rules |</w:t>
      </w:r>
    </w:p>
    <w:p>
      <w:r>
        <w:t>| Integration &amp; Testing | 6 weeks | API integration, SIT, performance testing | Tested solution, integration reports |</w:t>
      </w:r>
    </w:p>
    <w:p>
      <w:r>
        <w:t>| UAT &amp; Training | 4 weeks | UAT support, training sessions, documentation | UAT sign-off, training completion |</w:t>
      </w:r>
    </w:p>
    <w:p>
      <w:r>
        <w:t>| Go-Live &amp; Hypercare | 2 weeks | Cutover, monitoring, stabilization | Go-live report, transition plan |</w:t>
      </w:r>
    </w:p>
    <w:p>
      <w:r>
        <w:t>Total estimated duration: 24 weeks (6 months) for initial release.</w:t>
      </w:r>
    </w:p>
    <w:p>
      <w:r>
        <w:t>Subsequent process onboarding will leverage the reusable templates and accelerators to reduce configuration time by up to 50%.</w:t>
      </w:r>
    </w:p>
    <w:p>
      <w:pPr>
        <w:pStyle w:val="Heading2"/>
      </w:pPr>
      <w:r>
        <w:t>6. Proposed Team Structure</w:t>
      </w:r>
    </w:p>
    <w:p>
      <w:r>
        <w:t>FusionAIx will deploy a multidisciplinary team combining BPM architects, business analysts, developers, testers, and change management specialists. The team will work closely with MTI’s stakeholders throughout the project lifecycle.</w:t>
      </w:r>
    </w:p>
    <w:p>
      <w:r>
        <w:t>| Role | Responsibility |</w:t>
      </w:r>
    </w:p>
    <w:p>
      <w:r>
        <w:t>|------|----------------|</w:t>
      </w:r>
    </w:p>
    <w:p>
      <w:r>
        <w:t>| Project Manager | Overall project governance, schedule, and stakeholder communication |</w:t>
      </w:r>
    </w:p>
    <w:p>
      <w:r>
        <w:t>| BPM Solution Architect | Solution design, architecture, and technical oversight |</w:t>
      </w:r>
    </w:p>
    <w:p>
      <w:r>
        <w:t>| Business Analyst | Requirements gathering, process modeling, and validation |</w:t>
      </w:r>
    </w:p>
    <w:p>
      <w:r>
        <w:t>| Lead Developer | Configuration, integration, and technical implementation |</w:t>
      </w:r>
    </w:p>
    <w:p>
      <w:r>
        <w:t>| QA Lead | Test planning, execution, and quality assurance |</w:t>
      </w:r>
    </w:p>
    <w:p>
      <w:r>
        <w:t>| Trainer / Change Lead | Training delivery, user adoption, and change management |</w:t>
      </w:r>
    </w:p>
    <w:p>
      <w:r>
        <w:t>| Support Lead | Post go-live support and maintenance coordination |</w:t>
      </w:r>
    </w:p>
    <w:p>
      <w:r>
        <w:t>CVs of key personnel will be provided in the final submission package.</w:t>
      </w:r>
    </w:p>
    <w:p>
      <w:pPr>
        <w:pStyle w:val="Heading2"/>
      </w:pPr>
      <w:r>
        <w:t>7. Functional and Technical Compliance Matrix</w:t>
      </w:r>
    </w:p>
    <w:p>
      <w:r>
        <w:t>| ID | Requirement | Compliance | Response / How We Meet It |</w:t>
      </w:r>
    </w:p>
    <w:p>
      <w:r>
        <w:t>|----|--------------|-------------|----------------------------|</w:t>
      </w:r>
    </w:p>
    <w:p>
      <w:r>
        <w:t>| 5.1.a | Straight-through + human-centric workflows | Compliant | Workflow engine supports automated steps (validations, integrations, rules) and human tasks (review/approve) in one end-to-end process. |</w:t>
      </w:r>
    </w:p>
    <w:p>
      <w:r>
        <w:t>| 5.1.b | Dynamic case management | Compliant | Supports ad-hoc tasks, attachments, notes, and event-driven case updates. |</w:t>
      </w:r>
    </w:p>
    <w:p>
      <w:r>
        <w:t>| 5.1.c | Centralized rules management | Compliant | Rules externalized from code, versioned, tested, and deployed via controlled governance. |</w:t>
      </w:r>
    </w:p>
    <w:p>
      <w:r>
        <w:t>| 5.1.d | Web-based responsive UI | Compliant | Accessible via standard browsers; includes guided steps and contextual help. |</w:t>
      </w:r>
    </w:p>
    <w:p>
      <w:r>
        <w:t>| 5.1.e | SLA definition and monitoring | Compliant | SLAs defined per process/case type; automated escalations and real-time dashboards. |</w:t>
      </w:r>
    </w:p>
    <w:p>
      <w:r>
        <w:t>| 5.1.f | Integration mechanisms | Compliant | REST APIs, message queues, event-based integration supported. |</w:t>
      </w:r>
    </w:p>
    <w:p>
      <w:r>
        <w:t>| 5.1.g | Role-based access control | Compliant | Fine-grained permissions, full audit logging, and compliance with national standards. |</w:t>
      </w:r>
    </w:p>
    <w:p>
      <w:r>
        <w:t>| 5.1.h | Training and change management | Compliant | Comprehensive training for admins, power users, and end users; materials provided. |</w:t>
      </w:r>
    </w:p>
    <w:p>
      <w:r>
        <w:t>| 5.1.i | Support and maintenance | Compliant | 3 years of post go-live support including patching, upgrades, and incident resolution. |</w:t>
      </w:r>
    </w:p>
    <w:p>
      <w:pPr>
        <w:pStyle w:val="Heading2"/>
      </w:pPr>
      <w:r>
        <w:t>8. Assumptions, Dependencies, and Risks</w:t>
      </w:r>
    </w:p>
    <w:p>
      <w:pPr>
        <w:pStyle w:val="Heading3"/>
      </w:pPr>
      <w:r>
        <w:t>8.1 Assumptions</w:t>
      </w:r>
    </w:p>
    <w:p>
      <w:pPr>
        <w:spacing w:after="120"/>
        <w:ind w:left="360" w:hanging="360"/>
      </w:pPr>
      <w:r>
        <w:rPr>
          <w:rFonts w:ascii="Calibri" w:hAnsi="Calibri"/>
          <w:sz w:val="22"/>
        </w:rPr>
        <w:t xml:space="preserve">• </w:t>
      </w:r>
      <w:r>
        <w:rPr>
          <w:rFonts w:ascii="Calibri" w:hAnsi="Calibri"/>
          <w:sz w:val="22"/>
        </w:rPr>
        <w:t>MTI will provide timely access to stakeholders and subject matter experts.</w:t>
      </w:r>
    </w:p>
    <w:p>
      <w:pPr>
        <w:spacing w:after="120"/>
        <w:ind w:left="360" w:hanging="360"/>
      </w:pPr>
      <w:r>
        <w:rPr>
          <w:rFonts w:ascii="Calibri" w:hAnsi="Calibri"/>
          <w:sz w:val="22"/>
        </w:rPr>
        <w:t xml:space="preserve">• </w:t>
      </w:r>
      <w:r>
        <w:rPr>
          <w:rFonts w:ascii="Calibri" w:hAnsi="Calibri"/>
          <w:sz w:val="22"/>
        </w:rPr>
        <w:t>MTI’s infrastructure and identity management systems will be available for integration.</w:t>
      </w:r>
    </w:p>
    <w:p>
      <w:pPr>
        <w:spacing w:after="120"/>
        <w:ind w:left="360" w:hanging="360"/>
      </w:pPr>
      <w:r>
        <w:rPr>
          <w:rFonts w:ascii="Calibri" w:hAnsi="Calibri"/>
          <w:sz w:val="22"/>
        </w:rPr>
        <w:t xml:space="preserve">• </w:t>
      </w:r>
      <w:r>
        <w:rPr>
          <w:rFonts w:ascii="Calibri" w:hAnsi="Calibri"/>
          <w:sz w:val="22"/>
        </w:rPr>
        <w:t>MTI will designate process owners for each process area.</w:t>
      </w:r>
    </w:p>
    <w:p>
      <w:pPr>
        <w:spacing w:after="120"/>
        <w:ind w:left="360" w:hanging="360"/>
      </w:pPr>
      <w:r>
        <w:rPr>
          <w:rFonts w:ascii="Calibri" w:hAnsi="Calibri"/>
          <w:sz w:val="22"/>
        </w:rPr>
        <w:t xml:space="preserve">• </w:t>
      </w:r>
      <w:r>
        <w:rPr>
          <w:rFonts w:ascii="Calibri" w:hAnsi="Calibri"/>
          <w:sz w:val="22"/>
        </w:rPr>
        <w:t>Hosting model (cloud/on-premises/hybrid) will be confirmed prior to design finalization.</w:t>
      </w:r>
    </w:p>
    <w:p>
      <w:pPr>
        <w:pStyle w:val="Heading3"/>
      </w:pPr>
      <w:r>
        <w:t>8.2 Dependencies</w:t>
      </w:r>
    </w:p>
    <w:p>
      <w:pPr>
        <w:spacing w:after="120"/>
        <w:ind w:left="360" w:hanging="360"/>
      </w:pPr>
      <w:r>
        <w:rPr>
          <w:rFonts w:ascii="Calibri" w:hAnsi="Calibri"/>
          <w:sz w:val="22"/>
        </w:rPr>
        <w:t xml:space="preserve">• </w:t>
      </w:r>
      <w:r>
        <w:rPr>
          <w:rFonts w:ascii="Calibri" w:hAnsi="Calibri"/>
          <w:sz w:val="22"/>
        </w:rPr>
        <w:t>Availability of MTI’s existing systems for integration testing.</w:t>
      </w:r>
    </w:p>
    <w:p>
      <w:pPr>
        <w:spacing w:after="120"/>
        <w:ind w:left="360" w:hanging="360"/>
      </w:pPr>
      <w:r>
        <w:rPr>
          <w:rFonts w:ascii="Calibri" w:hAnsi="Calibri"/>
          <w:sz w:val="22"/>
        </w:rPr>
        <w:t xml:space="preserve">• </w:t>
      </w:r>
      <w:r>
        <w:rPr>
          <w:rFonts w:ascii="Calibri" w:hAnsi="Calibri"/>
          <w:sz w:val="22"/>
        </w:rPr>
        <w:t>Timely approval of deliverables and sign-offs.</w:t>
      </w:r>
    </w:p>
    <w:p>
      <w:pPr>
        <w:spacing w:after="120"/>
        <w:ind w:left="360" w:hanging="360"/>
      </w:pPr>
      <w:r>
        <w:rPr>
          <w:rFonts w:ascii="Calibri" w:hAnsi="Calibri"/>
          <w:sz w:val="22"/>
        </w:rPr>
        <w:t xml:space="preserve">• </w:t>
      </w:r>
      <w:r>
        <w:rPr>
          <w:rFonts w:ascii="Calibri" w:hAnsi="Calibri"/>
          <w:sz w:val="22"/>
        </w:rPr>
        <w:t>Access to MTI’s Active Directory for SSO configuration.</w:t>
      </w:r>
    </w:p>
    <w:p>
      <w:pPr>
        <w:pStyle w:val="Heading3"/>
      </w:pPr>
      <w:r>
        <w:t>8.3 Risks and Mitigation</w:t>
      </w:r>
    </w:p>
    <w:p>
      <w:r>
        <w:t>| Risk | Impact | Mitigation |</w:t>
      </w:r>
    </w:p>
    <w:p>
      <w:r>
        <w:t>|------|---------|------------|</w:t>
      </w:r>
    </w:p>
    <w:p>
      <w:r>
        <w:t>| Delays in requirement finalization | Medium | Conduct early workshops and iterative validation. |</w:t>
      </w:r>
    </w:p>
    <w:p>
      <w:r>
        <w:t>| Integration challenges | Medium | Use standard APIs and early integration testing. |</w:t>
      </w:r>
    </w:p>
    <w:p>
      <w:r>
        <w:t>| User adoption resistance | High | Deliver comprehensive training and change management. |</w:t>
      </w:r>
    </w:p>
    <w:p>
      <w:r>
        <w:t>| Scope creep | Medium | Enforce change control and governance processes. |</w:t>
      </w:r>
    </w:p>
    <w:p>
      <w:pPr>
        <w:pStyle w:val="Heading2"/>
      </w:pPr>
      <w:r>
        <w:t>9. Support and Maintenance Model</w:t>
      </w:r>
    </w:p>
    <w:p>
      <w:r>
        <w:t>FusionAIx will provide three (3) years of post go-live support and maintenance, including:</w:t>
      </w:r>
    </w:p>
    <w:p>
      <w:pPr>
        <w:pStyle w:val="Heading3"/>
      </w:pPr>
      <w:r>
        <w:t>9.1 Support Tiers</w:t>
      </w:r>
    </w:p>
    <w:p>
      <w:pPr>
        <w:spacing w:after="120"/>
        <w:ind w:left="360" w:hanging="360"/>
      </w:pPr>
      <w:r>
        <w:rPr>
          <w:rFonts w:ascii="Calibri" w:hAnsi="Calibri"/>
          <w:sz w:val="22"/>
        </w:rPr>
        <w:t xml:space="preserve">• </w:t>
      </w:r>
      <w:r>
        <w:rPr>
          <w:rFonts w:ascii="Calibri" w:hAnsi="Calibri"/>
          <w:b/>
          <w:sz w:val="22"/>
        </w:rPr>
        <w:t>L1 (Helpdesk):</w:t>
      </w:r>
      <w:r>
        <w:rPr>
          <w:rFonts w:ascii="Calibri" w:hAnsi="Calibri"/>
          <w:sz w:val="22"/>
        </w:rPr>
        <w:t xml:space="preserve"> User access issues, minor fixes, and portal troubleshooting.</w:t>
      </w:r>
    </w:p>
    <w:p>
      <w:pPr>
        <w:spacing w:after="120"/>
        <w:ind w:left="360" w:hanging="360"/>
      </w:pPr>
      <w:r>
        <w:rPr>
          <w:rFonts w:ascii="Calibri" w:hAnsi="Calibri"/>
          <w:sz w:val="22"/>
        </w:rPr>
        <w:t xml:space="preserve">• </w:t>
      </w:r>
      <w:r>
        <w:rPr>
          <w:rFonts w:ascii="Calibri" w:hAnsi="Calibri"/>
          <w:b/>
          <w:sz w:val="22"/>
        </w:rPr>
        <w:t>L2 (Application Support):</w:t>
      </w:r>
      <w:r>
        <w:rPr>
          <w:rFonts w:ascii="Calibri" w:hAnsi="Calibri"/>
          <w:sz w:val="22"/>
        </w:rPr>
        <w:t xml:space="preserve"> Configuration issues, workflow errors, and data corrections.</w:t>
      </w:r>
    </w:p>
    <w:p>
      <w:pPr>
        <w:spacing w:after="120"/>
        <w:ind w:left="360" w:hanging="360"/>
      </w:pPr>
      <w:r>
        <w:rPr>
          <w:rFonts w:ascii="Calibri" w:hAnsi="Calibri"/>
          <w:sz w:val="22"/>
        </w:rPr>
        <w:t xml:space="preserve">• </w:t>
      </w:r>
      <w:r>
        <w:rPr>
          <w:rFonts w:ascii="Calibri" w:hAnsi="Calibri"/>
          <w:b/>
          <w:sz w:val="22"/>
        </w:rPr>
        <w:t>L3 (Engineering/Product):</w:t>
      </w:r>
      <w:r>
        <w:rPr>
          <w:rFonts w:ascii="Calibri" w:hAnsi="Calibri"/>
          <w:sz w:val="22"/>
        </w:rPr>
        <w:t xml:space="preserve"> Complex defects, integrations, performance tuning, and upgrades.</w:t>
      </w:r>
    </w:p>
    <w:p>
      <w:pPr>
        <w:pStyle w:val="Heading3"/>
      </w:pPr>
      <w:r>
        <w:t>9.2 SLA Targets</w:t>
      </w:r>
    </w:p>
    <w:p>
      <w:r>
        <w:t>| Severity | Response Time | Resolution Time |</w:t>
      </w:r>
    </w:p>
    <w:p>
      <w:r>
        <w:t>|-----------|----------------|----------------|</w:t>
      </w:r>
    </w:p>
    <w:p>
      <w:r>
        <w:t>| Sev 1 (Critical) | 1 hour | 4 hours |</w:t>
      </w:r>
    </w:p>
    <w:p>
      <w:r>
        <w:t>| Sev 2 (High) | 2 hours | 8 hours |</w:t>
      </w:r>
    </w:p>
    <w:p>
      <w:r>
        <w:t>| Sev 3 (Medium) | 4 hours | 24 hours |</w:t>
      </w:r>
    </w:p>
    <w:p>
      <w:r>
        <w:t>| Sev 4 (Low) | 8 hours | 48 hours |</w:t>
      </w:r>
    </w:p>
    <w:p>
      <w:pPr>
        <w:pStyle w:val="Heading3"/>
      </w:pPr>
      <w:r>
        <w:t>9.3 Escalation and Governance</w:t>
      </w:r>
    </w:p>
    <w:p>
      <w:pPr>
        <w:spacing w:after="120"/>
        <w:ind w:left="360" w:hanging="360"/>
      </w:pPr>
      <w:r>
        <w:rPr>
          <w:rFonts w:ascii="Calibri" w:hAnsi="Calibri"/>
          <w:sz w:val="22"/>
        </w:rPr>
        <w:t xml:space="preserve">• </w:t>
      </w:r>
      <w:r>
        <w:rPr>
          <w:rFonts w:ascii="Calibri" w:hAnsi="Calibri"/>
          <w:sz w:val="22"/>
        </w:rPr>
        <w:t>Incident manager assigned for Sev 1/Sev 2 issues.</w:t>
      </w:r>
    </w:p>
    <w:p>
      <w:pPr>
        <w:spacing w:after="120"/>
        <w:ind w:left="360" w:hanging="360"/>
      </w:pPr>
      <w:r>
        <w:rPr>
          <w:rFonts w:ascii="Calibri" w:hAnsi="Calibri"/>
          <w:sz w:val="22"/>
        </w:rPr>
        <w:t xml:space="preserve">• </w:t>
      </w:r>
      <w:r>
        <w:rPr>
          <w:rFonts w:ascii="Calibri" w:hAnsi="Calibri"/>
          <w:sz w:val="22"/>
        </w:rPr>
        <w:t>Escalation ladder: Support Lead → Program Manager → Executive Sponsor.</w:t>
      </w:r>
    </w:p>
    <w:p>
      <w:pPr>
        <w:spacing w:after="120"/>
        <w:ind w:left="360" w:hanging="360"/>
      </w:pPr>
      <w:r>
        <w:rPr>
          <w:rFonts w:ascii="Calibri" w:hAnsi="Calibri"/>
          <w:sz w:val="22"/>
        </w:rPr>
        <w:t xml:space="preserve">• </w:t>
      </w:r>
      <w:r>
        <w:rPr>
          <w:rFonts w:ascii="Calibri" w:hAnsi="Calibri"/>
          <w:sz w:val="22"/>
        </w:rPr>
        <w:t>Monthly service reviews covering SLA performance, root causes, and continuous improvement actions.</w:t>
      </w:r>
    </w:p>
    <w:p>
      <w:pPr>
        <w:pStyle w:val="Heading3"/>
      </w:pPr>
      <w:r>
        <w:t>9.4 Maintenance Activities</w:t>
      </w:r>
    </w:p>
    <w:p>
      <w:pPr>
        <w:spacing w:after="120"/>
        <w:ind w:left="360" w:hanging="360"/>
      </w:pPr>
      <w:r>
        <w:rPr>
          <w:rFonts w:ascii="Calibri" w:hAnsi="Calibri"/>
          <w:sz w:val="22"/>
        </w:rPr>
        <w:t xml:space="preserve">• </w:t>
      </w:r>
      <w:r>
        <w:rPr>
          <w:rFonts w:ascii="Calibri" w:hAnsi="Calibri"/>
          <w:sz w:val="22"/>
        </w:rPr>
        <w:t>Regular patching and upgrades.</w:t>
      </w:r>
    </w:p>
    <w:p>
      <w:pPr>
        <w:spacing w:after="120"/>
        <w:ind w:left="360" w:hanging="360"/>
      </w:pPr>
      <w:r>
        <w:rPr>
          <w:rFonts w:ascii="Calibri" w:hAnsi="Calibri"/>
          <w:sz w:val="22"/>
        </w:rPr>
        <w:t xml:space="preserve">• </w:t>
      </w:r>
      <w:r>
        <w:rPr>
          <w:rFonts w:ascii="Calibri" w:hAnsi="Calibri"/>
          <w:sz w:val="22"/>
        </w:rPr>
        <w:t>Performance monitoring and optimization.</w:t>
      </w:r>
    </w:p>
    <w:p>
      <w:pPr>
        <w:spacing w:after="120"/>
        <w:ind w:left="360" w:hanging="360"/>
      </w:pPr>
      <w:r>
        <w:rPr>
          <w:rFonts w:ascii="Calibri" w:hAnsi="Calibri"/>
          <w:sz w:val="22"/>
        </w:rPr>
        <w:t xml:space="preserve">• </w:t>
      </w:r>
      <w:r>
        <w:rPr>
          <w:rFonts w:ascii="Calibri" w:hAnsi="Calibri"/>
          <w:sz w:val="22"/>
        </w:rPr>
        <w:t>Knowledge transfer and documentation updates.</w:t>
      </w:r>
    </w:p>
    <w:p>
      <w:pPr>
        <w:pStyle w:val="Heading2"/>
      </w:pPr>
      <w:r>
        <w:t>10. Commercial Proposal</w:t>
      </w:r>
    </w:p>
    <w:p>
      <w:r>
        <w:t>FusionAIx will provide a detailed commercial proposal in the final submission package, including a 5-year Total Cost of Ownership (TCO) view. Costs will be broken down as follows:</w:t>
      </w:r>
    </w:p>
    <w:p>
      <w:pPr>
        <w:pStyle w:val="ListNumber"/>
      </w:pPr>
      <w:r>
        <w:rPr>
          <w:b/>
        </w:rPr>
        <w:t>Licensing:</w:t>
      </w:r>
    </w:p>
    <w:p>
      <w:pPr>
        <w:spacing w:after="120"/>
        <w:ind w:left="360" w:hanging="360"/>
      </w:pPr>
      <w:r>
        <w:rPr>
          <w:rFonts w:ascii="Calibri" w:hAnsi="Calibri"/>
          <w:sz w:val="22"/>
        </w:rPr>
        <w:t xml:space="preserve">• </w:t>
      </w:r>
      <w:r>
        <w:rPr>
          <w:rFonts w:ascii="Calibri" w:hAnsi="Calibri"/>
          <w:sz w:val="22"/>
        </w:rPr>
        <w:t>Internal user licenses (role-based)</w:t>
      </w:r>
    </w:p>
    <w:p>
      <w:pPr>
        <w:spacing w:after="120"/>
        <w:ind w:left="360" w:hanging="360"/>
      </w:pPr>
      <w:r>
        <w:rPr>
          <w:rFonts w:ascii="Calibri" w:hAnsi="Calibri"/>
          <w:sz w:val="22"/>
        </w:rPr>
        <w:t xml:space="preserve">• </w:t>
      </w:r>
      <w:r>
        <w:rPr>
          <w:rFonts w:ascii="Calibri" w:hAnsi="Calibri"/>
          <w:sz w:val="22"/>
        </w:rPr>
        <w:t>External portal usage model</w:t>
      </w:r>
    </w:p>
    <w:p>
      <w:pPr>
        <w:pStyle w:val="ListNumber"/>
      </w:pPr>
      <w:r>
        <w:rPr>
          <w:b/>
        </w:rPr>
        <w:t>Implementation Services:</w:t>
      </w:r>
    </w:p>
    <w:p>
      <w:pPr>
        <w:spacing w:after="120"/>
        <w:ind w:left="360" w:hanging="360"/>
      </w:pPr>
      <w:r>
        <w:rPr>
          <w:rFonts w:ascii="Calibri" w:hAnsi="Calibri"/>
          <w:sz w:val="22"/>
        </w:rPr>
        <w:t xml:space="preserve">• </w:t>
      </w:r>
      <w:r>
        <w:rPr>
          <w:rFonts w:ascii="Calibri" w:hAnsi="Calibri"/>
          <w:sz w:val="22"/>
        </w:rPr>
        <w:t>Discovery, design, configuration, integration, testing, and training</w:t>
      </w:r>
    </w:p>
    <w:p>
      <w:pPr>
        <w:pStyle w:val="ListNumber"/>
      </w:pPr>
      <w:r>
        <w:rPr>
          <w:b/>
        </w:rPr>
        <w:t>Support and Maintenance:</w:t>
      </w:r>
    </w:p>
    <w:p>
      <w:pPr>
        <w:spacing w:after="120"/>
        <w:ind w:left="360" w:hanging="360"/>
      </w:pPr>
      <w:r>
        <w:rPr>
          <w:rFonts w:ascii="Calibri" w:hAnsi="Calibri"/>
          <w:sz w:val="22"/>
        </w:rPr>
        <w:t xml:space="preserve">• </w:t>
      </w:r>
      <w:r>
        <w:rPr>
          <w:rFonts w:ascii="Calibri" w:hAnsi="Calibri"/>
          <w:sz w:val="22"/>
        </w:rPr>
        <w:t>Three years of post go-live support, including patching, upgrades, and incident resolution</w:t>
      </w:r>
    </w:p>
    <w:p>
      <w:pPr>
        <w:pStyle w:val="ListNumber"/>
      </w:pPr>
      <w:r>
        <w:rPr>
          <w:b/>
        </w:rPr>
        <w:t>Optional Components:</w:t>
      </w:r>
    </w:p>
    <w:p>
      <w:pPr>
        <w:spacing w:after="120"/>
        <w:ind w:left="360" w:hanging="360"/>
      </w:pPr>
      <w:r>
        <w:rPr>
          <w:rFonts w:ascii="Calibri" w:hAnsi="Calibri"/>
          <w:sz w:val="22"/>
        </w:rPr>
        <w:t xml:space="preserve">• </w:t>
      </w:r>
      <w:r>
        <w:rPr>
          <w:rFonts w:ascii="Calibri" w:hAnsi="Calibri"/>
          <w:sz w:val="22"/>
        </w:rPr>
        <w:t>Advanced analytics and AI-assisted features</w:t>
      </w:r>
    </w:p>
    <w:p>
      <w:pPr>
        <w:spacing w:after="120"/>
        <w:ind w:left="360" w:hanging="360"/>
      </w:pPr>
      <w:r>
        <w:rPr>
          <w:rFonts w:ascii="Calibri" w:hAnsi="Calibri"/>
          <w:sz w:val="22"/>
        </w:rPr>
        <w:t xml:space="preserve">• </w:t>
      </w:r>
      <w:r>
        <w:rPr>
          <w:rFonts w:ascii="Calibri" w:hAnsi="Calibri"/>
          <w:sz w:val="22"/>
        </w:rPr>
        <w:t>Additional environments (e.g., DR, staging)</w:t>
      </w:r>
    </w:p>
    <w:p>
      <w:pPr>
        <w:spacing w:after="120"/>
        <w:ind w:left="360" w:hanging="360"/>
      </w:pPr>
      <w:r>
        <w:rPr>
          <w:rFonts w:ascii="Calibri" w:hAnsi="Calibri"/>
          <w:sz w:val="22"/>
        </w:rPr>
        <w:t xml:space="preserve">• </w:t>
      </w:r>
      <w:r>
        <w:rPr>
          <w:rFonts w:ascii="Calibri" w:hAnsi="Calibri"/>
          <w:sz w:val="22"/>
        </w:rPr>
        <w:t>Future process onboarding support</w:t>
      </w:r>
    </w:p>
    <w:p>
      <w:r>
        <w:t>All pricing will be provided in accordance with MTI’s commercial submission format and will include assumptions, payment milestones, and applicable taxes.</w:t>
      </w:r>
    </w:p>
    <w:p>
      <w:r>
        <w:t>End of Document</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6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