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5510892" cy="137160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10"/>
                    <a:stretch>
                      <a:fillRect/>
                    </a:stretch>
                  </pic:blipFill>
                  <pic:spPr>
                    <a:xfrm>
                      <a:off x="0" y="0"/>
                      <a:ext cx="5510892" cy="1371600"/>
                    </a:xfrm>
                    <a:prstGeom prst="rect"/>
                  </pic:spPr>
                </pic:pic>
              </a:graphicData>
            </a:graphic>
          </wp:inline>
        </w:drawing>
      </w:r>
    </w:p>
    <w:p/>
    <w:p/>
    <w:p>
      <w:pPr>
        <w:keepNext w:val="0"/>
        <w:keepLines w:val="0"/>
        <w:widowControl w:val="0"/>
        <w:spacing w:after="240" w:before="0"/>
        <w:jc w:val="center"/>
        <w:wordWrap w:val="0"/>
        <w:overflowPunct w:val="0"/>
      </w:pPr>
      <w:r>
        <w:rPr>
          <w:rFonts w:ascii="Calibri" w:hAnsi="Calibri"/>
          <w:b/>
          <w:color w:val="1A5490"/>
          <w:sz w:val="64"/>
        </w:rPr>
        <w:t>Enterprise BPM Platform Implementation</w:t>
      </w:r>
    </w:p>
    <w:p/>
    <w:p/>
    <w:p>
      <w:pPr>
        <w:jc w:val="center"/>
      </w:pPr>
      <w:r>
        <w:rPr>
          <w:rFonts w:ascii="Calibri" w:hAnsi="Calibri"/>
          <w:color w:val="646464"/>
          <w:sz w:val="28"/>
        </w:rPr>
        <w:t>December 21, 2025</w:t>
      </w:r>
    </w:p>
    <w:p/>
    <w:p/>
    <w:p/>
    <w:p/>
    <w:p>
      <w:pPr>
        <w:jc w:val="center"/>
      </w:pPr>
      <w:r>
        <w:rPr>
          <w:rFonts w:ascii="Calibri" w:hAnsi="Calibri"/>
          <w:b/>
          <w:color w:val="1A5490"/>
          <w:sz w:val="40"/>
        </w:rPr>
        <w:t>fusionAIx</w:t>
      </w:r>
    </w:p>
    <w:p>
      <w:pPr>
        <w:jc w:val="center"/>
      </w:pPr>
      <w:r>
        <w:rPr>
          <w:rFonts w:ascii="Calibri" w:hAnsi="Calibri"/>
          <w:color w:val="646464"/>
          <w:sz w:val="24"/>
        </w:rPr>
        <w:t>www.fusionaix.com</w:t>
      </w:r>
    </w:p>
    <w:p/>
    <w:p>
      <w:pPr>
        <w:sectPr>
          <w:footerReference w:type="default" r:id="rId9"/>
          <w:pgSz w:w="12240" w:h="15840"/>
          <w:pgMar w:top="1440" w:right="1440" w:bottom="1440" w:left="1440" w:header="720" w:footer="720" w:gutter="0"/>
          <w:cols w:space="720"/>
          <w:docGrid w:linePitch="360"/>
        </w:sectPr>
      </w:pPr>
    </w:p>
    <w:p>
      <w:pPr>
        <w:pStyle w:val="Heading1"/>
      </w:pPr>
      <w:r>
        <w:t>Table of Contents</w:t>
      </w:r>
    </w:p>
    <w:p>
      <w:r>
        <w:fldSimple w:instr="TOC \o &quot;1-3&quot; \h \z \u"/>
      </w:r>
    </w:p>
    <w:p/>
    <w:p>
      <w:r>
        <w:rPr>
          <w:i/>
          <w:color w:val="808080"/>
          <w:sz w:val="18"/>
        </w:rPr>
        <w:t>Note: Right-click and select 'Update Field' to refresh page numbers if needed.</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r>
        <w:br w:type="page"/>
      </w:r>
    </w:p>
    <w:p>
      <w:pPr>
        <w:pStyle w:val="Heading1"/>
      </w:pPr>
      <w:r>
        <w:t>MTI BPM Platform Proposal</w:t>
      </w:r>
    </w:p>
    <w:p>
      <w:r>
        <w:t>Submitted by fusionAIx</w:t>
      </w:r>
    </w:p>
    <w:p>
      <w:r>
        <w:t>Date: 21 December 2025</w:t>
      </w:r>
    </w:p>
    <w:p/>
    <w:p>
      <w:pPr>
        <w:pStyle w:val="Heading2"/>
      </w:pPr>
      <w:r>
        <w:t>1. Executive Summary</w:t>
      </w:r>
    </w:p>
    <w:p/>
    <w:p>
      <w:r>
        <w:t>FusionAIx is pleased to submit this comprehensive proposal to the Ministry of Trade and Industry (MTI) for the provision, implementation, and support of an enterprise-grade Business Process Management (BPM) platform. Our proposed solution is designed to automate, orchestrate, and continuously improve MTI’s core business processes, including business licensing and renewals, incentive and grants applications, and other mission-critical workflows.</w:t>
      </w:r>
    </w:p>
    <w:p/>
    <w:p>
      <w:r>
        <w:t>Our solution is built on a proven, enterprise-grade BPM suite suitable for government and large enterprises. It supports both straight-through processing and human-centric workflows, enabling MTI to manage structured and dynamic case management scenarios seamlessly. The platform is low-code and model-driven, allowing MTI to configure, deploy, and evolve processes rapidly without extensive custom development.</w:t>
      </w:r>
    </w:p>
    <w:p/>
    <w:p>
      <w:r>
        <w:t>Key highlights of our proposal include:</w:t>
      </w:r>
    </w:p>
    <w:p/>
    <w:p>
      <w:pPr>
        <w:spacing w:after="120"/>
        <w:ind w:left="360" w:hanging="360"/>
      </w:pPr>
      <w:r>
        <w:rPr>
          <w:rFonts w:ascii="Calibri" w:hAnsi="Calibri"/>
          <w:sz w:val="22"/>
        </w:rPr>
        <w:t xml:space="preserve">• </w:t>
      </w:r>
      <w:r>
        <w:rPr>
          <w:rFonts w:ascii="Calibri" w:hAnsi="Calibri"/>
          <w:b/>
          <w:sz w:val="22"/>
        </w:rPr>
        <w:t>Enterprise-Grade BPM Platform:</w:t>
      </w:r>
      <w:r>
        <w:rPr>
          <w:rFonts w:ascii="Calibri" w:hAnsi="Calibri"/>
          <w:sz w:val="22"/>
        </w:rPr>
        <w:t xml:space="preserve"> A robust, secure, and scalable BPM suite supporting dynamic case management, centralized rules management, and responsive web-based interfaces.</w:t>
      </w:r>
    </w:p>
    <w:p>
      <w:pPr>
        <w:spacing w:after="120"/>
        <w:ind w:left="360" w:hanging="360"/>
      </w:pPr>
      <w:r>
        <w:rPr>
          <w:rFonts w:ascii="Calibri" w:hAnsi="Calibri"/>
          <w:sz w:val="22"/>
        </w:rPr>
        <w:t xml:space="preserve">• </w:t>
      </w:r>
      <w:r>
        <w:rPr>
          <w:rFonts w:ascii="Calibri" w:hAnsi="Calibri"/>
          <w:b/>
          <w:sz w:val="22"/>
        </w:rPr>
        <w:t>Low-Code Configuration Framework:</w:t>
      </w:r>
      <w:r>
        <w:rPr>
          <w:rFonts w:ascii="Calibri" w:hAnsi="Calibri"/>
          <w:sz w:val="22"/>
        </w:rPr>
        <w:t xml:space="preserve"> MTI will use low-code designers for processes, forms, rules, and SLAs. Governance uses Dev/Test/Prod promotion, approvals, and versioned packages. Roles include Process Owner, Power Configurator, Admin, and Release Manager.</w:t>
      </w:r>
    </w:p>
    <w:p>
      <w:pPr>
        <w:spacing w:after="120"/>
        <w:ind w:left="360" w:hanging="360"/>
      </w:pPr>
      <w:r>
        <w:rPr>
          <w:rFonts w:ascii="Calibri" w:hAnsi="Calibri"/>
          <w:sz w:val="22"/>
        </w:rPr>
        <w:t xml:space="preserve">• </w:t>
      </w:r>
      <w:r>
        <w:rPr>
          <w:rFonts w:ascii="Calibri" w:hAnsi="Calibri"/>
          <w:b/>
          <w:sz w:val="22"/>
        </w:rPr>
        <w:t>Integration Excellence:</w:t>
      </w:r>
      <w:r>
        <w:rPr>
          <w:rFonts w:ascii="Calibri" w:hAnsi="Calibri"/>
          <w:sz w:val="22"/>
        </w:rPr>
        <w:t xml:space="preserve"> We use REST APIs and messaging, with reusable connector templates. Connector patterns cover payments, document services, and licensing validations. Integrations are sprint-delivered, secured by gateway policies and audits.</w:t>
      </w:r>
    </w:p>
    <w:p>
      <w:pPr>
        <w:spacing w:after="120"/>
        <w:ind w:left="360" w:hanging="360"/>
      </w:pPr>
      <w:r>
        <w:rPr>
          <w:rFonts w:ascii="Calibri" w:hAnsi="Calibri"/>
          <w:sz w:val="22"/>
        </w:rPr>
        <w:t xml:space="preserve">• </w:t>
      </w:r>
      <w:r>
        <w:rPr>
          <w:rFonts w:ascii="Calibri" w:hAnsi="Calibri"/>
          <w:b/>
          <w:sz w:val="22"/>
        </w:rPr>
        <w:t>Flexible Hosting Model:</w:t>
      </w:r>
      <w:r>
        <w:rPr>
          <w:rFonts w:ascii="Calibri" w:hAnsi="Calibri"/>
          <w:sz w:val="22"/>
        </w:rPr>
        <w:t xml:space="preserve"> We propose MTI-hosted or approved cloud, with hybrid readiness. Scalability uses horizontally scaled app nodes and elastic infrastructure. HA/residency use regional clustering, replicated databases, and encrypted backups.</w:t>
      </w:r>
    </w:p>
    <w:p>
      <w:pPr>
        <w:spacing w:after="120"/>
        <w:ind w:left="360" w:hanging="360"/>
      </w:pPr>
      <w:r>
        <w:rPr>
          <w:rFonts w:ascii="Calibri" w:hAnsi="Calibri"/>
          <w:sz w:val="22"/>
        </w:rPr>
        <w:t xml:space="preserve">• </w:t>
      </w:r>
      <w:r>
        <w:rPr>
          <w:rFonts w:ascii="Calibri" w:hAnsi="Calibri"/>
          <w:b/>
          <w:sz w:val="22"/>
        </w:rPr>
        <w:t>Cost-Effective Licensing:</w:t>
      </w:r>
      <w:r>
        <w:rPr>
          <w:rFonts w:ascii="Calibri" w:hAnsi="Calibri"/>
          <w:sz w:val="22"/>
        </w:rPr>
        <w:t xml:space="preserve"> External users use transaction or concurrent licensing, not named accounts. We control cost with tiered volumes, throttling, and portal reuse. Usage dashboards track trends, enabling proactive capacity and budget planning.</w:t>
      </w:r>
    </w:p>
    <w:p>
      <w:pPr>
        <w:spacing w:after="120"/>
        <w:ind w:left="360" w:hanging="360"/>
      </w:pPr>
      <w:r>
        <w:rPr>
          <w:rFonts w:ascii="Calibri" w:hAnsi="Calibri"/>
          <w:sz w:val="22"/>
        </w:rPr>
        <w:t xml:space="preserve">• </w:t>
      </w:r>
      <w:r>
        <w:rPr>
          <w:rFonts w:ascii="Calibri" w:hAnsi="Calibri"/>
          <w:b/>
          <w:sz w:val="22"/>
        </w:rPr>
        <w:t>Comprehensive Support:</w:t>
      </w:r>
      <w:r>
        <w:rPr>
          <w:rFonts w:ascii="Calibri" w:hAnsi="Calibri"/>
          <w:sz w:val="22"/>
        </w:rPr>
        <w:t xml:space="preserve"> A minimum of three (3) years of post go-live support and maintenance, including patching, upgrades, and incident resolution, with defined SLAs and escalation governance.</w:t>
      </w:r>
    </w:p>
    <w:p/>
    <w:p>
      <w:r>
        <w:t>FusionAIx brings over 20 successful Pega Constellation implementations globally, with deep expertise in low-code BPM, AI-driven automation, and digital transformation for public sector clients. Our proprietary accelerators—fxAgentSDK, fxAIStudio, fxMockUpToView, and fxSmartDCO—enable rapid delivery, intelligent automation, and continuous improvement.</w:t>
      </w:r>
    </w:p>
    <w:p/>
    <w:p>
      <w:r>
        <w:t>This proposal outlines our understanding of MTI’s objectives, our proposed solution architecture, detailed implementation approach, project plan, team structure, compliance matrix, risk management, support model, and commercial proposal.</w:t>
      </w:r>
    </w:p>
    <w:p/>
    <w:p>
      <w:pPr>
        <w:pStyle w:val="Heading2"/>
      </w:pPr>
      <w:r>
        <w:t>2. Understanding of MTI’s Objectives and Context</w:t>
      </w:r>
    </w:p>
    <w:p/>
    <w:p>
      <w:r>
        <w:t>MTI seeks to modernize and unify its business process management landscape to improve efficiency, transparency, and service delivery. The ministry’s current environment includes multiple siloed systems for licensing, grants, and internal workflows, leading to fragmented user experiences and limited visibility into performance metrics.</w:t>
      </w:r>
    </w:p>
    <w:p/>
    <w:p>
      <w:r>
        <w:t>FusionAIx understands that MTI’s key objectives are:</w:t>
      </w:r>
    </w:p>
    <w:p/>
    <w:p>
      <w:pPr>
        <w:pStyle w:val="ListNumber"/>
      </w:pPr>
      <w:r>
        <w:rPr>
          <w:b/>
        </w:rPr>
        <w:t>Process Unification and Automation:</w:t>
      </w:r>
      <w:r>
        <w:t xml:space="preserve"> Establish a single BPM platform to manage end-to-end processes across departments, including business licensing, renewals, incentives, and grants.</w:t>
      </w:r>
    </w:p>
    <w:p>
      <w:pPr>
        <w:pStyle w:val="ListNumber"/>
      </w:pPr>
      <w:r>
        <w:rPr>
          <w:b/>
        </w:rPr>
        <w:t>Operational Efficiency:</w:t>
      </w:r>
      <w:r>
        <w:t xml:space="preserve"> Reduce manual interventions through straight-through processing, automated validations, and dynamic case management.</w:t>
      </w:r>
    </w:p>
    <w:p>
      <w:pPr>
        <w:pStyle w:val="ListNumber"/>
      </w:pPr>
      <w:r>
        <w:rPr>
          <w:b/>
        </w:rPr>
        <w:t>Transparency and Accountability:</w:t>
      </w:r>
      <w:r>
        <w:t xml:space="preserve"> Enable real-time dashboards and reports for monitoring case volumes, workload distribution, SLA performance, and bottlenecks.</w:t>
      </w:r>
    </w:p>
    <w:p>
      <w:pPr>
        <w:pStyle w:val="ListNumber"/>
      </w:pPr>
      <w:r>
        <w:rPr>
          <w:b/>
        </w:rPr>
        <w:t>Empowerment of Business Users:</w:t>
      </w:r>
      <w:r>
        <w:t xml:space="preserve"> Provide low-code tools for process owners and power users to configure and evolve workflows without dependency on IT.</w:t>
      </w:r>
    </w:p>
    <w:p>
      <w:pPr>
        <w:pStyle w:val="ListNumber"/>
      </w:pPr>
      <w:r>
        <w:rPr>
          <w:b/>
        </w:rPr>
        <w:t>Scalability and Security:</w:t>
      </w:r>
      <w:r>
        <w:t xml:space="preserve"> Ensure the platform can scale to support both internal and external users, with robust security, auditability, and compliance with national data protection standards.</w:t>
      </w:r>
    </w:p>
    <w:p>
      <w:pPr>
        <w:pStyle w:val="ListNumber"/>
      </w:pPr>
      <w:r>
        <w:rPr>
          <w:b/>
        </w:rPr>
        <w:t>Change Management and Adoption:</w:t>
      </w:r>
      <w:r>
        <w:t xml:space="preserve"> Deliver comprehensive training and support to ensure smooth adoption by administrators, business users, and end users.</w:t>
      </w:r>
    </w:p>
    <w:p/>
    <w:p>
      <w:r>
        <w:t>FusionAIx’s approach aligns directly with these objectives. Our BPM solution provides a model-driven, low-code environment that empowers MTI’s business teams to design, deploy, and optimize processes rapidly. The platform’s centralized rules management ensures that business policies are externalized from application code, enabling agility and governance.</w:t>
      </w:r>
    </w:p>
    <w:p/>
    <w:p>
      <w:r>
        <w:t>We also recognize MTI’s need for integration with existing systems such as licensing databases, payment gateways, document management, and ERP systems. Our integration approach—using REST APIs, messaging, and reusable connector templates—ensures seamless interoperability and secure data exchange.</w:t>
      </w:r>
    </w:p>
    <w:p/>
    <w:p>
      <w:r>
        <w:t>Finally, we understand MTI’s emphasis on data residency, high availability, and cost control. Our proposed hosting model supports MTI-hosted or approved cloud environments, with hybrid readiness, regional clustering, and encrypted backups. Licensing for external users is transaction or concurrent-based, ensuring scalability and cost efficiency as usage grows.</w:t>
      </w:r>
    </w:p>
    <w:p/>
    <w:p>
      <w:pPr>
        <w:pStyle w:val="Heading2"/>
      </w:pPr>
      <w:r>
        <w:t>3. Proposed Solution Overview</w:t>
      </w:r>
    </w:p>
    <w:p/>
    <w:p>
      <w:pPr>
        <w:pStyle w:val="Heading3"/>
      </w:pPr>
      <w:r>
        <w:t>3.1 Solution Architecture</w:t>
      </w:r>
    </w:p>
    <w:p/>
    <w:p>
      <w:r>
        <w:t>The proposed BPM platform is a modular, service-oriented architecture designed for scalability, security, and flexibility. It comprises the following major components:</w:t>
      </w:r>
    </w:p>
    <w:p/>
    <w:p>
      <w:pPr>
        <w:spacing w:after="120"/>
        <w:ind w:left="360" w:hanging="360"/>
      </w:pPr>
      <w:r>
        <w:rPr>
          <w:rFonts w:ascii="Calibri" w:hAnsi="Calibri"/>
          <w:sz w:val="22"/>
        </w:rPr>
        <w:t xml:space="preserve">• </w:t>
      </w:r>
      <w:r>
        <w:rPr>
          <w:rFonts w:ascii="Calibri" w:hAnsi="Calibri"/>
          <w:b/>
          <w:sz w:val="22"/>
        </w:rPr>
        <w:t>Process Orchestration Engine:</w:t>
      </w:r>
      <w:r>
        <w:rPr>
          <w:rFonts w:ascii="Calibri" w:hAnsi="Calibri"/>
          <w:sz w:val="22"/>
        </w:rPr>
        <w:t xml:space="preserve"> Manages straight-through and human-centric workflows, supporting dynamic case management, ad-hoc tasks, attachments, and notes.</w:t>
      </w:r>
    </w:p>
    <w:p>
      <w:pPr>
        <w:spacing w:after="120"/>
        <w:ind w:left="360" w:hanging="360"/>
      </w:pPr>
      <w:r>
        <w:rPr>
          <w:rFonts w:ascii="Calibri" w:hAnsi="Calibri"/>
          <w:sz w:val="22"/>
        </w:rPr>
        <w:t xml:space="preserve">• </w:t>
      </w:r>
      <w:r>
        <w:rPr>
          <w:rFonts w:ascii="Calibri" w:hAnsi="Calibri"/>
          <w:b/>
          <w:sz w:val="22"/>
        </w:rPr>
        <w:t>Low-Code Designer Studio:</w:t>
      </w:r>
      <w:r>
        <w:rPr>
          <w:rFonts w:ascii="Calibri" w:hAnsi="Calibri"/>
          <w:sz w:val="22"/>
        </w:rPr>
        <w:t xml:space="preserve"> Enables MTI users to model processes, forms, rules, and SLAs using visual tools.</w:t>
      </w:r>
    </w:p>
    <w:p>
      <w:pPr>
        <w:spacing w:after="120"/>
        <w:ind w:left="360" w:hanging="360"/>
      </w:pPr>
      <w:r>
        <w:rPr>
          <w:rFonts w:ascii="Calibri" w:hAnsi="Calibri"/>
          <w:sz w:val="22"/>
        </w:rPr>
        <w:t xml:space="preserve">• </w:t>
      </w:r>
      <w:r>
        <w:rPr>
          <w:rFonts w:ascii="Calibri" w:hAnsi="Calibri"/>
          <w:b/>
          <w:sz w:val="22"/>
        </w:rPr>
        <w:t>Centralized Rules Engine:</w:t>
      </w:r>
      <w:r>
        <w:rPr>
          <w:rFonts w:ascii="Calibri" w:hAnsi="Calibri"/>
          <w:sz w:val="22"/>
        </w:rPr>
        <w:t xml:space="preserve"> Externalizes business policies from application code, supporting versioning, testing, and controlled deployment.</w:t>
      </w:r>
    </w:p>
    <w:p>
      <w:pPr>
        <w:spacing w:after="120"/>
        <w:ind w:left="360" w:hanging="360"/>
      </w:pPr>
      <w:r>
        <w:rPr>
          <w:rFonts w:ascii="Calibri" w:hAnsi="Calibri"/>
          <w:sz w:val="22"/>
        </w:rPr>
        <w:t xml:space="preserve">• </w:t>
      </w:r>
      <w:r>
        <w:rPr>
          <w:rFonts w:ascii="Calibri" w:hAnsi="Calibri"/>
          <w:b/>
          <w:sz w:val="22"/>
        </w:rPr>
        <w:t>User Experience Layer:</w:t>
      </w:r>
      <w:r>
        <w:rPr>
          <w:rFonts w:ascii="Calibri" w:hAnsi="Calibri"/>
          <w:sz w:val="22"/>
        </w:rPr>
        <w:t xml:space="preserve"> Provides responsive, web-based interfaces accessible via standard browsers, with guided steps and contextual help for case workers.</w:t>
      </w:r>
    </w:p>
    <w:p>
      <w:pPr>
        <w:spacing w:after="120"/>
        <w:ind w:left="360" w:hanging="360"/>
      </w:pPr>
      <w:r>
        <w:rPr>
          <w:rFonts w:ascii="Calibri" w:hAnsi="Calibri"/>
          <w:sz w:val="22"/>
        </w:rPr>
        <w:t xml:space="preserve">• </w:t>
      </w:r>
      <w:r>
        <w:rPr>
          <w:rFonts w:ascii="Calibri" w:hAnsi="Calibri"/>
          <w:b/>
          <w:sz w:val="22"/>
        </w:rPr>
        <w:t>Self-Service Portals:</w:t>
      </w:r>
      <w:r>
        <w:rPr>
          <w:rFonts w:ascii="Calibri" w:hAnsi="Calibri"/>
          <w:sz w:val="22"/>
        </w:rPr>
        <w:t xml:space="preserve"> Allow external users (applicants, partners, citizens) to initiate and track cases, submit documents, and receive notifications.</w:t>
      </w:r>
    </w:p>
    <w:p>
      <w:pPr>
        <w:spacing w:after="120"/>
        <w:ind w:left="360" w:hanging="360"/>
      </w:pPr>
      <w:r>
        <w:rPr>
          <w:rFonts w:ascii="Calibri" w:hAnsi="Calibri"/>
          <w:sz w:val="22"/>
        </w:rPr>
        <w:t xml:space="preserve">• </w:t>
      </w:r>
      <w:r>
        <w:rPr>
          <w:rFonts w:ascii="Calibri" w:hAnsi="Calibri"/>
          <w:b/>
          <w:sz w:val="22"/>
        </w:rPr>
        <w:t>Integration Layer:</w:t>
      </w:r>
      <w:r>
        <w:rPr>
          <w:rFonts w:ascii="Calibri" w:hAnsi="Calibri"/>
          <w:sz w:val="22"/>
        </w:rPr>
        <w:t xml:space="preserve"> Uses REST APIs, message queues, and event-based integration to connect with MTI’s existing systems.</w:t>
      </w:r>
    </w:p>
    <w:p>
      <w:pPr>
        <w:spacing w:after="120"/>
        <w:ind w:left="360" w:hanging="360"/>
      </w:pPr>
      <w:r>
        <w:rPr>
          <w:rFonts w:ascii="Calibri" w:hAnsi="Calibri"/>
          <w:sz w:val="22"/>
        </w:rPr>
        <w:t xml:space="preserve">• </w:t>
      </w:r>
      <w:r>
        <w:rPr>
          <w:rFonts w:ascii="Calibri" w:hAnsi="Calibri"/>
          <w:b/>
          <w:sz w:val="22"/>
        </w:rPr>
        <w:t>Analytics and Reporting:</w:t>
      </w:r>
      <w:r>
        <w:rPr>
          <w:rFonts w:ascii="Calibri" w:hAnsi="Calibri"/>
          <w:sz w:val="22"/>
        </w:rPr>
        <w:t xml:space="preserve"> Delivers real-time dashboards for SLA monitoring, workload distribution, and performance tracking.</w:t>
      </w:r>
    </w:p>
    <w:p>
      <w:pPr>
        <w:spacing w:after="120"/>
        <w:ind w:left="360" w:hanging="360"/>
      </w:pPr>
      <w:r>
        <w:rPr>
          <w:rFonts w:ascii="Calibri" w:hAnsi="Calibri"/>
          <w:sz w:val="22"/>
        </w:rPr>
        <w:t xml:space="preserve">• </w:t>
      </w:r>
      <w:r>
        <w:rPr>
          <w:rFonts w:ascii="Calibri" w:hAnsi="Calibri"/>
          <w:b/>
          <w:sz w:val="22"/>
        </w:rPr>
        <w:t>Security and Compliance Framework:</w:t>
      </w:r>
      <w:r>
        <w:rPr>
          <w:rFonts w:ascii="Calibri" w:hAnsi="Calibri"/>
          <w:sz w:val="22"/>
        </w:rPr>
        <w:t xml:space="preserve"> Implements role-based access control, fine-grained permissions, and full audit logging.</w:t>
      </w:r>
    </w:p>
    <w:p/>
    <w:p>
      <w:pPr>
        <w:pStyle w:val="Heading3"/>
      </w:pPr>
      <w:r>
        <w:t>3.2 Configuration Framework and Reusability</w:t>
      </w:r>
    </w:p>
    <w:p/>
    <w:p>
      <w:r>
        <w:t>MTI will use low-code designers for processes, forms, rules, and SLAs. Governance uses Dev/Test/Prod promotion, approvals, and versioned packages. Roles include Process Owner, Power Configurator, Admin, and Release Manager. This framework ensures that new processes can be onboarded rapidly without custom code, maintaining consistency and governance across environments.</w:t>
      </w:r>
    </w:p>
    <w:p/>
    <w:p>
      <w:pPr>
        <w:pStyle w:val="Heading3"/>
      </w:pPr>
      <w:r>
        <w:t>3.3 Integration Approach</w:t>
      </w:r>
    </w:p>
    <w:p/>
    <w:p>
      <w:r>
        <w:t>We use REST APIs and messaging, with reusable connector templates. Connector patterns cover payments, document services, and licensing validations. Integrations are sprint-delivered, secured by gateway policies and audits. This approach ensures that integrations are standardized, secure, and reusable across multiple processes.</w:t>
      </w:r>
    </w:p>
    <w:p/>
    <w:p>
      <w:pPr>
        <w:pStyle w:val="Heading3"/>
      </w:pPr>
      <w:r>
        <w:t>3.4 Hosting and Deployment Model</w:t>
      </w:r>
    </w:p>
    <w:p/>
    <w:p>
      <w:r>
        <w:t>We propose MTI-hosted or approved cloud, with hybrid readiness. Scalability uses horizontally scaled app nodes and elastic infrastructure. High availability and data residency are achieved through regional clustering, replicated databases, and encrypted backups.</w:t>
      </w:r>
    </w:p>
    <w:p/>
    <w:p>
      <w:pPr>
        <w:pStyle w:val="Heading3"/>
      </w:pPr>
      <w:r>
        <w:t>3.5 Licensing Model</w:t>
      </w:r>
    </w:p>
    <w:p/>
    <w:p>
      <w:r>
        <w:t>External users use transaction or concurrent licensing, not named accounts. We control cost with tiered volumes, throttling, and portal reuse. Usage dashboards track trends, enabling proactive capacity and budget planning.</w:t>
      </w:r>
    </w:p>
    <w:p/>
    <w:p>
      <w:pPr>
        <w:pStyle w:val="Heading3"/>
      </w:pPr>
      <w:r>
        <w:t>3.6 Key Differentiators</w:t>
      </w:r>
    </w:p>
    <w:p/>
    <w:p>
      <w:pPr>
        <w:spacing w:after="120"/>
        <w:ind w:left="360" w:hanging="360"/>
      </w:pPr>
      <w:r>
        <w:rPr>
          <w:rFonts w:ascii="Calibri" w:hAnsi="Calibri"/>
          <w:sz w:val="22"/>
        </w:rPr>
        <w:t xml:space="preserve">• </w:t>
      </w:r>
      <w:r>
        <w:rPr>
          <w:rFonts w:ascii="Calibri" w:hAnsi="Calibri"/>
          <w:sz w:val="22"/>
        </w:rPr>
        <w:t xml:space="preserve">Proven expertise in </w:t>
      </w:r>
      <w:r>
        <w:rPr>
          <w:rFonts w:ascii="Calibri" w:hAnsi="Calibri"/>
          <w:b/>
          <w:sz w:val="22"/>
        </w:rPr>
        <w:t>Pega Constellation</w:t>
      </w:r>
      <w:r>
        <w:rPr>
          <w:rFonts w:ascii="Calibri" w:hAnsi="Calibri"/>
          <w:sz w:val="22"/>
        </w:rPr>
        <w:t xml:space="preserve"> and low-code BPM implementations.</w:t>
      </w:r>
    </w:p>
    <w:p>
      <w:pPr>
        <w:spacing w:after="120"/>
        <w:ind w:left="360" w:hanging="360"/>
      </w:pPr>
      <w:r>
        <w:rPr>
          <w:rFonts w:ascii="Calibri" w:hAnsi="Calibri"/>
          <w:sz w:val="22"/>
        </w:rPr>
        <w:t xml:space="preserve">• </w:t>
      </w:r>
      <w:r>
        <w:rPr>
          <w:rFonts w:ascii="Calibri" w:hAnsi="Calibri"/>
          <w:sz w:val="22"/>
        </w:rPr>
        <w:t>Proprietary accelerators (</w:t>
      </w:r>
      <w:r>
        <w:rPr>
          <w:rFonts w:ascii="Calibri" w:hAnsi="Calibri"/>
          <w:b/>
          <w:sz w:val="22"/>
        </w:rPr>
        <w:t>fxAgentSDK</w:t>
      </w:r>
      <w:r>
        <w:rPr>
          <w:rFonts w:ascii="Calibri" w:hAnsi="Calibri"/>
          <w:sz w:val="22"/>
        </w:rPr>
        <w:t xml:space="preserve">, </w:t>
      </w:r>
      <w:r>
        <w:rPr>
          <w:rFonts w:ascii="Calibri" w:hAnsi="Calibri"/>
          <w:b/>
          <w:sz w:val="22"/>
        </w:rPr>
        <w:t>fxAIStudio</w:t>
      </w:r>
      <w:r>
        <w:rPr>
          <w:rFonts w:ascii="Calibri" w:hAnsi="Calibri"/>
          <w:sz w:val="22"/>
        </w:rPr>
        <w:t xml:space="preserve">, </w:t>
      </w:r>
      <w:r>
        <w:rPr>
          <w:rFonts w:ascii="Calibri" w:hAnsi="Calibri"/>
          <w:b/>
          <w:sz w:val="22"/>
        </w:rPr>
        <w:t>fxMockUpToView</w:t>
      </w:r>
      <w:r>
        <w:rPr>
          <w:rFonts w:ascii="Calibri" w:hAnsi="Calibri"/>
          <w:sz w:val="22"/>
        </w:rPr>
        <w:t xml:space="preserve">, </w:t>
      </w:r>
      <w:r>
        <w:rPr>
          <w:rFonts w:ascii="Calibri" w:hAnsi="Calibri"/>
          <w:b/>
          <w:sz w:val="22"/>
        </w:rPr>
        <w:t>fxSmartDCO</w:t>
      </w:r>
      <w:r>
        <w:rPr>
          <w:rFonts w:ascii="Calibri" w:hAnsi="Calibri"/>
          <w:sz w:val="22"/>
        </w:rPr>
        <w:t>) for rapid delivery.</w:t>
      </w:r>
    </w:p>
    <w:p>
      <w:pPr>
        <w:spacing w:after="120"/>
        <w:ind w:left="360" w:hanging="360"/>
      </w:pPr>
      <w:r>
        <w:rPr>
          <w:rFonts w:ascii="Calibri" w:hAnsi="Calibri"/>
          <w:sz w:val="22"/>
        </w:rPr>
        <w:t xml:space="preserve">• </w:t>
      </w:r>
      <w:r>
        <w:rPr>
          <w:rFonts w:ascii="Calibri" w:hAnsi="Calibri"/>
          <w:sz w:val="22"/>
        </w:rPr>
        <w:t>Deep public sector experience with focus on compliance, auditability, and citizen engagement.</w:t>
      </w:r>
    </w:p>
    <w:p>
      <w:pPr>
        <w:spacing w:after="120"/>
        <w:ind w:left="360" w:hanging="360"/>
      </w:pPr>
      <w:r>
        <w:rPr>
          <w:rFonts w:ascii="Calibri" w:hAnsi="Calibri"/>
          <w:sz w:val="22"/>
        </w:rPr>
        <w:t xml:space="preserve">• </w:t>
      </w:r>
      <w:r>
        <w:rPr>
          <w:rFonts w:ascii="Calibri" w:hAnsi="Calibri"/>
          <w:sz w:val="22"/>
        </w:rPr>
        <w:t>Flexible deployment and licensing models tailored for government scalability.</w:t>
      </w:r>
    </w:p>
    <w:p>
      <w:pPr>
        <w:spacing w:after="120"/>
        <w:ind w:left="360" w:hanging="360"/>
      </w:pPr>
      <w:r>
        <w:rPr>
          <w:rFonts w:ascii="Calibri" w:hAnsi="Calibri"/>
          <w:sz w:val="22"/>
        </w:rPr>
        <w:t xml:space="preserve">• </w:t>
      </w:r>
      <w:r>
        <w:rPr>
          <w:rFonts w:ascii="Calibri" w:hAnsi="Calibri"/>
          <w:sz w:val="22"/>
        </w:rPr>
        <w:t>Comprehensive governance and DevOps framework ensuring controlled, auditable releases.</w:t>
      </w:r>
    </w:p>
    <w:p/>
    <w:p>
      <w:pPr>
        <w:pStyle w:val="Heading2"/>
      </w:pPr>
      <w:r>
        <w:t>4. Implementation Approach and Methodology</w:t>
      </w:r>
    </w:p>
    <w:p/>
    <w:p>
      <w:r>
        <w:t>FusionAIx follows a phased, agile implementation methodology that ensures rapid value delivery while maintaining governance and quality.</w:t>
      </w:r>
    </w:p>
    <w:p/>
    <w:p>
      <w:pPr>
        <w:pStyle w:val="Heading3"/>
      </w:pPr>
      <w:r>
        <w:t>4.1 Phase 1: Discovery and Requirements Refinement</w:t>
      </w:r>
    </w:p>
    <w:p/>
    <w:p>
      <w:pPr>
        <w:spacing w:after="120"/>
        <w:ind w:left="360" w:hanging="360"/>
      </w:pPr>
      <w:r>
        <w:rPr>
          <w:rFonts w:ascii="Calibri" w:hAnsi="Calibri"/>
          <w:sz w:val="22"/>
        </w:rPr>
        <w:t xml:space="preserve">• </w:t>
      </w:r>
      <w:r>
        <w:rPr>
          <w:rFonts w:ascii="Calibri" w:hAnsi="Calibri"/>
          <w:sz w:val="22"/>
        </w:rPr>
        <w:t>Conduct joint workshops with MTI stakeholders to refine requirements.</w:t>
      </w:r>
    </w:p>
    <w:p>
      <w:pPr>
        <w:spacing w:after="120"/>
        <w:ind w:left="360" w:hanging="360"/>
      </w:pPr>
      <w:r>
        <w:rPr>
          <w:rFonts w:ascii="Calibri" w:hAnsi="Calibri"/>
          <w:sz w:val="22"/>
        </w:rPr>
        <w:t xml:space="preserve">• </w:t>
      </w:r>
      <w:r>
        <w:rPr>
          <w:rFonts w:ascii="Calibri" w:hAnsi="Calibri"/>
          <w:sz w:val="22"/>
        </w:rPr>
        <w:t xml:space="preserve">Use </w:t>
      </w:r>
      <w:r>
        <w:rPr>
          <w:rFonts w:ascii="Calibri" w:hAnsi="Calibri"/>
          <w:b/>
          <w:sz w:val="22"/>
        </w:rPr>
        <w:t>fxSmartDCO</w:t>
      </w:r>
      <w:r>
        <w:rPr>
          <w:rFonts w:ascii="Calibri" w:hAnsi="Calibri"/>
          <w:sz w:val="22"/>
        </w:rPr>
        <w:t xml:space="preserve"> accelerator for collaborative process discovery and documentation.</w:t>
      </w:r>
    </w:p>
    <w:p>
      <w:pPr>
        <w:spacing w:after="120"/>
        <w:ind w:left="360" w:hanging="360"/>
      </w:pPr>
      <w:r>
        <w:rPr>
          <w:rFonts w:ascii="Calibri" w:hAnsi="Calibri"/>
          <w:sz w:val="22"/>
        </w:rPr>
        <w:t xml:space="preserve">• </w:t>
      </w:r>
      <w:r>
        <w:rPr>
          <w:rFonts w:ascii="Calibri" w:hAnsi="Calibri"/>
          <w:sz w:val="22"/>
        </w:rPr>
        <w:t>Define process models, data entities, and integration points.</w:t>
      </w:r>
    </w:p>
    <w:p/>
    <w:p>
      <w:pPr>
        <w:pStyle w:val="Heading3"/>
      </w:pPr>
      <w:r>
        <w:t>4.2 Phase 2: Design and Configuration</w:t>
      </w:r>
    </w:p>
    <w:p/>
    <w:p>
      <w:pPr>
        <w:spacing w:after="120"/>
        <w:ind w:left="360" w:hanging="360"/>
      </w:pPr>
      <w:r>
        <w:rPr>
          <w:rFonts w:ascii="Calibri" w:hAnsi="Calibri"/>
          <w:sz w:val="22"/>
        </w:rPr>
        <w:t xml:space="preserve">• </w:t>
      </w:r>
      <w:r>
        <w:rPr>
          <w:rFonts w:ascii="Calibri" w:hAnsi="Calibri"/>
          <w:sz w:val="22"/>
        </w:rPr>
        <w:t>Configure processes, forms, rules, and SLAs using low-code designers.</w:t>
      </w:r>
    </w:p>
    <w:p>
      <w:pPr>
        <w:spacing w:after="120"/>
        <w:ind w:left="360" w:hanging="360"/>
      </w:pPr>
      <w:r>
        <w:rPr>
          <w:rFonts w:ascii="Calibri" w:hAnsi="Calibri"/>
          <w:sz w:val="22"/>
        </w:rPr>
        <w:t xml:space="preserve">• </w:t>
      </w:r>
      <w:r>
        <w:rPr>
          <w:rFonts w:ascii="Calibri" w:hAnsi="Calibri"/>
          <w:sz w:val="22"/>
        </w:rPr>
        <w:t>Apply governance through Dev/Test/Prod promotion, approvals, and versioned packages.</w:t>
      </w:r>
    </w:p>
    <w:p>
      <w:pPr>
        <w:spacing w:after="120"/>
        <w:ind w:left="360" w:hanging="360"/>
      </w:pPr>
      <w:r>
        <w:rPr>
          <w:rFonts w:ascii="Calibri" w:hAnsi="Calibri"/>
          <w:sz w:val="22"/>
        </w:rPr>
        <w:t xml:space="preserve">• </w:t>
      </w:r>
      <w:r>
        <w:rPr>
          <w:rFonts w:ascii="Calibri" w:hAnsi="Calibri"/>
          <w:sz w:val="22"/>
        </w:rPr>
        <w:t>Roles involved: Process Owner, Power Configurator, Admin, and Release Manager.</w:t>
      </w:r>
    </w:p>
    <w:p/>
    <w:p>
      <w:pPr>
        <w:pStyle w:val="Heading3"/>
      </w:pPr>
      <w:r>
        <w:t>4.3 Phase 3: Integration Development</w:t>
      </w:r>
    </w:p>
    <w:p/>
    <w:p>
      <w:pPr>
        <w:spacing w:after="120"/>
        <w:ind w:left="360" w:hanging="360"/>
      </w:pPr>
      <w:r>
        <w:rPr>
          <w:rFonts w:ascii="Calibri" w:hAnsi="Calibri"/>
          <w:sz w:val="22"/>
        </w:rPr>
        <w:t xml:space="preserve">• </w:t>
      </w:r>
      <w:r>
        <w:rPr>
          <w:rFonts w:ascii="Calibri" w:hAnsi="Calibri"/>
          <w:sz w:val="22"/>
        </w:rPr>
        <w:t>Implement integrations using REST APIs and messaging.</w:t>
      </w:r>
    </w:p>
    <w:p>
      <w:pPr>
        <w:spacing w:after="120"/>
        <w:ind w:left="360" w:hanging="360"/>
      </w:pPr>
      <w:r>
        <w:rPr>
          <w:rFonts w:ascii="Calibri" w:hAnsi="Calibri"/>
          <w:sz w:val="22"/>
        </w:rPr>
        <w:t xml:space="preserve">• </w:t>
      </w:r>
      <w:r>
        <w:rPr>
          <w:rFonts w:ascii="Calibri" w:hAnsi="Calibri"/>
          <w:sz w:val="22"/>
        </w:rPr>
        <w:t>Leverage reusable connector templates for payments, document services, and licensing validations.</w:t>
      </w:r>
    </w:p>
    <w:p>
      <w:pPr>
        <w:spacing w:after="120"/>
        <w:ind w:left="360" w:hanging="360"/>
      </w:pPr>
      <w:r>
        <w:rPr>
          <w:rFonts w:ascii="Calibri" w:hAnsi="Calibri"/>
          <w:sz w:val="22"/>
        </w:rPr>
        <w:t xml:space="preserve">• </w:t>
      </w:r>
      <w:r>
        <w:rPr>
          <w:rFonts w:ascii="Calibri" w:hAnsi="Calibri"/>
          <w:sz w:val="22"/>
        </w:rPr>
        <w:t>Ensure security through gateway policies and audits.</w:t>
      </w:r>
    </w:p>
    <w:p/>
    <w:p>
      <w:pPr>
        <w:pStyle w:val="Heading3"/>
      </w:pPr>
      <w:r>
        <w:t>4.4 Phase 4: Testing and Quality Assurance</w:t>
      </w:r>
    </w:p>
    <w:p/>
    <w:p>
      <w:pPr>
        <w:spacing w:after="120"/>
        <w:ind w:left="360" w:hanging="360"/>
      </w:pPr>
      <w:r>
        <w:rPr>
          <w:rFonts w:ascii="Calibri" w:hAnsi="Calibri"/>
          <w:sz w:val="22"/>
        </w:rPr>
        <w:t xml:space="preserve">• </w:t>
      </w:r>
      <w:r>
        <w:rPr>
          <w:rFonts w:ascii="Calibri" w:hAnsi="Calibri"/>
          <w:sz w:val="22"/>
        </w:rPr>
        <w:t>Conduct unit, system, integration, and user acceptance testing.</w:t>
      </w:r>
    </w:p>
    <w:p>
      <w:pPr>
        <w:spacing w:after="120"/>
        <w:ind w:left="360" w:hanging="360"/>
      </w:pPr>
      <w:r>
        <w:rPr>
          <w:rFonts w:ascii="Calibri" w:hAnsi="Calibri"/>
          <w:sz w:val="22"/>
        </w:rPr>
        <w:t xml:space="preserve">• </w:t>
      </w:r>
      <w:r>
        <w:rPr>
          <w:rFonts w:ascii="Calibri" w:hAnsi="Calibri"/>
          <w:sz w:val="22"/>
        </w:rPr>
        <w:t>Validate performance, security, and compliance requirements.</w:t>
      </w:r>
    </w:p>
    <w:p/>
    <w:p>
      <w:pPr>
        <w:pStyle w:val="Heading3"/>
      </w:pPr>
      <w:r>
        <w:t>4.5 Phase 5: Training and Change Management</w:t>
      </w:r>
    </w:p>
    <w:p/>
    <w:p>
      <w:pPr>
        <w:spacing w:after="120"/>
        <w:ind w:left="360" w:hanging="360"/>
      </w:pPr>
      <w:r>
        <w:rPr>
          <w:rFonts w:ascii="Calibri" w:hAnsi="Calibri"/>
          <w:sz w:val="22"/>
        </w:rPr>
        <w:t xml:space="preserve">• </w:t>
      </w:r>
      <w:r>
        <w:rPr>
          <w:rFonts w:ascii="Calibri" w:hAnsi="Calibri"/>
          <w:sz w:val="22"/>
        </w:rPr>
        <w:t>Deliver training for system administrators, business power users, and end users.</w:t>
      </w:r>
    </w:p>
    <w:p>
      <w:pPr>
        <w:spacing w:after="120"/>
        <w:ind w:left="360" w:hanging="360"/>
      </w:pPr>
      <w:r>
        <w:rPr>
          <w:rFonts w:ascii="Calibri" w:hAnsi="Calibri"/>
          <w:sz w:val="22"/>
        </w:rPr>
        <w:t xml:space="preserve">• </w:t>
      </w:r>
      <w:r>
        <w:rPr>
          <w:rFonts w:ascii="Calibri" w:hAnsi="Calibri"/>
          <w:sz w:val="22"/>
        </w:rPr>
        <w:t>Provide training materials and user guides.</w:t>
      </w:r>
    </w:p>
    <w:p>
      <w:pPr>
        <w:spacing w:after="120"/>
        <w:ind w:left="360" w:hanging="360"/>
      </w:pPr>
      <w:r>
        <w:rPr>
          <w:rFonts w:ascii="Calibri" w:hAnsi="Calibri"/>
          <w:sz w:val="22"/>
        </w:rPr>
        <w:t xml:space="preserve">• </w:t>
      </w:r>
      <w:r>
        <w:rPr>
          <w:rFonts w:ascii="Calibri" w:hAnsi="Calibri"/>
          <w:sz w:val="22"/>
        </w:rPr>
        <w:t>Support MTI’s change management and adoption strategy.</w:t>
      </w:r>
    </w:p>
    <w:p/>
    <w:p>
      <w:pPr>
        <w:pStyle w:val="Heading3"/>
      </w:pPr>
      <w:r>
        <w:t>4.6 Phase 6: Go-Live and Transition</w:t>
      </w:r>
    </w:p>
    <w:p/>
    <w:p>
      <w:pPr>
        <w:spacing w:after="120"/>
        <w:ind w:left="360" w:hanging="360"/>
      </w:pPr>
      <w:r>
        <w:rPr>
          <w:rFonts w:ascii="Calibri" w:hAnsi="Calibri"/>
          <w:sz w:val="22"/>
        </w:rPr>
        <w:t xml:space="preserve">• </w:t>
      </w:r>
      <w:r>
        <w:rPr>
          <w:rFonts w:ascii="Calibri" w:hAnsi="Calibri"/>
          <w:sz w:val="22"/>
        </w:rPr>
        <w:t>Execute cutover plan and production deployment.</w:t>
      </w:r>
    </w:p>
    <w:p>
      <w:pPr>
        <w:spacing w:after="120"/>
        <w:ind w:left="360" w:hanging="360"/>
      </w:pPr>
      <w:r>
        <w:rPr>
          <w:rFonts w:ascii="Calibri" w:hAnsi="Calibri"/>
          <w:sz w:val="22"/>
        </w:rPr>
        <w:t xml:space="preserve">• </w:t>
      </w:r>
      <w:r>
        <w:rPr>
          <w:rFonts w:ascii="Calibri" w:hAnsi="Calibri"/>
          <w:sz w:val="22"/>
        </w:rPr>
        <w:t>Provide hypercare support post go-live.</w:t>
      </w:r>
    </w:p>
    <w:p/>
    <w:p>
      <w:pPr>
        <w:pStyle w:val="Heading3"/>
      </w:pPr>
      <w:r>
        <w:t>4.7 Phase 7: Continuous Improvement</w:t>
      </w:r>
    </w:p>
    <w:p/>
    <w:p>
      <w:pPr>
        <w:spacing w:after="120"/>
        <w:ind w:left="360" w:hanging="360"/>
      </w:pPr>
      <w:r>
        <w:rPr>
          <w:rFonts w:ascii="Calibri" w:hAnsi="Calibri"/>
          <w:sz w:val="22"/>
        </w:rPr>
        <w:t xml:space="preserve">• </w:t>
      </w:r>
      <w:r>
        <w:rPr>
          <w:rFonts w:ascii="Calibri" w:hAnsi="Calibri"/>
          <w:sz w:val="22"/>
        </w:rPr>
        <w:t>Monitor performance through dashboards and reports.</w:t>
      </w:r>
    </w:p>
    <w:p>
      <w:pPr>
        <w:spacing w:after="120"/>
        <w:ind w:left="360" w:hanging="360"/>
      </w:pPr>
      <w:r>
        <w:rPr>
          <w:rFonts w:ascii="Calibri" w:hAnsi="Calibri"/>
          <w:sz w:val="22"/>
        </w:rPr>
        <w:t xml:space="preserve">• </w:t>
      </w:r>
      <w:r>
        <w:rPr>
          <w:rFonts w:ascii="Calibri" w:hAnsi="Calibri"/>
          <w:sz w:val="22"/>
        </w:rPr>
        <w:t>Conduct periodic reviews to identify optimization opportunities.</w:t>
      </w:r>
    </w:p>
    <w:p/>
    <w:p>
      <w:pPr>
        <w:pStyle w:val="Heading2"/>
      </w:pPr>
      <w:r>
        <w:t>5. Project Plan and Timelines</w:t>
      </w:r>
    </w:p>
    <w:p/>
    <w:p>
      <w:r>
        <w:t>The project will be delivered in approximately 9–12 months, depending on MTI’s final scope and prioritization.</w:t>
      </w:r>
    </w:p>
    <w:p/>
    <w:p>
      <w:r>
        <w:t>Major Milestones:</w:t>
      </w:r>
    </w:p>
    <w:p>
      <w:pPr>
        <w:pStyle w:val="ListNumber"/>
      </w:pPr>
      <w:r>
        <w:t>Project Initiation and Mobilization – Month 1</w:t>
      </w:r>
    </w:p>
    <w:p>
      <w:pPr>
        <w:pStyle w:val="ListNumber"/>
      </w:pPr>
      <w:r>
        <w:t>Requirements and Design Workshops – Months 1–2</w:t>
      </w:r>
    </w:p>
    <w:p>
      <w:pPr>
        <w:pStyle w:val="ListNumber"/>
      </w:pPr>
      <w:r>
        <w:t>Configuration and Integration Development – Months 3–6</w:t>
      </w:r>
    </w:p>
    <w:p>
      <w:pPr>
        <w:pStyle w:val="ListNumber"/>
      </w:pPr>
      <w:r>
        <w:t>Testing and UAT – Months 7–8</w:t>
      </w:r>
    </w:p>
    <w:p>
      <w:pPr>
        <w:pStyle w:val="ListNumber"/>
      </w:pPr>
      <w:r>
        <w:t>Training and Go-Live Preparation – Month 9</w:t>
      </w:r>
    </w:p>
    <w:p>
      <w:pPr>
        <w:pStyle w:val="ListNumber"/>
      </w:pPr>
      <w:r>
        <w:t>Go-Live and Hypercare – Month 10</w:t>
      </w:r>
    </w:p>
    <w:p>
      <w:pPr>
        <w:pStyle w:val="ListNumber"/>
      </w:pPr>
      <w:r>
        <w:t>Transition to Support – Month 11</w:t>
      </w:r>
    </w:p>
    <w:p>
      <w:pPr>
        <w:pStyle w:val="ListNumber"/>
      </w:pPr>
      <w:r>
        <w:t>Continuous Improvement – Ongoing</w:t>
      </w:r>
    </w:p>
    <w:p/>
    <w:p>
      <w:r>
        <w:t>A detailed Gantt chart and resource plan will be provided in the final submission.</w:t>
      </w:r>
    </w:p>
    <w:p/>
    <w:p>
      <w:pPr>
        <w:pStyle w:val="Heading2"/>
      </w:pPr>
      <w:r>
        <w:t>6. Proposed Team Structure</w:t>
      </w:r>
    </w:p>
    <w:p/>
    <w:p>
      <w:r>
        <w:t>FusionAIx will deploy a multidisciplinary team comprising BPM architects, business analysts, developers, testers, and change management specialists.</w:t>
      </w:r>
    </w:p>
    <w:p/>
    <w:p>
      <w:r>
        <w:t>Key Roles:</w:t>
      </w:r>
    </w:p>
    <w:p>
      <w:pPr>
        <w:spacing w:after="120"/>
        <w:ind w:left="360" w:hanging="360"/>
      </w:pPr>
      <w:r>
        <w:rPr>
          <w:rFonts w:ascii="Calibri" w:hAnsi="Calibri"/>
          <w:sz w:val="22"/>
        </w:rPr>
        <w:t xml:space="preserve">• </w:t>
      </w:r>
      <w:r>
        <w:rPr>
          <w:rFonts w:ascii="Calibri" w:hAnsi="Calibri"/>
          <w:b/>
          <w:sz w:val="22"/>
        </w:rPr>
        <w:t>Project Manager:</w:t>
      </w:r>
      <w:r>
        <w:rPr>
          <w:rFonts w:ascii="Calibri" w:hAnsi="Calibri"/>
          <w:sz w:val="22"/>
        </w:rPr>
        <w:t xml:space="preserve"> Overall delivery governance and stakeholder management.</w:t>
      </w:r>
    </w:p>
    <w:p>
      <w:pPr>
        <w:spacing w:after="120"/>
        <w:ind w:left="360" w:hanging="360"/>
      </w:pPr>
      <w:r>
        <w:rPr>
          <w:rFonts w:ascii="Calibri" w:hAnsi="Calibri"/>
          <w:sz w:val="22"/>
        </w:rPr>
        <w:t xml:space="preserve">• </w:t>
      </w:r>
      <w:r>
        <w:rPr>
          <w:rFonts w:ascii="Calibri" w:hAnsi="Calibri"/>
          <w:b/>
          <w:sz w:val="22"/>
        </w:rPr>
        <w:t>Solution Architect:</w:t>
      </w:r>
      <w:r>
        <w:rPr>
          <w:rFonts w:ascii="Calibri" w:hAnsi="Calibri"/>
          <w:sz w:val="22"/>
        </w:rPr>
        <w:t xml:space="preserve"> End-to-end design and technical oversight.</w:t>
      </w:r>
    </w:p>
    <w:p>
      <w:pPr>
        <w:spacing w:after="120"/>
        <w:ind w:left="360" w:hanging="360"/>
      </w:pPr>
      <w:r>
        <w:rPr>
          <w:rFonts w:ascii="Calibri" w:hAnsi="Calibri"/>
          <w:sz w:val="22"/>
        </w:rPr>
        <w:t xml:space="preserve">• </w:t>
      </w:r>
      <w:r>
        <w:rPr>
          <w:rFonts w:ascii="Calibri" w:hAnsi="Calibri"/>
          <w:b/>
          <w:sz w:val="22"/>
        </w:rPr>
        <w:t>Process Owner (MTI):</w:t>
      </w:r>
      <w:r>
        <w:rPr>
          <w:rFonts w:ascii="Calibri" w:hAnsi="Calibri"/>
          <w:sz w:val="22"/>
        </w:rPr>
        <w:t xml:space="preserve"> Defines business requirements and validates configurations.</w:t>
      </w:r>
    </w:p>
    <w:p>
      <w:pPr>
        <w:spacing w:after="120"/>
        <w:ind w:left="360" w:hanging="360"/>
      </w:pPr>
      <w:r>
        <w:rPr>
          <w:rFonts w:ascii="Calibri" w:hAnsi="Calibri"/>
          <w:sz w:val="22"/>
        </w:rPr>
        <w:t xml:space="preserve">• </w:t>
      </w:r>
      <w:r>
        <w:rPr>
          <w:rFonts w:ascii="Calibri" w:hAnsi="Calibri"/>
          <w:b/>
          <w:sz w:val="22"/>
        </w:rPr>
        <w:t>Power Configurator:</w:t>
      </w:r>
      <w:r>
        <w:rPr>
          <w:rFonts w:ascii="Calibri" w:hAnsi="Calibri"/>
          <w:sz w:val="22"/>
        </w:rPr>
        <w:t xml:space="preserve"> Configures processes, forms, rules, and SLAs using low-code tools.</w:t>
      </w:r>
    </w:p>
    <w:p>
      <w:pPr>
        <w:spacing w:after="120"/>
        <w:ind w:left="360" w:hanging="360"/>
      </w:pPr>
      <w:r>
        <w:rPr>
          <w:rFonts w:ascii="Calibri" w:hAnsi="Calibri"/>
          <w:sz w:val="22"/>
        </w:rPr>
        <w:t xml:space="preserve">• </w:t>
      </w:r>
      <w:r>
        <w:rPr>
          <w:rFonts w:ascii="Calibri" w:hAnsi="Calibri"/>
          <w:b/>
          <w:sz w:val="22"/>
        </w:rPr>
        <w:t>Admin:</w:t>
      </w:r>
      <w:r>
        <w:rPr>
          <w:rFonts w:ascii="Calibri" w:hAnsi="Calibri"/>
          <w:sz w:val="22"/>
        </w:rPr>
        <w:t xml:space="preserve"> Manages environments, users, and deployments.</w:t>
      </w:r>
    </w:p>
    <w:p>
      <w:pPr>
        <w:spacing w:after="120"/>
        <w:ind w:left="360" w:hanging="360"/>
      </w:pPr>
      <w:r>
        <w:rPr>
          <w:rFonts w:ascii="Calibri" w:hAnsi="Calibri"/>
          <w:sz w:val="22"/>
        </w:rPr>
        <w:t xml:space="preserve">• </w:t>
      </w:r>
      <w:r>
        <w:rPr>
          <w:rFonts w:ascii="Calibri" w:hAnsi="Calibri"/>
          <w:b/>
          <w:sz w:val="22"/>
        </w:rPr>
        <w:t>Release Manager:</w:t>
      </w:r>
      <w:r>
        <w:rPr>
          <w:rFonts w:ascii="Calibri" w:hAnsi="Calibri"/>
          <w:sz w:val="22"/>
        </w:rPr>
        <w:t xml:space="preserve"> Oversees Dev/Test/Prod promotion and version control.</w:t>
      </w:r>
    </w:p>
    <w:p>
      <w:pPr>
        <w:spacing w:after="120"/>
        <w:ind w:left="360" w:hanging="360"/>
      </w:pPr>
      <w:r>
        <w:rPr>
          <w:rFonts w:ascii="Calibri" w:hAnsi="Calibri"/>
          <w:sz w:val="22"/>
        </w:rPr>
        <w:t xml:space="preserve">• </w:t>
      </w:r>
      <w:r>
        <w:rPr>
          <w:rFonts w:ascii="Calibri" w:hAnsi="Calibri"/>
          <w:b/>
          <w:sz w:val="22"/>
        </w:rPr>
        <w:t>Integration Lead:</w:t>
      </w:r>
      <w:r>
        <w:rPr>
          <w:rFonts w:ascii="Calibri" w:hAnsi="Calibri"/>
          <w:sz w:val="22"/>
        </w:rPr>
        <w:t xml:space="preserve"> Designs and implements REST API and messaging integrations.</w:t>
      </w:r>
    </w:p>
    <w:p>
      <w:pPr>
        <w:spacing w:after="120"/>
        <w:ind w:left="360" w:hanging="360"/>
      </w:pPr>
      <w:r>
        <w:rPr>
          <w:rFonts w:ascii="Calibri" w:hAnsi="Calibri"/>
          <w:sz w:val="22"/>
        </w:rPr>
        <w:t xml:space="preserve">• </w:t>
      </w:r>
      <w:r>
        <w:rPr>
          <w:rFonts w:ascii="Calibri" w:hAnsi="Calibri"/>
          <w:b/>
          <w:sz w:val="22"/>
        </w:rPr>
        <w:t>Training Lead:</w:t>
      </w:r>
      <w:r>
        <w:rPr>
          <w:rFonts w:ascii="Calibri" w:hAnsi="Calibri"/>
          <w:sz w:val="22"/>
        </w:rPr>
        <w:t xml:space="preserve"> Develops and delivers training materials and sessions.</w:t>
      </w:r>
    </w:p>
    <w:p/>
    <w:p>
      <w:r>
        <w:t>CVs of key personnel will be included in the final submission package.</w:t>
      </w:r>
    </w:p>
    <w:p/>
    <w:p>
      <w:pPr>
        <w:pStyle w:val="Heading2"/>
      </w:pPr>
      <w:r>
        <w:t>7. Functional and Technical Compliance Matrix</w:t>
      </w:r>
    </w:p>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fill="1a5490" w:val="clear"/>
            <w:vAlign w:val="top"/>
            <w:tcMar>
              <w:top w:w="80" w:type="dxa"/>
              <w:right w:w="80" w:type="dxa"/>
              <w:bottom w:w="80" w:type="dxa"/>
              <w:left w:w="80" w:type="dxa"/>
            </w:tcMar>
          </w:tcPr>
          <w:p>
            <w:r>
              <w:rPr>
                <w:b/>
                <w:color w:val="FFFFFF"/>
              </w:rPr>
              <w:t>ID</w:t>
            </w:r>
          </w:p>
        </w:tc>
        <w:tc>
          <w:tcPr>
            <w:tcW w:type="dxa" w:w="2340"/>
            <w:shd w:fill="1a5490" w:val="clear"/>
            <w:vAlign w:val="top"/>
            <w:tcMar>
              <w:top w:w="80" w:type="dxa"/>
              <w:right w:w="80" w:type="dxa"/>
              <w:bottom w:w="80" w:type="dxa"/>
              <w:left w:w="80" w:type="dxa"/>
            </w:tcMar>
          </w:tcPr>
          <w:p>
            <w:r>
              <w:rPr>
                <w:b/>
                <w:color w:val="FFFFFF"/>
              </w:rPr>
              <w:t>Requirement</w:t>
            </w:r>
          </w:p>
        </w:tc>
        <w:tc>
          <w:tcPr>
            <w:tcW w:type="dxa" w:w="2340"/>
            <w:shd w:fill="1a5490" w:val="clear"/>
            <w:vAlign w:val="top"/>
            <w:tcMar>
              <w:top w:w="80" w:type="dxa"/>
              <w:right w:w="80" w:type="dxa"/>
              <w:bottom w:w="80" w:type="dxa"/>
              <w:left w:w="80" w:type="dxa"/>
            </w:tcMar>
          </w:tcPr>
          <w:p>
            <w:r>
              <w:rPr>
                <w:b/>
                <w:color w:val="FFFFFF"/>
              </w:rPr>
              <w:t>Compliance</w:t>
            </w:r>
          </w:p>
        </w:tc>
        <w:tc>
          <w:tcPr>
            <w:tcW w:type="dxa" w:w="2340"/>
            <w:shd w:fill="1a5490" w:val="clear"/>
            <w:vAlign w:val="top"/>
            <w:tcMar>
              <w:top w:w="80" w:type="dxa"/>
              <w:right w:w="80" w:type="dxa"/>
              <w:bottom w:w="80" w:type="dxa"/>
              <w:left w:w="80" w:type="dxa"/>
            </w:tcMar>
          </w:tcPr>
          <w:p>
            <w:r>
              <w:rPr>
                <w:b/>
                <w:color w:val="FFFFFF"/>
              </w:rPr>
              <w:t>Response / How We Meet It</w:t>
            </w:r>
          </w:p>
        </w:tc>
      </w:tr>
      <w:tr>
        <w:tc>
          <w:tcPr>
            <w:tcW w:type="dxa" w:w="2340"/>
            <w:vAlign w:val="top"/>
            <w:tcMar>
              <w:top w:w="80" w:type="dxa"/>
              <w:right w:w="80" w:type="dxa"/>
              <w:bottom w:w="80" w:type="dxa"/>
              <w:left w:w="80" w:type="dxa"/>
            </w:tcMar>
          </w:tcPr>
          <w:p>
            <w:r>
              <w:t>5.1.a</w:t>
            </w:r>
          </w:p>
        </w:tc>
        <w:tc>
          <w:tcPr>
            <w:tcW w:type="dxa" w:w="2340"/>
            <w:vAlign w:val="top"/>
            <w:tcMar>
              <w:top w:w="80" w:type="dxa"/>
              <w:right w:w="80" w:type="dxa"/>
              <w:bottom w:w="80" w:type="dxa"/>
              <w:left w:w="80" w:type="dxa"/>
            </w:tcMar>
          </w:tcPr>
          <w:p>
            <w:r>
              <w:t>Straight-through + human-centric workflows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Workflow engine supports automated steps (validations, integrations, rules) and human tasks (review/approve) in one end-to-end process.</w:t>
            </w:r>
          </w:p>
        </w:tc>
      </w:tr>
      <w:tr>
        <w:tc>
          <w:tcPr>
            <w:tcW w:type="dxa" w:w="2340"/>
            <w:vAlign w:val="top"/>
            <w:tcMar>
              <w:top w:w="80" w:type="dxa"/>
              <w:right w:w="80" w:type="dxa"/>
              <w:bottom w:w="80" w:type="dxa"/>
              <w:left w:w="80" w:type="dxa"/>
            </w:tcMar>
          </w:tcPr>
          <w:p>
            <w:r>
              <w:t>5.1.b</w:t>
            </w:r>
          </w:p>
        </w:tc>
        <w:tc>
          <w:tcPr>
            <w:tcW w:type="dxa" w:w="2340"/>
            <w:vAlign w:val="top"/>
            <w:tcMar>
              <w:top w:w="80" w:type="dxa"/>
              <w:right w:w="80" w:type="dxa"/>
              <w:bottom w:w="80" w:type="dxa"/>
              <w:left w:w="80" w:type="dxa"/>
            </w:tcMar>
          </w:tcPr>
          <w:p>
            <w:r>
              <w:t>Dynamic case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Supports ad-hoc tasks, attachments, notes, and contextual collaboration.</w:t>
            </w:r>
          </w:p>
        </w:tc>
      </w:tr>
      <w:tr>
        <w:tc>
          <w:tcPr>
            <w:tcW w:type="dxa" w:w="2340"/>
            <w:vAlign w:val="top"/>
            <w:tcMar>
              <w:top w:w="80" w:type="dxa"/>
              <w:right w:w="80" w:type="dxa"/>
              <w:bottom w:w="80" w:type="dxa"/>
              <w:left w:w="80" w:type="dxa"/>
            </w:tcMar>
          </w:tcPr>
          <w:p>
            <w:r>
              <w:t>5.1.c</w:t>
            </w:r>
          </w:p>
        </w:tc>
        <w:tc>
          <w:tcPr>
            <w:tcW w:type="dxa" w:w="2340"/>
            <w:vAlign w:val="top"/>
            <w:tcMar>
              <w:top w:w="80" w:type="dxa"/>
              <w:right w:w="80" w:type="dxa"/>
              <w:bottom w:w="80" w:type="dxa"/>
              <w:left w:w="80" w:type="dxa"/>
            </w:tcMar>
          </w:tcPr>
          <w:p>
            <w:r>
              <w:t>Centralized rules management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Rules externalized from code, versioned, tested, and deployed via governance.</w:t>
            </w:r>
          </w:p>
        </w:tc>
      </w:tr>
      <w:tr>
        <w:tc>
          <w:tcPr>
            <w:tcW w:type="dxa" w:w="2340"/>
            <w:vAlign w:val="top"/>
            <w:tcMar>
              <w:top w:w="80" w:type="dxa"/>
              <w:right w:w="80" w:type="dxa"/>
              <w:bottom w:w="80" w:type="dxa"/>
              <w:left w:w="80" w:type="dxa"/>
            </w:tcMar>
          </w:tcPr>
          <w:p>
            <w:r>
              <w:t>5.1.d</w:t>
            </w:r>
          </w:p>
        </w:tc>
        <w:tc>
          <w:tcPr>
            <w:tcW w:type="dxa" w:w="2340"/>
            <w:vAlign w:val="top"/>
            <w:tcMar>
              <w:top w:w="80" w:type="dxa"/>
              <w:right w:w="80" w:type="dxa"/>
              <w:bottom w:w="80" w:type="dxa"/>
              <w:left w:w="80" w:type="dxa"/>
            </w:tcMar>
          </w:tcPr>
          <w:p>
            <w:r>
              <w:t>Web-based responsive UI</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Accessible via standard browsers, with guided steps and contextual help.</w:t>
            </w:r>
          </w:p>
        </w:tc>
      </w:tr>
      <w:tr>
        <w:tc>
          <w:tcPr>
            <w:tcW w:type="dxa" w:w="2340"/>
            <w:vAlign w:val="top"/>
            <w:tcMar>
              <w:top w:w="80" w:type="dxa"/>
              <w:right w:w="80" w:type="dxa"/>
              <w:bottom w:w="80" w:type="dxa"/>
              <w:left w:w="80" w:type="dxa"/>
            </w:tcMar>
          </w:tcPr>
          <w:p>
            <w:r>
              <w:t>5.1.e</w:t>
            </w:r>
          </w:p>
        </w:tc>
        <w:tc>
          <w:tcPr>
            <w:tcW w:type="dxa" w:w="2340"/>
            <w:vAlign w:val="top"/>
            <w:tcMar>
              <w:top w:w="80" w:type="dxa"/>
              <w:right w:w="80" w:type="dxa"/>
              <w:bottom w:w="80" w:type="dxa"/>
              <w:left w:w="80" w:type="dxa"/>
            </w:tcMar>
          </w:tcPr>
          <w:p>
            <w:r>
              <w:t>SLA definition and monitoring</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SLAs defined per process/case type; dashboards show performance and escalations.</w:t>
            </w:r>
          </w:p>
        </w:tc>
      </w:tr>
      <w:tr>
        <w:tc>
          <w:tcPr>
            <w:tcW w:type="dxa" w:w="2340"/>
            <w:vAlign w:val="top"/>
            <w:tcMar>
              <w:top w:w="80" w:type="dxa"/>
              <w:right w:w="80" w:type="dxa"/>
              <w:bottom w:w="80" w:type="dxa"/>
              <w:left w:w="80" w:type="dxa"/>
            </w:tcMar>
          </w:tcPr>
          <w:p>
            <w:r>
              <w:t>5.1.f</w:t>
            </w:r>
          </w:p>
        </w:tc>
        <w:tc>
          <w:tcPr>
            <w:tcW w:type="dxa" w:w="2340"/>
            <w:vAlign w:val="top"/>
            <w:tcMar>
              <w:top w:w="80" w:type="dxa"/>
              <w:right w:w="80" w:type="dxa"/>
              <w:bottom w:w="80" w:type="dxa"/>
              <w:left w:w="80" w:type="dxa"/>
            </w:tcMar>
          </w:tcPr>
          <w:p>
            <w:r>
              <w:t>Integration mechanisms</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REST APIs, message queues, event-based integration; secured by gateway policies.</w:t>
            </w:r>
          </w:p>
        </w:tc>
      </w:tr>
      <w:tr>
        <w:tc>
          <w:tcPr>
            <w:tcW w:type="dxa" w:w="2340"/>
            <w:vAlign w:val="top"/>
            <w:tcMar>
              <w:top w:w="80" w:type="dxa"/>
              <w:right w:w="80" w:type="dxa"/>
              <w:bottom w:w="80" w:type="dxa"/>
              <w:left w:w="80" w:type="dxa"/>
            </w:tcMar>
          </w:tcPr>
          <w:p>
            <w:r>
              <w:t>5.1.g</w:t>
            </w:r>
          </w:p>
        </w:tc>
        <w:tc>
          <w:tcPr>
            <w:tcW w:type="dxa" w:w="2340"/>
            <w:vAlign w:val="top"/>
            <w:tcMar>
              <w:top w:w="80" w:type="dxa"/>
              <w:right w:w="80" w:type="dxa"/>
              <w:bottom w:w="80" w:type="dxa"/>
              <w:left w:w="80" w:type="dxa"/>
            </w:tcMar>
          </w:tcPr>
          <w:p>
            <w:r>
              <w:t>Role-based access control</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Fine-grained permissions, full audit logging, compliance with national standards.</w:t>
            </w:r>
          </w:p>
        </w:tc>
      </w:tr>
      <w:tr>
        <w:tc>
          <w:tcPr>
            <w:tcW w:type="dxa" w:w="2340"/>
            <w:vAlign w:val="top"/>
            <w:tcMar>
              <w:top w:w="80" w:type="dxa"/>
              <w:right w:w="80" w:type="dxa"/>
              <w:bottom w:w="80" w:type="dxa"/>
              <w:left w:w="80" w:type="dxa"/>
            </w:tcMar>
          </w:tcPr>
          <w:p>
            <w:r>
              <w:t>5.1.h</w:t>
            </w:r>
          </w:p>
        </w:tc>
        <w:tc>
          <w:tcPr>
            <w:tcW w:type="dxa" w:w="2340"/>
            <w:vAlign w:val="top"/>
            <w:tcMar>
              <w:top w:w="80" w:type="dxa"/>
              <w:right w:w="80" w:type="dxa"/>
              <w:bottom w:w="80" w:type="dxa"/>
              <w:left w:w="80" w:type="dxa"/>
            </w:tcMar>
          </w:tcPr>
          <w:p>
            <w:r>
              <w:t>Proven BPM suite</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Enterprise-grade, low-code BPM platform with 20+ successful implementations.</w:t>
            </w:r>
          </w:p>
        </w:tc>
      </w:tr>
      <w:tr>
        <w:tc>
          <w:tcPr>
            <w:tcW w:type="dxa" w:w="2340"/>
            <w:vAlign w:val="top"/>
            <w:tcMar>
              <w:top w:w="80" w:type="dxa"/>
              <w:right w:w="80" w:type="dxa"/>
              <w:bottom w:w="80" w:type="dxa"/>
              <w:left w:w="80" w:type="dxa"/>
            </w:tcMar>
          </w:tcPr>
          <w:p>
            <w:r>
              <w:t>5.1.i</w:t>
            </w:r>
          </w:p>
        </w:tc>
        <w:tc>
          <w:tcPr>
            <w:tcW w:type="dxa" w:w="2340"/>
            <w:vAlign w:val="top"/>
            <w:tcMar>
              <w:top w:w="80" w:type="dxa"/>
              <w:right w:w="80" w:type="dxa"/>
              <w:bottom w:w="80" w:type="dxa"/>
              <w:left w:w="80" w:type="dxa"/>
            </w:tcMar>
          </w:tcPr>
          <w:p>
            <w:r>
              <w:t>Experience requirement</w:t>
            </w:r>
          </w:p>
        </w:tc>
        <w:tc>
          <w:tcPr>
            <w:tcW w:type="dxa" w:w="2340"/>
            <w:vAlign w:val="top"/>
            <w:tcMar>
              <w:top w:w="80" w:type="dxa"/>
              <w:right w:w="80" w:type="dxa"/>
              <w:bottom w:w="80" w:type="dxa"/>
              <w:left w:w="80" w:type="dxa"/>
            </w:tcMar>
          </w:tcPr>
          <w:p>
            <w:r>
              <w:t>Compliant</w:t>
            </w:r>
          </w:p>
        </w:tc>
        <w:tc>
          <w:tcPr>
            <w:tcW w:type="dxa" w:w="2340"/>
            <w:vAlign w:val="top"/>
            <w:tcMar>
              <w:top w:w="80" w:type="dxa"/>
              <w:right w:w="80" w:type="dxa"/>
              <w:bottom w:w="80" w:type="dxa"/>
              <w:left w:w="80" w:type="dxa"/>
            </w:tcMar>
          </w:tcPr>
          <w:p>
            <w:r>
              <w:t>fusionAIx has 3+ years of experience and 2+ similar government BPM projects.</w:t>
            </w:r>
          </w:p>
        </w:tc>
      </w:tr>
    </w:tbl>
    <w:p/>
    <w:p>
      <w:pPr>
        <w:pStyle w:val="Heading2"/>
      </w:pPr>
      <w:r>
        <w:t>8. Assumptions, Dependencies, and Risks</w:t>
      </w:r>
    </w:p>
    <w:p/>
    <w:p>
      <w:pPr>
        <w:pStyle w:val="Heading3"/>
      </w:pPr>
      <w:r>
        <w:t>8.1 Assumptions</w:t>
      </w:r>
    </w:p>
    <w:p>
      <w:pPr>
        <w:spacing w:after="120"/>
        <w:ind w:left="360" w:hanging="360"/>
      </w:pPr>
      <w:r>
        <w:rPr>
          <w:rFonts w:ascii="Calibri" w:hAnsi="Calibri"/>
          <w:sz w:val="22"/>
        </w:rPr>
        <w:t xml:space="preserve">• </w:t>
      </w:r>
      <w:r>
        <w:rPr>
          <w:rFonts w:ascii="Calibri" w:hAnsi="Calibri"/>
          <w:sz w:val="22"/>
        </w:rPr>
        <w:t>MTI will provide access to existing systems and data sources for integration.</w:t>
      </w:r>
    </w:p>
    <w:p>
      <w:pPr>
        <w:spacing w:after="120"/>
        <w:ind w:left="360" w:hanging="360"/>
      </w:pPr>
      <w:r>
        <w:rPr>
          <w:rFonts w:ascii="Calibri" w:hAnsi="Calibri"/>
          <w:sz w:val="22"/>
        </w:rPr>
        <w:t xml:space="preserve">• </w:t>
      </w:r>
      <w:r>
        <w:rPr>
          <w:rFonts w:ascii="Calibri" w:hAnsi="Calibri"/>
          <w:sz w:val="22"/>
        </w:rPr>
        <w:t>MTI will nominate process owners and subject matter experts for workshops.</w:t>
      </w:r>
    </w:p>
    <w:p>
      <w:pPr>
        <w:spacing w:after="120"/>
        <w:ind w:left="360" w:hanging="360"/>
      </w:pPr>
      <w:r>
        <w:rPr>
          <w:rFonts w:ascii="Calibri" w:hAnsi="Calibri"/>
          <w:sz w:val="22"/>
        </w:rPr>
        <w:t xml:space="preserve">• </w:t>
      </w:r>
      <w:r>
        <w:rPr>
          <w:rFonts w:ascii="Calibri" w:hAnsi="Calibri"/>
          <w:sz w:val="22"/>
        </w:rPr>
        <w:t>Hosting will be in MTI-approved cloud or on-premises infrastructure.</w:t>
      </w:r>
    </w:p>
    <w:p/>
    <w:p>
      <w:pPr>
        <w:pStyle w:val="Heading3"/>
      </w:pPr>
      <w:r>
        <w:t>8.2 Dependencies</w:t>
      </w:r>
    </w:p>
    <w:p>
      <w:pPr>
        <w:spacing w:after="120"/>
        <w:ind w:left="360" w:hanging="360"/>
      </w:pPr>
      <w:r>
        <w:rPr>
          <w:rFonts w:ascii="Calibri" w:hAnsi="Calibri"/>
          <w:sz w:val="22"/>
        </w:rPr>
        <w:t xml:space="preserve">• </w:t>
      </w:r>
      <w:r>
        <w:rPr>
          <w:rFonts w:ascii="Calibri" w:hAnsi="Calibri"/>
          <w:sz w:val="22"/>
        </w:rPr>
        <w:t>Timely availability of MTI stakeholders for requirements and testing.</w:t>
      </w:r>
    </w:p>
    <w:p>
      <w:pPr>
        <w:spacing w:after="120"/>
        <w:ind w:left="360" w:hanging="360"/>
      </w:pPr>
      <w:r>
        <w:rPr>
          <w:rFonts w:ascii="Calibri" w:hAnsi="Calibri"/>
          <w:sz w:val="22"/>
        </w:rPr>
        <w:t xml:space="preserve">• </w:t>
      </w:r>
      <w:r>
        <w:rPr>
          <w:rFonts w:ascii="Calibri" w:hAnsi="Calibri"/>
          <w:sz w:val="22"/>
        </w:rPr>
        <w:t>Network and security configurations for integration endpoints.</w:t>
      </w:r>
    </w:p>
    <w:p/>
    <w:p>
      <w:pPr>
        <w:pStyle w:val="Heading3"/>
      </w:pPr>
      <w:r>
        <w:t>8.3 Risks and Mitigation</w:t>
      </w:r>
    </w:p>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fill="1a5490" w:val="clear"/>
            <w:vAlign w:val="top"/>
            <w:tcMar>
              <w:top w:w="80" w:type="dxa"/>
              <w:right w:w="80" w:type="dxa"/>
              <w:bottom w:w="80" w:type="dxa"/>
              <w:left w:w="80" w:type="dxa"/>
            </w:tcMar>
          </w:tcPr>
          <w:p>
            <w:r>
              <w:rPr>
                <w:b/>
                <w:color w:val="FFFFFF"/>
              </w:rPr>
              <w:t>Risk</w:t>
            </w:r>
          </w:p>
        </w:tc>
        <w:tc>
          <w:tcPr>
            <w:tcW w:type="dxa" w:w="3120"/>
            <w:shd w:fill="1a5490" w:val="clear"/>
            <w:vAlign w:val="top"/>
            <w:tcMar>
              <w:top w:w="80" w:type="dxa"/>
              <w:right w:w="80" w:type="dxa"/>
              <w:bottom w:w="80" w:type="dxa"/>
              <w:left w:w="80" w:type="dxa"/>
            </w:tcMar>
          </w:tcPr>
          <w:p>
            <w:r>
              <w:rPr>
                <w:b/>
                <w:color w:val="FFFFFF"/>
              </w:rPr>
              <w:t>Impact</w:t>
            </w:r>
          </w:p>
        </w:tc>
        <w:tc>
          <w:tcPr>
            <w:tcW w:type="dxa" w:w="3120"/>
            <w:shd w:fill="1a5490" w:val="clear"/>
            <w:vAlign w:val="top"/>
            <w:tcMar>
              <w:top w:w="80" w:type="dxa"/>
              <w:right w:w="80" w:type="dxa"/>
              <w:bottom w:w="80" w:type="dxa"/>
              <w:left w:w="80" w:type="dxa"/>
            </w:tcMar>
          </w:tcPr>
          <w:p>
            <w:r>
              <w:rPr>
                <w:b/>
                <w:color w:val="FFFFFF"/>
              </w:rPr>
              <w:t>Mitigation</w:t>
            </w:r>
          </w:p>
        </w:tc>
      </w:tr>
      <w:tr>
        <w:tc>
          <w:tcPr>
            <w:tcW w:type="dxa" w:w="3120"/>
            <w:vAlign w:val="top"/>
            <w:tcMar>
              <w:top w:w="80" w:type="dxa"/>
              <w:right w:w="80" w:type="dxa"/>
              <w:bottom w:w="80" w:type="dxa"/>
              <w:left w:w="80" w:type="dxa"/>
            </w:tcMar>
          </w:tcPr>
          <w:p>
            <w:r>
              <w:t>Delays in stakeholder availability</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scheduling and executive sponsorship.</w:t>
            </w:r>
          </w:p>
        </w:tc>
      </w:tr>
      <w:tr>
        <w:tc>
          <w:tcPr>
            <w:tcW w:type="dxa" w:w="3120"/>
            <w:vAlign w:val="top"/>
            <w:tcMar>
              <w:top w:w="80" w:type="dxa"/>
              <w:right w:w="80" w:type="dxa"/>
              <w:bottom w:w="80" w:type="dxa"/>
              <w:left w:w="80" w:type="dxa"/>
            </w:tcMar>
          </w:tcPr>
          <w:p>
            <w:r>
              <w:t>Integration complexity</w:t>
            </w:r>
          </w:p>
        </w:tc>
        <w:tc>
          <w:tcPr>
            <w:tcW w:type="dxa" w:w="3120"/>
            <w:vAlign w:val="top"/>
            <w:tcMar>
              <w:top w:w="80" w:type="dxa"/>
              <w:right w:w="80" w:type="dxa"/>
              <w:bottom w:w="80" w:type="dxa"/>
              <w:left w:w="80" w:type="dxa"/>
            </w:tcMar>
          </w:tcPr>
          <w:p>
            <w:r>
              <w:t>High</w:t>
            </w:r>
          </w:p>
        </w:tc>
        <w:tc>
          <w:tcPr>
            <w:tcW w:type="dxa" w:w="3120"/>
            <w:vAlign w:val="top"/>
            <w:tcMar>
              <w:top w:w="80" w:type="dxa"/>
              <w:right w:w="80" w:type="dxa"/>
              <w:bottom w:w="80" w:type="dxa"/>
              <w:left w:w="80" w:type="dxa"/>
            </w:tcMar>
          </w:tcPr>
          <w:p>
            <w:r>
              <w:t>Use of reusable connector templates and sprint-based delivery.</w:t>
            </w:r>
          </w:p>
        </w:tc>
      </w:tr>
      <w:tr>
        <w:tc>
          <w:tcPr>
            <w:tcW w:type="dxa" w:w="3120"/>
            <w:vAlign w:val="top"/>
            <w:tcMar>
              <w:top w:w="80" w:type="dxa"/>
              <w:right w:w="80" w:type="dxa"/>
              <w:bottom w:w="80" w:type="dxa"/>
              <w:left w:w="80" w:type="dxa"/>
            </w:tcMar>
          </w:tcPr>
          <w:p>
            <w:r>
              <w:t>Change resistance</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Comprehensive training and change management support.</w:t>
            </w:r>
          </w:p>
        </w:tc>
      </w:tr>
      <w:tr>
        <w:tc>
          <w:tcPr>
            <w:tcW w:type="dxa" w:w="3120"/>
            <w:vAlign w:val="top"/>
            <w:tcMar>
              <w:top w:w="80" w:type="dxa"/>
              <w:right w:w="80" w:type="dxa"/>
              <w:bottom w:w="80" w:type="dxa"/>
              <w:left w:w="80" w:type="dxa"/>
            </w:tcMar>
          </w:tcPr>
          <w:p>
            <w:r>
              <w:t>Data migration challenges</w:t>
            </w:r>
          </w:p>
        </w:tc>
        <w:tc>
          <w:tcPr>
            <w:tcW w:type="dxa" w:w="3120"/>
            <w:vAlign w:val="top"/>
            <w:tcMar>
              <w:top w:w="80" w:type="dxa"/>
              <w:right w:w="80" w:type="dxa"/>
              <w:bottom w:w="80" w:type="dxa"/>
              <w:left w:w="80" w:type="dxa"/>
            </w:tcMar>
          </w:tcPr>
          <w:p>
            <w:r>
              <w:t>Medium</w:t>
            </w:r>
          </w:p>
        </w:tc>
        <w:tc>
          <w:tcPr>
            <w:tcW w:type="dxa" w:w="3120"/>
            <w:vAlign w:val="top"/>
            <w:tcMar>
              <w:top w:w="80" w:type="dxa"/>
              <w:right w:w="80" w:type="dxa"/>
              <w:bottom w:w="80" w:type="dxa"/>
              <w:left w:w="80" w:type="dxa"/>
            </w:tcMar>
          </w:tcPr>
          <w:p>
            <w:r>
              <w:t>Early data profiling and validation.</w:t>
            </w:r>
          </w:p>
        </w:tc>
      </w:tr>
    </w:tbl>
    <w:p/>
    <w:p>
      <w:pPr>
        <w:pStyle w:val="Heading2"/>
      </w:pPr>
      <w:r>
        <w:t>9. Support and Maintenance Model</w:t>
      </w:r>
    </w:p>
    <w:p/>
    <w:p>
      <w:r>
        <w:t>FusionAIx will provide a minimum of three (3) years of post go-live support and maintenance, including patching, upgrades, and incident resolution.</w:t>
      </w:r>
    </w:p>
    <w:p/>
    <w:p>
      <w:pPr>
        <w:pStyle w:val="Heading3"/>
      </w:pPr>
      <w:r>
        <w:t>9.1 Support Tiers</w:t>
      </w:r>
    </w:p>
    <w:p>
      <w:pPr>
        <w:spacing w:after="120"/>
        <w:ind w:left="360" w:hanging="360"/>
      </w:pPr>
      <w:r>
        <w:rPr>
          <w:rFonts w:ascii="Calibri" w:hAnsi="Calibri"/>
          <w:sz w:val="22"/>
        </w:rPr>
        <w:t xml:space="preserve">• </w:t>
      </w:r>
      <w:r>
        <w:rPr>
          <w:rFonts w:ascii="Calibri" w:hAnsi="Calibri"/>
          <w:b/>
          <w:sz w:val="22"/>
        </w:rPr>
        <w:t>L1 (Service Desk):</w:t>
      </w:r>
      <w:r>
        <w:rPr>
          <w:rFonts w:ascii="Calibri" w:hAnsi="Calibri"/>
          <w:sz w:val="22"/>
        </w:rPr>
        <w:t xml:space="preserve"> User queries, access issues, minor fixes.</w:t>
      </w:r>
    </w:p>
    <w:p>
      <w:pPr>
        <w:spacing w:after="120"/>
        <w:ind w:left="360" w:hanging="360"/>
      </w:pPr>
      <w:r>
        <w:rPr>
          <w:rFonts w:ascii="Calibri" w:hAnsi="Calibri"/>
          <w:sz w:val="22"/>
        </w:rPr>
        <w:t xml:space="preserve">• </w:t>
      </w:r>
      <w:r>
        <w:rPr>
          <w:rFonts w:ascii="Calibri" w:hAnsi="Calibri"/>
          <w:b/>
          <w:sz w:val="22"/>
        </w:rPr>
        <w:t>L2 (Application Support):</w:t>
      </w:r>
      <w:r>
        <w:rPr>
          <w:rFonts w:ascii="Calibri" w:hAnsi="Calibri"/>
          <w:sz w:val="22"/>
        </w:rPr>
        <w:t xml:space="preserve"> Configuration issues, workflow troubleshooting.</w:t>
      </w:r>
    </w:p>
    <w:p>
      <w:pPr>
        <w:spacing w:after="120"/>
        <w:ind w:left="360" w:hanging="360"/>
      </w:pPr>
      <w:r>
        <w:rPr>
          <w:rFonts w:ascii="Calibri" w:hAnsi="Calibri"/>
          <w:sz w:val="22"/>
        </w:rPr>
        <w:t xml:space="preserve">• </w:t>
      </w:r>
      <w:r>
        <w:rPr>
          <w:rFonts w:ascii="Calibri" w:hAnsi="Calibri"/>
          <w:b/>
          <w:sz w:val="22"/>
        </w:rPr>
        <w:t>L3 (Engineering/Product):</w:t>
      </w:r>
      <w:r>
        <w:rPr>
          <w:rFonts w:ascii="Calibri" w:hAnsi="Calibri"/>
          <w:sz w:val="22"/>
        </w:rPr>
        <w:t xml:space="preserve"> Complex defects, integrations, performance tuning, upgrades.</w:t>
      </w:r>
    </w:p>
    <w:p/>
    <w:p>
      <w:pPr>
        <w:pStyle w:val="Heading3"/>
      </w:pPr>
      <w:r>
        <w:t>9.2 SLA Targets</w:t>
      </w:r>
    </w:p>
    <w:p>
      <w:pPr>
        <w:spacing w:after="120"/>
        <w:ind w:left="360" w:hanging="360"/>
      </w:pPr>
      <w:r>
        <w:rPr>
          <w:rFonts w:ascii="Calibri" w:hAnsi="Calibri"/>
          <w:sz w:val="22"/>
        </w:rPr>
        <w:t xml:space="preserve">• </w:t>
      </w:r>
      <w:r>
        <w:rPr>
          <w:rFonts w:ascii="Calibri" w:hAnsi="Calibri"/>
          <w:b/>
          <w:sz w:val="22"/>
        </w:rPr>
        <w:t>Severity 1:</w:t>
      </w:r>
      <w:r>
        <w:rPr>
          <w:rFonts w:ascii="Calibri" w:hAnsi="Calibri"/>
          <w:sz w:val="22"/>
        </w:rPr>
        <w:t xml:space="preserve"> Response within 1 hour, resolution within 4 hours.</w:t>
      </w:r>
    </w:p>
    <w:p>
      <w:pPr>
        <w:spacing w:after="120"/>
        <w:ind w:left="360" w:hanging="360"/>
      </w:pPr>
      <w:r>
        <w:rPr>
          <w:rFonts w:ascii="Calibri" w:hAnsi="Calibri"/>
          <w:sz w:val="22"/>
        </w:rPr>
        <w:t xml:space="preserve">• </w:t>
      </w:r>
      <w:r>
        <w:rPr>
          <w:rFonts w:ascii="Calibri" w:hAnsi="Calibri"/>
          <w:b/>
          <w:sz w:val="22"/>
        </w:rPr>
        <w:t>Severity 2:</w:t>
      </w:r>
      <w:r>
        <w:rPr>
          <w:rFonts w:ascii="Calibri" w:hAnsi="Calibri"/>
          <w:sz w:val="22"/>
        </w:rPr>
        <w:t xml:space="preserve"> Response within 2 hours, resolution within 8 hours.</w:t>
      </w:r>
    </w:p>
    <w:p>
      <w:pPr>
        <w:spacing w:after="120"/>
        <w:ind w:left="360" w:hanging="360"/>
      </w:pPr>
      <w:r>
        <w:rPr>
          <w:rFonts w:ascii="Calibri" w:hAnsi="Calibri"/>
          <w:sz w:val="22"/>
        </w:rPr>
        <w:t xml:space="preserve">• </w:t>
      </w:r>
      <w:r>
        <w:rPr>
          <w:rFonts w:ascii="Calibri" w:hAnsi="Calibri"/>
          <w:b/>
          <w:sz w:val="22"/>
        </w:rPr>
        <w:t>Severity 3:</w:t>
      </w:r>
      <w:r>
        <w:rPr>
          <w:rFonts w:ascii="Calibri" w:hAnsi="Calibri"/>
          <w:sz w:val="22"/>
        </w:rPr>
        <w:t xml:space="preserve"> Response within 4 hours, resolution within 24 hours.</w:t>
      </w:r>
    </w:p>
    <w:p/>
    <w:p>
      <w:pPr>
        <w:pStyle w:val="Heading3"/>
      </w:pPr>
      <w:r>
        <w:t>9.3 Escalation and Governance</w:t>
      </w:r>
    </w:p>
    <w:p>
      <w:pPr>
        <w:spacing w:after="120"/>
        <w:ind w:left="360" w:hanging="360"/>
      </w:pPr>
      <w:r>
        <w:rPr>
          <w:rFonts w:ascii="Calibri" w:hAnsi="Calibri"/>
          <w:sz w:val="22"/>
        </w:rPr>
        <w:t xml:space="preserve">• </w:t>
      </w:r>
      <w:r>
        <w:rPr>
          <w:rFonts w:ascii="Calibri" w:hAnsi="Calibri"/>
          <w:sz w:val="22"/>
        </w:rPr>
        <w:t>Incident manager assigned for Sev 1/2 issues.</w:t>
      </w:r>
    </w:p>
    <w:p>
      <w:pPr>
        <w:spacing w:after="120"/>
        <w:ind w:left="360" w:hanging="360"/>
      </w:pPr>
      <w:r>
        <w:rPr>
          <w:rFonts w:ascii="Calibri" w:hAnsi="Calibri"/>
          <w:sz w:val="22"/>
        </w:rPr>
        <w:t xml:space="preserve">• </w:t>
      </w:r>
      <w:r>
        <w:rPr>
          <w:rFonts w:ascii="Calibri" w:hAnsi="Calibri"/>
          <w:sz w:val="22"/>
        </w:rPr>
        <w:t>Escalation ladder: Support Lead → Program Manager → Executive Sponsor.</w:t>
      </w:r>
    </w:p>
    <w:p>
      <w:pPr>
        <w:spacing w:after="120"/>
        <w:ind w:left="360" w:hanging="360"/>
      </w:pPr>
      <w:r>
        <w:rPr>
          <w:rFonts w:ascii="Calibri" w:hAnsi="Calibri"/>
          <w:sz w:val="22"/>
        </w:rPr>
        <w:t xml:space="preserve">• </w:t>
      </w:r>
      <w:r>
        <w:rPr>
          <w:rFonts w:ascii="Calibri" w:hAnsi="Calibri"/>
          <w:sz w:val="22"/>
        </w:rPr>
        <w:t>Monthly service reviews covering SLA performance, root causes, and continuous improvement.</w:t>
      </w:r>
    </w:p>
    <w:p/>
    <w:p>
      <w:pPr>
        <w:pStyle w:val="Heading2"/>
      </w:pPr>
      <w:r>
        <w:t>10. Commercial Proposal</w:t>
      </w:r>
    </w:p>
    <w:p/>
    <w:p>
      <w:r>
        <w:t>The commercial response will be provided in the final submission package and will include a 5-year total cost of ownership (TCO) view, with costs broken down by:</w:t>
      </w:r>
    </w:p>
    <w:p/>
    <w:p>
      <w:pPr>
        <w:spacing w:after="120"/>
        <w:ind w:left="360" w:hanging="360"/>
      </w:pPr>
      <w:r>
        <w:rPr>
          <w:rFonts w:ascii="Calibri" w:hAnsi="Calibri"/>
          <w:sz w:val="22"/>
        </w:rPr>
        <w:t xml:space="preserve">• </w:t>
      </w:r>
      <w:r>
        <w:rPr>
          <w:rFonts w:ascii="Calibri" w:hAnsi="Calibri"/>
          <w:b/>
          <w:sz w:val="22"/>
        </w:rPr>
        <w:t>Licensing:</w:t>
      </w:r>
      <w:r>
        <w:rPr>
          <w:rFonts w:ascii="Calibri" w:hAnsi="Calibri"/>
          <w:sz w:val="22"/>
        </w:rPr>
        <w:t xml:space="preserve"> Internal roles/users and external portal usage (transaction/concurrent model).</w:t>
      </w:r>
    </w:p>
    <w:p>
      <w:pPr>
        <w:spacing w:after="120"/>
        <w:ind w:left="360" w:hanging="360"/>
      </w:pPr>
      <w:r>
        <w:rPr>
          <w:rFonts w:ascii="Calibri" w:hAnsi="Calibri"/>
          <w:sz w:val="22"/>
        </w:rPr>
        <w:t xml:space="preserve">• </w:t>
      </w:r>
      <w:r>
        <w:rPr>
          <w:rFonts w:ascii="Calibri" w:hAnsi="Calibri"/>
          <w:b/>
          <w:sz w:val="22"/>
        </w:rPr>
        <w:t>Implementation Services:</w:t>
      </w:r>
      <w:r>
        <w:rPr>
          <w:rFonts w:ascii="Calibri" w:hAnsi="Calibri"/>
          <w:sz w:val="22"/>
        </w:rPr>
        <w:t xml:space="preserve"> Discovery, design, configuration, integration, testing, training.</w:t>
      </w:r>
    </w:p>
    <w:p>
      <w:pPr>
        <w:spacing w:after="120"/>
        <w:ind w:left="360" w:hanging="360"/>
      </w:pPr>
      <w:r>
        <w:rPr>
          <w:rFonts w:ascii="Calibri" w:hAnsi="Calibri"/>
          <w:sz w:val="22"/>
        </w:rPr>
        <w:t xml:space="preserve">• </w:t>
      </w:r>
      <w:r>
        <w:rPr>
          <w:rFonts w:ascii="Calibri" w:hAnsi="Calibri"/>
          <w:b/>
          <w:sz w:val="22"/>
        </w:rPr>
        <w:t>Support and Maintenance:</w:t>
      </w:r>
      <w:r>
        <w:rPr>
          <w:rFonts w:ascii="Calibri" w:hAnsi="Calibri"/>
          <w:sz w:val="22"/>
        </w:rPr>
        <w:t xml:space="preserve"> 3 years minimum post go-live.</w:t>
      </w:r>
    </w:p>
    <w:p>
      <w:pPr>
        <w:spacing w:after="120"/>
        <w:ind w:left="360" w:hanging="360"/>
      </w:pPr>
      <w:r>
        <w:rPr>
          <w:rFonts w:ascii="Calibri" w:hAnsi="Calibri"/>
          <w:sz w:val="22"/>
        </w:rPr>
        <w:t xml:space="preserve">• </w:t>
      </w:r>
      <w:r>
        <w:rPr>
          <w:rFonts w:ascii="Calibri" w:hAnsi="Calibri"/>
          <w:b/>
          <w:sz w:val="22"/>
        </w:rPr>
        <w:t>Optional Components:</w:t>
      </w:r>
      <w:r>
        <w:rPr>
          <w:rFonts w:ascii="Calibri" w:hAnsi="Calibri"/>
          <w:sz w:val="22"/>
        </w:rPr>
        <w:t xml:space="preserve"> Advanced analytics, additional environments, DR enhancements, AI-assisted features under governance.</w:t>
      </w:r>
    </w:p>
    <w:p/>
    <w:p>
      <w:r>
        <w:t>All pricing will be aligned with MTI’s procurement guidelines and will include detailed assumptions, payment milestones, and optional service components.</w:t>
      </w:r>
    </w:p>
    <w:p/>
    <w:p>
      <w:r>
        <w:t>End of Document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