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Ministry of Trade and Industry (MTI)</w:t>
      </w:r>
    </w:p>
    <w:p>
      <w:pPr>
        <w:ind w:left="720"/>
      </w:pPr>
      <w:r>
        <w:rPr>
          <w:rFonts w:ascii="Calibri" w:hAnsi="Calibri"/>
          <w:sz w:val="22"/>
        </w:rPr>
        <w:t>Business Process Management (BPM) Platform Implementation</w:t>
      </w:r>
    </w:p>
    <w:p>
      <w:pPr>
        <w:ind w:left="720"/>
      </w:pPr>
      <w:r>
        <w:rPr>
          <w:rFonts w:ascii="Calibri" w:hAnsi="Calibri"/>
          <w:sz w:val="22"/>
        </w:rPr>
        <w:t>1. Executive Summary</w:t>
      </w:r>
    </w:p>
    <w:p>
      <w:pPr>
        <w:ind w:left="720"/>
      </w:pPr>
      <w:r>
        <w:rPr>
          <w:rFonts w:ascii="Calibri" w:hAnsi="Calibri"/>
          <w:sz w:val="22"/>
        </w:rPr>
        <w:t>2. Understanding of MTI’s Objectives and Context</w:t>
      </w:r>
    </w:p>
    <w:p>
      <w:pPr>
        <w:ind w:left="720"/>
      </w:pPr>
      <w:r>
        <w:rPr>
          <w:rFonts w:ascii="Calibri" w:hAnsi="Calibri"/>
          <w:sz w:val="22"/>
        </w:rPr>
        <w:t>3. Proposed Solution Overview</w:t>
      </w:r>
    </w:p>
    <w:p>
      <w:pPr>
        <w:ind w:left="720"/>
      </w:pPr>
      <w:r>
        <w:rPr>
          <w:rFonts w:ascii="Calibri" w:hAnsi="Calibri"/>
          <w:sz w:val="22"/>
        </w:rPr>
        <w:t>4. Implementation Approach and Methodology</w:t>
      </w:r>
    </w:p>
    <w:p>
      <w:pPr>
        <w:ind w:left="720"/>
      </w:pPr>
      <w:r>
        <w:rPr>
          <w:rFonts w:ascii="Calibri" w:hAnsi="Calibri"/>
          <w:sz w:val="22"/>
        </w:rPr>
        <w:t>5. Project Plan and Timelines</w:t>
      </w:r>
    </w:p>
    <w:p>
      <w:pPr>
        <w:ind w:left="720"/>
      </w:pPr>
      <w:r>
        <w:rPr>
          <w:rFonts w:ascii="Calibri" w:hAnsi="Calibri"/>
          <w:sz w:val="22"/>
        </w:rPr>
        <w:t>6. Proposed Team Structure</w:t>
      </w:r>
    </w:p>
    <w:p>
      <w:pPr>
        <w:ind w:left="720"/>
      </w:pPr>
      <w:r>
        <w:rPr>
          <w:rFonts w:ascii="Calibri" w:hAnsi="Calibri"/>
          <w:sz w:val="22"/>
        </w:rPr>
        <w:t>7. Functional and Technical Compliance Matrix</w:t>
      </w:r>
    </w:p>
    <w:p>
      <w:pPr>
        <w:ind w:left="720"/>
      </w:pPr>
      <w:r>
        <w:rPr>
          <w:rFonts w:ascii="Calibri" w:hAnsi="Calibri"/>
          <w:sz w:val="22"/>
        </w:rPr>
        <w:t>8. Assumptions, Dependencies, and Risks</w:t>
      </w:r>
    </w:p>
    <w:p>
      <w:pPr>
        <w:ind w:left="720"/>
      </w:pPr>
      <w:r>
        <w:rPr>
          <w:rFonts w:ascii="Calibri" w:hAnsi="Calibri"/>
          <w:sz w:val="22"/>
        </w:rPr>
        <w:t>9. Support and Maintenance Model</w:t>
      </w:r>
    </w:p>
    <w:p>
      <w:pPr>
        <w:ind w:left="720"/>
      </w:pPr>
      <w:r>
        <w:rPr>
          <w:rFonts w:ascii="Calibri" w:hAnsi="Calibri"/>
          <w:sz w:val="22"/>
        </w:rPr>
        <w:t>10. Commercial Proposal</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Ministry of Trade and Industry (MTI)</w:t>
      </w:r>
    </w:p>
    <w:p>
      <w:pPr>
        <w:pStyle w:val="Heading2"/>
      </w:pPr>
      <w:r>
        <w:t>Business Process Management (BPM) Platform Implementation</w:t>
      </w:r>
    </w:p>
    <w:p>
      <w:pPr>
        <w:pStyle w:val="Heading3"/>
      </w:pPr>
      <w:r>
        <w:t>Proposal by fusionAIx</w:t>
      </w:r>
    </w:p>
    <w:p/>
    <w:p>
      <w:pPr>
        <w:pStyle w:val="Heading2"/>
      </w:pPr>
      <w:r>
        <w:t>1. Executive Summary</w:t>
      </w:r>
    </w:p>
    <w:p/>
    <w:p>
      <w:r>
        <w:t>FusionAIx is pleased to submit this comprehensive proposal to the Ministry of Trade and Industry (MTI) for the supply, implementation, and support of an enterprise-grade Business Process Management (BPM) platform. Our proposed solution is designed to unify, automate, and optimize MTI’s core business processes—enabling the Ministry to deliver faster, more transparent, and citizen-centric services.</w:t>
      </w:r>
    </w:p>
    <w:p/>
    <w:p>
      <w:r>
        <w:t>At fusionAIx, we believe that digital transformation succeeds when technology empowers people. Our approach combines a proven BPM suite (Pega Constellation) with our proprietary accelerators and deep domain expertise in government process automation. The result is a low-code, AI-enabled platform that supports both structured workflows and dynamic case management, ensuring agility and compliance across MTI’s operations.</w:t>
      </w:r>
    </w:p>
    <w:p/>
    <w:p>
      <w:pPr>
        <w:pStyle w:val="Heading3"/>
      </w:pPr>
      <w:r>
        <w:t>Key Highlights of Our Proposal</w:t>
      </w:r>
    </w:p>
    <w:p>
      <w:pPr>
        <w:spacing w:after="120"/>
        <w:ind w:left="360" w:hanging="360"/>
      </w:pPr>
      <w:r>
        <w:rPr>
          <w:rFonts w:ascii="Calibri" w:hAnsi="Calibri"/>
          <w:sz w:val="22"/>
        </w:rPr>
        <w:t xml:space="preserve">• </w:t>
      </w:r>
      <w:r>
        <w:rPr>
          <w:rFonts w:ascii="Calibri" w:hAnsi="Calibri"/>
          <w:b/>
          <w:sz w:val="22"/>
        </w:rPr>
        <w:t>Enterprise-Grade BPM Platform:</w:t>
      </w:r>
      <w:r>
        <w:rPr>
          <w:rFonts w:ascii="Calibri" w:hAnsi="Calibri"/>
          <w:sz w:val="22"/>
        </w:rPr>
        <w:t xml:space="preserve"> Based on Pega Constellation, a globally recognized low-code BPM suite used by leading governments and enterprises.</w:t>
      </w:r>
    </w:p>
    <w:p>
      <w:pPr>
        <w:spacing w:after="120"/>
        <w:ind w:left="360" w:hanging="360"/>
      </w:pPr>
      <w:r>
        <w:rPr>
          <w:rFonts w:ascii="Calibri" w:hAnsi="Calibri"/>
          <w:sz w:val="22"/>
        </w:rPr>
        <w:t xml:space="preserve">• </w:t>
      </w:r>
      <w:r>
        <w:rPr>
          <w:rFonts w:ascii="Calibri" w:hAnsi="Calibri"/>
          <w:b/>
          <w:sz w:val="22"/>
        </w:rPr>
        <w:t>Unified Process Orchestration:</w:t>
      </w:r>
      <w:r>
        <w:rPr>
          <w:rFonts w:ascii="Calibri" w:hAnsi="Calibri"/>
          <w:sz w:val="22"/>
        </w:rPr>
        <w:t xml:space="preserve"> Supports both straight-through and human-centric workflows, with centralized rules management and SLA monitoring.</w:t>
      </w:r>
    </w:p>
    <w:p>
      <w:pPr>
        <w:spacing w:after="120"/>
        <w:ind w:left="360" w:hanging="360"/>
      </w:pPr>
      <w:r>
        <w:rPr>
          <w:rFonts w:ascii="Calibri" w:hAnsi="Calibri"/>
          <w:sz w:val="22"/>
        </w:rPr>
        <w:t xml:space="preserve">• </w:t>
      </w:r>
      <w:r>
        <w:rPr>
          <w:rFonts w:ascii="Calibri" w:hAnsi="Calibri"/>
          <w:b/>
          <w:sz w:val="22"/>
        </w:rPr>
        <w:t>Dynamic Case Management:</w:t>
      </w:r>
      <w:r>
        <w:rPr>
          <w:rFonts w:ascii="Calibri" w:hAnsi="Calibri"/>
          <w:sz w:val="22"/>
        </w:rPr>
        <w:t xml:space="preserve"> Enables MTI to manage complex, multi-step cases such as business licensing, grants, and trade facilitation with full auditability.</w:t>
      </w:r>
    </w:p>
    <w:p>
      <w:pPr>
        <w:spacing w:after="120"/>
        <w:ind w:left="360" w:hanging="360"/>
      </w:pPr>
      <w:r>
        <w:rPr>
          <w:rFonts w:ascii="Calibri" w:hAnsi="Calibri"/>
          <w:sz w:val="22"/>
        </w:rPr>
        <w:t xml:space="preserve">• </w:t>
      </w:r>
      <w:r>
        <w:rPr>
          <w:rFonts w:ascii="Calibri" w:hAnsi="Calibri"/>
          <w:b/>
          <w:sz w:val="22"/>
        </w:rPr>
        <w:t>Low-Code Configuration:</w:t>
      </w:r>
      <w:r>
        <w:rPr>
          <w:rFonts w:ascii="Calibri" w:hAnsi="Calibri"/>
          <w:sz w:val="22"/>
        </w:rPr>
        <w:t xml:space="preserve"> Model-driven design minimizes custom coding, accelerates delivery, and simplifies future enhancements.</w:t>
      </w:r>
    </w:p>
    <w:p>
      <w:pPr>
        <w:spacing w:after="120"/>
        <w:ind w:left="360" w:hanging="360"/>
      </w:pPr>
      <w:r>
        <w:rPr>
          <w:rFonts w:ascii="Calibri" w:hAnsi="Calibri"/>
          <w:sz w:val="22"/>
        </w:rPr>
        <w:t xml:space="preserve">• </w:t>
      </w:r>
      <w:r>
        <w:rPr>
          <w:rFonts w:ascii="Calibri" w:hAnsi="Calibri"/>
          <w:b/>
          <w:sz w:val="22"/>
        </w:rPr>
        <w:t>Comprehensive Support:</w:t>
      </w:r>
      <w:r>
        <w:rPr>
          <w:rFonts w:ascii="Calibri" w:hAnsi="Calibri"/>
          <w:sz w:val="22"/>
        </w:rPr>
        <w:t xml:space="preserve"> Three years of post go-live support, including patching, upgrades, and incident resolution under defined SLAs.</w:t>
      </w:r>
    </w:p>
    <w:p>
      <w:pPr>
        <w:spacing w:after="120"/>
        <w:ind w:left="360" w:hanging="360"/>
      </w:pPr>
      <w:r>
        <w:rPr>
          <w:rFonts w:ascii="Calibri" w:hAnsi="Calibri"/>
          <w:sz w:val="22"/>
        </w:rPr>
        <w:t xml:space="preserve">• </w:t>
      </w:r>
      <w:r>
        <w:rPr>
          <w:rFonts w:ascii="Calibri" w:hAnsi="Calibri"/>
          <w:b/>
          <w:sz w:val="22"/>
        </w:rPr>
        <w:t>Proven Experience:</w:t>
      </w:r>
      <w:r>
        <w:rPr>
          <w:rFonts w:ascii="Calibri" w:hAnsi="Calibri"/>
          <w:sz w:val="22"/>
        </w:rPr>
        <w:t xml:space="preserve"> Over 20 successful Pega Constellation implementations globally, including government and public sector clients.</w:t>
      </w:r>
    </w:p>
    <w:p/>
    <w:p>
      <w:r>
        <w:t>FusionAIx’s proposal aligns fully with MTI’s objectives to modernize its business processes, improve service delivery, and establish a scalable digital foundation for future innovation. Our solution is designed not only to meet the Ministry’s current needs but also to evolve with its strategic vision.</w:t>
      </w:r>
    </w:p>
    <w:p/>
    <w:p>
      <w:pPr>
        <w:pStyle w:val="Heading2"/>
      </w:pPr>
      <w:r>
        <w:t>2. Understanding of MTI’s Objectives and Context</w:t>
      </w:r>
    </w:p>
    <w:p/>
    <w:p>
      <w:r>
        <w:t>The Ministry of Trade and Industry (MTI) seeks to implement a unified BPM platform to orchestrate and manage its core business processes. The initiative aims to streamline operations, enhance transparency, and improve service delivery to citizens, businesses, and internal stakeholders.</w:t>
      </w:r>
    </w:p>
    <w:p/>
    <w:p>
      <w:pPr>
        <w:pStyle w:val="Heading3"/>
      </w:pPr>
      <w:r>
        <w:t>MTI’s Strategic Objectives</w:t>
      </w:r>
    </w:p>
    <w:p>
      <w:pPr>
        <w:pStyle w:val="ListNumber"/>
      </w:pPr>
      <w:r>
        <w:rPr>
          <w:b/>
        </w:rPr>
        <w:t>Process Unification and Standardization:</w:t>
      </w:r>
      <w:r>
        <w:t xml:space="preserve"> MTI currently operates multiple process silos across departments. The BPM platform will unify these into a single, configurable environment.</w:t>
      </w:r>
    </w:p>
    <w:p>
      <w:pPr>
        <w:pStyle w:val="ListNumber"/>
      </w:pPr>
      <w:r>
        <w:rPr>
          <w:b/>
        </w:rPr>
        <w:t>Citizen-Centric Service Delivery:</w:t>
      </w:r>
      <w:r>
        <w:t xml:space="preserve"> The Ministry aims to provide seamless digital experiences for external users (e.g., business owners applying for licenses or grants).</w:t>
      </w:r>
    </w:p>
    <w:p>
      <w:pPr>
        <w:pStyle w:val="ListNumber"/>
      </w:pPr>
      <w:r>
        <w:rPr>
          <w:b/>
        </w:rPr>
        <w:t>Operational Efficiency:</w:t>
      </w:r>
      <w:r>
        <w:t xml:space="preserve"> Automating manual workflows and enabling straight-through processing will reduce turnaround times and administrative overhead.</w:t>
      </w:r>
    </w:p>
    <w:p>
      <w:pPr>
        <w:pStyle w:val="ListNumber"/>
      </w:pPr>
      <w:r>
        <w:rPr>
          <w:b/>
        </w:rPr>
        <w:t>Data-Driven Governance:</w:t>
      </w:r>
      <w:r>
        <w:t xml:space="preserve"> Real-time dashboards and analytics will empower MTI leadership to monitor performance, identify bottlenecks, and make informed decisions.</w:t>
      </w:r>
    </w:p>
    <w:p>
      <w:pPr>
        <w:pStyle w:val="ListNumber"/>
      </w:pPr>
      <w:r>
        <w:rPr>
          <w:b/>
        </w:rPr>
        <w:t>Compliance and Security:</w:t>
      </w:r>
      <w:r>
        <w:t xml:space="preserve"> The platform must comply with national data protection and cybersecurity standards, ensuring secure access and full auditability.</w:t>
      </w:r>
    </w:p>
    <w:p/>
    <w:p>
      <w:pPr>
        <w:pStyle w:val="Heading3"/>
      </w:pPr>
      <w:r>
        <w:t>Initial Process Scope</w:t>
      </w:r>
    </w:p>
    <w:p>
      <w:r>
        <w:t>The initial implementation will focus on, but is not limited to:</w:t>
      </w:r>
    </w:p>
    <w:p>
      <w:pPr>
        <w:spacing w:after="120"/>
        <w:ind w:left="360" w:hanging="360"/>
      </w:pPr>
      <w:r>
        <w:rPr>
          <w:rFonts w:ascii="Calibri" w:hAnsi="Calibri"/>
          <w:sz w:val="22"/>
        </w:rPr>
        <w:t xml:space="preserve">• </w:t>
      </w:r>
      <w:r>
        <w:rPr>
          <w:rFonts w:ascii="Calibri" w:hAnsi="Calibri"/>
          <w:b/>
          <w:sz w:val="22"/>
        </w:rPr>
        <w:t>Business Licensing and Renewals:</w:t>
      </w:r>
      <w:r>
        <w:rPr>
          <w:rFonts w:ascii="Calibri" w:hAnsi="Calibri"/>
          <w:sz w:val="22"/>
        </w:rPr>
        <w:t xml:space="preserve"> End-to-end automation of license application, review, approval, and renewal processes.</w:t>
      </w:r>
    </w:p>
    <w:p>
      <w:pPr>
        <w:spacing w:after="120"/>
        <w:ind w:left="360" w:hanging="360"/>
      </w:pPr>
      <w:r>
        <w:rPr>
          <w:rFonts w:ascii="Calibri" w:hAnsi="Calibri"/>
          <w:sz w:val="22"/>
        </w:rPr>
        <w:t xml:space="preserve">• </w:t>
      </w:r>
      <w:r>
        <w:rPr>
          <w:rFonts w:ascii="Calibri" w:hAnsi="Calibri"/>
          <w:b/>
          <w:sz w:val="22"/>
        </w:rPr>
        <w:t>Incentive and Grants Applications:</w:t>
      </w:r>
      <w:r>
        <w:rPr>
          <w:rFonts w:ascii="Calibri" w:hAnsi="Calibri"/>
          <w:sz w:val="22"/>
        </w:rPr>
        <w:t xml:space="preserve"> Streamlined management of grant applications, eligibility checks, disbursements, and reporting.</w:t>
      </w:r>
    </w:p>
    <w:p>
      <w:pPr>
        <w:spacing w:after="120"/>
        <w:ind w:left="360" w:hanging="360"/>
      </w:pPr>
      <w:r>
        <w:rPr>
          <w:rFonts w:ascii="Calibri" w:hAnsi="Calibri"/>
          <w:sz w:val="22"/>
        </w:rPr>
        <w:t xml:space="preserve">• </w:t>
      </w:r>
      <w:r>
        <w:rPr>
          <w:rFonts w:ascii="Calibri" w:hAnsi="Calibri"/>
          <w:b/>
          <w:sz w:val="22"/>
        </w:rPr>
        <w:t>Trade Facilitation Processes:</w:t>
      </w:r>
      <w:r>
        <w:rPr>
          <w:rFonts w:ascii="Calibri" w:hAnsi="Calibri"/>
          <w:sz w:val="22"/>
        </w:rPr>
        <w:t xml:space="preserve"> Digitization of trade-related approvals and permits.</w:t>
      </w:r>
    </w:p>
    <w:p>
      <w:pPr>
        <w:spacing w:after="120"/>
        <w:ind w:left="360" w:hanging="360"/>
      </w:pPr>
      <w:r>
        <w:rPr>
          <w:rFonts w:ascii="Calibri" w:hAnsi="Calibri"/>
          <w:sz w:val="22"/>
        </w:rPr>
        <w:t xml:space="preserve">• </w:t>
      </w:r>
      <w:r>
        <w:rPr>
          <w:rFonts w:ascii="Calibri" w:hAnsi="Calibri"/>
          <w:b/>
          <w:sz w:val="22"/>
        </w:rPr>
        <w:t>Internal Shared Services:</w:t>
      </w:r>
      <w:r>
        <w:rPr>
          <w:rFonts w:ascii="Calibri" w:hAnsi="Calibri"/>
          <w:sz w:val="22"/>
        </w:rPr>
        <w:t xml:space="preserve"> Automation of internal administrative workflows such as procurement and HR requests.</w:t>
      </w:r>
    </w:p>
    <w:p/>
    <w:p>
      <w:pPr>
        <w:pStyle w:val="Heading3"/>
      </w:pPr>
      <w:r>
        <w:t>Key Functional Requirements</w:t>
      </w:r>
    </w:p>
    <w:p>
      <w:pPr>
        <w:spacing w:after="120"/>
        <w:ind w:left="360" w:hanging="360"/>
      </w:pPr>
      <w:r>
        <w:rPr>
          <w:rFonts w:ascii="Calibri" w:hAnsi="Calibri"/>
          <w:sz w:val="22"/>
        </w:rPr>
        <w:t xml:space="preserve">• </w:t>
      </w:r>
      <w:r>
        <w:rPr>
          <w:rFonts w:ascii="Calibri" w:hAnsi="Calibri"/>
          <w:sz w:val="22"/>
        </w:rPr>
        <w:t>Configurable case management with ad-hoc tasks, attachments, and notes.</w:t>
      </w:r>
    </w:p>
    <w:p>
      <w:pPr>
        <w:spacing w:after="120"/>
        <w:ind w:left="360" w:hanging="360"/>
      </w:pPr>
      <w:r>
        <w:rPr>
          <w:rFonts w:ascii="Calibri" w:hAnsi="Calibri"/>
          <w:sz w:val="22"/>
        </w:rPr>
        <w:t xml:space="preserve">• </w:t>
      </w:r>
      <w:r>
        <w:rPr>
          <w:rFonts w:ascii="Calibri" w:hAnsi="Calibri"/>
          <w:sz w:val="22"/>
        </w:rPr>
        <w:t>Centralized rules management with versioning and controlled deployment.</w:t>
      </w:r>
    </w:p>
    <w:p>
      <w:pPr>
        <w:spacing w:after="120"/>
        <w:ind w:left="360" w:hanging="360"/>
      </w:pPr>
      <w:r>
        <w:rPr>
          <w:rFonts w:ascii="Calibri" w:hAnsi="Calibri"/>
          <w:sz w:val="22"/>
        </w:rPr>
        <w:t xml:space="preserve">• </w:t>
      </w:r>
      <w:r>
        <w:rPr>
          <w:rFonts w:ascii="Calibri" w:hAnsi="Calibri"/>
          <w:sz w:val="22"/>
        </w:rPr>
        <w:t>SLA definition, monitoring, and automated escalations.</w:t>
      </w:r>
    </w:p>
    <w:p>
      <w:pPr>
        <w:spacing w:after="120"/>
        <w:ind w:left="360" w:hanging="360"/>
      </w:pPr>
      <w:r>
        <w:rPr>
          <w:rFonts w:ascii="Calibri" w:hAnsi="Calibri"/>
          <w:sz w:val="22"/>
        </w:rPr>
        <w:t xml:space="preserve">• </w:t>
      </w:r>
      <w:r>
        <w:rPr>
          <w:rFonts w:ascii="Calibri" w:hAnsi="Calibri"/>
          <w:sz w:val="22"/>
        </w:rPr>
        <w:t>Web-based, responsive user interfaces with guided steps and contextual help.</w:t>
      </w:r>
    </w:p>
    <w:p>
      <w:pPr>
        <w:spacing w:after="120"/>
        <w:ind w:left="360" w:hanging="360"/>
      </w:pPr>
      <w:r>
        <w:rPr>
          <w:rFonts w:ascii="Calibri" w:hAnsi="Calibri"/>
          <w:sz w:val="22"/>
        </w:rPr>
        <w:t xml:space="preserve">• </w:t>
      </w:r>
      <w:r>
        <w:rPr>
          <w:rFonts w:ascii="Calibri" w:hAnsi="Calibri"/>
          <w:sz w:val="22"/>
        </w:rPr>
        <w:t>Secure integration with MTI’s identity management and single sign-on (SSO) systems.</w:t>
      </w:r>
    </w:p>
    <w:p>
      <w:pPr>
        <w:spacing w:after="120"/>
        <w:ind w:left="360" w:hanging="360"/>
      </w:pPr>
      <w:r>
        <w:rPr>
          <w:rFonts w:ascii="Calibri" w:hAnsi="Calibri"/>
          <w:sz w:val="22"/>
        </w:rPr>
        <w:t xml:space="preserve">• </w:t>
      </w:r>
      <w:r>
        <w:rPr>
          <w:rFonts w:ascii="Calibri" w:hAnsi="Calibri"/>
          <w:sz w:val="22"/>
        </w:rPr>
        <w:t>Role-based access control and full audit logging.</w:t>
      </w:r>
    </w:p>
    <w:p/>
    <w:p>
      <w:r>
        <w:t>FusionAIx fully understands that MTI’s BPM initiative is not merely a technology project—it is a strategic transformation program. Our approach is therefore designed to ensure stakeholder alignment, process transparency, and sustainable capability building within MTI.</w:t>
      </w:r>
    </w:p>
    <w:p/>
    <w:p>
      <w:pPr>
        <w:pStyle w:val="Heading2"/>
      </w:pPr>
      <w:r>
        <w:t>3. Proposed Solution Overview</w:t>
      </w:r>
    </w:p>
    <w:p/>
    <w:p>
      <w:pPr>
        <w:pStyle w:val="Heading3"/>
      </w:pPr>
      <w:r>
        <w:t>3.1 Solution Architecture</w:t>
      </w:r>
    </w:p>
    <w:p>
      <w:r>
        <w:t>Our proposed solution is built on Pega Constellation, an enterprise-grade BPM and case management platform. The architecture is modular, scalable, and cloud-ready, supporting both on-premise and hybrid deployments.</w:t>
      </w:r>
    </w:p>
    <w:p/>
    <w:p>
      <w:r>
        <w:t>Key Architectural Components:</w:t>
      </w:r>
    </w:p>
    <w:p>
      <w:pPr>
        <w:spacing w:after="120"/>
        <w:ind w:left="360" w:hanging="360"/>
      </w:pPr>
      <w:r>
        <w:rPr>
          <w:rFonts w:ascii="Calibri" w:hAnsi="Calibri"/>
          <w:sz w:val="22"/>
        </w:rPr>
        <w:t xml:space="preserve">• </w:t>
      </w:r>
      <w:r>
        <w:rPr>
          <w:rFonts w:ascii="Calibri" w:hAnsi="Calibri"/>
          <w:b/>
          <w:sz w:val="22"/>
        </w:rPr>
        <w:t>Process Orchestration Layer:</w:t>
      </w:r>
      <w:r>
        <w:rPr>
          <w:rFonts w:ascii="Calibri" w:hAnsi="Calibri"/>
          <w:sz w:val="22"/>
        </w:rPr>
        <w:t xml:space="preserve"> Manages end-to-end workflows, supporting both straight-through and human-centric processes.</w:t>
      </w:r>
    </w:p>
    <w:p>
      <w:pPr>
        <w:spacing w:after="120"/>
        <w:ind w:left="360" w:hanging="360"/>
      </w:pPr>
      <w:r>
        <w:rPr>
          <w:rFonts w:ascii="Calibri" w:hAnsi="Calibri"/>
          <w:sz w:val="22"/>
        </w:rPr>
        <w:t xml:space="preserve">• </w:t>
      </w:r>
      <w:r>
        <w:rPr>
          <w:rFonts w:ascii="Calibri" w:hAnsi="Calibri"/>
          <w:b/>
          <w:sz w:val="22"/>
        </w:rPr>
        <w:t>Case Management Engine:</w:t>
      </w:r>
      <w:r>
        <w:rPr>
          <w:rFonts w:ascii="Calibri" w:hAnsi="Calibri"/>
          <w:sz w:val="22"/>
        </w:rPr>
        <w:t xml:space="preserve"> Enables dynamic case handling with ad-hoc tasks, document attachments, and collaboration features.</w:t>
      </w:r>
    </w:p>
    <w:p>
      <w:pPr>
        <w:spacing w:after="120"/>
        <w:ind w:left="360" w:hanging="360"/>
      </w:pPr>
      <w:r>
        <w:rPr>
          <w:rFonts w:ascii="Calibri" w:hAnsi="Calibri"/>
          <w:sz w:val="22"/>
        </w:rPr>
        <w:t xml:space="preserve">• </w:t>
      </w:r>
      <w:r>
        <w:rPr>
          <w:rFonts w:ascii="Calibri" w:hAnsi="Calibri"/>
          <w:b/>
          <w:sz w:val="22"/>
        </w:rPr>
        <w:t>Business Rules Engine:</w:t>
      </w:r>
      <w:r>
        <w:rPr>
          <w:rFonts w:ascii="Calibri" w:hAnsi="Calibri"/>
          <w:sz w:val="22"/>
        </w:rPr>
        <w:t xml:space="preserve"> Centralized rules repository allowing business users to define, test, and deploy rules without code changes.</w:t>
      </w:r>
    </w:p>
    <w:p>
      <w:pPr>
        <w:spacing w:after="120"/>
        <w:ind w:left="360" w:hanging="360"/>
      </w:pPr>
      <w:r>
        <w:rPr>
          <w:rFonts w:ascii="Calibri" w:hAnsi="Calibri"/>
          <w:sz w:val="22"/>
        </w:rPr>
        <w:t xml:space="preserve">• </w:t>
      </w:r>
      <w:r>
        <w:rPr>
          <w:rFonts w:ascii="Calibri" w:hAnsi="Calibri"/>
          <w:b/>
          <w:sz w:val="22"/>
        </w:rPr>
        <w:t>Integration Layer:</w:t>
      </w:r>
      <w:r>
        <w:rPr>
          <w:rFonts w:ascii="Calibri" w:hAnsi="Calibri"/>
          <w:sz w:val="22"/>
        </w:rPr>
        <w:t xml:space="preserve"> REST APIs, message queues, and event-based integration for seamless connectivity with MTI’s existing systems.</w:t>
      </w:r>
    </w:p>
    <w:p>
      <w:pPr>
        <w:spacing w:after="120"/>
        <w:ind w:left="360" w:hanging="360"/>
      </w:pPr>
      <w:r>
        <w:rPr>
          <w:rFonts w:ascii="Calibri" w:hAnsi="Calibri"/>
          <w:sz w:val="22"/>
        </w:rPr>
        <w:t xml:space="preserve">• </w:t>
      </w:r>
      <w:r>
        <w:rPr>
          <w:rFonts w:ascii="Calibri" w:hAnsi="Calibri"/>
          <w:b/>
          <w:sz w:val="22"/>
        </w:rPr>
        <w:t>User Experience Layer:</w:t>
      </w:r>
      <w:r>
        <w:rPr>
          <w:rFonts w:ascii="Calibri" w:hAnsi="Calibri"/>
          <w:sz w:val="22"/>
        </w:rPr>
        <w:t xml:space="preserve"> Web-based, responsive interfaces for internal users and external portals for citizens and businesses.</w:t>
      </w:r>
    </w:p>
    <w:p>
      <w:pPr>
        <w:spacing w:after="120"/>
        <w:ind w:left="360" w:hanging="360"/>
      </w:pPr>
      <w:r>
        <w:rPr>
          <w:rFonts w:ascii="Calibri" w:hAnsi="Calibri"/>
          <w:sz w:val="22"/>
        </w:rPr>
        <w:t xml:space="preserve">• </w:t>
      </w:r>
      <w:r>
        <w:rPr>
          <w:rFonts w:ascii="Calibri" w:hAnsi="Calibri"/>
          <w:b/>
          <w:sz w:val="22"/>
        </w:rPr>
        <w:t>Analytics and Reporting:</w:t>
      </w:r>
      <w:r>
        <w:rPr>
          <w:rFonts w:ascii="Calibri" w:hAnsi="Calibri"/>
          <w:sz w:val="22"/>
        </w:rPr>
        <w:t xml:space="preserve"> Real-time dashboards for SLA tracking, workload distribution, and performance monitoring.</w:t>
      </w:r>
    </w:p>
    <w:p/>
    <w:p>
      <w:pPr>
        <w:pStyle w:val="Heading3"/>
      </w:pPr>
      <w:r>
        <w:t>3.2 Key Differentiators</w:t>
      </w:r>
    </w:p>
    <w:p>
      <w:pPr>
        <w:pStyle w:val="ListNumber"/>
      </w:pPr>
      <w:r>
        <w:rPr>
          <w:b/>
        </w:rPr>
        <w:t>Low-Code, Model-Driven Development:</w:t>
      </w:r>
      <w:r>
        <w:t xml:space="preserve"> Pega Constellation’s visual modeling tools enable rapid configuration and iterative delivery.</w:t>
      </w:r>
    </w:p>
    <w:p>
      <w:pPr>
        <w:pStyle w:val="ListNumber"/>
      </w:pPr>
      <w:r>
        <w:rPr>
          <w:b/>
        </w:rPr>
        <w:t>AI-Enhanced Automation:</w:t>
      </w:r>
      <w:r>
        <w:t xml:space="preserve"> fusionAIx’s proprietary </w:t>
      </w:r>
      <w:r>
        <w:rPr>
          <w:b/>
        </w:rPr>
        <w:t>fxAIStudio</w:t>
      </w:r>
      <w:r>
        <w:t xml:space="preserve"> integrates predictive analytics and intelligent routing to optimize case handling.</w:t>
      </w:r>
    </w:p>
    <w:p>
      <w:pPr>
        <w:pStyle w:val="ListNumber"/>
      </w:pPr>
      <w:r>
        <w:rPr>
          <w:b/>
        </w:rPr>
        <w:t>Accelerated Delivery:</w:t>
      </w:r>
      <w:r>
        <w:t xml:space="preserve"> Our </w:t>
      </w:r>
      <w:r>
        <w:rPr>
          <w:b/>
        </w:rPr>
        <w:t>fxSmartDCO</w:t>
      </w:r>
      <w:r>
        <w:t xml:space="preserve"> accelerator streamlines requirements capture and process modeling, reducing design time by up to 40%.</w:t>
      </w:r>
    </w:p>
    <w:p>
      <w:pPr>
        <w:pStyle w:val="ListNumber"/>
      </w:pPr>
      <w:r>
        <w:rPr>
          <w:b/>
        </w:rPr>
        <w:t>Reusable Components:</w:t>
      </w:r>
      <w:r>
        <w:t xml:space="preserve"> </w:t>
      </w:r>
      <w:r>
        <w:rPr>
          <w:b/>
        </w:rPr>
        <w:t>fxAgentSDK</w:t>
      </w:r>
      <w:r>
        <w:t xml:space="preserve"> and </w:t>
      </w:r>
      <w:r>
        <w:rPr>
          <w:b/>
        </w:rPr>
        <w:t>fxMockUpToView</w:t>
      </w:r>
      <w:r>
        <w:t xml:space="preserve"> enable rapid UI prototyping and reusable component libraries.</w:t>
      </w:r>
    </w:p>
    <w:p>
      <w:pPr>
        <w:pStyle w:val="ListNumber"/>
      </w:pPr>
      <w:r>
        <w:rPr>
          <w:b/>
        </w:rPr>
        <w:t>Proven Government Experience:</w:t>
      </w:r>
      <w:r>
        <w:t xml:space="preserve"> fusionAIx has delivered similar BPM solutions for public sector clients, ensuring compliance with government standards.</w:t>
      </w:r>
    </w:p>
    <w:p/>
    <w:p>
      <w:pPr>
        <w:pStyle w:val="Heading3"/>
      </w:pPr>
      <w:r>
        <w:t>3.3 Security and Compliance</w:t>
      </w:r>
    </w:p>
    <w:p>
      <w:pPr>
        <w:spacing w:after="120"/>
        <w:ind w:left="360" w:hanging="360"/>
      </w:pPr>
      <w:r>
        <w:rPr>
          <w:rFonts w:ascii="Calibri" w:hAnsi="Calibri"/>
          <w:sz w:val="22"/>
        </w:rPr>
        <w:t xml:space="preserve">• </w:t>
      </w:r>
      <w:r>
        <w:rPr>
          <w:rFonts w:ascii="Calibri" w:hAnsi="Calibri"/>
          <w:b/>
          <w:sz w:val="22"/>
        </w:rPr>
        <w:t>Role-Based Access Control (RBAC):</w:t>
      </w:r>
      <w:r>
        <w:rPr>
          <w:rFonts w:ascii="Calibri" w:hAnsi="Calibri"/>
          <w:sz w:val="22"/>
        </w:rPr>
        <w:t xml:space="preserve"> Fine-grained permissions ensure users access only authorized data and functions.</w:t>
      </w:r>
    </w:p>
    <w:p>
      <w:pPr>
        <w:spacing w:after="120"/>
        <w:ind w:left="360" w:hanging="360"/>
      </w:pPr>
      <w:r>
        <w:rPr>
          <w:rFonts w:ascii="Calibri" w:hAnsi="Calibri"/>
          <w:sz w:val="22"/>
        </w:rPr>
        <w:t xml:space="preserve">• </w:t>
      </w:r>
      <w:r>
        <w:rPr>
          <w:rFonts w:ascii="Calibri" w:hAnsi="Calibri"/>
          <w:b/>
          <w:sz w:val="22"/>
        </w:rPr>
        <w:t>Audit Logging:</w:t>
      </w:r>
      <w:r>
        <w:rPr>
          <w:rFonts w:ascii="Calibri" w:hAnsi="Calibri"/>
          <w:sz w:val="22"/>
        </w:rPr>
        <w:t xml:space="preserve"> Comprehensive tracking of user actions, process changes, and rule updates.</w:t>
      </w:r>
    </w:p>
    <w:p>
      <w:pPr>
        <w:spacing w:after="120"/>
        <w:ind w:left="360" w:hanging="360"/>
      </w:pPr>
      <w:r>
        <w:rPr>
          <w:rFonts w:ascii="Calibri" w:hAnsi="Calibri"/>
          <w:sz w:val="22"/>
        </w:rPr>
        <w:t xml:space="preserve">• </w:t>
      </w:r>
      <w:r>
        <w:rPr>
          <w:rFonts w:ascii="Calibri" w:hAnsi="Calibri"/>
          <w:b/>
          <w:sz w:val="22"/>
        </w:rPr>
        <w:t>Data Protection:</w:t>
      </w:r>
      <w:r>
        <w:rPr>
          <w:rFonts w:ascii="Calibri" w:hAnsi="Calibri"/>
          <w:sz w:val="22"/>
        </w:rPr>
        <w:t xml:space="preserve"> Compliance with national data protection laws and government cybersecurity frameworks.</w:t>
      </w:r>
    </w:p>
    <w:p>
      <w:pPr>
        <w:spacing w:after="120"/>
        <w:ind w:left="360" w:hanging="360"/>
      </w:pPr>
      <w:r>
        <w:rPr>
          <w:rFonts w:ascii="Calibri" w:hAnsi="Calibri"/>
          <w:sz w:val="22"/>
        </w:rPr>
        <w:t xml:space="preserve">• </w:t>
      </w:r>
      <w:r>
        <w:rPr>
          <w:rFonts w:ascii="Calibri" w:hAnsi="Calibri"/>
          <w:b/>
          <w:sz w:val="22"/>
        </w:rPr>
        <w:t>Identity Integration:</w:t>
      </w:r>
      <w:r>
        <w:rPr>
          <w:rFonts w:ascii="Calibri" w:hAnsi="Calibri"/>
          <w:sz w:val="22"/>
        </w:rPr>
        <w:t xml:space="preserve"> Secure SSO integration with MTI’s identity management system.</w:t>
      </w:r>
    </w:p>
    <w:p/>
    <w:p>
      <w:pPr>
        <w:pStyle w:val="Heading3"/>
      </w:pPr>
      <w:r>
        <w:t>3.4 Scalability and Performance</w:t>
      </w:r>
    </w:p>
    <w:p>
      <w:r>
        <w:t>The platform supports horizontal scaling to accommodate MTI’s anticipated user base, including internal staff and external applicants. Built-in caching, asynchronous processing, and load balancing ensure consistent performance under high transaction volumes.</w:t>
      </w:r>
    </w:p>
    <w:p/>
    <w:p>
      <w:pPr>
        <w:pStyle w:val="Heading2"/>
      </w:pPr>
      <w:r>
        <w:t>4. Implementation Approach and Methodology</w:t>
      </w:r>
    </w:p>
    <w:p/>
    <w:p>
      <w:r>
        <w:t>FusionAIx follows a phased, agile implementation methodology that ensures rapid value delivery while maintaining governance and quality.</w:t>
      </w:r>
    </w:p>
    <w:p/>
    <w:p>
      <w:pPr>
        <w:pStyle w:val="Heading3"/>
      </w:pPr>
      <w:r>
        <w:t>4.1 Phase 1: Discovery and Requirements Refinement</w:t>
      </w:r>
    </w:p>
    <w:p>
      <w:pPr>
        <w:spacing w:after="120"/>
        <w:ind w:left="360" w:hanging="360"/>
      </w:pPr>
      <w:r>
        <w:rPr>
          <w:rFonts w:ascii="Calibri" w:hAnsi="Calibri"/>
          <w:sz w:val="22"/>
        </w:rPr>
        <w:t xml:space="preserve">• </w:t>
      </w:r>
      <w:r>
        <w:rPr>
          <w:rFonts w:ascii="Calibri" w:hAnsi="Calibri"/>
          <w:sz w:val="22"/>
        </w:rPr>
        <w:t>Conduct collaborative workshops with MTI stakeholders.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to capture business requirements and process models directly in the BPM platform.</w:t>
      </w:r>
    </w:p>
    <w:p>
      <w:pPr>
        <w:spacing w:after="120"/>
        <w:ind w:left="360" w:hanging="360"/>
      </w:pPr>
      <w:r>
        <w:rPr>
          <w:rFonts w:ascii="Calibri" w:hAnsi="Calibri"/>
          <w:sz w:val="22"/>
        </w:rPr>
        <w:t xml:space="preserve">• </w:t>
      </w:r>
      <w:r>
        <w:rPr>
          <w:rFonts w:ascii="Calibri" w:hAnsi="Calibri"/>
          <w:sz w:val="22"/>
        </w:rPr>
        <w:t>Define process scope, user roles, and integration points.</w:t>
      </w:r>
    </w:p>
    <w:p/>
    <w:p>
      <w:pPr>
        <w:pStyle w:val="Heading3"/>
      </w:pPr>
      <w:r>
        <w:t>4.2 Phase 2: Solution Design</w:t>
      </w:r>
    </w:p>
    <w:p>
      <w:pPr>
        <w:spacing w:after="120"/>
        <w:ind w:left="360" w:hanging="360"/>
      </w:pPr>
      <w:r>
        <w:rPr>
          <w:rFonts w:ascii="Calibri" w:hAnsi="Calibri"/>
          <w:sz w:val="22"/>
        </w:rPr>
        <w:t xml:space="preserve">• </w:t>
      </w:r>
      <w:r>
        <w:rPr>
          <w:rFonts w:ascii="Calibri" w:hAnsi="Calibri"/>
          <w:sz w:val="22"/>
        </w:rPr>
        <w:t>Develop process models, case types, and data structures.</w:t>
      </w:r>
    </w:p>
    <w:p>
      <w:pPr>
        <w:spacing w:after="120"/>
        <w:ind w:left="360" w:hanging="360"/>
      </w:pPr>
      <w:r>
        <w:rPr>
          <w:rFonts w:ascii="Calibri" w:hAnsi="Calibri"/>
          <w:sz w:val="22"/>
        </w:rPr>
        <w:t xml:space="preserve">• </w:t>
      </w:r>
      <w:r>
        <w:rPr>
          <w:rFonts w:ascii="Calibri" w:hAnsi="Calibri"/>
          <w:sz w:val="22"/>
        </w:rPr>
        <w:t>Configure business rules, SLAs, and user interfaces.</w:t>
      </w:r>
    </w:p>
    <w:p>
      <w:pPr>
        <w:spacing w:after="120"/>
        <w:ind w:left="360" w:hanging="360"/>
      </w:pPr>
      <w:r>
        <w:rPr>
          <w:rFonts w:ascii="Calibri" w:hAnsi="Calibri"/>
          <w:sz w:val="22"/>
        </w:rPr>
        <w:t xml:space="preserve">• </w:t>
      </w:r>
      <w:r>
        <w:rPr>
          <w:rFonts w:ascii="Calibri" w:hAnsi="Calibri"/>
          <w:sz w:val="22"/>
        </w:rPr>
        <w:t>Design integration architecture and security model.</w:t>
      </w:r>
    </w:p>
    <w:p/>
    <w:p>
      <w:pPr>
        <w:pStyle w:val="Heading3"/>
      </w:pPr>
      <w:r>
        <w:t>4.3 Phase 3: Build and Configuration</w:t>
      </w:r>
    </w:p>
    <w:p>
      <w:pPr>
        <w:spacing w:after="120"/>
        <w:ind w:left="360" w:hanging="360"/>
      </w:pPr>
      <w:r>
        <w:rPr>
          <w:rFonts w:ascii="Calibri" w:hAnsi="Calibri"/>
          <w:sz w:val="22"/>
        </w:rPr>
        <w:t xml:space="preserve">• </w:t>
      </w:r>
      <w:r>
        <w:rPr>
          <w:rFonts w:ascii="Calibri" w:hAnsi="Calibri"/>
          <w:sz w:val="22"/>
        </w:rPr>
        <w:t>Configure workflows, forms, and dashboards using low-code tools.</w:t>
      </w:r>
    </w:p>
    <w:p>
      <w:pPr>
        <w:spacing w:after="120"/>
        <w:ind w:left="360" w:hanging="360"/>
      </w:pPr>
      <w:r>
        <w:rPr>
          <w:rFonts w:ascii="Calibri" w:hAnsi="Calibri"/>
          <w:sz w:val="22"/>
        </w:rPr>
        <w:t xml:space="preserve">• </w:t>
      </w:r>
      <w:r>
        <w:rPr>
          <w:rFonts w:ascii="Calibri" w:hAnsi="Calibri"/>
          <w:sz w:val="22"/>
        </w:rPr>
        <w:t>Implement integrations with MTI’s systems via REST APIs.</w:t>
      </w:r>
    </w:p>
    <w:p>
      <w:pPr>
        <w:spacing w:after="120"/>
        <w:ind w:left="360" w:hanging="360"/>
      </w:pPr>
      <w:r>
        <w:rPr>
          <w:rFonts w:ascii="Calibri" w:hAnsi="Calibri"/>
          <w:sz w:val="22"/>
        </w:rPr>
        <w:t xml:space="preserve">• </w:t>
      </w:r>
      <w:r>
        <w:rPr>
          <w:rFonts w:ascii="Calibri" w:hAnsi="Calibri"/>
          <w:sz w:val="22"/>
        </w:rPr>
        <w:t>Conduct iterative demos for stakeholder feedback.</w:t>
      </w:r>
    </w:p>
    <w:p/>
    <w:p>
      <w:pPr>
        <w:pStyle w:val="Heading3"/>
      </w:pPr>
      <w:r>
        <w:t>4.4 Phase 4: Testing</w:t>
      </w:r>
    </w:p>
    <w:p>
      <w:pPr>
        <w:spacing w:after="120"/>
        <w:ind w:left="360" w:hanging="360"/>
      </w:pPr>
      <w:r>
        <w:rPr>
          <w:rFonts w:ascii="Calibri" w:hAnsi="Calibri"/>
          <w:sz w:val="22"/>
        </w:rPr>
        <w:t xml:space="preserve">• </w:t>
      </w:r>
      <w:r>
        <w:rPr>
          <w:rFonts w:ascii="Calibri" w:hAnsi="Calibri"/>
          <w:b/>
          <w:sz w:val="22"/>
        </w:rPr>
        <w:t>System and Integration Testing (SIT):</w:t>
      </w:r>
      <w:r>
        <w:rPr>
          <w:rFonts w:ascii="Calibri" w:hAnsi="Calibri"/>
          <w:sz w:val="22"/>
        </w:rPr>
        <w:t xml:space="preserve"> Validate end-to-end functionality and integrations.</w:t>
      </w:r>
    </w:p>
    <w:p>
      <w:pPr>
        <w:spacing w:after="120"/>
        <w:ind w:left="360" w:hanging="360"/>
      </w:pPr>
      <w:r>
        <w:rPr>
          <w:rFonts w:ascii="Calibri" w:hAnsi="Calibri"/>
          <w:sz w:val="22"/>
        </w:rPr>
        <w:t xml:space="preserve">• </w:t>
      </w:r>
      <w:r>
        <w:rPr>
          <w:rFonts w:ascii="Calibri" w:hAnsi="Calibri"/>
          <w:b/>
          <w:sz w:val="22"/>
        </w:rPr>
        <w:t>Performance Testing:</w:t>
      </w:r>
      <w:r>
        <w:rPr>
          <w:rFonts w:ascii="Calibri" w:hAnsi="Calibri"/>
          <w:sz w:val="22"/>
        </w:rPr>
        <w:t xml:space="preserve"> Ensure scalability and response times meet SLAs.</w:t>
      </w:r>
    </w:p>
    <w:p>
      <w:pPr>
        <w:spacing w:after="120"/>
        <w:ind w:left="360" w:hanging="360"/>
      </w:pPr>
      <w:r>
        <w:rPr>
          <w:rFonts w:ascii="Calibri" w:hAnsi="Calibri"/>
          <w:sz w:val="22"/>
        </w:rPr>
        <w:t xml:space="preserve">• </w:t>
      </w:r>
      <w:r>
        <w:rPr>
          <w:rFonts w:ascii="Calibri" w:hAnsi="Calibri"/>
          <w:b/>
          <w:sz w:val="22"/>
        </w:rPr>
        <w:t>Security Testing:</w:t>
      </w:r>
      <w:r>
        <w:rPr>
          <w:rFonts w:ascii="Calibri" w:hAnsi="Calibri"/>
          <w:sz w:val="22"/>
        </w:rPr>
        <w:t xml:space="preserve"> Validate access controls and data protection.</w:t>
      </w:r>
    </w:p>
    <w:p>
      <w:pPr>
        <w:spacing w:after="120"/>
        <w:ind w:left="360" w:hanging="360"/>
      </w:pPr>
      <w:r>
        <w:rPr>
          <w:rFonts w:ascii="Calibri" w:hAnsi="Calibri"/>
          <w:sz w:val="22"/>
        </w:rPr>
        <w:t xml:space="preserve">• </w:t>
      </w:r>
      <w:r>
        <w:rPr>
          <w:rFonts w:ascii="Calibri" w:hAnsi="Calibri"/>
          <w:b/>
          <w:sz w:val="22"/>
        </w:rPr>
        <w:t>User Acceptance Testing (UAT):</w:t>
      </w:r>
      <w:r>
        <w:rPr>
          <w:rFonts w:ascii="Calibri" w:hAnsi="Calibri"/>
          <w:sz w:val="22"/>
        </w:rPr>
        <w:t xml:space="preserve"> Support MTI users in validating business scenarios.</w:t>
      </w:r>
    </w:p>
    <w:p/>
    <w:p>
      <w:pPr>
        <w:pStyle w:val="Heading3"/>
      </w:pPr>
      <w:r>
        <w:t>4.5 Phase 5: Training and Change Enablement</w:t>
      </w:r>
    </w:p>
    <w:p>
      <w:pPr>
        <w:spacing w:after="120"/>
        <w:ind w:left="360" w:hanging="360"/>
      </w:pPr>
      <w:r>
        <w:rPr>
          <w:rFonts w:ascii="Calibri" w:hAnsi="Calibri"/>
          <w:sz w:val="22"/>
        </w:rPr>
        <w:t xml:space="preserve">• </w:t>
      </w:r>
      <w:r>
        <w:rPr>
          <w:rFonts w:ascii="Calibri" w:hAnsi="Calibri"/>
          <w:sz w:val="22"/>
        </w:rPr>
        <w:t>Deliver training for administrators, power users, and end users.</w:t>
      </w:r>
    </w:p>
    <w:p>
      <w:pPr>
        <w:spacing w:after="120"/>
        <w:ind w:left="360" w:hanging="360"/>
      </w:pPr>
      <w:r>
        <w:rPr>
          <w:rFonts w:ascii="Calibri" w:hAnsi="Calibri"/>
          <w:sz w:val="22"/>
        </w:rPr>
        <w:t xml:space="preserve">• </w:t>
      </w:r>
      <w:r>
        <w:rPr>
          <w:rFonts w:ascii="Calibri" w:hAnsi="Calibri"/>
          <w:sz w:val="22"/>
        </w:rPr>
        <w:t>Provide training materials, user guides, and job aids.</w:t>
      </w:r>
    </w:p>
    <w:p>
      <w:pPr>
        <w:spacing w:after="120"/>
        <w:ind w:left="360" w:hanging="360"/>
      </w:pPr>
      <w:r>
        <w:rPr>
          <w:rFonts w:ascii="Calibri" w:hAnsi="Calibri"/>
          <w:sz w:val="22"/>
        </w:rPr>
        <w:t xml:space="preserve">• </w:t>
      </w:r>
      <w:r>
        <w:rPr>
          <w:rFonts w:ascii="Calibri" w:hAnsi="Calibri"/>
          <w:sz w:val="22"/>
        </w:rPr>
        <w:t>Conduct change management sessions to ensure adoption.</w:t>
      </w:r>
    </w:p>
    <w:p/>
    <w:p>
      <w:pPr>
        <w:pStyle w:val="Heading3"/>
      </w:pPr>
      <w:r>
        <w:t>4.6 Phase 6: Go-Live and Hypercare</w:t>
      </w:r>
    </w:p>
    <w:p>
      <w:pPr>
        <w:spacing w:after="120"/>
        <w:ind w:left="360" w:hanging="360"/>
      </w:pPr>
      <w:r>
        <w:rPr>
          <w:rFonts w:ascii="Calibri" w:hAnsi="Calibri"/>
          <w:sz w:val="22"/>
        </w:rPr>
        <w:t xml:space="preserve">• </w:t>
      </w:r>
      <w:r>
        <w:rPr>
          <w:rFonts w:ascii="Calibri" w:hAnsi="Calibri"/>
          <w:sz w:val="22"/>
        </w:rPr>
        <w:t>Execute cutover plan and production deployment.</w:t>
      </w:r>
    </w:p>
    <w:p>
      <w:pPr>
        <w:spacing w:after="120"/>
        <w:ind w:left="360" w:hanging="360"/>
      </w:pPr>
      <w:r>
        <w:rPr>
          <w:rFonts w:ascii="Calibri" w:hAnsi="Calibri"/>
          <w:sz w:val="22"/>
        </w:rPr>
        <w:t xml:space="preserve">• </w:t>
      </w:r>
      <w:r>
        <w:rPr>
          <w:rFonts w:ascii="Calibri" w:hAnsi="Calibri"/>
          <w:sz w:val="22"/>
        </w:rPr>
        <w:t>Provide hypercare support for stabilization.</w:t>
      </w:r>
    </w:p>
    <w:p>
      <w:pPr>
        <w:spacing w:after="120"/>
        <w:ind w:left="360" w:hanging="360"/>
      </w:pPr>
      <w:r>
        <w:rPr>
          <w:rFonts w:ascii="Calibri" w:hAnsi="Calibri"/>
          <w:sz w:val="22"/>
        </w:rPr>
        <w:t xml:space="preserve">• </w:t>
      </w:r>
      <w:r>
        <w:rPr>
          <w:rFonts w:ascii="Calibri" w:hAnsi="Calibri"/>
          <w:sz w:val="22"/>
        </w:rPr>
        <w:t>Transition to steady-state support operations.</w:t>
      </w:r>
    </w:p>
    <w:p/>
    <w:p>
      <w:pPr>
        <w:pStyle w:val="Heading3"/>
      </w:pPr>
      <w:r>
        <w:t>4.7 Phase 7: Continuous Improvement</w:t>
      </w:r>
    </w:p>
    <w:p>
      <w:pPr>
        <w:spacing w:after="120"/>
        <w:ind w:left="360" w:hanging="360"/>
      </w:pPr>
      <w:r>
        <w:rPr>
          <w:rFonts w:ascii="Calibri" w:hAnsi="Calibri"/>
          <w:sz w:val="22"/>
        </w:rPr>
        <w:t xml:space="preserve">• </w:t>
      </w:r>
      <w:r>
        <w:rPr>
          <w:rFonts w:ascii="Calibri" w:hAnsi="Calibri"/>
          <w:sz w:val="22"/>
        </w:rPr>
        <w:t>Monitor KPIs and SLAs.</w:t>
      </w:r>
    </w:p>
    <w:p>
      <w:pPr>
        <w:spacing w:after="120"/>
        <w:ind w:left="360" w:hanging="360"/>
      </w:pPr>
      <w:r>
        <w:rPr>
          <w:rFonts w:ascii="Calibri" w:hAnsi="Calibri"/>
          <w:sz w:val="22"/>
        </w:rPr>
        <w:t xml:space="preserve">• </w:t>
      </w:r>
      <w:r>
        <w:rPr>
          <w:rFonts w:ascii="Calibri" w:hAnsi="Calibri"/>
          <w:sz w:val="22"/>
        </w:rPr>
        <w:t>Conduct post-implementation reviews.</w:t>
      </w:r>
    </w:p>
    <w:p>
      <w:pPr>
        <w:spacing w:after="120"/>
        <w:ind w:left="360" w:hanging="360"/>
      </w:pPr>
      <w:r>
        <w:rPr>
          <w:rFonts w:ascii="Calibri" w:hAnsi="Calibri"/>
          <w:sz w:val="22"/>
        </w:rPr>
        <w:t xml:space="preserve">• </w:t>
      </w:r>
      <w:r>
        <w:rPr>
          <w:rFonts w:ascii="Calibri" w:hAnsi="Calibri"/>
          <w:sz w:val="22"/>
        </w:rPr>
        <w:t>Implement enhancements through iterative releases.</w:t>
      </w:r>
    </w:p>
    <w:p/>
    <w:p>
      <w:pPr>
        <w:pStyle w:val="Heading2"/>
      </w:pPr>
      <w:r>
        <w:t>5. Project Plan and Timelines</w:t>
      </w:r>
    </w:p>
    <w:p/>
    <w:p>
      <w:r>
        <w:t>The following baseline timeline assumes an initial release covering two core processes (e.g., business licensing and grants management). The schedule will be refined upon confirmation of MTI’s priorities and user volumes.</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Discovery &amp; Requirements</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Process models, requirements baseline</w:t>
            </w:r>
          </w:p>
        </w:tc>
      </w:tr>
      <w:tr>
        <w:tc>
          <w:tcPr>
            <w:tcW w:type="dxa" w:w="3120"/>
            <w:vAlign w:val="top"/>
            <w:tcMar>
              <w:top w:w="80" w:type="dxa"/>
              <w:right w:w="80" w:type="dxa"/>
              <w:bottom w:w="80" w:type="dxa"/>
              <w:left w:w="80" w:type="dxa"/>
            </w:tcMar>
          </w:tcPr>
          <w:p>
            <w:r>
              <w:t>Design &amp; Configuration</w:t>
            </w:r>
          </w:p>
        </w:tc>
        <w:tc>
          <w:tcPr>
            <w:tcW w:type="dxa" w:w="3120"/>
            <w:vAlign w:val="top"/>
            <w:tcMar>
              <w:top w:w="80" w:type="dxa"/>
              <w:right w:w="80" w:type="dxa"/>
              <w:bottom w:w="80" w:type="dxa"/>
              <w:left w:w="80" w:type="dxa"/>
            </w:tcMar>
          </w:tcPr>
          <w:p>
            <w:r>
              <w:t>8 weeks</w:t>
            </w:r>
          </w:p>
        </w:tc>
        <w:tc>
          <w:tcPr>
            <w:tcW w:type="dxa" w:w="3120"/>
            <w:vAlign w:val="top"/>
            <w:tcMar>
              <w:top w:w="80" w:type="dxa"/>
              <w:right w:w="80" w:type="dxa"/>
              <w:bottom w:w="80" w:type="dxa"/>
              <w:left w:w="80" w:type="dxa"/>
            </w:tcMar>
          </w:tcPr>
          <w:p>
            <w:r>
              <w:t>Configured workflows, rules, and UI</w:t>
            </w:r>
          </w:p>
        </w:tc>
      </w:tr>
      <w:tr>
        <w:tc>
          <w:tcPr>
            <w:tcW w:type="dxa" w:w="3120"/>
            <w:vAlign w:val="top"/>
            <w:tcMar>
              <w:top w:w="80" w:type="dxa"/>
              <w:right w:w="80" w:type="dxa"/>
              <w:bottom w:w="80" w:type="dxa"/>
              <w:left w:w="80" w:type="dxa"/>
            </w:tcMar>
          </w:tcPr>
          <w:p>
            <w:r>
              <w:t>Testing &amp; UAT</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Tested and validated solution</w:t>
            </w:r>
          </w:p>
        </w:tc>
      </w:tr>
      <w:tr>
        <w:tc>
          <w:tcPr>
            <w:tcW w:type="dxa" w:w="3120"/>
            <w:vAlign w:val="top"/>
            <w:tcMar>
              <w:top w:w="80" w:type="dxa"/>
              <w:right w:w="80" w:type="dxa"/>
              <w:bottom w:w="80" w:type="dxa"/>
              <w:left w:w="80" w:type="dxa"/>
            </w:tcMar>
          </w:tcPr>
          <w:p>
            <w:r>
              <w:t>Training &amp; Go-Live</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Trained users, production deployment</w:t>
            </w:r>
          </w:p>
        </w:tc>
      </w:tr>
      <w:tr>
        <w:tc>
          <w:tcPr>
            <w:tcW w:type="dxa" w:w="3120"/>
            <w:vAlign w:val="top"/>
            <w:tcMar>
              <w:top w:w="80" w:type="dxa"/>
              <w:right w:w="80" w:type="dxa"/>
              <w:bottom w:w="80" w:type="dxa"/>
              <w:left w:w="80" w:type="dxa"/>
            </w:tcMar>
          </w:tcPr>
          <w:p>
            <w:r>
              <w:t>Hypercare &amp; Transition</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Stabilized operations, support handover</w:t>
            </w:r>
          </w:p>
        </w:tc>
      </w:tr>
    </w:tbl>
    <w:p>
      <w:r>
        <w:t>Total Estimated Duration: 22 weeks (approx. 5–6 months)</w:t>
      </w:r>
    </w:p>
    <w:p/>
    <w:p>
      <w:r>
        <w:t>Major Milestones:</w:t>
      </w:r>
    </w:p>
    <w:p>
      <w:pPr>
        <w:spacing w:after="120"/>
        <w:ind w:left="360" w:hanging="360"/>
      </w:pPr>
      <w:r>
        <w:rPr>
          <w:rFonts w:ascii="Calibri" w:hAnsi="Calibri"/>
          <w:sz w:val="22"/>
        </w:rPr>
        <w:t xml:space="preserve">• </w:t>
      </w:r>
      <w:r>
        <w:rPr>
          <w:rFonts w:ascii="Calibri" w:hAnsi="Calibri"/>
          <w:sz w:val="22"/>
        </w:rPr>
        <w:t>M1: Project Kickoff</w:t>
      </w:r>
    </w:p>
    <w:p>
      <w:pPr>
        <w:spacing w:after="120"/>
        <w:ind w:left="360" w:hanging="360"/>
      </w:pPr>
      <w:r>
        <w:rPr>
          <w:rFonts w:ascii="Calibri" w:hAnsi="Calibri"/>
          <w:sz w:val="22"/>
        </w:rPr>
        <w:t xml:space="preserve">• </w:t>
      </w:r>
      <w:r>
        <w:rPr>
          <w:rFonts w:ascii="Calibri" w:hAnsi="Calibri"/>
          <w:sz w:val="22"/>
        </w:rPr>
        <w:t>M2: Requirements Sign-Off</w:t>
      </w:r>
    </w:p>
    <w:p>
      <w:pPr>
        <w:spacing w:after="120"/>
        <w:ind w:left="360" w:hanging="360"/>
      </w:pPr>
      <w:r>
        <w:rPr>
          <w:rFonts w:ascii="Calibri" w:hAnsi="Calibri"/>
          <w:sz w:val="22"/>
        </w:rPr>
        <w:t xml:space="preserve">• </w:t>
      </w:r>
      <w:r>
        <w:rPr>
          <w:rFonts w:ascii="Calibri" w:hAnsi="Calibri"/>
          <w:sz w:val="22"/>
        </w:rPr>
        <w:t>M3: Design Completion</w:t>
      </w:r>
    </w:p>
    <w:p>
      <w:pPr>
        <w:spacing w:after="120"/>
        <w:ind w:left="360" w:hanging="360"/>
      </w:pPr>
      <w:r>
        <w:rPr>
          <w:rFonts w:ascii="Calibri" w:hAnsi="Calibri"/>
          <w:sz w:val="22"/>
        </w:rPr>
        <w:t xml:space="preserve">• </w:t>
      </w:r>
      <w:r>
        <w:rPr>
          <w:rFonts w:ascii="Calibri" w:hAnsi="Calibri"/>
          <w:sz w:val="22"/>
        </w:rPr>
        <w:t>M4: UAT Sign-Off</w:t>
      </w:r>
    </w:p>
    <w:p>
      <w:pPr>
        <w:spacing w:after="120"/>
        <w:ind w:left="360" w:hanging="360"/>
      </w:pPr>
      <w:r>
        <w:rPr>
          <w:rFonts w:ascii="Calibri" w:hAnsi="Calibri"/>
          <w:sz w:val="22"/>
        </w:rPr>
        <w:t xml:space="preserve">• </w:t>
      </w:r>
      <w:r>
        <w:rPr>
          <w:rFonts w:ascii="Calibri" w:hAnsi="Calibri"/>
          <w:sz w:val="22"/>
        </w:rPr>
        <w:t>M5: Go-Live</w:t>
      </w:r>
    </w:p>
    <w:p>
      <w:pPr>
        <w:spacing w:after="120"/>
        <w:ind w:left="360" w:hanging="360"/>
      </w:pPr>
      <w:r>
        <w:rPr>
          <w:rFonts w:ascii="Calibri" w:hAnsi="Calibri"/>
          <w:sz w:val="22"/>
        </w:rPr>
        <w:t xml:space="preserve">• </w:t>
      </w:r>
      <w:r>
        <w:rPr>
          <w:rFonts w:ascii="Calibri" w:hAnsi="Calibri"/>
          <w:sz w:val="22"/>
        </w:rPr>
        <w:t>M6: Transition to Support</w:t>
      </w:r>
    </w:p>
    <w:p/>
    <w:p>
      <w:pPr>
        <w:pStyle w:val="Heading2"/>
      </w:pPr>
      <w:r>
        <w:t>6. Proposed Team Structure</w:t>
      </w:r>
    </w:p>
    <w:p/>
    <w:p>
      <w:r>
        <w:t>FusionAIx proposes a blended team model combining onshore leadership and offshore delivery to ensure cost efficiency and responsiveness.</w:t>
      </w:r>
    </w:p>
    <w:p/>
    <w:p>
      <w:pPr>
        <w:pStyle w:val="Heading3"/>
      </w:pPr>
      <w:r>
        <w:t>Key Roles</w:t>
      </w:r>
    </w:p>
    <w:p>
      <w:pPr>
        <w:spacing w:after="120"/>
        <w:ind w:left="360" w:hanging="360"/>
      </w:pPr>
      <w:r>
        <w:rPr>
          <w:rFonts w:ascii="Calibri" w:hAnsi="Calibri"/>
          <w:sz w:val="22"/>
        </w:rPr>
        <w:t xml:space="preserve">• </w:t>
      </w:r>
      <w:r>
        <w:rPr>
          <w:rFonts w:ascii="Calibri" w:hAnsi="Calibri"/>
          <w:b/>
          <w:sz w:val="22"/>
        </w:rPr>
        <w:t>Program Manager:</w:t>
      </w:r>
      <w:r>
        <w:rPr>
          <w:rFonts w:ascii="Calibri" w:hAnsi="Calibri"/>
          <w:sz w:val="22"/>
        </w:rPr>
        <w:t xml:space="preserve"> Overall project governance and stakeholder management.</w:t>
      </w:r>
    </w:p>
    <w:p>
      <w:pPr>
        <w:spacing w:after="120"/>
        <w:ind w:left="360" w:hanging="360"/>
      </w:pPr>
      <w:r>
        <w:rPr>
          <w:rFonts w:ascii="Calibri" w:hAnsi="Calibri"/>
          <w:sz w:val="22"/>
        </w:rPr>
        <w:t xml:space="preserve">• </w:t>
      </w:r>
      <w:r>
        <w:rPr>
          <w:rFonts w:ascii="Calibri" w:hAnsi="Calibri"/>
          <w:b/>
          <w:sz w:val="22"/>
        </w:rPr>
        <w:t>Solution Architect:</w:t>
      </w:r>
      <w:r>
        <w:rPr>
          <w:rFonts w:ascii="Calibri" w:hAnsi="Calibri"/>
          <w:sz w:val="22"/>
        </w:rPr>
        <w:t xml:space="preserve"> Technical design, integration, and platform configuration.</w:t>
      </w:r>
    </w:p>
    <w:p>
      <w:pPr>
        <w:spacing w:after="120"/>
        <w:ind w:left="360" w:hanging="360"/>
      </w:pPr>
      <w:r>
        <w:rPr>
          <w:rFonts w:ascii="Calibri" w:hAnsi="Calibri"/>
          <w:sz w:val="22"/>
        </w:rPr>
        <w:t xml:space="preserve">• </w:t>
      </w:r>
      <w:r>
        <w:rPr>
          <w:rFonts w:ascii="Calibri" w:hAnsi="Calibri"/>
          <w:b/>
          <w:sz w:val="22"/>
        </w:rPr>
        <w:t>Business Analyst:</w:t>
      </w:r>
      <w:r>
        <w:rPr>
          <w:rFonts w:ascii="Calibri" w:hAnsi="Calibri"/>
          <w:sz w:val="22"/>
        </w:rPr>
        <w:t xml:space="preserve"> Requirements gathering and process modeling.</w:t>
      </w:r>
    </w:p>
    <w:p>
      <w:pPr>
        <w:spacing w:after="120"/>
        <w:ind w:left="360" w:hanging="360"/>
      </w:pPr>
      <w:r>
        <w:rPr>
          <w:rFonts w:ascii="Calibri" w:hAnsi="Calibri"/>
          <w:sz w:val="22"/>
        </w:rPr>
        <w:t xml:space="preserve">• </w:t>
      </w:r>
      <w:r>
        <w:rPr>
          <w:rFonts w:ascii="Calibri" w:hAnsi="Calibri"/>
          <w:b/>
          <w:sz w:val="22"/>
        </w:rPr>
        <w:t>Lead Developer:</w:t>
      </w:r>
      <w:r>
        <w:rPr>
          <w:rFonts w:ascii="Calibri" w:hAnsi="Calibri"/>
          <w:sz w:val="22"/>
        </w:rPr>
        <w:t xml:space="preserve"> Workflow and UI configuration.</w:t>
      </w:r>
    </w:p>
    <w:p>
      <w:pPr>
        <w:spacing w:after="120"/>
        <w:ind w:left="360" w:hanging="360"/>
      </w:pPr>
      <w:r>
        <w:rPr>
          <w:rFonts w:ascii="Calibri" w:hAnsi="Calibri"/>
          <w:sz w:val="22"/>
        </w:rPr>
        <w:t xml:space="preserve">• </w:t>
      </w:r>
      <w:r>
        <w:rPr>
          <w:rFonts w:ascii="Calibri" w:hAnsi="Calibri"/>
          <w:b/>
          <w:sz w:val="22"/>
        </w:rPr>
        <w:t>QA Lead:</w:t>
      </w:r>
      <w:r>
        <w:rPr>
          <w:rFonts w:ascii="Calibri" w:hAnsi="Calibri"/>
          <w:sz w:val="22"/>
        </w:rPr>
        <w:t xml:space="preserve"> Test planning and execution.</w:t>
      </w:r>
    </w:p>
    <w:p>
      <w:pPr>
        <w:spacing w:after="120"/>
        <w:ind w:left="360" w:hanging="360"/>
      </w:pPr>
      <w:r>
        <w:rPr>
          <w:rFonts w:ascii="Calibri" w:hAnsi="Calibri"/>
          <w:sz w:val="22"/>
        </w:rPr>
        <w:t xml:space="preserve">• </w:t>
      </w:r>
      <w:r>
        <w:rPr>
          <w:rFonts w:ascii="Calibri" w:hAnsi="Calibri"/>
          <w:b/>
          <w:sz w:val="22"/>
        </w:rPr>
        <w:t>Change Manager:</w:t>
      </w:r>
      <w:r>
        <w:rPr>
          <w:rFonts w:ascii="Calibri" w:hAnsi="Calibri"/>
          <w:sz w:val="22"/>
        </w:rPr>
        <w:t xml:space="preserve"> Training and adoption support.</w:t>
      </w:r>
    </w:p>
    <w:p>
      <w:pPr>
        <w:spacing w:after="120"/>
        <w:ind w:left="360" w:hanging="360"/>
      </w:pPr>
      <w:r>
        <w:rPr>
          <w:rFonts w:ascii="Calibri" w:hAnsi="Calibri"/>
          <w:sz w:val="22"/>
        </w:rPr>
        <w:t xml:space="preserve">• </w:t>
      </w:r>
      <w:r>
        <w:rPr>
          <w:rFonts w:ascii="Calibri" w:hAnsi="Calibri"/>
          <w:b/>
          <w:sz w:val="22"/>
        </w:rPr>
        <w:t>Support Lead:</w:t>
      </w:r>
      <w:r>
        <w:rPr>
          <w:rFonts w:ascii="Calibri" w:hAnsi="Calibri"/>
          <w:sz w:val="22"/>
        </w:rPr>
        <w:t xml:space="preserve"> Post go-live support coordination.</w:t>
      </w:r>
    </w:p>
    <w:p/>
    <w:p>
      <w:pPr>
        <w:pStyle w:val="Heading3"/>
      </w:pPr>
      <w:r>
        <w:t>Team Experience</w:t>
      </w:r>
    </w:p>
    <w:p>
      <w:r>
        <w:t>FusionAIx’s team includes certified Pega professionals with over 10 years of combined experience in BPM implementations. Our consultants have delivered projects for government agencies, financial institutions, and large enterprises.</w:t>
      </w:r>
    </w:p>
    <w:p/>
    <w:p>
      <w:r>
        <w:t>(Note: Detailed CVs of key personnel will be provided in the final submission package.)</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Pega workflow engine supports automated steps and human tasks in one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and notes.</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Business rules engine externalizes policies with versioning and controlled deployment.</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SLAs configurable per process; automated escalations and notifications.</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guided steps and contextual help.</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event-based integration supported.</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Security and access control</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Role-based access, full audit logging, SSO integration.</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Reporting and dashboards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Real-time dashboards for case volumes, workload, and SLA performance.</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Comprehensive training and materials provided.</w:t>
            </w:r>
          </w:p>
        </w:tc>
      </w:tr>
      <w:tr>
        <w:tc>
          <w:tcPr>
            <w:tcW w:type="dxa" w:w="2340"/>
            <w:vAlign w:val="top"/>
            <w:tcMar>
              <w:top w:w="80" w:type="dxa"/>
              <w:right w:w="80" w:type="dxa"/>
              <w:bottom w:w="80" w:type="dxa"/>
              <w:left w:w="80" w:type="dxa"/>
            </w:tcMar>
          </w:tcPr>
          <w:p>
            <w:r>
              <w:t>5.1.j</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3-year post go-live support with defined SLAs.</w:t>
            </w:r>
          </w:p>
        </w:tc>
      </w:tr>
    </w:tbl>
    <w:p/>
    <w:p>
      <w:pPr>
        <w:pStyle w:val="Heading2"/>
      </w:pPr>
      <w:r>
        <w:t>8. Assumptions, Dependencies, and Risks</w:t>
      </w:r>
    </w:p>
    <w:p/>
    <w:p>
      <w:pPr>
        <w:pStyle w:val="Heading3"/>
      </w:pPr>
      <w:r>
        <w:t>Assumptions</w:t>
      </w:r>
    </w:p>
    <w:p>
      <w:pPr>
        <w:spacing w:after="120"/>
        <w:ind w:left="360" w:hanging="360"/>
      </w:pPr>
      <w:r>
        <w:rPr>
          <w:rFonts w:ascii="Calibri" w:hAnsi="Calibri"/>
          <w:sz w:val="22"/>
        </w:rPr>
        <w:t xml:space="preserve">• </w:t>
      </w:r>
      <w:r>
        <w:rPr>
          <w:rFonts w:ascii="Calibri" w:hAnsi="Calibri"/>
          <w:sz w:val="22"/>
        </w:rPr>
        <w:t>MTI will provide timely access to subject matter experts and existing systems.</w:t>
      </w:r>
    </w:p>
    <w:p>
      <w:pPr>
        <w:spacing w:after="120"/>
        <w:ind w:left="360" w:hanging="360"/>
      </w:pPr>
      <w:r>
        <w:rPr>
          <w:rFonts w:ascii="Calibri" w:hAnsi="Calibri"/>
          <w:sz w:val="22"/>
        </w:rPr>
        <w:t xml:space="preserve">• </w:t>
      </w:r>
      <w:r>
        <w:rPr>
          <w:rFonts w:ascii="Calibri" w:hAnsi="Calibri"/>
          <w:sz w:val="22"/>
        </w:rPr>
        <w:t>Required infrastructure (servers, network, security) will be provisioned by MTI.</w:t>
      </w:r>
    </w:p>
    <w:p>
      <w:pPr>
        <w:spacing w:after="120"/>
        <w:ind w:left="360" w:hanging="360"/>
      </w:pPr>
      <w:r>
        <w:rPr>
          <w:rFonts w:ascii="Calibri" w:hAnsi="Calibri"/>
          <w:sz w:val="22"/>
        </w:rPr>
        <w:t xml:space="preserve">• </w:t>
      </w:r>
      <w:r>
        <w:rPr>
          <w:rFonts w:ascii="Calibri" w:hAnsi="Calibri"/>
          <w:sz w:val="22"/>
        </w:rPr>
        <w:t>MTI will designate process owners for each business area.</w:t>
      </w:r>
    </w:p>
    <w:p/>
    <w:p>
      <w:pPr>
        <w:pStyle w:val="Heading3"/>
      </w:pPr>
      <w:r>
        <w:t>Dependencies</w:t>
      </w:r>
    </w:p>
    <w:p>
      <w:pPr>
        <w:spacing w:after="120"/>
        <w:ind w:left="360" w:hanging="360"/>
      </w:pPr>
      <w:r>
        <w:rPr>
          <w:rFonts w:ascii="Calibri" w:hAnsi="Calibri"/>
          <w:sz w:val="22"/>
        </w:rPr>
        <w:t xml:space="preserve">• </w:t>
      </w:r>
      <w:r>
        <w:rPr>
          <w:rFonts w:ascii="Calibri" w:hAnsi="Calibri"/>
          <w:sz w:val="22"/>
        </w:rPr>
        <w:t>Integration with MTI’s identity management and SSO systems.</w:t>
      </w:r>
    </w:p>
    <w:p>
      <w:pPr>
        <w:spacing w:after="120"/>
        <w:ind w:left="360" w:hanging="360"/>
      </w:pPr>
      <w:r>
        <w:rPr>
          <w:rFonts w:ascii="Calibri" w:hAnsi="Calibri"/>
          <w:sz w:val="22"/>
        </w:rPr>
        <w:t xml:space="preserve">• </w:t>
      </w:r>
      <w:r>
        <w:rPr>
          <w:rFonts w:ascii="Calibri" w:hAnsi="Calibri"/>
          <w:sz w:val="22"/>
        </w:rPr>
        <w:t>Availability of test data and environments.</w:t>
      </w:r>
    </w:p>
    <w:p>
      <w:pPr>
        <w:spacing w:after="120"/>
        <w:ind w:left="360" w:hanging="360"/>
      </w:pPr>
      <w:r>
        <w:rPr>
          <w:rFonts w:ascii="Calibri" w:hAnsi="Calibri"/>
          <w:sz w:val="22"/>
        </w:rPr>
        <w:t xml:space="preserve">• </w:t>
      </w:r>
      <w:r>
        <w:rPr>
          <w:rFonts w:ascii="Calibri" w:hAnsi="Calibri"/>
          <w:sz w:val="22"/>
        </w:rPr>
        <w:t>Timely feedback during UAT and design reviews.</w:t>
      </w:r>
    </w:p>
    <w:p/>
    <w:p>
      <w:pPr>
        <w:pStyle w:val="Heading3"/>
      </w:pPr>
      <w:r>
        <w:t>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Delayed stakeholder inputs</w:t>
            </w:r>
          </w:p>
        </w:tc>
        <w:tc>
          <w:tcPr>
            <w:tcW w:type="dxa" w:w="3120"/>
            <w:vAlign w:val="top"/>
            <w:tcMar>
              <w:top w:w="80" w:type="dxa"/>
              <w:right w:w="80" w:type="dxa"/>
              <w:bottom w:w="80" w:type="dxa"/>
              <w:left w:w="80" w:type="dxa"/>
            </w:tcMar>
          </w:tcPr>
          <w:p>
            <w:r>
              <w:t>Schedule delay</w:t>
            </w:r>
          </w:p>
        </w:tc>
        <w:tc>
          <w:tcPr>
            <w:tcW w:type="dxa" w:w="3120"/>
            <w:vAlign w:val="top"/>
            <w:tcMar>
              <w:top w:w="80" w:type="dxa"/>
              <w:right w:w="80" w:type="dxa"/>
              <w:bottom w:w="80" w:type="dxa"/>
              <w:left w:w="80" w:type="dxa"/>
            </w:tcMar>
          </w:tcPr>
          <w:p>
            <w:r>
              <w:t>Early engagement and weekly review cadence</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Technical risk</w:t>
            </w:r>
          </w:p>
        </w:tc>
        <w:tc>
          <w:tcPr>
            <w:tcW w:type="dxa" w:w="3120"/>
            <w:vAlign w:val="top"/>
            <w:tcMar>
              <w:top w:w="80" w:type="dxa"/>
              <w:right w:w="80" w:type="dxa"/>
              <w:bottom w:w="80" w:type="dxa"/>
              <w:left w:w="80" w:type="dxa"/>
            </w:tcMar>
          </w:tcPr>
          <w:p>
            <w:r>
              <w:t>Early integration design and mock testing</w:t>
            </w:r>
          </w:p>
        </w:tc>
      </w:tr>
      <w:tr>
        <w:tc>
          <w:tcPr>
            <w:tcW w:type="dxa" w:w="3120"/>
            <w:vAlign w:val="top"/>
            <w:tcMar>
              <w:top w:w="80" w:type="dxa"/>
              <w:right w:w="80" w:type="dxa"/>
              <w:bottom w:w="80" w:type="dxa"/>
              <w:left w:w="80" w:type="dxa"/>
            </w:tcMar>
          </w:tcPr>
          <w:p>
            <w:r>
              <w:t>Change resistance</w:t>
            </w:r>
          </w:p>
        </w:tc>
        <w:tc>
          <w:tcPr>
            <w:tcW w:type="dxa" w:w="3120"/>
            <w:vAlign w:val="top"/>
            <w:tcMar>
              <w:top w:w="80" w:type="dxa"/>
              <w:right w:w="80" w:type="dxa"/>
              <w:bottom w:w="80" w:type="dxa"/>
              <w:left w:w="80" w:type="dxa"/>
            </w:tcMar>
          </w:tcPr>
          <w:p>
            <w:r>
              <w:t>Adoption risk</w:t>
            </w:r>
          </w:p>
        </w:tc>
        <w:tc>
          <w:tcPr>
            <w:tcW w:type="dxa" w:w="3120"/>
            <w:vAlign w:val="top"/>
            <w:tcMar>
              <w:top w:w="80" w:type="dxa"/>
              <w:right w:w="80" w:type="dxa"/>
              <w:bottom w:w="80" w:type="dxa"/>
              <w:left w:w="80" w:type="dxa"/>
            </w:tcMar>
          </w:tcPr>
          <w:p>
            <w:r>
              <w:t>Structured change management and training</w:t>
            </w:r>
          </w:p>
        </w:tc>
      </w:tr>
      <w:tr>
        <w:tc>
          <w:tcPr>
            <w:tcW w:type="dxa" w:w="3120"/>
            <w:vAlign w:val="top"/>
            <w:tcMar>
              <w:top w:w="80" w:type="dxa"/>
              <w:right w:w="80" w:type="dxa"/>
              <w:bottom w:w="80" w:type="dxa"/>
              <w:left w:w="80" w:type="dxa"/>
            </w:tcMar>
          </w:tcPr>
          <w:p>
            <w:r>
              <w:t>Data migration issues</w:t>
            </w:r>
          </w:p>
        </w:tc>
        <w:tc>
          <w:tcPr>
            <w:tcW w:type="dxa" w:w="3120"/>
            <w:vAlign w:val="top"/>
            <w:tcMar>
              <w:top w:w="80" w:type="dxa"/>
              <w:right w:w="80" w:type="dxa"/>
              <w:bottom w:w="80" w:type="dxa"/>
              <w:left w:w="80" w:type="dxa"/>
            </w:tcMar>
          </w:tcPr>
          <w:p>
            <w:r>
              <w:t>Quality risk</w:t>
            </w:r>
          </w:p>
        </w:tc>
        <w:tc>
          <w:tcPr>
            <w:tcW w:type="dxa" w:w="3120"/>
            <w:vAlign w:val="top"/>
            <w:tcMar>
              <w:top w:w="80" w:type="dxa"/>
              <w:right w:w="80" w:type="dxa"/>
              <w:bottom w:w="80" w:type="dxa"/>
              <w:left w:w="80" w:type="dxa"/>
            </w:tcMar>
          </w:tcPr>
          <w:p>
            <w:r>
              <w:t>Data validation and reconciliation plan</w:t>
            </w:r>
          </w:p>
        </w:tc>
      </w:tr>
    </w:tbl>
    <w:p/>
    <w:p>
      <w:pPr>
        <w:pStyle w:val="Heading2"/>
      </w:pPr>
      <w:r>
        <w:t>9. Support and Maintenance Model</w:t>
      </w:r>
    </w:p>
    <w:p/>
    <w:p>
      <w:r>
        <w:t>FusionAIx offers a comprehensive three-year post go-live support model covering incident management, patching, upgrades, and continuous improvement.</w:t>
      </w:r>
    </w:p>
    <w:p/>
    <w:p>
      <w:pPr>
        <w:pStyle w:val="Heading3"/>
      </w:pPr>
      <w:r>
        <w:t>Support Tiers</w:t>
      </w:r>
    </w:p>
    <w:p>
      <w:pPr>
        <w:spacing w:after="120"/>
        <w:ind w:left="360" w:hanging="360"/>
      </w:pPr>
      <w:r>
        <w:rPr>
          <w:rFonts w:ascii="Calibri" w:hAnsi="Calibri"/>
          <w:sz w:val="22"/>
        </w:rPr>
        <w:t xml:space="preserve">• </w:t>
      </w:r>
      <w:r>
        <w:rPr>
          <w:rFonts w:ascii="Calibri" w:hAnsi="Calibri"/>
          <w:b/>
          <w:sz w:val="22"/>
        </w:rPr>
        <w:t>L1 (Helpdesk):</w:t>
      </w:r>
      <w:r>
        <w:rPr>
          <w:rFonts w:ascii="Calibri" w:hAnsi="Calibri"/>
          <w:sz w:val="22"/>
        </w:rPr>
        <w:t xml:space="preserve"> User queries, access issues, minor fixes.</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Configuration issues, workflow errors, portal issues.</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integrations, performance tuning, upgrades.</w:t>
      </w:r>
    </w:p>
    <w:p/>
    <w:p>
      <w:pPr>
        <w:pStyle w:val="Heading3"/>
      </w:pPr>
      <w:r>
        <w:t>SLA Targets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Severity</w:t>
            </w:r>
          </w:p>
        </w:tc>
        <w:tc>
          <w:tcPr>
            <w:tcW w:type="dxa" w:w="3120"/>
            <w:shd w:fill="1a5490" w:val="clear"/>
            <w:vAlign w:val="top"/>
            <w:tcMar>
              <w:top w:w="80" w:type="dxa"/>
              <w:right w:w="80" w:type="dxa"/>
              <w:bottom w:w="80" w:type="dxa"/>
              <w:left w:w="80" w:type="dxa"/>
            </w:tcMar>
          </w:tcPr>
          <w:p>
            <w:r>
              <w:rPr>
                <w:b/>
                <w:color w:val="FFFFFF"/>
              </w:rPr>
              <w:t>Response Time</w:t>
            </w:r>
          </w:p>
        </w:tc>
        <w:tc>
          <w:tcPr>
            <w:tcW w:type="dxa" w:w="3120"/>
            <w:shd w:fill="1a5490" w:val="clear"/>
            <w:vAlign w:val="top"/>
            <w:tcMar>
              <w:top w:w="80" w:type="dxa"/>
              <w:right w:w="80" w:type="dxa"/>
              <w:bottom w:w="80" w:type="dxa"/>
              <w:left w:w="80" w:type="dxa"/>
            </w:tcMar>
          </w:tcPr>
          <w:p>
            <w:r>
              <w:rPr>
                <w:b/>
                <w:color w:val="FFFFFF"/>
              </w:rPr>
              <w:t>Resolution Time</w:t>
            </w:r>
          </w:p>
        </w:tc>
      </w:tr>
      <w:tr>
        <w:tc>
          <w:tcPr>
            <w:tcW w:type="dxa" w:w="3120"/>
            <w:vAlign w:val="top"/>
            <w:tcMar>
              <w:top w:w="80" w:type="dxa"/>
              <w:right w:w="80" w:type="dxa"/>
              <w:bottom w:w="80" w:type="dxa"/>
              <w:left w:w="80" w:type="dxa"/>
            </w:tcMar>
          </w:tcPr>
          <w:p>
            <w:r>
              <w:t>Sev 1 (Critical)</w:t>
            </w:r>
          </w:p>
        </w:tc>
        <w:tc>
          <w:tcPr>
            <w:tcW w:type="dxa" w:w="3120"/>
            <w:vAlign w:val="top"/>
            <w:tcMar>
              <w:top w:w="80" w:type="dxa"/>
              <w:right w:w="80" w:type="dxa"/>
              <w:bottom w:w="80" w:type="dxa"/>
              <w:left w:w="80" w:type="dxa"/>
            </w:tcMar>
          </w:tcPr>
          <w:p>
            <w:r>
              <w:t>1 hour</w:t>
            </w:r>
          </w:p>
        </w:tc>
        <w:tc>
          <w:tcPr>
            <w:tcW w:type="dxa" w:w="3120"/>
            <w:vAlign w:val="top"/>
            <w:tcMar>
              <w:top w:w="80" w:type="dxa"/>
              <w:right w:w="80" w:type="dxa"/>
              <w:bottom w:w="80" w:type="dxa"/>
              <w:left w:w="80" w:type="dxa"/>
            </w:tcMar>
          </w:tcPr>
          <w:p>
            <w:r>
              <w:t>4 hours</w:t>
            </w:r>
          </w:p>
        </w:tc>
      </w:tr>
      <w:tr>
        <w:tc>
          <w:tcPr>
            <w:tcW w:type="dxa" w:w="3120"/>
            <w:vAlign w:val="top"/>
            <w:tcMar>
              <w:top w:w="80" w:type="dxa"/>
              <w:right w:w="80" w:type="dxa"/>
              <w:bottom w:w="80" w:type="dxa"/>
              <w:left w:w="80" w:type="dxa"/>
            </w:tcMar>
          </w:tcPr>
          <w:p>
            <w:r>
              <w:t>Sev 2 (High)</w:t>
            </w:r>
          </w:p>
        </w:tc>
        <w:tc>
          <w:tcPr>
            <w:tcW w:type="dxa" w:w="3120"/>
            <w:vAlign w:val="top"/>
            <w:tcMar>
              <w:top w:w="80" w:type="dxa"/>
              <w:right w:w="80" w:type="dxa"/>
              <w:bottom w:w="80" w:type="dxa"/>
              <w:left w:w="80" w:type="dxa"/>
            </w:tcMar>
          </w:tcPr>
          <w:p>
            <w:r>
              <w:t>2 hours</w:t>
            </w:r>
          </w:p>
        </w:tc>
        <w:tc>
          <w:tcPr>
            <w:tcW w:type="dxa" w:w="3120"/>
            <w:vAlign w:val="top"/>
            <w:tcMar>
              <w:top w:w="80" w:type="dxa"/>
              <w:right w:w="80" w:type="dxa"/>
              <w:bottom w:w="80" w:type="dxa"/>
              <w:left w:w="80" w:type="dxa"/>
            </w:tcMar>
          </w:tcPr>
          <w:p>
            <w:r>
              <w:t>8 hours</w:t>
            </w:r>
          </w:p>
        </w:tc>
      </w:tr>
      <w:tr>
        <w:tc>
          <w:tcPr>
            <w:tcW w:type="dxa" w:w="3120"/>
            <w:vAlign w:val="top"/>
            <w:tcMar>
              <w:top w:w="80" w:type="dxa"/>
              <w:right w:w="80" w:type="dxa"/>
              <w:bottom w:w="80" w:type="dxa"/>
              <w:left w:w="80" w:type="dxa"/>
            </w:tcMar>
          </w:tcPr>
          <w:p>
            <w:r>
              <w:t>Sev 3 (Medium)</w:t>
            </w:r>
          </w:p>
        </w:tc>
        <w:tc>
          <w:tcPr>
            <w:tcW w:type="dxa" w:w="3120"/>
            <w:vAlign w:val="top"/>
            <w:tcMar>
              <w:top w:w="80" w:type="dxa"/>
              <w:right w:w="80" w:type="dxa"/>
              <w:bottom w:w="80" w:type="dxa"/>
              <w:left w:w="80" w:type="dxa"/>
            </w:tcMar>
          </w:tcPr>
          <w:p>
            <w:r>
              <w:t>4 hours</w:t>
            </w:r>
          </w:p>
        </w:tc>
        <w:tc>
          <w:tcPr>
            <w:tcW w:type="dxa" w:w="3120"/>
            <w:vAlign w:val="top"/>
            <w:tcMar>
              <w:top w:w="80" w:type="dxa"/>
              <w:right w:w="80" w:type="dxa"/>
              <w:bottom w:w="80" w:type="dxa"/>
              <w:left w:w="80" w:type="dxa"/>
            </w:tcMar>
          </w:tcPr>
          <w:p>
            <w:r>
              <w:t>24 hours</w:t>
            </w:r>
          </w:p>
        </w:tc>
      </w:tr>
      <w:tr>
        <w:tc>
          <w:tcPr>
            <w:tcW w:type="dxa" w:w="3120"/>
            <w:vAlign w:val="top"/>
            <w:tcMar>
              <w:top w:w="80" w:type="dxa"/>
              <w:right w:w="80" w:type="dxa"/>
              <w:bottom w:w="80" w:type="dxa"/>
              <w:left w:w="80" w:type="dxa"/>
            </w:tcMar>
          </w:tcPr>
          <w:p>
            <w:r>
              <w:t>Sev 4 (Low)</w:t>
            </w:r>
          </w:p>
        </w:tc>
        <w:tc>
          <w:tcPr>
            <w:tcW w:type="dxa" w:w="3120"/>
            <w:vAlign w:val="top"/>
            <w:tcMar>
              <w:top w:w="80" w:type="dxa"/>
              <w:right w:w="80" w:type="dxa"/>
              <w:bottom w:w="80" w:type="dxa"/>
              <w:left w:w="80" w:type="dxa"/>
            </w:tcMar>
          </w:tcPr>
          <w:p>
            <w:r>
              <w:t>8 hours</w:t>
            </w:r>
          </w:p>
        </w:tc>
        <w:tc>
          <w:tcPr>
            <w:tcW w:type="dxa" w:w="3120"/>
            <w:vAlign w:val="top"/>
            <w:tcMar>
              <w:top w:w="80" w:type="dxa"/>
              <w:right w:w="80" w:type="dxa"/>
              <w:bottom w:w="80" w:type="dxa"/>
              <w:left w:w="80" w:type="dxa"/>
            </w:tcMar>
          </w:tcPr>
          <w:p>
            <w:r>
              <w:t>48 hours</w:t>
            </w:r>
          </w:p>
        </w:tc>
      </w:tr>
    </w:tbl>
    <w:p>
      <w:pPr>
        <w:pStyle w:val="Heading3"/>
      </w:pPr>
      <w:r>
        <w:t>Escalation and Governance</w:t>
      </w:r>
    </w:p>
    <w:p>
      <w:pPr>
        <w:spacing w:after="120"/>
        <w:ind w:left="360" w:hanging="360"/>
      </w:pPr>
      <w:r>
        <w:rPr>
          <w:rFonts w:ascii="Calibri" w:hAnsi="Calibri"/>
          <w:sz w:val="22"/>
        </w:rPr>
        <w:t xml:space="preserve">• </w:t>
      </w:r>
      <w:r>
        <w:rPr>
          <w:rFonts w:ascii="Calibri" w:hAnsi="Calibri"/>
          <w:sz w:val="22"/>
        </w:rPr>
        <w:t>Incident Manager assigned for Sev 1/2 issues.</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improvement actions.</w:t>
      </w:r>
    </w:p>
    <w:p/>
    <w:p>
      <w:pPr>
        <w:pStyle w:val="Heading2"/>
      </w:pPr>
      <w:r>
        <w:t>10. Commercial Proposal</w:t>
      </w:r>
    </w:p>
    <w:p/>
    <w:p>
      <w:r>
        <w:t>FusionAIx will provide a detailed commercial proposal in the final submission package, including a five-year Total Cost of Ownership (TCO) view.</w:t>
      </w:r>
    </w:p>
    <w:p/>
    <w:p>
      <w:pPr>
        <w:pStyle w:val="Heading3"/>
      </w:pPr>
      <w:r>
        <w:t>Cost Components</w:t>
      </w:r>
    </w:p>
    <w:p>
      <w:pPr>
        <w:pStyle w:val="ListNumber"/>
      </w:pPr>
      <w:r>
        <w:rPr>
          <w:b/>
        </w:rPr>
        <w:t>Licensing:</w:t>
      </w:r>
      <w:r>
        <w:t xml:space="preserve"> Based on internal and external user volumes.</w:t>
      </w:r>
    </w:p>
    <w:p>
      <w:pPr>
        <w:pStyle w:val="ListNumber"/>
      </w:pPr>
      <w:r>
        <w:rPr>
          <w:b/>
        </w:rPr>
        <w:t>Implementation Services:</w:t>
      </w:r>
      <w:r>
        <w:t xml:space="preserve"> Discovery, design, configuration, integration, testing, and training.</w:t>
      </w:r>
    </w:p>
    <w:p>
      <w:pPr>
        <w:pStyle w:val="ListNumber"/>
      </w:pPr>
      <w:r>
        <w:rPr>
          <w:b/>
        </w:rPr>
        <w:t>Support and Maintenance:</w:t>
      </w:r>
      <w:r>
        <w:t xml:space="preserve"> Three years of post go-live support.</w:t>
      </w:r>
    </w:p>
    <w:p>
      <w:pPr>
        <w:pStyle w:val="ListNumber"/>
      </w:pPr>
      <w:r>
        <w:rPr>
          <w:b/>
        </w:rPr>
        <w:t>Optional Components:</w:t>
      </w:r>
      <w:r>
        <w:t xml:space="preserve"> Advanced analytics, additional environments, AI-assisted features.</w:t>
      </w:r>
    </w:p>
    <w:p/>
    <w:p>
      <w:r>
        <w:t>All pricing will be provided in local currency, exclusive of applicable taxes, and aligned with MTI’s procurement guidelines.</w:t>
      </w:r>
    </w:p>
    <w:p/>
    <w:p>
      <w:r>
        <w:t>FusionAIx appreciates the opportunity to partner with the Ministry of Trade and Industry in this transformative initiative. Our proposal delivers a robust, scalable, and future-ready BPM platform that will empower MTI to achieve operational excellence and deliver superior public services.</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