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5510892" cy="1371600"/>
            <wp:docPr id="1" name="Picture 1"/>
            <wp:cNvGraphicFramePr>
              <a:graphicFrameLocks noChangeAspect="1"/>
            </wp:cNvGraphicFramePr>
            <a:graphic>
              <a:graphicData uri="http://schemas.openxmlformats.org/drawingml/2006/picture">
                <pic:pic>
                  <pic:nvPicPr>
                    <pic:cNvPr id="0" name="logo-transparent.png"/>
                    <pic:cNvPicPr/>
                  </pic:nvPicPr>
                  <pic:blipFill>
                    <a:blip r:embed="rId10"/>
                    <a:stretch>
                      <a:fillRect/>
                    </a:stretch>
                  </pic:blipFill>
                  <pic:spPr>
                    <a:xfrm>
                      <a:off x="0" y="0"/>
                      <a:ext cx="5510892" cy="1371600"/>
                    </a:xfrm>
                    <a:prstGeom prst="rect"/>
                  </pic:spPr>
                </pic:pic>
              </a:graphicData>
            </a:graphic>
          </wp:inline>
        </w:drawing>
      </w:r>
    </w:p>
    <w:p/>
    <w:p/>
    <w:p>
      <w:pPr>
        <w:keepNext w:val="0"/>
        <w:keepLines w:val="0"/>
        <w:widowControl w:val="0"/>
        <w:spacing w:after="240" w:before="0"/>
        <w:jc w:val="center"/>
        <w:wordWrap w:val="0"/>
        <w:overflowPunct w:val="0"/>
      </w:pPr>
      <w:r>
        <w:rPr>
          <w:rFonts w:ascii="Calibri" w:hAnsi="Calibri"/>
          <w:b/>
          <w:color w:val="1A5490"/>
          <w:sz w:val="64"/>
        </w:rPr>
        <w:t>Enterprise BPM Platform Implementation</w:t>
      </w:r>
    </w:p>
    <w:p/>
    <w:p/>
    <w:p>
      <w:pPr>
        <w:jc w:val="center"/>
      </w:pPr>
      <w:r>
        <w:rPr>
          <w:rFonts w:ascii="Calibri" w:hAnsi="Calibri"/>
          <w:color w:val="646464"/>
          <w:sz w:val="28"/>
        </w:rPr>
        <w:t>December 21, 2025</w:t>
      </w:r>
    </w:p>
    <w:p/>
    <w:p/>
    <w:p/>
    <w:p/>
    <w:p>
      <w:pPr>
        <w:jc w:val="center"/>
      </w:pPr>
      <w:r>
        <w:rPr>
          <w:rFonts w:ascii="Calibri" w:hAnsi="Calibri"/>
          <w:b/>
          <w:color w:val="1A5490"/>
          <w:sz w:val="40"/>
        </w:rPr>
        <w:t>fusionAIx</w:t>
      </w:r>
    </w:p>
    <w:p>
      <w:pPr>
        <w:jc w:val="center"/>
      </w:pPr>
      <w:r>
        <w:rPr>
          <w:rFonts w:ascii="Calibri" w:hAnsi="Calibri"/>
          <w:color w:val="646464"/>
          <w:sz w:val="24"/>
        </w:rPr>
        <w:t>www.fusionaix.com</w:t>
      </w:r>
    </w:p>
    <w:p/>
    <w:p>
      <w:pPr>
        <w:sectPr>
          <w:footerReference w:type="default" r:id="rId9"/>
          <w:pgSz w:w="12240" w:h="15840"/>
          <w:pgMar w:top="1440" w:right="1440" w:bottom="1440" w:left="1440" w:header="720" w:footer="720" w:gutter="0"/>
          <w:cols w:space="720"/>
          <w:docGrid w:linePitch="360"/>
        </w:sectPr>
      </w:pPr>
    </w:p>
    <w:p>
      <w:pPr>
        <w:pStyle w:val="Heading1"/>
      </w:pPr>
      <w:r>
        <w:t>Table of Contents</w:t>
      </w:r>
    </w:p>
    <w:p/>
    <w:p>
      <w:pPr/>
      <w:r>
        <w:rPr>
          <w:rFonts w:ascii="Calibri" w:hAnsi="Calibri"/>
          <w:sz w:val="22"/>
        </w:rPr>
        <w:t>1. Executive Summary</w:t>
      </w:r>
    </w:p>
    <w:p>
      <w:pPr/>
      <w:r>
        <w:rPr>
          <w:rFonts w:ascii="Calibri" w:hAnsi="Calibri"/>
          <w:sz w:val="22"/>
        </w:rPr>
        <w:t>2. Understanding of MTI’s Objectives and Context</w:t>
      </w:r>
    </w:p>
    <w:p>
      <w:pPr/>
      <w:r>
        <w:rPr>
          <w:rFonts w:ascii="Calibri" w:hAnsi="Calibri"/>
          <w:sz w:val="22"/>
        </w:rPr>
        <w:t>3. Proposed Solution Overview (architecture, major components, key differentiators)</w:t>
      </w:r>
    </w:p>
    <w:p>
      <w:pPr/>
      <w:r>
        <w:rPr>
          <w:rFonts w:ascii="Calibri" w:hAnsi="Calibri"/>
          <w:sz w:val="22"/>
        </w:rPr>
        <w:t>4. Implementation Approach and Methodology</w:t>
      </w:r>
    </w:p>
    <w:p>
      <w:pPr/>
      <w:r>
        <w:rPr>
          <w:rFonts w:ascii="Calibri" w:hAnsi="Calibri"/>
          <w:sz w:val="22"/>
        </w:rPr>
        <w:t>5. Project Plan and Timelines, including major milestones</w:t>
      </w:r>
    </w:p>
    <w:p>
      <w:pPr/>
      <w:r>
        <w:rPr>
          <w:rFonts w:ascii="Calibri" w:hAnsi="Calibri"/>
          <w:sz w:val="22"/>
        </w:rPr>
        <w:t>6. Proposed Team Structure, roles, and CVs of key personnel</w:t>
      </w:r>
    </w:p>
    <w:p>
      <w:pPr/>
      <w:r>
        <w:rPr>
          <w:rFonts w:ascii="Calibri" w:hAnsi="Calibri"/>
          <w:sz w:val="22"/>
        </w:rPr>
        <w:t>7. Functional and Technical Compliance Matrix responding to the requirements in Sections 5 and 6</w:t>
      </w:r>
    </w:p>
    <w:p>
      <w:pPr/>
      <w:r>
        <w:rPr>
          <w:rFonts w:ascii="Calibri" w:hAnsi="Calibri"/>
          <w:sz w:val="22"/>
        </w:rPr>
        <w:t>8. Assumptions, Dependencies, and Risks, with proposed mitigation strategies</w:t>
      </w:r>
    </w:p>
    <w:p>
      <w:pPr/>
      <w:r>
        <w:rPr>
          <w:rFonts w:ascii="Calibri" w:hAnsi="Calibri"/>
          <w:sz w:val="22"/>
        </w:rPr>
        <w:t>9. Support and Maintenance Model, including SLAs</w:t>
      </w:r>
    </w:p>
    <w:p>
      <w:pPr/>
      <w:r>
        <w:rPr>
          <w:rFonts w:ascii="Calibri" w:hAnsi="Calibri"/>
          <w:sz w:val="22"/>
        </w:rPr>
        <w:t>10. Commercial Proposal (licensing, implementation services, support, and any optional components)</w:t>
      </w:r>
    </w:p>
    <w:p>
      <w:pPr>
        <w:sectPr>
          <w:headerReference w:type="default" r:id="rId11"/>
          <w:footerReference w:type="default" r:id="rId12"/>
          <w:pgSz w:w="12240" w:h="15840"/>
          <w:pgMar w:top="1440" w:right="1440" w:bottom="1440" w:left="1440" w:header="720" w:footer="720" w:gutter="0"/>
          <w:cols w:space="720"/>
          <w:docGrid w:linePitch="360"/>
        </w:sectPr>
      </w:pPr>
    </w:p>
    <w:p>
      <w:pPr>
        <w:pStyle w:val="Heading1"/>
      </w:pPr>
      <w:r>
        <w:t>Company Overview</w:t>
      </w:r>
    </w:p>
    <w:p>
      <w:r>
        <w:t>At fusionAIx, we believe that the future of digital transformation lies in the seamless blend of low-code platforms and artificial intelligence. Our core team brings together decades of implementation experience, domain expertise, and a passion for innovation. We partner with enterprises to reimagine processes, accelerate application delivery, and unlock new levels of efficiency. We help businesses scale smarter, faster, and with greater impact.</w:t>
      </w:r>
    </w:p>
    <w:p>
      <w:r>
        <w:t>With a collaborative spirit and a commitment to excellence, our team transforms complex challenges into intelligent, practical solutions. fusionAIx is not just about technology—it's about empowering people, industries, and enterprises to thrive in a digital-first world.</w:t>
      </w:r>
    </w:p>
    <w:p>
      <w:r>
        <w:t>We are proud to be officially recognized as a Great Place To Work® Certified Company for 2025–26, reflecting our commitment to a culture built on trust, innovation, and people-first values.</w:t>
      </w:r>
    </w:p>
    <w:p>
      <w:r>
        <w:t>fusionAIx delivers tailored solutions that blend AI and automation to drive measurable results across industries. We are a niche Pega partner with 20+ successful Pega Constellation implementations across the globe. As Constellation migration experts, we focus on pattern-based development with Constellation, enabling faster project go-lives than traditional implementation approaches.</w:t>
      </w:r>
    </w:p>
    <w:p>
      <w:r>
        <w:t>Our proven capabilities span three core technology platforms: Pega Constellation, Microsoft Power Platform, and ServiceNow. Through these platforms, we provide comprehensive services including Low Code/No Code development, Digital Process Transformation, and AI &amp; Data solutions.</w:t>
      </w:r>
    </w:p>
    <w:p>
      <w:r>
        <w:t>To accelerate time-to-value, fusionAIx offers proprietary accelerators and solution components including fxAgentSDK, fxAIStudio, fxMockUpToView, and fxSmartDCO. These tools enable rapid development, intelligent automation, and streamlined project delivery.</w:t>
      </w:r>
    </w:p>
    <w:p>
      <w:r>
        <w:t>We support clients across diverse industries including Insurance, Banking &amp; Finance, Government &amp; Public Sector, Automotive &amp; Fleet Management, and Travel &amp; Tourism, combining platform expertise with structured knowledge transfer to help customers build sustainable, future-ready capabilities.</w:t>
      </w:r>
    </w:p>
    <w:p>
      <w:r>
        <w:br w:type="page"/>
      </w:r>
    </w:p>
    <w:p>
      <w:pPr>
        <w:pStyle w:val="Heading1"/>
      </w:pPr>
      <w:r>
        <w:t>Ministry of Trade and Industry (MTI)</w:t>
      </w:r>
    </w:p>
    <w:p>
      <w:pPr>
        <w:pStyle w:val="Heading2"/>
      </w:pPr>
      <w:r>
        <w:t>Request for Proposal (RFP) Response</w:t>
      </w:r>
    </w:p>
    <w:p>
      <w:pPr>
        <w:pStyle w:val="Heading3"/>
      </w:pPr>
      <w:r>
        <w:t>Supply, Implementation, and Support of a Unified Business Process Management (BPM) Platform</w:t>
      </w:r>
    </w:p>
    <w:p>
      <w:r>
        <w:t>Submitted by: fusionAIx</w:t>
      </w:r>
    </w:p>
    <w:p>
      <w:r>
        <w:t>Date: 21 December 2025</w:t>
      </w:r>
    </w:p>
    <w:p/>
    <w:p>
      <w:pPr>
        <w:pStyle w:val="Heading2"/>
      </w:pPr>
      <w:r>
        <w:t>1. Executive Summary</w:t>
      </w:r>
    </w:p>
    <w:p/>
    <w:p>
      <w:r>
        <w:t>FusionAIx is pleased to submit this comprehensive proposal to the Ministry of Trade and Industry (MTI) for the supply, implementation, and support of an enterprise-grade Business Process Management (BPM) platform. Our proposed solution is designed to unify, automate, and continuously optimize MTI’s core business processes—enabling faster service delivery, improved transparency, and enhanced citizen and business engagement.</w:t>
      </w:r>
    </w:p>
    <w:p/>
    <w:p>
      <w:r>
        <w:t>At fusionAIx, we believe that digital transformation succeeds when technology empowers people. Our approach combines a proven BPM platform (Pega Constellation) with our proprietary accelerators and deep domain expertise in government process automation. The result is a configurable, low-code solution that supports both structured and unstructured work, enforces consistent policy application, and provides end-to-end visibility across all MTI operations.</w:t>
      </w:r>
    </w:p>
    <w:p/>
    <w:p>
      <w:pPr>
        <w:pStyle w:val="Heading3"/>
      </w:pPr>
      <w:r>
        <w:t>Key Highlights of Our Proposal</w:t>
      </w:r>
    </w:p>
    <w:p>
      <w:pPr>
        <w:spacing w:after="120"/>
        <w:ind w:left="360" w:hanging="360"/>
      </w:pPr>
      <w:r>
        <w:rPr>
          <w:rFonts w:ascii="Calibri" w:hAnsi="Calibri"/>
          <w:sz w:val="22"/>
        </w:rPr>
        <w:t xml:space="preserve">• </w:t>
      </w:r>
      <w:r>
        <w:rPr>
          <w:rFonts w:ascii="Calibri" w:hAnsi="Calibri"/>
          <w:b/>
          <w:sz w:val="22"/>
        </w:rPr>
        <w:t>Unified BPM Platform:</w:t>
      </w:r>
      <w:r>
        <w:rPr>
          <w:rFonts w:ascii="Calibri" w:hAnsi="Calibri"/>
          <w:sz w:val="22"/>
        </w:rPr>
        <w:t xml:space="preserve"> A single, enterprise-grade platform to orchestrate MTI’s licensing, grants, and trade facilitation processes.</w:t>
      </w:r>
    </w:p>
    <w:p>
      <w:pPr>
        <w:spacing w:after="120"/>
        <w:ind w:left="360" w:hanging="360"/>
      </w:pPr>
      <w:r>
        <w:rPr>
          <w:rFonts w:ascii="Calibri" w:hAnsi="Calibri"/>
          <w:sz w:val="22"/>
        </w:rPr>
        <w:t xml:space="preserve">• </w:t>
      </w:r>
      <w:r>
        <w:rPr>
          <w:rFonts w:ascii="Calibri" w:hAnsi="Calibri"/>
          <w:b/>
          <w:sz w:val="22"/>
        </w:rPr>
        <w:t>Dynamic Case Management:</w:t>
      </w:r>
      <w:r>
        <w:rPr>
          <w:rFonts w:ascii="Calibri" w:hAnsi="Calibri"/>
          <w:sz w:val="22"/>
        </w:rPr>
        <w:t xml:space="preserve"> Configurable case types supporting both straight-through and human-centric workflows, with ad-hoc tasks, attachments, and notes.</w:t>
      </w:r>
    </w:p>
    <w:p>
      <w:pPr>
        <w:spacing w:after="120"/>
        <w:ind w:left="360" w:hanging="360"/>
      </w:pPr>
      <w:r>
        <w:rPr>
          <w:rFonts w:ascii="Calibri" w:hAnsi="Calibri"/>
          <w:sz w:val="22"/>
        </w:rPr>
        <w:t xml:space="preserve">• </w:t>
      </w:r>
      <w:r>
        <w:rPr>
          <w:rFonts w:ascii="Calibri" w:hAnsi="Calibri"/>
          <w:b/>
          <w:sz w:val="22"/>
        </w:rPr>
        <w:t>Low-Code Agility:</w:t>
      </w:r>
      <w:r>
        <w:rPr>
          <w:rFonts w:ascii="Calibri" w:hAnsi="Calibri"/>
          <w:sz w:val="22"/>
        </w:rPr>
        <w:t xml:space="preserve"> Model-driven configuration enabling rapid introduction of new services and process changes without heavy coding.</w:t>
      </w:r>
    </w:p>
    <w:p>
      <w:pPr>
        <w:spacing w:after="120"/>
        <w:ind w:left="360" w:hanging="360"/>
      </w:pPr>
      <w:r>
        <w:rPr>
          <w:rFonts w:ascii="Calibri" w:hAnsi="Calibri"/>
          <w:sz w:val="22"/>
        </w:rPr>
        <w:t xml:space="preserve">• </w:t>
      </w:r>
      <w:r>
        <w:rPr>
          <w:rFonts w:ascii="Calibri" w:hAnsi="Calibri"/>
          <w:b/>
          <w:sz w:val="22"/>
        </w:rPr>
        <w:t>Centralized Rules Management:</w:t>
      </w:r>
      <w:r>
        <w:rPr>
          <w:rFonts w:ascii="Calibri" w:hAnsi="Calibri"/>
          <w:sz w:val="22"/>
        </w:rPr>
        <w:t xml:space="preserve"> Externalized business rules with versioning, testing, and controlled deployment.</w:t>
      </w:r>
    </w:p>
    <w:p>
      <w:pPr>
        <w:spacing w:after="120"/>
        <w:ind w:left="360" w:hanging="360"/>
      </w:pPr>
      <w:r>
        <w:rPr>
          <w:rFonts w:ascii="Calibri" w:hAnsi="Calibri"/>
          <w:sz w:val="22"/>
        </w:rPr>
        <w:t xml:space="preserve">• </w:t>
      </w:r>
      <w:r>
        <w:rPr>
          <w:rFonts w:ascii="Calibri" w:hAnsi="Calibri"/>
          <w:b/>
          <w:sz w:val="22"/>
        </w:rPr>
        <w:t>Transparency and Auditability:</w:t>
      </w:r>
      <w:r>
        <w:rPr>
          <w:rFonts w:ascii="Calibri" w:hAnsi="Calibri"/>
          <w:sz w:val="22"/>
        </w:rPr>
        <w:t xml:space="preserve"> End-to-end tracking of cases, tasks, and SLAs with full audit logging and dashboards.</w:t>
      </w:r>
    </w:p>
    <w:p>
      <w:pPr>
        <w:spacing w:after="120"/>
        <w:ind w:left="360" w:hanging="360"/>
      </w:pPr>
      <w:r>
        <w:rPr>
          <w:rFonts w:ascii="Calibri" w:hAnsi="Calibri"/>
          <w:sz w:val="22"/>
        </w:rPr>
        <w:t xml:space="preserve">• </w:t>
      </w:r>
      <w:r>
        <w:rPr>
          <w:rFonts w:ascii="Calibri" w:hAnsi="Calibri"/>
          <w:b/>
          <w:sz w:val="22"/>
        </w:rPr>
        <w:t>User-Centric Design:</w:t>
      </w:r>
      <w:r>
        <w:rPr>
          <w:rFonts w:ascii="Calibri" w:hAnsi="Calibri"/>
          <w:sz w:val="22"/>
        </w:rPr>
        <w:t xml:space="preserve"> Responsive, web-based interfaces for staff, management, and external stakeholders.</w:t>
      </w:r>
    </w:p>
    <w:p>
      <w:pPr>
        <w:spacing w:after="120"/>
        <w:ind w:left="360" w:hanging="360"/>
      </w:pPr>
      <w:r>
        <w:rPr>
          <w:rFonts w:ascii="Calibri" w:hAnsi="Calibri"/>
          <w:sz w:val="22"/>
        </w:rPr>
        <w:t xml:space="preserve">• </w:t>
      </w:r>
      <w:r>
        <w:rPr>
          <w:rFonts w:ascii="Calibri" w:hAnsi="Calibri"/>
          <w:b/>
          <w:sz w:val="22"/>
        </w:rPr>
        <w:t>Analytics Foundation:</w:t>
      </w:r>
      <w:r>
        <w:rPr>
          <w:rFonts w:ascii="Calibri" w:hAnsi="Calibri"/>
          <w:sz w:val="22"/>
        </w:rPr>
        <w:t xml:space="preserve"> Built-in dashboards and data models to support continuous process improvement.</w:t>
      </w:r>
    </w:p>
    <w:p>
      <w:pPr>
        <w:spacing w:after="120"/>
        <w:ind w:left="360" w:hanging="360"/>
      </w:pPr>
      <w:r>
        <w:rPr>
          <w:rFonts w:ascii="Calibri" w:hAnsi="Calibri"/>
          <w:sz w:val="22"/>
        </w:rPr>
        <w:t xml:space="preserve">• </w:t>
      </w:r>
      <w:r>
        <w:rPr>
          <w:rFonts w:ascii="Calibri" w:hAnsi="Calibri"/>
          <w:b/>
          <w:sz w:val="22"/>
        </w:rPr>
        <w:t>Proven Delivery Expertise:</w:t>
      </w:r>
      <w:r>
        <w:rPr>
          <w:rFonts w:ascii="Calibri" w:hAnsi="Calibri"/>
          <w:sz w:val="22"/>
        </w:rPr>
        <w:t xml:space="preserve"> Over 20 successful Pega Constellation implementations globally, including multiple government sector projects.</w:t>
      </w:r>
    </w:p>
    <w:p>
      <w:pPr>
        <w:spacing w:after="120"/>
        <w:ind w:left="360" w:hanging="360"/>
      </w:pPr>
      <w:r>
        <w:rPr>
          <w:rFonts w:ascii="Calibri" w:hAnsi="Calibri"/>
          <w:sz w:val="22"/>
        </w:rPr>
        <w:t xml:space="preserve">• </w:t>
      </w:r>
      <w:r>
        <w:rPr>
          <w:rFonts w:ascii="Calibri" w:hAnsi="Calibri"/>
          <w:b/>
          <w:sz w:val="22"/>
        </w:rPr>
        <w:t>Comprehensive Support:</w:t>
      </w:r>
      <w:r>
        <w:rPr>
          <w:rFonts w:ascii="Calibri" w:hAnsi="Calibri"/>
          <w:sz w:val="22"/>
        </w:rPr>
        <w:t xml:space="preserve"> Three years of post go-live support, including patching, upgrades, and incident resolution under defined SLAs.</w:t>
      </w:r>
    </w:p>
    <w:p/>
    <w:p>
      <w:r>
        <w:t>FusionAIx’s proposal aligns fully with MTI’s objectives to modernize its business operations, improve service delivery, and establish a foundation for data-driven governance.</w:t>
      </w:r>
    </w:p>
    <w:p/>
    <w:p>
      <w:pPr>
        <w:pStyle w:val="Heading2"/>
      </w:pPr>
      <w:r>
        <w:t>2. Understanding of MTI’s Objectives and Context</w:t>
      </w:r>
    </w:p>
    <w:p/>
    <w:p>
      <w:r>
        <w:t>The Ministry of Trade and Industry (MTI) seeks to implement a unified BPM platform to streamline and manage its core business processes. These include business licensing and renewals, incentive and grant applications, and trade facilitation services. The Ministry’s current environment likely involves multiple legacy systems, manual workflows, and fragmented data silos that hinder efficiency, transparency, and responsiveness.</w:t>
      </w:r>
    </w:p>
    <w:p/>
    <w:p>
      <w:r>
        <w:t>FusionAIx understands that MTI’s strategic objectives are to:</w:t>
      </w:r>
    </w:p>
    <w:p>
      <w:pPr>
        <w:pStyle w:val="ListNumber"/>
      </w:pPr>
      <w:r>
        <w:rPr>
          <w:b/>
        </w:rPr>
        <w:t>Unify and Orchestrate Core Processes:</w:t>
      </w:r>
      <w:r>
        <w:t xml:space="preserve"> Establish a single BPM platform that integrates disparate workflows and systems, ensuring consistent policy enforcement and operational efficiency.</w:t>
      </w:r>
    </w:p>
    <w:p>
      <w:pPr>
        <w:pStyle w:val="ListNumber"/>
      </w:pPr>
      <w:r>
        <w:rPr>
          <w:b/>
        </w:rPr>
        <w:t>Enhance Transparency and Accountability:</w:t>
      </w:r>
      <w:r>
        <w:t xml:space="preserve"> Enable end-to-end tracking of cases, tasks, and SLAs, providing real-time visibility to management and stakeholders.</w:t>
      </w:r>
    </w:p>
    <w:p>
      <w:pPr>
        <w:pStyle w:val="ListNumber"/>
      </w:pPr>
      <w:r>
        <w:rPr>
          <w:b/>
        </w:rPr>
        <w:t>Accelerate Service Delivery:</w:t>
      </w:r>
      <w:r>
        <w:t xml:space="preserve"> Reduce turnaround times for licensing, grants, and approvals through automation and low-code configuration.</w:t>
      </w:r>
    </w:p>
    <w:p>
      <w:pPr>
        <w:pStyle w:val="ListNumber"/>
      </w:pPr>
      <w:r>
        <w:rPr>
          <w:b/>
        </w:rPr>
        <w:t>Empower Business Users:</w:t>
      </w:r>
      <w:r>
        <w:t xml:space="preserve"> Provide intuitive tools for process modeling, rule management, and dashboard creation without heavy IT dependency.</w:t>
      </w:r>
    </w:p>
    <w:p>
      <w:pPr>
        <w:pStyle w:val="ListNumber"/>
      </w:pPr>
      <w:r>
        <w:rPr>
          <w:b/>
        </w:rPr>
        <w:t>Support Continuous Improvement:</w:t>
      </w:r>
      <w:r>
        <w:t xml:space="preserve"> Lay the foundation for analytics-driven insights and process optimization.</w:t>
      </w:r>
    </w:p>
    <w:p>
      <w:pPr>
        <w:pStyle w:val="ListNumber"/>
      </w:pPr>
      <w:r>
        <w:rPr>
          <w:b/>
        </w:rPr>
        <w:t>Ensure Compliance and Security:</w:t>
      </w:r>
      <w:r>
        <w:t xml:space="preserve"> Enforce role-based access control, audit logging, and compliance with national data protection and cybersecurity standards.</w:t>
      </w:r>
    </w:p>
    <w:p/>
    <w:p>
      <w:pPr>
        <w:pStyle w:val="Heading3"/>
      </w:pPr>
      <w:r>
        <w:t>Contextual Challenges</w:t>
      </w:r>
    </w:p>
    <w:p>
      <w:pPr>
        <w:spacing w:after="120"/>
        <w:ind w:left="360" w:hanging="360"/>
      </w:pPr>
      <w:r>
        <w:rPr>
          <w:rFonts w:ascii="Calibri" w:hAnsi="Calibri"/>
          <w:sz w:val="22"/>
        </w:rPr>
        <w:t xml:space="preserve">• </w:t>
      </w:r>
      <w:r>
        <w:rPr>
          <w:rFonts w:ascii="Calibri" w:hAnsi="Calibri"/>
          <w:b/>
          <w:sz w:val="22"/>
        </w:rPr>
        <w:t>Fragmented Systems:</w:t>
      </w:r>
      <w:r>
        <w:rPr>
          <w:rFonts w:ascii="Calibri" w:hAnsi="Calibri"/>
          <w:sz w:val="22"/>
        </w:rPr>
        <w:t xml:space="preserve"> Multiple legacy applications with limited integration.</w:t>
      </w:r>
    </w:p>
    <w:p>
      <w:pPr>
        <w:spacing w:after="120"/>
        <w:ind w:left="360" w:hanging="360"/>
      </w:pPr>
      <w:r>
        <w:rPr>
          <w:rFonts w:ascii="Calibri" w:hAnsi="Calibri"/>
          <w:sz w:val="22"/>
        </w:rPr>
        <w:t xml:space="preserve">• </w:t>
      </w:r>
      <w:r>
        <w:rPr>
          <w:rFonts w:ascii="Calibri" w:hAnsi="Calibri"/>
          <w:b/>
          <w:sz w:val="22"/>
        </w:rPr>
        <w:t>Manual Processes:</w:t>
      </w:r>
      <w:r>
        <w:rPr>
          <w:rFonts w:ascii="Calibri" w:hAnsi="Calibri"/>
          <w:sz w:val="22"/>
        </w:rPr>
        <w:t xml:space="preserve"> Paper-based or email-driven workflows leading to delays and errors.</w:t>
      </w:r>
    </w:p>
    <w:p>
      <w:pPr>
        <w:spacing w:after="120"/>
        <w:ind w:left="360" w:hanging="360"/>
      </w:pPr>
      <w:r>
        <w:rPr>
          <w:rFonts w:ascii="Calibri" w:hAnsi="Calibri"/>
          <w:sz w:val="22"/>
        </w:rPr>
        <w:t xml:space="preserve">• </w:t>
      </w:r>
      <w:r>
        <w:rPr>
          <w:rFonts w:ascii="Calibri" w:hAnsi="Calibri"/>
          <w:b/>
          <w:sz w:val="22"/>
        </w:rPr>
        <w:t>Limited Visibility:</w:t>
      </w:r>
      <w:r>
        <w:rPr>
          <w:rFonts w:ascii="Calibri" w:hAnsi="Calibri"/>
          <w:sz w:val="22"/>
        </w:rPr>
        <w:t xml:space="preserve"> Lack of real-time dashboards and SLA tracking.</w:t>
      </w:r>
    </w:p>
    <w:p>
      <w:pPr>
        <w:spacing w:after="120"/>
        <w:ind w:left="360" w:hanging="360"/>
      </w:pPr>
      <w:r>
        <w:rPr>
          <w:rFonts w:ascii="Calibri" w:hAnsi="Calibri"/>
          <w:sz w:val="22"/>
        </w:rPr>
        <w:t xml:space="preserve">• </w:t>
      </w:r>
      <w:r>
        <w:rPr>
          <w:rFonts w:ascii="Calibri" w:hAnsi="Calibri"/>
          <w:b/>
          <w:sz w:val="22"/>
        </w:rPr>
        <w:t>Policy Complexity:</w:t>
      </w:r>
      <w:r>
        <w:rPr>
          <w:rFonts w:ascii="Calibri" w:hAnsi="Calibri"/>
          <w:sz w:val="22"/>
        </w:rPr>
        <w:t xml:space="preserve"> Frequent regulatory updates requiring agile rule management.</w:t>
      </w:r>
    </w:p>
    <w:p>
      <w:pPr>
        <w:spacing w:after="120"/>
        <w:ind w:left="360" w:hanging="360"/>
      </w:pPr>
      <w:r>
        <w:rPr>
          <w:rFonts w:ascii="Calibri" w:hAnsi="Calibri"/>
          <w:sz w:val="22"/>
        </w:rPr>
        <w:t xml:space="preserve">• </w:t>
      </w:r>
      <w:r>
        <w:rPr>
          <w:rFonts w:ascii="Calibri" w:hAnsi="Calibri"/>
          <w:b/>
          <w:sz w:val="22"/>
        </w:rPr>
        <w:t>Stakeholder Diversity:</w:t>
      </w:r>
      <w:r>
        <w:rPr>
          <w:rFonts w:ascii="Calibri" w:hAnsi="Calibri"/>
          <w:sz w:val="22"/>
        </w:rPr>
        <w:t xml:space="preserve"> Internal users, external businesses, and citizens requiring different access levels and interfaces.</w:t>
      </w:r>
    </w:p>
    <w:p/>
    <w:p>
      <w:r>
        <w:t>FusionAIx’s proposed BPM solution directly addresses these challenges by providing a unified, configurable, and secure platform that supports both structured and dynamic case management.</w:t>
      </w:r>
    </w:p>
    <w:p/>
    <w:p>
      <w:pPr>
        <w:pStyle w:val="Heading2"/>
      </w:pPr>
      <w:r>
        <w:t>3. Proposed Solution Overview</w:t>
      </w:r>
    </w:p>
    <w:p/>
    <w:p>
      <w:pPr>
        <w:pStyle w:val="Heading3"/>
      </w:pPr>
      <w:r>
        <w:t>3.1 Solution Architecture</w:t>
      </w:r>
    </w:p>
    <w:p/>
    <w:p>
      <w:r>
        <w:t>Our proposed solution is based on Pega Constellation, an enterprise-grade BPM and case management platform recognized for its low-code capabilities, scalability, and government-grade security.</w:t>
      </w:r>
    </w:p>
    <w:p/>
    <w:p>
      <w:r>
        <w:t>Architecture Components:</w:t>
      </w:r>
    </w:p>
    <w:p>
      <w:pPr>
        <w:spacing w:after="120"/>
        <w:ind w:left="360" w:hanging="360"/>
      </w:pPr>
      <w:r>
        <w:rPr>
          <w:rFonts w:ascii="Calibri" w:hAnsi="Calibri"/>
          <w:sz w:val="22"/>
        </w:rPr>
        <w:t xml:space="preserve">• </w:t>
      </w:r>
      <w:r>
        <w:rPr>
          <w:rFonts w:ascii="Calibri" w:hAnsi="Calibri"/>
          <w:b/>
          <w:sz w:val="22"/>
        </w:rPr>
        <w:t>Process Orchestration Layer:</w:t>
      </w:r>
      <w:r>
        <w:rPr>
          <w:rFonts w:ascii="Calibri" w:hAnsi="Calibri"/>
          <w:sz w:val="22"/>
        </w:rPr>
        <w:t xml:space="preserve"> Manages end-to-end workflows, integrating human and system tasks.</w:t>
      </w:r>
    </w:p>
    <w:p>
      <w:pPr>
        <w:spacing w:after="120"/>
        <w:ind w:left="360" w:hanging="360"/>
      </w:pPr>
      <w:r>
        <w:rPr>
          <w:rFonts w:ascii="Calibri" w:hAnsi="Calibri"/>
          <w:sz w:val="22"/>
        </w:rPr>
        <w:t xml:space="preserve">• </w:t>
      </w:r>
      <w:r>
        <w:rPr>
          <w:rFonts w:ascii="Calibri" w:hAnsi="Calibri"/>
          <w:b/>
          <w:sz w:val="22"/>
        </w:rPr>
        <w:t>Case Management Engine:</w:t>
      </w:r>
      <w:r>
        <w:rPr>
          <w:rFonts w:ascii="Calibri" w:hAnsi="Calibri"/>
          <w:sz w:val="22"/>
        </w:rPr>
        <w:t xml:space="preserve"> Supports dynamic case types, ad-hoc tasks, and contextual collaboration.</w:t>
      </w:r>
    </w:p>
    <w:p>
      <w:pPr>
        <w:spacing w:after="120"/>
        <w:ind w:left="360" w:hanging="360"/>
      </w:pPr>
      <w:r>
        <w:rPr>
          <w:rFonts w:ascii="Calibri" w:hAnsi="Calibri"/>
          <w:sz w:val="22"/>
        </w:rPr>
        <w:t xml:space="preserve">• </w:t>
      </w:r>
      <w:r>
        <w:rPr>
          <w:rFonts w:ascii="Calibri" w:hAnsi="Calibri"/>
          <w:b/>
          <w:sz w:val="22"/>
        </w:rPr>
        <w:t>Business Rules Engine:</w:t>
      </w:r>
      <w:r>
        <w:rPr>
          <w:rFonts w:ascii="Calibri" w:hAnsi="Calibri"/>
          <w:sz w:val="22"/>
        </w:rPr>
        <w:t xml:space="preserve"> Centralized repository for business policies, enabling versioning, testing, and controlled deployment.</w:t>
      </w:r>
    </w:p>
    <w:p>
      <w:pPr>
        <w:spacing w:after="120"/>
        <w:ind w:left="360" w:hanging="360"/>
      </w:pPr>
      <w:r>
        <w:rPr>
          <w:rFonts w:ascii="Calibri" w:hAnsi="Calibri"/>
          <w:sz w:val="22"/>
        </w:rPr>
        <w:t xml:space="preserve">• </w:t>
      </w:r>
      <w:r>
        <w:rPr>
          <w:rFonts w:ascii="Calibri" w:hAnsi="Calibri"/>
          <w:b/>
          <w:sz w:val="22"/>
        </w:rPr>
        <w:t>Integration Layer:</w:t>
      </w:r>
      <w:r>
        <w:rPr>
          <w:rFonts w:ascii="Calibri" w:hAnsi="Calibri"/>
          <w:sz w:val="22"/>
        </w:rPr>
        <w:t xml:space="preserve"> REST APIs, message queues, and event-based integration for seamless connectivity with MTI’s existing systems.</w:t>
      </w:r>
    </w:p>
    <w:p>
      <w:pPr>
        <w:spacing w:after="120"/>
        <w:ind w:left="360" w:hanging="360"/>
      </w:pPr>
      <w:r>
        <w:rPr>
          <w:rFonts w:ascii="Calibri" w:hAnsi="Calibri"/>
          <w:sz w:val="22"/>
        </w:rPr>
        <w:t xml:space="preserve">• </w:t>
      </w:r>
      <w:r>
        <w:rPr>
          <w:rFonts w:ascii="Calibri" w:hAnsi="Calibri"/>
          <w:b/>
          <w:sz w:val="22"/>
        </w:rPr>
        <w:t>User Experience Layer:</w:t>
      </w:r>
      <w:r>
        <w:rPr>
          <w:rFonts w:ascii="Calibri" w:hAnsi="Calibri"/>
          <w:sz w:val="22"/>
        </w:rPr>
        <w:t xml:space="preserve"> Responsive web interfaces for internal users and self-service portals for external stakeholders.</w:t>
      </w:r>
    </w:p>
    <w:p>
      <w:pPr>
        <w:spacing w:after="120"/>
        <w:ind w:left="360" w:hanging="360"/>
      </w:pPr>
      <w:r>
        <w:rPr>
          <w:rFonts w:ascii="Calibri" w:hAnsi="Calibri"/>
          <w:sz w:val="22"/>
        </w:rPr>
        <w:t xml:space="preserve">• </w:t>
      </w:r>
      <w:r>
        <w:rPr>
          <w:rFonts w:ascii="Calibri" w:hAnsi="Calibri"/>
          <w:b/>
          <w:sz w:val="22"/>
        </w:rPr>
        <w:t>Analytics and Reporting Layer:</w:t>
      </w:r>
      <w:r>
        <w:rPr>
          <w:rFonts w:ascii="Calibri" w:hAnsi="Calibri"/>
          <w:sz w:val="22"/>
        </w:rPr>
        <w:t xml:space="preserve"> Real-time dashboards, SLA monitoring, and performance analytics.</w:t>
      </w:r>
    </w:p>
    <w:p>
      <w:pPr>
        <w:spacing w:after="120"/>
        <w:ind w:left="360" w:hanging="360"/>
      </w:pPr>
      <w:r>
        <w:rPr>
          <w:rFonts w:ascii="Calibri" w:hAnsi="Calibri"/>
          <w:sz w:val="22"/>
        </w:rPr>
        <w:t xml:space="preserve">• </w:t>
      </w:r>
      <w:r>
        <w:rPr>
          <w:rFonts w:ascii="Calibri" w:hAnsi="Calibri"/>
          <w:b/>
          <w:sz w:val="22"/>
        </w:rPr>
        <w:t>Security and Compliance Layer:</w:t>
      </w:r>
      <w:r>
        <w:rPr>
          <w:rFonts w:ascii="Calibri" w:hAnsi="Calibri"/>
          <w:sz w:val="22"/>
        </w:rPr>
        <w:t xml:space="preserve"> Role-based access control, audit logging, and compliance with national cybersecurity standards.</w:t>
      </w:r>
    </w:p>
    <w:p/>
    <w:p>
      <w:pPr>
        <w:pStyle w:val="Heading3"/>
      </w:pPr>
      <w:r>
        <w:t>3.2 Key Differentiators</w:t>
      </w:r>
    </w:p>
    <w:p/>
    <w:p>
      <w:pPr>
        <w:pStyle w:val="ListNumber"/>
      </w:pPr>
      <w:r>
        <w:rPr>
          <w:b/>
        </w:rPr>
        <w:t>Low-Code Agility:</w:t>
      </w:r>
      <w:r>
        <w:t xml:space="preserve"> Pega’s model-driven design allows MTI to configure new processes and rules rapidly without extensive coding.</w:t>
      </w:r>
    </w:p>
    <w:p>
      <w:pPr>
        <w:pStyle w:val="ListNumber"/>
      </w:pPr>
      <w:r>
        <w:rPr>
          <w:b/>
        </w:rPr>
        <w:t>Dynamic Case Management:</w:t>
      </w:r>
      <w:r>
        <w:t xml:space="preserve"> Supports both structured workflows and unstructured, ad-hoc tasks within the same case.</w:t>
      </w:r>
    </w:p>
    <w:p>
      <w:pPr>
        <w:pStyle w:val="ListNumber"/>
      </w:pPr>
      <w:r>
        <w:rPr>
          <w:b/>
        </w:rPr>
        <w:t>AI-Driven Insights:</w:t>
      </w:r>
      <w:r>
        <w:t xml:space="preserve"> fusionAIx’s proprietary </w:t>
      </w:r>
      <w:r>
        <w:rPr>
          <w:b/>
        </w:rPr>
        <w:t>fxAIStudio</w:t>
      </w:r>
      <w:r>
        <w:t xml:space="preserve"> integrates with Pega to provide predictive analytics and intelligent recommendations.</w:t>
      </w:r>
    </w:p>
    <w:p>
      <w:pPr>
        <w:pStyle w:val="ListNumber"/>
      </w:pPr>
      <w:r>
        <w:rPr>
          <w:b/>
        </w:rPr>
        <w:t>Accelerated Delivery:</w:t>
      </w:r>
      <w:r>
        <w:t xml:space="preserve"> Our </w:t>
      </w:r>
      <w:r>
        <w:rPr>
          <w:b/>
        </w:rPr>
        <w:t>fxSmartDCO</w:t>
      </w:r>
      <w:r>
        <w:t xml:space="preserve"> accelerator streamlines requirements gathering and process modeling, reducing design time by up to 40%.</w:t>
      </w:r>
    </w:p>
    <w:p>
      <w:pPr>
        <w:pStyle w:val="ListNumber"/>
      </w:pPr>
      <w:r>
        <w:rPr>
          <w:b/>
        </w:rPr>
        <w:t>Reusable Components:</w:t>
      </w:r>
      <w:r>
        <w:t xml:space="preserve"> </w:t>
      </w:r>
      <w:r>
        <w:rPr>
          <w:b/>
        </w:rPr>
        <w:t>fxAgentSDK</w:t>
      </w:r>
      <w:r>
        <w:t xml:space="preserve"> and </w:t>
      </w:r>
      <w:r>
        <w:rPr>
          <w:b/>
        </w:rPr>
        <w:t>fxMockUpToView</w:t>
      </w:r>
      <w:r>
        <w:t xml:space="preserve"> enable rapid UI prototyping and integration with external systems.</w:t>
      </w:r>
    </w:p>
    <w:p>
      <w:pPr>
        <w:pStyle w:val="ListNumber"/>
      </w:pPr>
      <w:r>
        <w:rPr>
          <w:b/>
        </w:rPr>
        <w:t>Proven Government Experience:</w:t>
      </w:r>
      <w:r>
        <w:t xml:space="preserve"> fusionAIx has delivered BPM solutions for multiple government agencies, ensuring compliance with public sector standards.</w:t>
      </w:r>
    </w:p>
    <w:p/>
    <w:p>
      <w:pPr>
        <w:pStyle w:val="Heading3"/>
      </w:pPr>
      <w:r>
        <w:t>3.3 Compliance with MTI Requirements</w:t>
      </w:r>
    </w:p>
    <w:p/>
    <w:p>
      <w:pPr>
        <w:spacing w:after="120"/>
        <w:ind w:left="360" w:hanging="360"/>
      </w:pPr>
      <w:r>
        <w:rPr>
          <w:rFonts w:ascii="Calibri" w:hAnsi="Calibri"/>
          <w:sz w:val="22"/>
        </w:rPr>
        <w:t xml:space="preserve">• </w:t>
      </w:r>
      <w:r>
        <w:rPr>
          <w:rFonts w:ascii="Calibri" w:hAnsi="Calibri"/>
          <w:b/>
          <w:sz w:val="22"/>
        </w:rPr>
        <w:t>Unified BPM Platform:</w:t>
      </w:r>
      <w:r>
        <w:rPr>
          <w:rFonts w:ascii="Calibri" w:hAnsi="Calibri"/>
          <w:sz w:val="22"/>
        </w:rPr>
        <w:t xml:space="preserve"> ✓</w:t>
      </w:r>
    </w:p>
    <w:p>
      <w:pPr>
        <w:spacing w:after="120"/>
        <w:ind w:left="360" w:hanging="360"/>
      </w:pPr>
      <w:r>
        <w:rPr>
          <w:rFonts w:ascii="Calibri" w:hAnsi="Calibri"/>
          <w:sz w:val="22"/>
        </w:rPr>
        <w:t xml:space="preserve">• </w:t>
      </w:r>
      <w:r>
        <w:rPr>
          <w:rFonts w:ascii="Calibri" w:hAnsi="Calibri"/>
          <w:b/>
          <w:sz w:val="22"/>
        </w:rPr>
        <w:t>Case Management (Structured + Unstructured):</w:t>
      </w:r>
      <w:r>
        <w:rPr>
          <w:rFonts w:ascii="Calibri" w:hAnsi="Calibri"/>
          <w:sz w:val="22"/>
        </w:rPr>
        <w:t xml:space="preserve"> ✓</w:t>
      </w:r>
    </w:p>
    <w:p>
      <w:pPr>
        <w:spacing w:after="120"/>
        <w:ind w:left="360" w:hanging="360"/>
      </w:pPr>
      <w:r>
        <w:rPr>
          <w:rFonts w:ascii="Calibri" w:hAnsi="Calibri"/>
          <w:sz w:val="22"/>
        </w:rPr>
        <w:t xml:space="preserve">• </w:t>
      </w:r>
      <w:r>
        <w:rPr>
          <w:rFonts w:ascii="Calibri" w:hAnsi="Calibri"/>
          <w:b/>
          <w:sz w:val="22"/>
        </w:rPr>
        <w:t>Business Rules Management:</w:t>
      </w:r>
      <w:r>
        <w:rPr>
          <w:rFonts w:ascii="Calibri" w:hAnsi="Calibri"/>
          <w:sz w:val="22"/>
        </w:rPr>
        <w:t xml:space="preserve"> ✓</w:t>
      </w:r>
    </w:p>
    <w:p>
      <w:pPr>
        <w:spacing w:after="120"/>
        <w:ind w:left="360" w:hanging="360"/>
      </w:pPr>
      <w:r>
        <w:rPr>
          <w:rFonts w:ascii="Calibri" w:hAnsi="Calibri"/>
          <w:sz w:val="22"/>
        </w:rPr>
        <w:t xml:space="preserve">• </w:t>
      </w:r>
      <w:r>
        <w:rPr>
          <w:rFonts w:ascii="Calibri" w:hAnsi="Calibri"/>
          <w:b/>
          <w:sz w:val="22"/>
        </w:rPr>
        <w:t>Transparency and Auditability:</w:t>
      </w:r>
      <w:r>
        <w:rPr>
          <w:rFonts w:ascii="Calibri" w:hAnsi="Calibri"/>
          <w:sz w:val="22"/>
        </w:rPr>
        <w:t xml:space="preserve"> ✓</w:t>
      </w:r>
    </w:p>
    <w:p>
      <w:pPr>
        <w:spacing w:after="120"/>
        <w:ind w:left="360" w:hanging="360"/>
      </w:pPr>
      <w:r>
        <w:rPr>
          <w:rFonts w:ascii="Calibri" w:hAnsi="Calibri"/>
          <w:sz w:val="22"/>
        </w:rPr>
        <w:t xml:space="preserve">• </w:t>
      </w:r>
      <w:r>
        <w:rPr>
          <w:rFonts w:ascii="Calibri" w:hAnsi="Calibri"/>
          <w:b/>
          <w:sz w:val="22"/>
        </w:rPr>
        <w:t>Low-Code Configuration:</w:t>
      </w:r>
      <w:r>
        <w:rPr>
          <w:rFonts w:ascii="Calibri" w:hAnsi="Calibri"/>
          <w:sz w:val="22"/>
        </w:rPr>
        <w:t xml:space="preserve"> ✓</w:t>
      </w:r>
    </w:p>
    <w:p>
      <w:pPr>
        <w:spacing w:after="120"/>
        <w:ind w:left="360" w:hanging="360"/>
      </w:pPr>
      <w:r>
        <w:rPr>
          <w:rFonts w:ascii="Calibri" w:hAnsi="Calibri"/>
          <w:sz w:val="22"/>
        </w:rPr>
        <w:t xml:space="preserve">• </w:t>
      </w:r>
      <w:r>
        <w:rPr>
          <w:rFonts w:ascii="Calibri" w:hAnsi="Calibri"/>
          <w:b/>
          <w:sz w:val="22"/>
        </w:rPr>
        <w:t>User-Friendly Interfaces:</w:t>
      </w:r>
      <w:r>
        <w:rPr>
          <w:rFonts w:ascii="Calibri" w:hAnsi="Calibri"/>
          <w:sz w:val="22"/>
        </w:rPr>
        <w:t xml:space="preserve"> ✓</w:t>
      </w:r>
    </w:p>
    <w:p>
      <w:pPr>
        <w:spacing w:after="120"/>
        <w:ind w:left="360" w:hanging="360"/>
      </w:pPr>
      <w:r>
        <w:rPr>
          <w:rFonts w:ascii="Calibri" w:hAnsi="Calibri"/>
          <w:sz w:val="22"/>
        </w:rPr>
        <w:t xml:space="preserve">• </w:t>
      </w:r>
      <w:r>
        <w:rPr>
          <w:rFonts w:ascii="Calibri" w:hAnsi="Calibri"/>
          <w:b/>
          <w:sz w:val="22"/>
        </w:rPr>
        <w:t>Analytics Foundation:</w:t>
      </w:r>
      <w:r>
        <w:rPr>
          <w:rFonts w:ascii="Calibri" w:hAnsi="Calibri"/>
          <w:sz w:val="22"/>
        </w:rPr>
        <w:t xml:space="preserve"> ✓</w:t>
      </w:r>
    </w:p>
    <w:p>
      <w:pPr>
        <w:spacing w:after="120"/>
        <w:ind w:left="360" w:hanging="360"/>
      </w:pPr>
      <w:r>
        <w:rPr>
          <w:rFonts w:ascii="Calibri" w:hAnsi="Calibri"/>
          <w:sz w:val="22"/>
        </w:rPr>
        <w:t xml:space="preserve">• </w:t>
      </w:r>
      <w:r>
        <w:rPr>
          <w:rFonts w:ascii="Calibri" w:hAnsi="Calibri"/>
          <w:b/>
          <w:sz w:val="22"/>
        </w:rPr>
        <w:t>Integration and Security:</w:t>
      </w:r>
      <w:r>
        <w:rPr>
          <w:rFonts w:ascii="Calibri" w:hAnsi="Calibri"/>
          <w:sz w:val="22"/>
        </w:rPr>
        <w:t xml:space="preserve"> ✓</w:t>
      </w:r>
    </w:p>
    <w:p/>
    <w:p>
      <w:pPr>
        <w:pStyle w:val="Heading2"/>
      </w:pPr>
      <w:r>
        <w:t>4. Implementation Approach and Methodology</w:t>
      </w:r>
    </w:p>
    <w:p/>
    <w:p>
      <w:r>
        <w:t>FusionAIx follows a hybrid agile delivery model that combines the rigor of structured project governance with the flexibility of iterative development.</w:t>
      </w:r>
    </w:p>
    <w:p/>
    <w:p>
      <w:pPr>
        <w:pStyle w:val="Heading3"/>
      </w:pPr>
      <w:r>
        <w:t>4.1 Phased Implementation</w:t>
      </w:r>
    </w:p>
    <w:p/>
    <w:p>
      <w:pPr>
        <w:pStyle w:val="ListNumber"/>
      </w:pPr>
      <w:r>
        <w:rPr>
          <w:b/>
        </w:rPr>
        <w:t>Discovery and Requirements Refinement:</w:t>
      </w:r>
    </w:p>
    <w:p>
      <w:pPr>
        <w:spacing w:after="120"/>
        <w:ind w:left="360" w:hanging="360"/>
      </w:pPr>
      <w:r>
        <w:rPr>
          <w:rFonts w:ascii="Calibri" w:hAnsi="Calibri"/>
          <w:sz w:val="22"/>
        </w:rPr>
        <w:t xml:space="preserve">• </w:t>
      </w:r>
      <w:r>
        <w:rPr>
          <w:rFonts w:ascii="Calibri" w:hAnsi="Calibri"/>
          <w:sz w:val="22"/>
        </w:rPr>
        <w:t>Conduct collaborative workshops with MTI stakeholders.</w:t>
      </w:r>
    </w:p>
    <w:p>
      <w:pPr>
        <w:spacing w:after="120"/>
        <w:ind w:left="360" w:hanging="360"/>
      </w:pPr>
      <w:r>
        <w:rPr>
          <w:rFonts w:ascii="Calibri" w:hAnsi="Calibri"/>
          <w:sz w:val="22"/>
        </w:rPr>
        <w:t xml:space="preserve">• </w:t>
      </w:r>
      <w:r>
        <w:rPr>
          <w:rFonts w:ascii="Calibri" w:hAnsi="Calibri"/>
          <w:sz w:val="22"/>
        </w:rPr>
        <w:t xml:space="preserve">Use </w:t>
      </w:r>
      <w:r>
        <w:rPr>
          <w:rFonts w:ascii="Calibri" w:hAnsi="Calibri"/>
          <w:b/>
          <w:sz w:val="22"/>
        </w:rPr>
        <w:t>fxSmartDCO</w:t>
      </w:r>
      <w:r>
        <w:rPr>
          <w:rFonts w:ascii="Calibri" w:hAnsi="Calibri"/>
          <w:sz w:val="22"/>
        </w:rPr>
        <w:t xml:space="preserve"> to capture business processes, rules, and SLAs directly into the BPM model.</w:t>
      </w:r>
    </w:p>
    <w:p>
      <w:pPr>
        <w:spacing w:after="120"/>
        <w:ind w:left="360" w:hanging="360"/>
      </w:pPr>
      <w:r>
        <w:rPr>
          <w:rFonts w:ascii="Calibri" w:hAnsi="Calibri"/>
          <w:sz w:val="22"/>
        </w:rPr>
        <w:t xml:space="preserve">• </w:t>
      </w:r>
      <w:r>
        <w:rPr>
          <w:rFonts w:ascii="Calibri" w:hAnsi="Calibri"/>
          <w:sz w:val="22"/>
        </w:rPr>
        <w:t>Define process scope, user roles, and integration points.</w:t>
      </w:r>
    </w:p>
    <w:p/>
    <w:p>
      <w:pPr>
        <w:pStyle w:val="ListNumber"/>
      </w:pPr>
      <w:r>
        <w:rPr>
          <w:b/>
        </w:rPr>
        <w:t>Design and Configuration:</w:t>
      </w:r>
    </w:p>
    <w:p>
      <w:pPr>
        <w:spacing w:after="120"/>
        <w:ind w:left="360" w:hanging="360"/>
      </w:pPr>
      <w:r>
        <w:rPr>
          <w:rFonts w:ascii="Calibri" w:hAnsi="Calibri"/>
          <w:sz w:val="22"/>
        </w:rPr>
        <w:t xml:space="preserve">• </w:t>
      </w:r>
      <w:r>
        <w:rPr>
          <w:rFonts w:ascii="Calibri" w:hAnsi="Calibri"/>
          <w:sz w:val="22"/>
        </w:rPr>
        <w:t>Model processes using Pega’s App Studio.</w:t>
      </w:r>
    </w:p>
    <w:p>
      <w:pPr>
        <w:spacing w:after="120"/>
        <w:ind w:left="360" w:hanging="360"/>
      </w:pPr>
      <w:r>
        <w:rPr>
          <w:rFonts w:ascii="Calibri" w:hAnsi="Calibri"/>
          <w:sz w:val="22"/>
        </w:rPr>
        <w:t xml:space="preserve">• </w:t>
      </w:r>
      <w:r>
        <w:rPr>
          <w:rFonts w:ascii="Calibri" w:hAnsi="Calibri"/>
          <w:sz w:val="22"/>
        </w:rPr>
        <w:t>Configure case types, rules, and UI components.</w:t>
      </w:r>
    </w:p>
    <w:p>
      <w:pPr>
        <w:spacing w:after="120"/>
        <w:ind w:left="360" w:hanging="360"/>
      </w:pPr>
      <w:r>
        <w:rPr>
          <w:rFonts w:ascii="Calibri" w:hAnsi="Calibri"/>
          <w:sz w:val="22"/>
        </w:rPr>
        <w:t xml:space="preserve">• </w:t>
      </w:r>
      <w:r>
        <w:rPr>
          <w:rFonts w:ascii="Calibri" w:hAnsi="Calibri"/>
          <w:sz w:val="22"/>
        </w:rPr>
        <w:t>Develop integration services using REST APIs and message queues.</w:t>
      </w:r>
    </w:p>
    <w:p/>
    <w:p>
      <w:pPr>
        <w:pStyle w:val="ListNumber"/>
      </w:pPr>
      <w:r>
        <w:rPr>
          <w:b/>
        </w:rPr>
        <w:t>Testing and Quality Assurance:</w:t>
      </w:r>
    </w:p>
    <w:p>
      <w:pPr>
        <w:spacing w:after="120"/>
        <w:ind w:left="360" w:hanging="360"/>
      </w:pPr>
      <w:r>
        <w:rPr>
          <w:rFonts w:ascii="Calibri" w:hAnsi="Calibri"/>
          <w:sz w:val="22"/>
        </w:rPr>
        <w:t xml:space="preserve">• </w:t>
      </w:r>
      <w:r>
        <w:rPr>
          <w:rFonts w:ascii="Calibri" w:hAnsi="Calibri"/>
          <w:sz w:val="22"/>
        </w:rPr>
        <w:t>System Integration Testing (SIT)</w:t>
      </w:r>
    </w:p>
    <w:p>
      <w:pPr>
        <w:spacing w:after="120"/>
        <w:ind w:left="360" w:hanging="360"/>
      </w:pPr>
      <w:r>
        <w:rPr>
          <w:rFonts w:ascii="Calibri" w:hAnsi="Calibri"/>
          <w:sz w:val="22"/>
        </w:rPr>
        <w:t xml:space="preserve">• </w:t>
      </w:r>
      <w:r>
        <w:rPr>
          <w:rFonts w:ascii="Calibri" w:hAnsi="Calibri"/>
          <w:sz w:val="22"/>
        </w:rPr>
        <w:t>Performance and Security Testing</w:t>
      </w:r>
    </w:p>
    <w:p>
      <w:pPr>
        <w:spacing w:after="120"/>
        <w:ind w:left="360" w:hanging="360"/>
      </w:pPr>
      <w:r>
        <w:rPr>
          <w:rFonts w:ascii="Calibri" w:hAnsi="Calibri"/>
          <w:sz w:val="22"/>
        </w:rPr>
        <w:t xml:space="preserve">• </w:t>
      </w:r>
      <w:r>
        <w:rPr>
          <w:rFonts w:ascii="Calibri" w:hAnsi="Calibri"/>
          <w:sz w:val="22"/>
        </w:rPr>
        <w:t>User Acceptance Testing (UAT) with MTI business users</w:t>
      </w:r>
    </w:p>
    <w:p/>
    <w:p>
      <w:pPr>
        <w:pStyle w:val="ListNumber"/>
      </w:pPr>
      <w:r>
        <w:rPr>
          <w:b/>
        </w:rPr>
        <w:t>Training and Change Enablement:</w:t>
      </w:r>
    </w:p>
    <w:p>
      <w:pPr>
        <w:spacing w:after="120"/>
        <w:ind w:left="360" w:hanging="360"/>
      </w:pPr>
      <w:r>
        <w:rPr>
          <w:rFonts w:ascii="Calibri" w:hAnsi="Calibri"/>
          <w:sz w:val="22"/>
        </w:rPr>
        <w:t xml:space="preserve">• </w:t>
      </w:r>
      <w:r>
        <w:rPr>
          <w:rFonts w:ascii="Calibri" w:hAnsi="Calibri"/>
          <w:sz w:val="22"/>
        </w:rPr>
        <w:t>Deliver role-based training for administrators, power users, and end users.</w:t>
      </w:r>
    </w:p>
    <w:p>
      <w:pPr>
        <w:spacing w:after="120"/>
        <w:ind w:left="360" w:hanging="360"/>
      </w:pPr>
      <w:r>
        <w:rPr>
          <w:rFonts w:ascii="Calibri" w:hAnsi="Calibri"/>
          <w:sz w:val="22"/>
        </w:rPr>
        <w:t xml:space="preserve">• </w:t>
      </w:r>
      <w:r>
        <w:rPr>
          <w:rFonts w:ascii="Calibri" w:hAnsi="Calibri"/>
          <w:sz w:val="22"/>
        </w:rPr>
        <w:t>Provide user guides, job aids, and e-learning modules.</w:t>
      </w:r>
    </w:p>
    <w:p>
      <w:pPr>
        <w:spacing w:after="120"/>
        <w:ind w:left="360" w:hanging="360"/>
      </w:pPr>
      <w:r>
        <w:rPr>
          <w:rFonts w:ascii="Calibri" w:hAnsi="Calibri"/>
          <w:sz w:val="22"/>
        </w:rPr>
        <w:t xml:space="preserve">• </w:t>
      </w:r>
      <w:r>
        <w:rPr>
          <w:rFonts w:ascii="Calibri" w:hAnsi="Calibri"/>
          <w:sz w:val="22"/>
        </w:rPr>
        <w:t>Support MTI’s change management and communication plan.</w:t>
      </w:r>
    </w:p>
    <w:p/>
    <w:p>
      <w:pPr>
        <w:pStyle w:val="ListNumber"/>
      </w:pPr>
      <w:r>
        <w:rPr>
          <w:b/>
        </w:rPr>
        <w:t>Go-Live and Hypercare:</w:t>
      </w:r>
    </w:p>
    <w:p>
      <w:pPr>
        <w:spacing w:after="120"/>
        <w:ind w:left="360" w:hanging="360"/>
      </w:pPr>
      <w:r>
        <w:rPr>
          <w:rFonts w:ascii="Calibri" w:hAnsi="Calibri"/>
          <w:sz w:val="22"/>
        </w:rPr>
        <w:t xml:space="preserve">• </w:t>
      </w:r>
      <w:r>
        <w:rPr>
          <w:rFonts w:ascii="Calibri" w:hAnsi="Calibri"/>
          <w:sz w:val="22"/>
        </w:rPr>
        <w:t>Execute cutover plan and monitor system stability.</w:t>
      </w:r>
    </w:p>
    <w:p>
      <w:pPr>
        <w:spacing w:after="120"/>
        <w:ind w:left="360" w:hanging="360"/>
      </w:pPr>
      <w:r>
        <w:rPr>
          <w:rFonts w:ascii="Calibri" w:hAnsi="Calibri"/>
          <w:sz w:val="22"/>
        </w:rPr>
        <w:t xml:space="preserve">• </w:t>
      </w:r>
      <w:r>
        <w:rPr>
          <w:rFonts w:ascii="Calibri" w:hAnsi="Calibri"/>
          <w:sz w:val="22"/>
        </w:rPr>
        <w:t>Provide on-site and remote support during the hypercare period.</w:t>
      </w:r>
    </w:p>
    <w:p/>
    <w:p>
      <w:pPr>
        <w:pStyle w:val="ListNumber"/>
      </w:pPr>
      <w:r>
        <w:rPr>
          <w:b/>
        </w:rPr>
        <w:t>Transition to Support:</w:t>
      </w:r>
    </w:p>
    <w:p>
      <w:pPr>
        <w:spacing w:after="120"/>
        <w:ind w:left="360" w:hanging="360"/>
      </w:pPr>
      <w:r>
        <w:rPr>
          <w:rFonts w:ascii="Calibri" w:hAnsi="Calibri"/>
          <w:sz w:val="22"/>
        </w:rPr>
        <w:t xml:space="preserve">• </w:t>
      </w:r>
      <w:r>
        <w:rPr>
          <w:rFonts w:ascii="Calibri" w:hAnsi="Calibri"/>
          <w:sz w:val="22"/>
        </w:rPr>
        <w:t>Handover to the support team with full documentation.</w:t>
      </w:r>
    </w:p>
    <w:p>
      <w:pPr>
        <w:spacing w:after="120"/>
        <w:ind w:left="360" w:hanging="360"/>
      </w:pPr>
      <w:r>
        <w:rPr>
          <w:rFonts w:ascii="Calibri" w:hAnsi="Calibri"/>
          <w:sz w:val="22"/>
        </w:rPr>
        <w:t xml:space="preserve">• </w:t>
      </w:r>
      <w:r>
        <w:rPr>
          <w:rFonts w:ascii="Calibri" w:hAnsi="Calibri"/>
          <w:sz w:val="22"/>
        </w:rPr>
        <w:t>Establish governance and continuous improvement mechanisms.</w:t>
      </w:r>
    </w:p>
    <w:p/>
    <w:p>
      <w:pPr>
        <w:pStyle w:val="Heading3"/>
      </w:pPr>
      <w:r>
        <w:t>4.2 Quality Assurance and Governance</w:t>
      </w:r>
    </w:p>
    <w:p/>
    <w:p>
      <w:pPr>
        <w:spacing w:after="120"/>
        <w:ind w:left="360" w:hanging="360"/>
      </w:pPr>
      <w:r>
        <w:rPr>
          <w:rFonts w:ascii="Calibri" w:hAnsi="Calibri"/>
          <w:sz w:val="22"/>
        </w:rPr>
        <w:t xml:space="preserve">• </w:t>
      </w:r>
      <w:r>
        <w:rPr>
          <w:rFonts w:ascii="Calibri" w:hAnsi="Calibri"/>
          <w:b/>
          <w:sz w:val="22"/>
        </w:rPr>
        <w:t>Project Steering Committee:</w:t>
      </w:r>
      <w:r>
        <w:rPr>
          <w:rFonts w:ascii="Calibri" w:hAnsi="Calibri"/>
          <w:sz w:val="22"/>
        </w:rPr>
        <w:t xml:space="preserve"> Joint MTI–fusionAIx governance body for oversight.</w:t>
      </w:r>
    </w:p>
    <w:p>
      <w:pPr>
        <w:spacing w:after="120"/>
        <w:ind w:left="360" w:hanging="360"/>
      </w:pPr>
      <w:r>
        <w:rPr>
          <w:rFonts w:ascii="Calibri" w:hAnsi="Calibri"/>
          <w:sz w:val="22"/>
        </w:rPr>
        <w:t xml:space="preserve">• </w:t>
      </w:r>
      <w:r>
        <w:rPr>
          <w:rFonts w:ascii="Calibri" w:hAnsi="Calibri"/>
          <w:b/>
          <w:sz w:val="22"/>
        </w:rPr>
        <w:t>Weekly Status Reviews:</w:t>
      </w:r>
      <w:r>
        <w:rPr>
          <w:rFonts w:ascii="Calibri" w:hAnsi="Calibri"/>
          <w:sz w:val="22"/>
        </w:rPr>
        <w:t xml:space="preserve"> Progress tracking, risk management, and issue resolution.</w:t>
      </w:r>
    </w:p>
    <w:p>
      <w:pPr>
        <w:spacing w:after="120"/>
        <w:ind w:left="360" w:hanging="360"/>
      </w:pPr>
      <w:r>
        <w:rPr>
          <w:rFonts w:ascii="Calibri" w:hAnsi="Calibri"/>
          <w:sz w:val="22"/>
        </w:rPr>
        <w:t xml:space="preserve">• </w:t>
      </w:r>
      <w:r>
        <w:rPr>
          <w:rFonts w:ascii="Calibri" w:hAnsi="Calibri"/>
          <w:b/>
          <w:sz w:val="22"/>
        </w:rPr>
        <w:t>Change Control Board:</w:t>
      </w:r>
      <w:r>
        <w:rPr>
          <w:rFonts w:ascii="Calibri" w:hAnsi="Calibri"/>
          <w:sz w:val="22"/>
        </w:rPr>
        <w:t xml:space="preserve"> Formal process for managing scope and configuration changes.</w:t>
      </w:r>
    </w:p>
    <w:p/>
    <w:p>
      <w:pPr>
        <w:pStyle w:val="Heading2"/>
      </w:pPr>
      <w:r>
        <w:t>5. Project Plan and Timelines</w:t>
      </w:r>
    </w:p>
    <w:p/>
    <w:p>
      <w:r>
        <w:t>The following baseline timeline assumes an initial implementation covering two core processes (e.g., business licensing and grants management). Actual timelines will be refined during the inception phase.</w:t>
      </w:r>
    </w:p>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fill="1a5490" w:val="clear"/>
            <w:vAlign w:val="top"/>
            <w:tcMar>
              <w:top w:w="80" w:type="dxa"/>
              <w:right w:w="80" w:type="dxa"/>
              <w:bottom w:w="80" w:type="dxa"/>
              <w:left w:w="80" w:type="dxa"/>
            </w:tcMar>
          </w:tcPr>
          <w:p>
            <w:r>
              <w:rPr>
                <w:b/>
                <w:color w:val="FFFFFF"/>
              </w:rPr>
              <w:t>Phase</w:t>
            </w:r>
          </w:p>
        </w:tc>
        <w:tc>
          <w:tcPr>
            <w:tcW w:type="dxa" w:w="3120"/>
            <w:shd w:fill="1a5490" w:val="clear"/>
            <w:vAlign w:val="top"/>
            <w:tcMar>
              <w:top w:w="80" w:type="dxa"/>
              <w:right w:w="80" w:type="dxa"/>
              <w:bottom w:w="80" w:type="dxa"/>
              <w:left w:w="80" w:type="dxa"/>
            </w:tcMar>
          </w:tcPr>
          <w:p>
            <w:r>
              <w:rPr>
                <w:b/>
                <w:color w:val="FFFFFF"/>
              </w:rPr>
              <w:t>Duration</w:t>
            </w:r>
          </w:p>
        </w:tc>
        <w:tc>
          <w:tcPr>
            <w:tcW w:type="dxa" w:w="3120"/>
            <w:shd w:fill="1a5490" w:val="clear"/>
            <w:vAlign w:val="top"/>
            <w:tcMar>
              <w:top w:w="80" w:type="dxa"/>
              <w:right w:w="80" w:type="dxa"/>
              <w:bottom w:w="80" w:type="dxa"/>
              <w:left w:w="80" w:type="dxa"/>
            </w:tcMar>
          </w:tcPr>
          <w:p>
            <w:r>
              <w:rPr>
                <w:b/>
                <w:color w:val="FFFFFF"/>
              </w:rPr>
              <w:t>Key Deliverables</w:t>
            </w:r>
          </w:p>
        </w:tc>
      </w:tr>
      <w:tr>
        <w:tc>
          <w:tcPr>
            <w:tcW w:type="dxa" w:w="3120"/>
            <w:vAlign w:val="top"/>
            <w:tcMar>
              <w:top w:w="80" w:type="dxa"/>
              <w:right w:w="80" w:type="dxa"/>
              <w:bottom w:w="80" w:type="dxa"/>
              <w:left w:w="80" w:type="dxa"/>
            </w:tcMar>
          </w:tcPr>
          <w:p>
            <w:r>
              <w:t>Discovery &amp; Requirements</w:t>
            </w:r>
          </w:p>
        </w:tc>
        <w:tc>
          <w:tcPr>
            <w:tcW w:type="dxa" w:w="3120"/>
            <w:vAlign w:val="top"/>
            <w:tcMar>
              <w:top w:w="80" w:type="dxa"/>
              <w:right w:w="80" w:type="dxa"/>
              <w:bottom w:w="80" w:type="dxa"/>
              <w:left w:w="80" w:type="dxa"/>
            </w:tcMar>
          </w:tcPr>
          <w:p>
            <w:r>
              <w:t>6 weeks</w:t>
            </w:r>
          </w:p>
        </w:tc>
        <w:tc>
          <w:tcPr>
            <w:tcW w:type="dxa" w:w="3120"/>
            <w:vAlign w:val="top"/>
            <w:tcMar>
              <w:top w:w="80" w:type="dxa"/>
              <w:right w:w="80" w:type="dxa"/>
              <w:bottom w:w="80" w:type="dxa"/>
              <w:left w:w="80" w:type="dxa"/>
            </w:tcMar>
          </w:tcPr>
          <w:p>
            <w:r>
              <w:t>Process models, requirements baseline</w:t>
            </w:r>
          </w:p>
        </w:tc>
      </w:tr>
      <w:tr>
        <w:tc>
          <w:tcPr>
            <w:tcW w:type="dxa" w:w="3120"/>
            <w:vAlign w:val="top"/>
            <w:tcMar>
              <w:top w:w="80" w:type="dxa"/>
              <w:right w:w="80" w:type="dxa"/>
              <w:bottom w:w="80" w:type="dxa"/>
              <w:left w:w="80" w:type="dxa"/>
            </w:tcMar>
          </w:tcPr>
          <w:p>
            <w:r>
              <w:t>Design &amp; Configuration</w:t>
            </w:r>
          </w:p>
        </w:tc>
        <w:tc>
          <w:tcPr>
            <w:tcW w:type="dxa" w:w="3120"/>
            <w:vAlign w:val="top"/>
            <w:tcMar>
              <w:top w:w="80" w:type="dxa"/>
              <w:right w:w="80" w:type="dxa"/>
              <w:bottom w:w="80" w:type="dxa"/>
              <w:left w:w="80" w:type="dxa"/>
            </w:tcMar>
          </w:tcPr>
          <w:p>
            <w:r>
              <w:t>12 weeks</w:t>
            </w:r>
          </w:p>
        </w:tc>
        <w:tc>
          <w:tcPr>
            <w:tcW w:type="dxa" w:w="3120"/>
            <w:vAlign w:val="top"/>
            <w:tcMar>
              <w:top w:w="80" w:type="dxa"/>
              <w:right w:w="80" w:type="dxa"/>
              <w:bottom w:w="80" w:type="dxa"/>
              <w:left w:w="80" w:type="dxa"/>
            </w:tcMar>
          </w:tcPr>
          <w:p>
            <w:r>
              <w:t>Configured case types, rules, integrations</w:t>
            </w:r>
          </w:p>
        </w:tc>
      </w:tr>
      <w:tr>
        <w:tc>
          <w:tcPr>
            <w:tcW w:type="dxa" w:w="3120"/>
            <w:vAlign w:val="top"/>
            <w:tcMar>
              <w:top w:w="80" w:type="dxa"/>
              <w:right w:w="80" w:type="dxa"/>
              <w:bottom w:w="80" w:type="dxa"/>
              <w:left w:w="80" w:type="dxa"/>
            </w:tcMar>
          </w:tcPr>
          <w:p>
            <w:r>
              <w:t>Testing &amp; UAT</w:t>
            </w:r>
          </w:p>
        </w:tc>
        <w:tc>
          <w:tcPr>
            <w:tcW w:type="dxa" w:w="3120"/>
            <w:vAlign w:val="top"/>
            <w:tcMar>
              <w:top w:w="80" w:type="dxa"/>
              <w:right w:w="80" w:type="dxa"/>
              <w:bottom w:w="80" w:type="dxa"/>
              <w:left w:w="80" w:type="dxa"/>
            </w:tcMar>
          </w:tcPr>
          <w:p>
            <w:r>
              <w:t>6 weeks</w:t>
            </w:r>
          </w:p>
        </w:tc>
        <w:tc>
          <w:tcPr>
            <w:tcW w:type="dxa" w:w="3120"/>
            <w:vAlign w:val="top"/>
            <w:tcMar>
              <w:top w:w="80" w:type="dxa"/>
              <w:right w:w="80" w:type="dxa"/>
              <w:bottom w:w="80" w:type="dxa"/>
              <w:left w:w="80" w:type="dxa"/>
            </w:tcMar>
          </w:tcPr>
          <w:p>
            <w:r>
              <w:t>SIT, UAT sign-off</w:t>
            </w:r>
          </w:p>
        </w:tc>
      </w:tr>
      <w:tr>
        <w:tc>
          <w:tcPr>
            <w:tcW w:type="dxa" w:w="3120"/>
            <w:vAlign w:val="top"/>
            <w:tcMar>
              <w:top w:w="80" w:type="dxa"/>
              <w:right w:w="80" w:type="dxa"/>
              <w:bottom w:w="80" w:type="dxa"/>
              <w:left w:w="80" w:type="dxa"/>
            </w:tcMar>
          </w:tcPr>
          <w:p>
            <w:r>
              <w:t>Training &amp; Go-Live Prep</w:t>
            </w:r>
          </w:p>
        </w:tc>
        <w:tc>
          <w:tcPr>
            <w:tcW w:type="dxa" w:w="3120"/>
            <w:vAlign w:val="top"/>
            <w:tcMar>
              <w:top w:w="80" w:type="dxa"/>
              <w:right w:w="80" w:type="dxa"/>
              <w:bottom w:w="80" w:type="dxa"/>
              <w:left w:w="80" w:type="dxa"/>
            </w:tcMar>
          </w:tcPr>
          <w:p>
            <w:r>
              <w:t>4 weeks</w:t>
            </w:r>
          </w:p>
        </w:tc>
        <w:tc>
          <w:tcPr>
            <w:tcW w:type="dxa" w:w="3120"/>
            <w:vAlign w:val="top"/>
            <w:tcMar>
              <w:top w:w="80" w:type="dxa"/>
              <w:right w:w="80" w:type="dxa"/>
              <w:bottom w:w="80" w:type="dxa"/>
              <w:left w:w="80" w:type="dxa"/>
            </w:tcMar>
          </w:tcPr>
          <w:p>
            <w:r>
              <w:t>Training materials, cutover plan</w:t>
            </w:r>
          </w:p>
        </w:tc>
      </w:tr>
      <w:tr>
        <w:tc>
          <w:tcPr>
            <w:tcW w:type="dxa" w:w="3120"/>
            <w:vAlign w:val="top"/>
            <w:tcMar>
              <w:top w:w="80" w:type="dxa"/>
              <w:right w:w="80" w:type="dxa"/>
              <w:bottom w:w="80" w:type="dxa"/>
              <w:left w:w="80" w:type="dxa"/>
            </w:tcMar>
          </w:tcPr>
          <w:p>
            <w:r>
              <w:t>Go-Live &amp; Hypercare</w:t>
            </w:r>
          </w:p>
        </w:tc>
        <w:tc>
          <w:tcPr>
            <w:tcW w:type="dxa" w:w="3120"/>
            <w:vAlign w:val="top"/>
            <w:tcMar>
              <w:top w:w="80" w:type="dxa"/>
              <w:right w:w="80" w:type="dxa"/>
              <w:bottom w:w="80" w:type="dxa"/>
              <w:left w:w="80" w:type="dxa"/>
            </w:tcMar>
          </w:tcPr>
          <w:p>
            <w:r>
              <w:t>4 weeks</w:t>
            </w:r>
          </w:p>
        </w:tc>
        <w:tc>
          <w:tcPr>
            <w:tcW w:type="dxa" w:w="3120"/>
            <w:vAlign w:val="top"/>
            <w:tcMar>
              <w:top w:w="80" w:type="dxa"/>
              <w:right w:w="80" w:type="dxa"/>
              <w:bottom w:w="80" w:type="dxa"/>
              <w:left w:w="80" w:type="dxa"/>
            </w:tcMar>
          </w:tcPr>
          <w:p>
            <w:r>
              <w:t>Production deployment, stabilization</w:t>
            </w:r>
          </w:p>
        </w:tc>
      </w:tr>
      <w:tr>
        <w:tc>
          <w:tcPr>
            <w:tcW w:type="dxa" w:w="3120"/>
            <w:vAlign w:val="top"/>
            <w:tcMar>
              <w:top w:w="80" w:type="dxa"/>
              <w:right w:w="80" w:type="dxa"/>
              <w:bottom w:w="80" w:type="dxa"/>
              <w:left w:w="80" w:type="dxa"/>
            </w:tcMar>
          </w:tcPr>
          <w:p>
            <w:r>
              <w:t>Transition to Support</w:t>
            </w:r>
          </w:p>
        </w:tc>
        <w:tc>
          <w:tcPr>
            <w:tcW w:type="dxa" w:w="3120"/>
            <w:vAlign w:val="top"/>
            <w:tcMar>
              <w:top w:w="80" w:type="dxa"/>
              <w:right w:w="80" w:type="dxa"/>
              <w:bottom w:w="80" w:type="dxa"/>
              <w:left w:w="80" w:type="dxa"/>
            </w:tcMar>
          </w:tcPr>
          <w:p>
            <w:r>
              <w:t>2 weeks</w:t>
            </w:r>
          </w:p>
        </w:tc>
        <w:tc>
          <w:tcPr>
            <w:tcW w:type="dxa" w:w="3120"/>
            <w:vAlign w:val="top"/>
            <w:tcMar>
              <w:top w:w="80" w:type="dxa"/>
              <w:right w:w="80" w:type="dxa"/>
              <w:bottom w:w="80" w:type="dxa"/>
              <w:left w:w="80" w:type="dxa"/>
            </w:tcMar>
          </w:tcPr>
          <w:p>
            <w:r>
              <w:t>Handover, support readiness</w:t>
            </w:r>
          </w:p>
        </w:tc>
      </w:tr>
    </w:tbl>
    <w:p>
      <w:r>
        <w:t>Total Estimated Duration: 34 weeks (~8 months)</w:t>
      </w:r>
    </w:p>
    <w:p/>
    <w:p>
      <w:r>
        <w:t>Major milestones include:</w:t>
      </w:r>
    </w:p>
    <w:p>
      <w:pPr>
        <w:spacing w:after="120"/>
        <w:ind w:left="360" w:hanging="360"/>
      </w:pPr>
      <w:r>
        <w:rPr>
          <w:rFonts w:ascii="Calibri" w:hAnsi="Calibri"/>
          <w:sz w:val="22"/>
        </w:rPr>
        <w:t xml:space="preserve">• </w:t>
      </w:r>
      <w:r>
        <w:rPr>
          <w:rFonts w:ascii="Calibri" w:hAnsi="Calibri"/>
          <w:sz w:val="22"/>
        </w:rPr>
        <w:t>M1: Project Kickoff</w:t>
      </w:r>
    </w:p>
    <w:p>
      <w:pPr>
        <w:spacing w:after="120"/>
        <w:ind w:left="360" w:hanging="360"/>
      </w:pPr>
      <w:r>
        <w:rPr>
          <w:rFonts w:ascii="Calibri" w:hAnsi="Calibri"/>
          <w:sz w:val="22"/>
        </w:rPr>
        <w:t xml:space="preserve">• </w:t>
      </w:r>
      <w:r>
        <w:rPr>
          <w:rFonts w:ascii="Calibri" w:hAnsi="Calibri"/>
          <w:sz w:val="22"/>
        </w:rPr>
        <w:t>M2: Requirements Sign-Off</w:t>
      </w:r>
    </w:p>
    <w:p>
      <w:pPr>
        <w:spacing w:after="120"/>
        <w:ind w:left="360" w:hanging="360"/>
      </w:pPr>
      <w:r>
        <w:rPr>
          <w:rFonts w:ascii="Calibri" w:hAnsi="Calibri"/>
          <w:sz w:val="22"/>
        </w:rPr>
        <w:t xml:space="preserve">• </w:t>
      </w:r>
      <w:r>
        <w:rPr>
          <w:rFonts w:ascii="Calibri" w:hAnsi="Calibri"/>
          <w:sz w:val="22"/>
        </w:rPr>
        <w:t>M3: Configuration Complete</w:t>
      </w:r>
    </w:p>
    <w:p>
      <w:pPr>
        <w:spacing w:after="120"/>
        <w:ind w:left="360" w:hanging="360"/>
      </w:pPr>
      <w:r>
        <w:rPr>
          <w:rFonts w:ascii="Calibri" w:hAnsi="Calibri"/>
          <w:sz w:val="22"/>
        </w:rPr>
        <w:t xml:space="preserve">• </w:t>
      </w:r>
      <w:r>
        <w:rPr>
          <w:rFonts w:ascii="Calibri" w:hAnsi="Calibri"/>
          <w:sz w:val="22"/>
        </w:rPr>
        <w:t>M4: UAT Completion</w:t>
      </w:r>
    </w:p>
    <w:p>
      <w:pPr>
        <w:spacing w:after="120"/>
        <w:ind w:left="360" w:hanging="360"/>
      </w:pPr>
      <w:r>
        <w:rPr>
          <w:rFonts w:ascii="Calibri" w:hAnsi="Calibri"/>
          <w:sz w:val="22"/>
        </w:rPr>
        <w:t xml:space="preserve">• </w:t>
      </w:r>
      <w:r>
        <w:rPr>
          <w:rFonts w:ascii="Calibri" w:hAnsi="Calibri"/>
          <w:sz w:val="22"/>
        </w:rPr>
        <w:t>M5: Go-Live</w:t>
      </w:r>
    </w:p>
    <w:p>
      <w:pPr>
        <w:spacing w:after="120"/>
        <w:ind w:left="360" w:hanging="360"/>
      </w:pPr>
      <w:r>
        <w:rPr>
          <w:rFonts w:ascii="Calibri" w:hAnsi="Calibri"/>
          <w:sz w:val="22"/>
        </w:rPr>
        <w:t xml:space="preserve">• </w:t>
      </w:r>
      <w:r>
        <w:rPr>
          <w:rFonts w:ascii="Calibri" w:hAnsi="Calibri"/>
          <w:sz w:val="22"/>
        </w:rPr>
        <w:t>M6: Support Transition</w:t>
      </w:r>
    </w:p>
    <w:p/>
    <w:p>
      <w:pPr>
        <w:pStyle w:val="Heading2"/>
      </w:pPr>
      <w:r>
        <w:t>6. Proposed Team Structure</w:t>
      </w:r>
    </w:p>
    <w:p/>
    <w:p>
      <w:r>
        <w:t>FusionAIx proposes a blended team model combining onshore and offshore resources to optimize cost and delivery efficiency.</w:t>
      </w:r>
    </w:p>
    <w:p/>
    <w:p>
      <w:pPr>
        <w:pStyle w:val="Heading3"/>
      </w:pPr>
      <w:r>
        <w:t>6.1 Team Roles</w:t>
      </w:r>
    </w:p>
    <w:p/>
    <w:tbl>
      <w:tblPr>
        <w:tblStyle w:val="LightGrid-Accent1"/>
        <w:tblW w:type="auto" w:w="0"/>
        <w:tblLayout w:type="autofit"/>
        <w:tblLook w:firstColumn="1" w:firstRow="1" w:lastColumn="0" w:lastRow="0" w:noHBand="0" w:noVBand="1" w:val="04A0"/>
      </w:tblPr>
      <w:tblGrid>
        <w:gridCol w:w="4680"/>
        <w:gridCol w:w="4680"/>
      </w:tblGrid>
      <w:tr>
        <w:tc>
          <w:tcPr>
            <w:tcW w:type="dxa" w:w="4680"/>
            <w:shd w:fill="1a5490" w:val="clear"/>
            <w:vAlign w:val="top"/>
            <w:tcMar>
              <w:top w:w="80" w:type="dxa"/>
              <w:right w:w="80" w:type="dxa"/>
              <w:bottom w:w="80" w:type="dxa"/>
              <w:left w:w="80" w:type="dxa"/>
            </w:tcMar>
          </w:tcPr>
          <w:p>
            <w:r>
              <w:rPr>
                <w:b/>
                <w:color w:val="FFFFFF"/>
              </w:rPr>
              <w:t>Role</w:t>
            </w:r>
          </w:p>
        </w:tc>
        <w:tc>
          <w:tcPr>
            <w:tcW w:type="dxa" w:w="4680"/>
            <w:shd w:fill="1a5490" w:val="clear"/>
            <w:vAlign w:val="top"/>
            <w:tcMar>
              <w:top w:w="80" w:type="dxa"/>
              <w:right w:w="80" w:type="dxa"/>
              <w:bottom w:w="80" w:type="dxa"/>
              <w:left w:w="80" w:type="dxa"/>
            </w:tcMar>
          </w:tcPr>
          <w:p>
            <w:r>
              <w:rPr>
                <w:b/>
                <w:color w:val="FFFFFF"/>
              </w:rPr>
              <w:t>Responsibilities</w:t>
            </w:r>
          </w:p>
        </w:tc>
      </w:tr>
      <w:tr>
        <w:tc>
          <w:tcPr>
            <w:tcW w:type="dxa" w:w="4680"/>
            <w:vAlign w:val="top"/>
            <w:tcMar>
              <w:top w:w="80" w:type="dxa"/>
              <w:right w:w="80" w:type="dxa"/>
              <w:bottom w:w="80" w:type="dxa"/>
              <w:left w:w="80" w:type="dxa"/>
            </w:tcMar>
          </w:tcPr>
          <w:p>
            <w:r>
              <w:t>Project Director</w:t>
            </w:r>
          </w:p>
        </w:tc>
        <w:tc>
          <w:tcPr>
            <w:tcW w:type="dxa" w:w="4680"/>
            <w:vAlign w:val="top"/>
            <w:tcMar>
              <w:top w:w="80" w:type="dxa"/>
              <w:right w:w="80" w:type="dxa"/>
              <w:bottom w:w="80" w:type="dxa"/>
              <w:left w:w="80" w:type="dxa"/>
            </w:tcMar>
          </w:tcPr>
          <w:p>
            <w:r>
              <w:t>Executive oversight, stakeholder engagement</w:t>
            </w:r>
          </w:p>
        </w:tc>
      </w:tr>
      <w:tr>
        <w:tc>
          <w:tcPr>
            <w:tcW w:type="dxa" w:w="4680"/>
            <w:vAlign w:val="top"/>
            <w:tcMar>
              <w:top w:w="80" w:type="dxa"/>
              <w:right w:w="80" w:type="dxa"/>
              <w:bottom w:w="80" w:type="dxa"/>
              <w:left w:w="80" w:type="dxa"/>
            </w:tcMar>
          </w:tcPr>
          <w:p>
            <w:r>
              <w:t>Program Manager</w:t>
            </w:r>
          </w:p>
        </w:tc>
        <w:tc>
          <w:tcPr>
            <w:tcW w:type="dxa" w:w="4680"/>
            <w:vAlign w:val="top"/>
            <w:tcMar>
              <w:top w:w="80" w:type="dxa"/>
              <w:right w:w="80" w:type="dxa"/>
              <w:bottom w:w="80" w:type="dxa"/>
              <w:left w:w="80" w:type="dxa"/>
            </w:tcMar>
          </w:tcPr>
          <w:p>
            <w:r>
              <w:t>Day-to-day project management, governance</w:t>
            </w:r>
          </w:p>
        </w:tc>
      </w:tr>
      <w:tr>
        <w:tc>
          <w:tcPr>
            <w:tcW w:type="dxa" w:w="4680"/>
            <w:vAlign w:val="top"/>
            <w:tcMar>
              <w:top w:w="80" w:type="dxa"/>
              <w:right w:w="80" w:type="dxa"/>
              <w:bottom w:w="80" w:type="dxa"/>
              <w:left w:w="80" w:type="dxa"/>
            </w:tcMar>
          </w:tcPr>
          <w:p>
            <w:r>
              <w:t>Solution Architect</w:t>
            </w:r>
          </w:p>
        </w:tc>
        <w:tc>
          <w:tcPr>
            <w:tcW w:type="dxa" w:w="4680"/>
            <w:vAlign w:val="top"/>
            <w:tcMar>
              <w:top w:w="80" w:type="dxa"/>
              <w:right w:w="80" w:type="dxa"/>
              <w:bottom w:w="80" w:type="dxa"/>
              <w:left w:w="80" w:type="dxa"/>
            </w:tcMar>
          </w:tcPr>
          <w:p>
            <w:r>
              <w:t>Overall solution design, integration strategy</w:t>
            </w:r>
          </w:p>
        </w:tc>
      </w:tr>
      <w:tr>
        <w:tc>
          <w:tcPr>
            <w:tcW w:type="dxa" w:w="4680"/>
            <w:vAlign w:val="top"/>
            <w:tcMar>
              <w:top w:w="80" w:type="dxa"/>
              <w:right w:w="80" w:type="dxa"/>
              <w:bottom w:w="80" w:type="dxa"/>
              <w:left w:w="80" w:type="dxa"/>
            </w:tcMar>
          </w:tcPr>
          <w:p>
            <w:r>
              <w:t>BPM Lead</w:t>
            </w:r>
          </w:p>
        </w:tc>
        <w:tc>
          <w:tcPr>
            <w:tcW w:type="dxa" w:w="4680"/>
            <w:vAlign w:val="top"/>
            <w:tcMar>
              <w:top w:w="80" w:type="dxa"/>
              <w:right w:w="80" w:type="dxa"/>
              <w:bottom w:w="80" w:type="dxa"/>
              <w:left w:w="80" w:type="dxa"/>
            </w:tcMar>
          </w:tcPr>
          <w:p>
            <w:r>
              <w:t>Process modeling, configuration, and rule design</w:t>
            </w:r>
          </w:p>
        </w:tc>
      </w:tr>
      <w:tr>
        <w:tc>
          <w:tcPr>
            <w:tcW w:type="dxa" w:w="4680"/>
            <w:vAlign w:val="top"/>
            <w:tcMar>
              <w:top w:w="80" w:type="dxa"/>
              <w:right w:w="80" w:type="dxa"/>
              <w:bottom w:w="80" w:type="dxa"/>
              <w:left w:w="80" w:type="dxa"/>
            </w:tcMar>
          </w:tcPr>
          <w:p>
            <w:r>
              <w:t>Technical Lead</w:t>
            </w:r>
          </w:p>
        </w:tc>
        <w:tc>
          <w:tcPr>
            <w:tcW w:type="dxa" w:w="4680"/>
            <w:vAlign w:val="top"/>
            <w:tcMar>
              <w:top w:w="80" w:type="dxa"/>
              <w:right w:w="80" w:type="dxa"/>
              <w:bottom w:w="80" w:type="dxa"/>
              <w:left w:w="80" w:type="dxa"/>
            </w:tcMar>
          </w:tcPr>
          <w:p>
            <w:r>
              <w:t>Integration, security, and performance</w:t>
            </w:r>
          </w:p>
        </w:tc>
      </w:tr>
      <w:tr>
        <w:tc>
          <w:tcPr>
            <w:tcW w:type="dxa" w:w="4680"/>
            <w:vAlign w:val="top"/>
            <w:tcMar>
              <w:top w:w="80" w:type="dxa"/>
              <w:right w:w="80" w:type="dxa"/>
              <w:bottom w:w="80" w:type="dxa"/>
              <w:left w:w="80" w:type="dxa"/>
            </w:tcMar>
          </w:tcPr>
          <w:p>
            <w:r>
              <w:t>Business Analyst</w:t>
            </w:r>
          </w:p>
        </w:tc>
        <w:tc>
          <w:tcPr>
            <w:tcW w:type="dxa" w:w="4680"/>
            <w:vAlign w:val="top"/>
            <w:tcMar>
              <w:top w:w="80" w:type="dxa"/>
              <w:right w:w="80" w:type="dxa"/>
              <w:bottom w:w="80" w:type="dxa"/>
              <w:left w:w="80" w:type="dxa"/>
            </w:tcMar>
          </w:tcPr>
          <w:p>
            <w:r>
              <w:t>Requirements gathering, documentation</w:t>
            </w:r>
          </w:p>
        </w:tc>
      </w:tr>
      <w:tr>
        <w:tc>
          <w:tcPr>
            <w:tcW w:type="dxa" w:w="4680"/>
            <w:vAlign w:val="top"/>
            <w:tcMar>
              <w:top w:w="80" w:type="dxa"/>
              <w:right w:w="80" w:type="dxa"/>
              <w:bottom w:w="80" w:type="dxa"/>
              <w:left w:w="80" w:type="dxa"/>
            </w:tcMar>
          </w:tcPr>
          <w:p>
            <w:r>
              <w:t>QA Lead</w:t>
            </w:r>
          </w:p>
        </w:tc>
        <w:tc>
          <w:tcPr>
            <w:tcW w:type="dxa" w:w="4680"/>
            <w:vAlign w:val="top"/>
            <w:tcMar>
              <w:top w:w="80" w:type="dxa"/>
              <w:right w:w="80" w:type="dxa"/>
              <w:bottom w:w="80" w:type="dxa"/>
              <w:left w:w="80" w:type="dxa"/>
            </w:tcMar>
          </w:tcPr>
          <w:p>
            <w:r>
              <w:t>Test planning, execution, and defect management</w:t>
            </w:r>
          </w:p>
        </w:tc>
      </w:tr>
      <w:tr>
        <w:tc>
          <w:tcPr>
            <w:tcW w:type="dxa" w:w="4680"/>
            <w:vAlign w:val="top"/>
            <w:tcMar>
              <w:top w:w="80" w:type="dxa"/>
              <w:right w:w="80" w:type="dxa"/>
              <w:bottom w:w="80" w:type="dxa"/>
              <w:left w:w="80" w:type="dxa"/>
            </w:tcMar>
          </w:tcPr>
          <w:p>
            <w:r>
              <w:t>Trainer / Change Lead</w:t>
            </w:r>
          </w:p>
        </w:tc>
        <w:tc>
          <w:tcPr>
            <w:tcW w:type="dxa" w:w="4680"/>
            <w:vAlign w:val="top"/>
            <w:tcMar>
              <w:top w:w="80" w:type="dxa"/>
              <w:right w:w="80" w:type="dxa"/>
              <w:bottom w:w="80" w:type="dxa"/>
              <w:left w:w="80" w:type="dxa"/>
            </w:tcMar>
          </w:tcPr>
          <w:p>
            <w:r>
              <w:t>Training delivery, change management</w:t>
            </w:r>
          </w:p>
        </w:tc>
      </w:tr>
      <w:tr>
        <w:tc>
          <w:tcPr>
            <w:tcW w:type="dxa" w:w="4680"/>
            <w:vAlign w:val="top"/>
            <w:tcMar>
              <w:top w:w="80" w:type="dxa"/>
              <w:right w:w="80" w:type="dxa"/>
              <w:bottom w:w="80" w:type="dxa"/>
              <w:left w:w="80" w:type="dxa"/>
            </w:tcMar>
          </w:tcPr>
          <w:p>
            <w:r>
              <w:t>Support Lead</w:t>
            </w:r>
          </w:p>
        </w:tc>
        <w:tc>
          <w:tcPr>
            <w:tcW w:type="dxa" w:w="4680"/>
            <w:vAlign w:val="top"/>
            <w:tcMar>
              <w:top w:w="80" w:type="dxa"/>
              <w:right w:w="80" w:type="dxa"/>
              <w:bottom w:w="80" w:type="dxa"/>
              <w:left w:w="80" w:type="dxa"/>
            </w:tcMar>
          </w:tcPr>
          <w:p>
            <w:r>
              <w:t>Post go-live support and SLA management</w:t>
            </w:r>
          </w:p>
        </w:tc>
      </w:tr>
    </w:tbl>
    <w:p>
      <w:pPr>
        <w:pStyle w:val="Heading3"/>
      </w:pPr>
      <w:r>
        <w:t>6.2 Key Personnel CVs</w:t>
      </w:r>
    </w:p>
    <w:p>
      <w:r>
        <w:t>(Note: Full CVs to be provided in the final submission package.)</w:t>
      </w:r>
    </w:p>
    <w:p/>
    <w:p>
      <w:pPr>
        <w:pStyle w:val="Heading2"/>
      </w:pPr>
      <w:r>
        <w:t>7. Functional and Technical Compliance Matrix</w:t>
      </w:r>
    </w:p>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shd w:fill="1a5490" w:val="clear"/>
            <w:vAlign w:val="top"/>
            <w:tcMar>
              <w:top w:w="80" w:type="dxa"/>
              <w:right w:w="80" w:type="dxa"/>
              <w:bottom w:w="80" w:type="dxa"/>
              <w:left w:w="80" w:type="dxa"/>
            </w:tcMar>
          </w:tcPr>
          <w:p>
            <w:r>
              <w:rPr>
                <w:b/>
                <w:color w:val="FFFFFF"/>
              </w:rPr>
              <w:t>ID</w:t>
            </w:r>
          </w:p>
        </w:tc>
        <w:tc>
          <w:tcPr>
            <w:tcW w:type="dxa" w:w="2340"/>
            <w:shd w:fill="1a5490" w:val="clear"/>
            <w:vAlign w:val="top"/>
            <w:tcMar>
              <w:top w:w="80" w:type="dxa"/>
              <w:right w:w="80" w:type="dxa"/>
              <w:bottom w:w="80" w:type="dxa"/>
              <w:left w:w="80" w:type="dxa"/>
            </w:tcMar>
          </w:tcPr>
          <w:p>
            <w:r>
              <w:rPr>
                <w:b/>
                <w:color w:val="FFFFFF"/>
              </w:rPr>
              <w:t>Requirement</w:t>
            </w:r>
          </w:p>
        </w:tc>
        <w:tc>
          <w:tcPr>
            <w:tcW w:type="dxa" w:w="2340"/>
            <w:shd w:fill="1a5490" w:val="clear"/>
            <w:vAlign w:val="top"/>
            <w:tcMar>
              <w:top w:w="80" w:type="dxa"/>
              <w:right w:w="80" w:type="dxa"/>
              <w:bottom w:w="80" w:type="dxa"/>
              <w:left w:w="80" w:type="dxa"/>
            </w:tcMar>
          </w:tcPr>
          <w:p>
            <w:r>
              <w:rPr>
                <w:b/>
                <w:color w:val="FFFFFF"/>
              </w:rPr>
              <w:t>Compliance</w:t>
            </w:r>
          </w:p>
        </w:tc>
        <w:tc>
          <w:tcPr>
            <w:tcW w:type="dxa" w:w="2340"/>
            <w:shd w:fill="1a5490" w:val="clear"/>
            <w:vAlign w:val="top"/>
            <w:tcMar>
              <w:top w:w="80" w:type="dxa"/>
              <w:right w:w="80" w:type="dxa"/>
              <w:bottom w:w="80" w:type="dxa"/>
              <w:left w:w="80" w:type="dxa"/>
            </w:tcMar>
          </w:tcPr>
          <w:p>
            <w:r>
              <w:rPr>
                <w:b/>
                <w:color w:val="FFFFFF"/>
              </w:rPr>
              <w:t>Response / How We Meet It</w:t>
            </w:r>
          </w:p>
        </w:tc>
      </w:tr>
      <w:tr>
        <w:tc>
          <w:tcPr>
            <w:tcW w:type="dxa" w:w="2340"/>
            <w:vAlign w:val="top"/>
            <w:tcMar>
              <w:top w:w="80" w:type="dxa"/>
              <w:right w:w="80" w:type="dxa"/>
              <w:bottom w:w="80" w:type="dxa"/>
              <w:left w:w="80" w:type="dxa"/>
            </w:tcMar>
          </w:tcPr>
          <w:p>
            <w:r>
              <w:t>5.1.a</w:t>
            </w:r>
          </w:p>
        </w:tc>
        <w:tc>
          <w:tcPr>
            <w:tcW w:type="dxa" w:w="2340"/>
            <w:vAlign w:val="top"/>
            <w:tcMar>
              <w:top w:w="80" w:type="dxa"/>
              <w:right w:w="80" w:type="dxa"/>
              <w:bottom w:w="80" w:type="dxa"/>
              <w:left w:w="80" w:type="dxa"/>
            </w:tcMar>
          </w:tcPr>
          <w:p>
            <w:r>
              <w:t>Straight-through + human-centric workflows</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Workflow engine supports automated steps (validations, integrations, rules) and human tasks (review/approve) in one end-to-end process.</w:t>
            </w:r>
          </w:p>
        </w:tc>
      </w:tr>
      <w:tr>
        <w:tc>
          <w:tcPr>
            <w:tcW w:type="dxa" w:w="2340"/>
            <w:vAlign w:val="top"/>
            <w:tcMar>
              <w:top w:w="80" w:type="dxa"/>
              <w:right w:w="80" w:type="dxa"/>
              <w:bottom w:w="80" w:type="dxa"/>
              <w:left w:w="80" w:type="dxa"/>
            </w:tcMar>
          </w:tcPr>
          <w:p>
            <w:r>
              <w:t>5.1.b</w:t>
            </w:r>
          </w:p>
        </w:tc>
        <w:tc>
          <w:tcPr>
            <w:tcW w:type="dxa" w:w="2340"/>
            <w:vAlign w:val="top"/>
            <w:tcMar>
              <w:top w:w="80" w:type="dxa"/>
              <w:right w:w="80" w:type="dxa"/>
              <w:bottom w:w="80" w:type="dxa"/>
              <w:left w:w="80" w:type="dxa"/>
            </w:tcMar>
          </w:tcPr>
          <w:p>
            <w:r>
              <w:t>Dynamic case management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Supports ad-hoc tasks, attachments, notes, and contextual collaboration.</w:t>
            </w:r>
          </w:p>
        </w:tc>
      </w:tr>
      <w:tr>
        <w:tc>
          <w:tcPr>
            <w:tcW w:type="dxa" w:w="2340"/>
            <w:vAlign w:val="top"/>
            <w:tcMar>
              <w:top w:w="80" w:type="dxa"/>
              <w:right w:w="80" w:type="dxa"/>
              <w:bottom w:w="80" w:type="dxa"/>
              <w:left w:w="80" w:type="dxa"/>
            </w:tcMar>
          </w:tcPr>
          <w:p>
            <w:r>
              <w:t>5.1.c</w:t>
            </w:r>
          </w:p>
        </w:tc>
        <w:tc>
          <w:tcPr>
            <w:tcW w:type="dxa" w:w="2340"/>
            <w:vAlign w:val="top"/>
            <w:tcMar>
              <w:top w:w="80" w:type="dxa"/>
              <w:right w:w="80" w:type="dxa"/>
              <w:bottom w:w="80" w:type="dxa"/>
              <w:left w:w="80" w:type="dxa"/>
            </w:tcMar>
          </w:tcPr>
          <w:p>
            <w:r>
              <w:t>Centralized rules management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Business rules externalized from code, versioned, tested, and deployed via governance.</w:t>
            </w:r>
          </w:p>
        </w:tc>
      </w:tr>
      <w:tr>
        <w:tc>
          <w:tcPr>
            <w:tcW w:type="dxa" w:w="2340"/>
            <w:vAlign w:val="top"/>
            <w:tcMar>
              <w:top w:w="80" w:type="dxa"/>
              <w:right w:w="80" w:type="dxa"/>
              <w:bottom w:w="80" w:type="dxa"/>
              <w:left w:w="80" w:type="dxa"/>
            </w:tcMar>
          </w:tcPr>
          <w:p>
            <w:r>
              <w:t>5.1.d</w:t>
            </w:r>
          </w:p>
        </w:tc>
        <w:tc>
          <w:tcPr>
            <w:tcW w:type="dxa" w:w="2340"/>
            <w:vAlign w:val="top"/>
            <w:tcMar>
              <w:top w:w="80" w:type="dxa"/>
              <w:right w:w="80" w:type="dxa"/>
              <w:bottom w:w="80" w:type="dxa"/>
              <w:left w:w="80" w:type="dxa"/>
            </w:tcMar>
          </w:tcPr>
          <w:p>
            <w:r>
              <w:t>SLA definition and monitoring</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Configurable SLAs per process/case type with automated escalations and dashboards.</w:t>
            </w:r>
          </w:p>
        </w:tc>
      </w:tr>
      <w:tr>
        <w:tc>
          <w:tcPr>
            <w:tcW w:type="dxa" w:w="2340"/>
            <w:vAlign w:val="top"/>
            <w:tcMar>
              <w:top w:w="80" w:type="dxa"/>
              <w:right w:w="80" w:type="dxa"/>
              <w:bottom w:w="80" w:type="dxa"/>
              <w:left w:w="80" w:type="dxa"/>
            </w:tcMar>
          </w:tcPr>
          <w:p>
            <w:r>
              <w:t>5.1.e</w:t>
            </w:r>
          </w:p>
        </w:tc>
        <w:tc>
          <w:tcPr>
            <w:tcW w:type="dxa" w:w="2340"/>
            <w:vAlign w:val="top"/>
            <w:tcMar>
              <w:top w:w="80" w:type="dxa"/>
              <w:right w:w="80" w:type="dxa"/>
              <w:bottom w:w="80" w:type="dxa"/>
              <w:left w:w="80" w:type="dxa"/>
            </w:tcMar>
          </w:tcPr>
          <w:p>
            <w:r>
              <w:t>Integration</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REST APIs, message queues, and event-based integration supported.</w:t>
            </w:r>
          </w:p>
        </w:tc>
      </w:tr>
      <w:tr>
        <w:tc>
          <w:tcPr>
            <w:tcW w:type="dxa" w:w="2340"/>
            <w:vAlign w:val="top"/>
            <w:tcMar>
              <w:top w:w="80" w:type="dxa"/>
              <w:right w:w="80" w:type="dxa"/>
              <w:bottom w:w="80" w:type="dxa"/>
              <w:left w:w="80" w:type="dxa"/>
            </w:tcMar>
          </w:tcPr>
          <w:p>
            <w:r>
              <w:t>5.1.f</w:t>
            </w:r>
          </w:p>
        </w:tc>
        <w:tc>
          <w:tcPr>
            <w:tcW w:type="dxa" w:w="2340"/>
            <w:vAlign w:val="top"/>
            <w:tcMar>
              <w:top w:w="80" w:type="dxa"/>
              <w:right w:w="80" w:type="dxa"/>
              <w:bottom w:w="80" w:type="dxa"/>
              <w:left w:w="80" w:type="dxa"/>
            </w:tcMar>
          </w:tcPr>
          <w:p>
            <w:r>
              <w:t>Security and access control</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Role-based access, fine-grained permissions, full audit logging.</w:t>
            </w:r>
          </w:p>
        </w:tc>
      </w:tr>
      <w:tr>
        <w:tc>
          <w:tcPr>
            <w:tcW w:type="dxa" w:w="2340"/>
            <w:vAlign w:val="top"/>
            <w:tcMar>
              <w:top w:w="80" w:type="dxa"/>
              <w:right w:w="80" w:type="dxa"/>
              <w:bottom w:w="80" w:type="dxa"/>
              <w:left w:w="80" w:type="dxa"/>
            </w:tcMar>
          </w:tcPr>
          <w:p>
            <w:r>
              <w:t>5.1.g</w:t>
            </w:r>
          </w:p>
        </w:tc>
        <w:tc>
          <w:tcPr>
            <w:tcW w:type="dxa" w:w="2340"/>
            <w:vAlign w:val="top"/>
            <w:tcMar>
              <w:top w:w="80" w:type="dxa"/>
              <w:right w:w="80" w:type="dxa"/>
              <w:bottom w:w="80" w:type="dxa"/>
              <w:left w:w="80" w:type="dxa"/>
            </w:tcMar>
          </w:tcPr>
          <w:p>
            <w:r>
              <w:t>User interfaces</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Web-based, responsive, accessible via standard browsers.</w:t>
            </w:r>
          </w:p>
        </w:tc>
      </w:tr>
      <w:tr>
        <w:tc>
          <w:tcPr>
            <w:tcW w:type="dxa" w:w="2340"/>
            <w:vAlign w:val="top"/>
            <w:tcMar>
              <w:top w:w="80" w:type="dxa"/>
              <w:right w:w="80" w:type="dxa"/>
              <w:bottom w:w="80" w:type="dxa"/>
              <w:left w:w="80" w:type="dxa"/>
            </w:tcMar>
          </w:tcPr>
          <w:p>
            <w:r>
              <w:t>5.1.h</w:t>
            </w:r>
          </w:p>
        </w:tc>
        <w:tc>
          <w:tcPr>
            <w:tcW w:type="dxa" w:w="2340"/>
            <w:vAlign w:val="top"/>
            <w:tcMar>
              <w:top w:w="80" w:type="dxa"/>
              <w:right w:w="80" w:type="dxa"/>
              <w:bottom w:w="80" w:type="dxa"/>
              <w:left w:w="80" w:type="dxa"/>
            </w:tcMar>
          </w:tcPr>
          <w:p>
            <w:r>
              <w:t>Reporting and dashboards</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Real-time dashboards for workload, SLA, and performance monitoring.</w:t>
            </w:r>
          </w:p>
        </w:tc>
      </w:tr>
      <w:tr>
        <w:tc>
          <w:tcPr>
            <w:tcW w:type="dxa" w:w="2340"/>
            <w:vAlign w:val="top"/>
            <w:tcMar>
              <w:top w:w="80" w:type="dxa"/>
              <w:right w:w="80" w:type="dxa"/>
              <w:bottom w:w="80" w:type="dxa"/>
              <w:left w:w="80" w:type="dxa"/>
            </w:tcMar>
          </w:tcPr>
          <w:p>
            <w:r>
              <w:t>5.1.i</w:t>
            </w:r>
          </w:p>
        </w:tc>
        <w:tc>
          <w:tcPr>
            <w:tcW w:type="dxa" w:w="2340"/>
            <w:vAlign w:val="top"/>
            <w:tcMar>
              <w:top w:w="80" w:type="dxa"/>
              <w:right w:w="80" w:type="dxa"/>
              <w:bottom w:w="80" w:type="dxa"/>
              <w:left w:w="80" w:type="dxa"/>
            </w:tcMar>
          </w:tcPr>
          <w:p>
            <w:r>
              <w:t>Training and change management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Comprehensive training and change enablement program.</w:t>
            </w:r>
          </w:p>
        </w:tc>
      </w:tr>
      <w:tr>
        <w:tc>
          <w:tcPr>
            <w:tcW w:type="dxa" w:w="2340"/>
            <w:vAlign w:val="top"/>
            <w:tcMar>
              <w:top w:w="80" w:type="dxa"/>
              <w:right w:w="80" w:type="dxa"/>
              <w:bottom w:w="80" w:type="dxa"/>
              <w:left w:w="80" w:type="dxa"/>
            </w:tcMar>
          </w:tcPr>
          <w:p>
            <w:r>
              <w:t>5.1.j</w:t>
            </w:r>
          </w:p>
        </w:tc>
        <w:tc>
          <w:tcPr>
            <w:tcW w:type="dxa" w:w="2340"/>
            <w:vAlign w:val="top"/>
            <w:tcMar>
              <w:top w:w="80" w:type="dxa"/>
              <w:right w:w="80" w:type="dxa"/>
              <w:bottom w:w="80" w:type="dxa"/>
              <w:left w:w="80" w:type="dxa"/>
            </w:tcMar>
          </w:tcPr>
          <w:p>
            <w:r>
              <w:t>Support and maintenance</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3-year post go-live support with defined SLAs.</w:t>
            </w:r>
          </w:p>
        </w:tc>
      </w:tr>
    </w:tbl>
    <w:p/>
    <w:p>
      <w:pPr>
        <w:pStyle w:val="Heading2"/>
      </w:pPr>
      <w:r>
        <w:t>8. Assumptions, Dependencies, and Risks</w:t>
      </w:r>
    </w:p>
    <w:p/>
    <w:p>
      <w:pPr>
        <w:pStyle w:val="Heading3"/>
      </w:pPr>
      <w:r>
        <w:t>8.1 Assumptions</w:t>
      </w:r>
    </w:p>
    <w:p>
      <w:pPr>
        <w:spacing w:after="120"/>
        <w:ind w:left="360" w:hanging="360"/>
      </w:pPr>
      <w:r>
        <w:rPr>
          <w:rFonts w:ascii="Calibri" w:hAnsi="Calibri"/>
          <w:sz w:val="22"/>
        </w:rPr>
        <w:t xml:space="preserve">• </w:t>
      </w:r>
      <w:r>
        <w:rPr>
          <w:rFonts w:ascii="Calibri" w:hAnsi="Calibri"/>
          <w:sz w:val="22"/>
        </w:rPr>
        <w:t>MTI will provide timely access to stakeholders and existing systems.</w:t>
      </w:r>
    </w:p>
    <w:p>
      <w:pPr>
        <w:spacing w:after="120"/>
        <w:ind w:left="360" w:hanging="360"/>
      </w:pPr>
      <w:r>
        <w:rPr>
          <w:rFonts w:ascii="Calibri" w:hAnsi="Calibri"/>
          <w:sz w:val="22"/>
        </w:rPr>
        <w:t xml:space="preserve">• </w:t>
      </w:r>
      <w:r>
        <w:rPr>
          <w:rFonts w:ascii="Calibri" w:hAnsi="Calibri"/>
          <w:sz w:val="22"/>
        </w:rPr>
        <w:t>Required infrastructure (servers, network, security) will be provisioned by MTI.</w:t>
      </w:r>
    </w:p>
    <w:p>
      <w:pPr>
        <w:spacing w:after="120"/>
        <w:ind w:left="360" w:hanging="360"/>
      </w:pPr>
      <w:r>
        <w:rPr>
          <w:rFonts w:ascii="Calibri" w:hAnsi="Calibri"/>
          <w:sz w:val="22"/>
        </w:rPr>
        <w:t xml:space="preserve">• </w:t>
      </w:r>
      <w:r>
        <w:rPr>
          <w:rFonts w:ascii="Calibri" w:hAnsi="Calibri"/>
          <w:sz w:val="22"/>
        </w:rPr>
        <w:t>MTI will designate process owners for each business area.</w:t>
      </w:r>
    </w:p>
    <w:p/>
    <w:p>
      <w:pPr>
        <w:pStyle w:val="Heading3"/>
      </w:pPr>
      <w:r>
        <w:t>8.2 Dependencies</w:t>
      </w:r>
    </w:p>
    <w:p>
      <w:pPr>
        <w:spacing w:after="120"/>
        <w:ind w:left="360" w:hanging="360"/>
      </w:pPr>
      <w:r>
        <w:rPr>
          <w:rFonts w:ascii="Calibri" w:hAnsi="Calibri"/>
          <w:sz w:val="22"/>
        </w:rPr>
        <w:t xml:space="preserve">• </w:t>
      </w:r>
      <w:r>
        <w:rPr>
          <w:rFonts w:ascii="Calibri" w:hAnsi="Calibri"/>
          <w:sz w:val="22"/>
        </w:rPr>
        <w:t>Integration with MTI’s identity management and single sign-on systems.</w:t>
      </w:r>
    </w:p>
    <w:p>
      <w:pPr>
        <w:spacing w:after="120"/>
        <w:ind w:left="360" w:hanging="360"/>
      </w:pPr>
      <w:r>
        <w:rPr>
          <w:rFonts w:ascii="Calibri" w:hAnsi="Calibri"/>
          <w:sz w:val="22"/>
        </w:rPr>
        <w:t xml:space="preserve">• </w:t>
      </w:r>
      <w:r>
        <w:rPr>
          <w:rFonts w:ascii="Calibri" w:hAnsi="Calibri"/>
          <w:sz w:val="22"/>
        </w:rPr>
        <w:t>Availability of test data and legacy system documentation.</w:t>
      </w:r>
    </w:p>
    <w:p/>
    <w:p>
      <w:pPr>
        <w:pStyle w:val="Heading3"/>
      </w:pPr>
      <w:r>
        <w:t>8.3 Risks and Mitigation</w:t>
      </w:r>
    </w:p>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fill="1a5490" w:val="clear"/>
            <w:vAlign w:val="top"/>
            <w:tcMar>
              <w:top w:w="80" w:type="dxa"/>
              <w:right w:w="80" w:type="dxa"/>
              <w:bottom w:w="80" w:type="dxa"/>
              <w:left w:w="80" w:type="dxa"/>
            </w:tcMar>
          </w:tcPr>
          <w:p>
            <w:r>
              <w:rPr>
                <w:b/>
                <w:color w:val="FFFFFF"/>
              </w:rPr>
              <w:t>Risk</w:t>
            </w:r>
          </w:p>
        </w:tc>
        <w:tc>
          <w:tcPr>
            <w:tcW w:type="dxa" w:w="3120"/>
            <w:shd w:fill="1a5490" w:val="clear"/>
            <w:vAlign w:val="top"/>
            <w:tcMar>
              <w:top w:w="80" w:type="dxa"/>
              <w:right w:w="80" w:type="dxa"/>
              <w:bottom w:w="80" w:type="dxa"/>
              <w:left w:w="80" w:type="dxa"/>
            </w:tcMar>
          </w:tcPr>
          <w:p>
            <w:r>
              <w:rPr>
                <w:b/>
                <w:color w:val="FFFFFF"/>
              </w:rPr>
              <w:t>Impact</w:t>
            </w:r>
          </w:p>
        </w:tc>
        <w:tc>
          <w:tcPr>
            <w:tcW w:type="dxa" w:w="3120"/>
            <w:shd w:fill="1a5490" w:val="clear"/>
            <w:vAlign w:val="top"/>
            <w:tcMar>
              <w:top w:w="80" w:type="dxa"/>
              <w:right w:w="80" w:type="dxa"/>
              <w:bottom w:w="80" w:type="dxa"/>
              <w:left w:w="80" w:type="dxa"/>
            </w:tcMar>
          </w:tcPr>
          <w:p>
            <w:r>
              <w:rPr>
                <w:b/>
                <w:color w:val="FFFFFF"/>
              </w:rPr>
              <w:t>Mitigation</w:t>
            </w:r>
          </w:p>
        </w:tc>
      </w:tr>
      <w:tr>
        <w:tc>
          <w:tcPr>
            <w:tcW w:type="dxa" w:w="3120"/>
            <w:vAlign w:val="top"/>
            <w:tcMar>
              <w:top w:w="80" w:type="dxa"/>
              <w:right w:w="80" w:type="dxa"/>
              <w:bottom w:w="80" w:type="dxa"/>
              <w:left w:w="80" w:type="dxa"/>
            </w:tcMar>
          </w:tcPr>
          <w:p>
            <w:r>
              <w:t>Delayed stakeholder inputs</w:t>
            </w:r>
          </w:p>
        </w:tc>
        <w:tc>
          <w:tcPr>
            <w:tcW w:type="dxa" w:w="3120"/>
            <w:vAlign w:val="top"/>
            <w:tcMar>
              <w:top w:w="80" w:type="dxa"/>
              <w:right w:w="80" w:type="dxa"/>
              <w:bottom w:w="80" w:type="dxa"/>
              <w:left w:w="80" w:type="dxa"/>
            </w:tcMar>
          </w:tcPr>
          <w:p>
            <w:r>
              <w:t>Medium</w:t>
            </w:r>
          </w:p>
        </w:tc>
        <w:tc>
          <w:tcPr>
            <w:tcW w:type="dxa" w:w="3120"/>
            <w:vAlign w:val="top"/>
            <w:tcMar>
              <w:top w:w="80" w:type="dxa"/>
              <w:right w:w="80" w:type="dxa"/>
              <w:bottom w:w="80" w:type="dxa"/>
              <w:left w:w="80" w:type="dxa"/>
            </w:tcMar>
          </w:tcPr>
          <w:p>
            <w:r>
              <w:t>Early engagement and clear RACI matrix</w:t>
            </w:r>
          </w:p>
        </w:tc>
      </w:tr>
      <w:tr>
        <w:tc>
          <w:tcPr>
            <w:tcW w:type="dxa" w:w="3120"/>
            <w:vAlign w:val="top"/>
            <w:tcMar>
              <w:top w:w="80" w:type="dxa"/>
              <w:right w:w="80" w:type="dxa"/>
              <w:bottom w:w="80" w:type="dxa"/>
              <w:left w:w="80" w:type="dxa"/>
            </w:tcMar>
          </w:tcPr>
          <w:p>
            <w:r>
              <w:t>Integration complexity</w:t>
            </w:r>
          </w:p>
        </w:tc>
        <w:tc>
          <w:tcPr>
            <w:tcW w:type="dxa" w:w="3120"/>
            <w:vAlign w:val="top"/>
            <w:tcMar>
              <w:top w:w="80" w:type="dxa"/>
              <w:right w:w="80" w:type="dxa"/>
              <w:bottom w:w="80" w:type="dxa"/>
              <w:left w:w="80" w:type="dxa"/>
            </w:tcMar>
          </w:tcPr>
          <w:p>
            <w:r>
              <w:t>High</w:t>
            </w:r>
          </w:p>
        </w:tc>
        <w:tc>
          <w:tcPr>
            <w:tcW w:type="dxa" w:w="3120"/>
            <w:vAlign w:val="top"/>
            <w:tcMar>
              <w:top w:w="80" w:type="dxa"/>
              <w:right w:w="80" w:type="dxa"/>
              <w:bottom w:w="80" w:type="dxa"/>
              <w:left w:w="80" w:type="dxa"/>
            </w:tcMar>
          </w:tcPr>
          <w:p>
            <w:r>
              <w:t>Early technical assessment and mock integration testing</w:t>
            </w:r>
          </w:p>
        </w:tc>
      </w:tr>
      <w:tr>
        <w:tc>
          <w:tcPr>
            <w:tcW w:type="dxa" w:w="3120"/>
            <w:vAlign w:val="top"/>
            <w:tcMar>
              <w:top w:w="80" w:type="dxa"/>
              <w:right w:w="80" w:type="dxa"/>
              <w:bottom w:w="80" w:type="dxa"/>
              <w:left w:w="80" w:type="dxa"/>
            </w:tcMar>
          </w:tcPr>
          <w:p>
            <w:r>
              <w:t>Change resistance</w:t>
            </w:r>
          </w:p>
        </w:tc>
        <w:tc>
          <w:tcPr>
            <w:tcW w:type="dxa" w:w="3120"/>
            <w:vAlign w:val="top"/>
            <w:tcMar>
              <w:top w:w="80" w:type="dxa"/>
              <w:right w:w="80" w:type="dxa"/>
              <w:bottom w:w="80" w:type="dxa"/>
              <w:left w:w="80" w:type="dxa"/>
            </w:tcMar>
          </w:tcPr>
          <w:p>
            <w:r>
              <w:t>Medium</w:t>
            </w:r>
          </w:p>
        </w:tc>
        <w:tc>
          <w:tcPr>
            <w:tcW w:type="dxa" w:w="3120"/>
            <w:vAlign w:val="top"/>
            <w:tcMar>
              <w:top w:w="80" w:type="dxa"/>
              <w:right w:w="80" w:type="dxa"/>
              <w:bottom w:w="80" w:type="dxa"/>
              <w:left w:w="80" w:type="dxa"/>
            </w:tcMar>
          </w:tcPr>
          <w:p>
            <w:r>
              <w:t>Structured change management and communication plan</w:t>
            </w:r>
          </w:p>
        </w:tc>
      </w:tr>
      <w:tr>
        <w:tc>
          <w:tcPr>
            <w:tcW w:type="dxa" w:w="3120"/>
            <w:vAlign w:val="top"/>
            <w:tcMar>
              <w:top w:w="80" w:type="dxa"/>
              <w:right w:w="80" w:type="dxa"/>
              <w:bottom w:w="80" w:type="dxa"/>
              <w:left w:w="80" w:type="dxa"/>
            </w:tcMar>
          </w:tcPr>
          <w:p>
            <w:r>
              <w:t>Data migration issues</w:t>
            </w:r>
          </w:p>
        </w:tc>
        <w:tc>
          <w:tcPr>
            <w:tcW w:type="dxa" w:w="3120"/>
            <w:vAlign w:val="top"/>
            <w:tcMar>
              <w:top w:w="80" w:type="dxa"/>
              <w:right w:w="80" w:type="dxa"/>
              <w:bottom w:w="80" w:type="dxa"/>
              <w:left w:w="80" w:type="dxa"/>
            </w:tcMar>
          </w:tcPr>
          <w:p>
            <w:r>
              <w:t>Medium</w:t>
            </w:r>
          </w:p>
        </w:tc>
        <w:tc>
          <w:tcPr>
            <w:tcW w:type="dxa" w:w="3120"/>
            <w:vAlign w:val="top"/>
            <w:tcMar>
              <w:top w:w="80" w:type="dxa"/>
              <w:right w:w="80" w:type="dxa"/>
              <w:bottom w:w="80" w:type="dxa"/>
              <w:left w:w="80" w:type="dxa"/>
            </w:tcMar>
          </w:tcPr>
          <w:p>
            <w:r>
              <w:t>Data profiling and iterative migration testing</w:t>
            </w:r>
          </w:p>
        </w:tc>
      </w:tr>
    </w:tbl>
    <w:p/>
    <w:p>
      <w:pPr>
        <w:pStyle w:val="Heading2"/>
      </w:pPr>
      <w:r>
        <w:t>9. Support and Maintenance Model</w:t>
      </w:r>
    </w:p>
    <w:p/>
    <w:p>
      <w:r>
        <w:t>FusionAIx offers a comprehensive three-year post go-live support model covering incident management, patching, upgrades, and continuous improvement.</w:t>
      </w:r>
    </w:p>
    <w:p/>
    <w:p>
      <w:pPr>
        <w:pStyle w:val="Heading3"/>
      </w:pPr>
      <w:r>
        <w:t>9.1 Support Tiers</w:t>
      </w:r>
    </w:p>
    <w:p>
      <w:pPr>
        <w:spacing w:after="120"/>
        <w:ind w:left="360" w:hanging="360"/>
      </w:pPr>
      <w:r>
        <w:rPr>
          <w:rFonts w:ascii="Calibri" w:hAnsi="Calibri"/>
          <w:sz w:val="22"/>
        </w:rPr>
        <w:t xml:space="preserve">• </w:t>
      </w:r>
      <w:r>
        <w:rPr>
          <w:rFonts w:ascii="Calibri" w:hAnsi="Calibri"/>
          <w:b/>
          <w:sz w:val="22"/>
        </w:rPr>
        <w:t>L1 (Helpdesk):</w:t>
      </w:r>
      <w:r>
        <w:rPr>
          <w:rFonts w:ascii="Calibri" w:hAnsi="Calibri"/>
          <w:sz w:val="22"/>
        </w:rPr>
        <w:t xml:space="preserve"> User queries, access issues, minor fixes.</w:t>
      </w:r>
    </w:p>
    <w:p>
      <w:pPr>
        <w:spacing w:after="120"/>
        <w:ind w:left="360" w:hanging="360"/>
      </w:pPr>
      <w:r>
        <w:rPr>
          <w:rFonts w:ascii="Calibri" w:hAnsi="Calibri"/>
          <w:sz w:val="22"/>
        </w:rPr>
        <w:t xml:space="preserve">• </w:t>
      </w:r>
      <w:r>
        <w:rPr>
          <w:rFonts w:ascii="Calibri" w:hAnsi="Calibri"/>
          <w:b/>
          <w:sz w:val="22"/>
        </w:rPr>
        <w:t>L2 (Application Support):</w:t>
      </w:r>
      <w:r>
        <w:rPr>
          <w:rFonts w:ascii="Calibri" w:hAnsi="Calibri"/>
          <w:sz w:val="22"/>
        </w:rPr>
        <w:t xml:space="preserve"> Configuration issues, workflow errors, portal issues.</w:t>
      </w:r>
    </w:p>
    <w:p>
      <w:pPr>
        <w:spacing w:after="120"/>
        <w:ind w:left="360" w:hanging="360"/>
      </w:pPr>
      <w:r>
        <w:rPr>
          <w:rFonts w:ascii="Calibri" w:hAnsi="Calibri"/>
          <w:sz w:val="22"/>
        </w:rPr>
        <w:t xml:space="preserve">• </w:t>
      </w:r>
      <w:r>
        <w:rPr>
          <w:rFonts w:ascii="Calibri" w:hAnsi="Calibri"/>
          <w:b/>
          <w:sz w:val="22"/>
        </w:rPr>
        <w:t>L3 (Engineering/Product):</w:t>
      </w:r>
      <w:r>
        <w:rPr>
          <w:rFonts w:ascii="Calibri" w:hAnsi="Calibri"/>
          <w:sz w:val="22"/>
        </w:rPr>
        <w:t xml:space="preserve"> Complex defects, integrations, performance tuning, upgrades.</w:t>
      </w:r>
    </w:p>
    <w:p/>
    <w:p>
      <w:pPr>
        <w:pStyle w:val="Heading3"/>
      </w:pPr>
      <w:r>
        <w:t>9.2 SLA Targets</w:t>
      </w:r>
    </w:p>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fill="1a5490" w:val="clear"/>
            <w:vAlign w:val="top"/>
            <w:tcMar>
              <w:top w:w="80" w:type="dxa"/>
              <w:right w:w="80" w:type="dxa"/>
              <w:bottom w:w="80" w:type="dxa"/>
              <w:left w:w="80" w:type="dxa"/>
            </w:tcMar>
          </w:tcPr>
          <w:p>
            <w:r>
              <w:rPr>
                <w:b/>
                <w:color w:val="FFFFFF"/>
              </w:rPr>
              <w:t>Severity</w:t>
            </w:r>
          </w:p>
        </w:tc>
        <w:tc>
          <w:tcPr>
            <w:tcW w:type="dxa" w:w="3120"/>
            <w:shd w:fill="1a5490" w:val="clear"/>
            <w:vAlign w:val="top"/>
            <w:tcMar>
              <w:top w:w="80" w:type="dxa"/>
              <w:right w:w="80" w:type="dxa"/>
              <w:bottom w:w="80" w:type="dxa"/>
              <w:left w:w="80" w:type="dxa"/>
            </w:tcMar>
          </w:tcPr>
          <w:p>
            <w:r>
              <w:rPr>
                <w:b/>
                <w:color w:val="FFFFFF"/>
              </w:rPr>
              <w:t>Response Time</w:t>
            </w:r>
          </w:p>
        </w:tc>
        <w:tc>
          <w:tcPr>
            <w:tcW w:type="dxa" w:w="3120"/>
            <w:shd w:fill="1a5490" w:val="clear"/>
            <w:vAlign w:val="top"/>
            <w:tcMar>
              <w:top w:w="80" w:type="dxa"/>
              <w:right w:w="80" w:type="dxa"/>
              <w:bottom w:w="80" w:type="dxa"/>
              <w:left w:w="80" w:type="dxa"/>
            </w:tcMar>
          </w:tcPr>
          <w:p>
            <w:r>
              <w:rPr>
                <w:b/>
                <w:color w:val="FFFFFF"/>
              </w:rPr>
              <w:t>Resolution Time</w:t>
            </w:r>
          </w:p>
        </w:tc>
      </w:tr>
      <w:tr>
        <w:tc>
          <w:tcPr>
            <w:tcW w:type="dxa" w:w="3120"/>
            <w:vAlign w:val="top"/>
            <w:tcMar>
              <w:top w:w="80" w:type="dxa"/>
              <w:right w:w="80" w:type="dxa"/>
              <w:bottom w:w="80" w:type="dxa"/>
              <w:left w:w="80" w:type="dxa"/>
            </w:tcMar>
          </w:tcPr>
          <w:p>
            <w:r>
              <w:t>Sev 1 (Critical)</w:t>
            </w:r>
          </w:p>
        </w:tc>
        <w:tc>
          <w:tcPr>
            <w:tcW w:type="dxa" w:w="3120"/>
            <w:vAlign w:val="top"/>
            <w:tcMar>
              <w:top w:w="80" w:type="dxa"/>
              <w:right w:w="80" w:type="dxa"/>
              <w:bottom w:w="80" w:type="dxa"/>
              <w:left w:w="80" w:type="dxa"/>
            </w:tcMar>
          </w:tcPr>
          <w:p>
            <w:r>
              <w:t>1 hour</w:t>
            </w:r>
          </w:p>
        </w:tc>
        <w:tc>
          <w:tcPr>
            <w:tcW w:type="dxa" w:w="3120"/>
            <w:vAlign w:val="top"/>
            <w:tcMar>
              <w:top w:w="80" w:type="dxa"/>
              <w:right w:w="80" w:type="dxa"/>
              <w:bottom w:w="80" w:type="dxa"/>
              <w:left w:w="80" w:type="dxa"/>
            </w:tcMar>
          </w:tcPr>
          <w:p>
            <w:r>
              <w:t>4 hours</w:t>
            </w:r>
          </w:p>
        </w:tc>
      </w:tr>
      <w:tr>
        <w:tc>
          <w:tcPr>
            <w:tcW w:type="dxa" w:w="3120"/>
            <w:vAlign w:val="top"/>
            <w:tcMar>
              <w:top w:w="80" w:type="dxa"/>
              <w:right w:w="80" w:type="dxa"/>
              <w:bottom w:w="80" w:type="dxa"/>
              <w:left w:w="80" w:type="dxa"/>
            </w:tcMar>
          </w:tcPr>
          <w:p>
            <w:r>
              <w:t>Sev 2 (High)</w:t>
            </w:r>
          </w:p>
        </w:tc>
        <w:tc>
          <w:tcPr>
            <w:tcW w:type="dxa" w:w="3120"/>
            <w:vAlign w:val="top"/>
            <w:tcMar>
              <w:top w:w="80" w:type="dxa"/>
              <w:right w:w="80" w:type="dxa"/>
              <w:bottom w:w="80" w:type="dxa"/>
              <w:left w:w="80" w:type="dxa"/>
            </w:tcMar>
          </w:tcPr>
          <w:p>
            <w:r>
              <w:t>2 hours</w:t>
            </w:r>
          </w:p>
        </w:tc>
        <w:tc>
          <w:tcPr>
            <w:tcW w:type="dxa" w:w="3120"/>
            <w:vAlign w:val="top"/>
            <w:tcMar>
              <w:top w:w="80" w:type="dxa"/>
              <w:right w:w="80" w:type="dxa"/>
              <w:bottom w:w="80" w:type="dxa"/>
              <w:left w:w="80" w:type="dxa"/>
            </w:tcMar>
          </w:tcPr>
          <w:p>
            <w:r>
              <w:t>8 hours</w:t>
            </w:r>
          </w:p>
        </w:tc>
      </w:tr>
      <w:tr>
        <w:tc>
          <w:tcPr>
            <w:tcW w:type="dxa" w:w="3120"/>
            <w:vAlign w:val="top"/>
            <w:tcMar>
              <w:top w:w="80" w:type="dxa"/>
              <w:right w:w="80" w:type="dxa"/>
              <w:bottom w:w="80" w:type="dxa"/>
              <w:left w:w="80" w:type="dxa"/>
            </w:tcMar>
          </w:tcPr>
          <w:p>
            <w:r>
              <w:t>Sev 3 (Medium)</w:t>
            </w:r>
          </w:p>
        </w:tc>
        <w:tc>
          <w:tcPr>
            <w:tcW w:type="dxa" w:w="3120"/>
            <w:vAlign w:val="top"/>
            <w:tcMar>
              <w:top w:w="80" w:type="dxa"/>
              <w:right w:w="80" w:type="dxa"/>
              <w:bottom w:w="80" w:type="dxa"/>
              <w:left w:w="80" w:type="dxa"/>
            </w:tcMar>
          </w:tcPr>
          <w:p>
            <w:r>
              <w:t>4 hours</w:t>
            </w:r>
          </w:p>
        </w:tc>
        <w:tc>
          <w:tcPr>
            <w:tcW w:type="dxa" w:w="3120"/>
            <w:vAlign w:val="top"/>
            <w:tcMar>
              <w:top w:w="80" w:type="dxa"/>
              <w:right w:w="80" w:type="dxa"/>
              <w:bottom w:w="80" w:type="dxa"/>
              <w:left w:w="80" w:type="dxa"/>
            </w:tcMar>
          </w:tcPr>
          <w:p>
            <w:r>
              <w:t>24 hours</w:t>
            </w:r>
          </w:p>
        </w:tc>
      </w:tr>
      <w:tr>
        <w:tc>
          <w:tcPr>
            <w:tcW w:type="dxa" w:w="3120"/>
            <w:vAlign w:val="top"/>
            <w:tcMar>
              <w:top w:w="80" w:type="dxa"/>
              <w:right w:w="80" w:type="dxa"/>
              <w:bottom w:w="80" w:type="dxa"/>
              <w:left w:w="80" w:type="dxa"/>
            </w:tcMar>
          </w:tcPr>
          <w:p>
            <w:r>
              <w:t>Sev 4 (Low)</w:t>
            </w:r>
          </w:p>
        </w:tc>
        <w:tc>
          <w:tcPr>
            <w:tcW w:type="dxa" w:w="3120"/>
            <w:vAlign w:val="top"/>
            <w:tcMar>
              <w:top w:w="80" w:type="dxa"/>
              <w:right w:w="80" w:type="dxa"/>
              <w:bottom w:w="80" w:type="dxa"/>
              <w:left w:w="80" w:type="dxa"/>
            </w:tcMar>
          </w:tcPr>
          <w:p>
            <w:r>
              <w:t>8 hours</w:t>
            </w:r>
          </w:p>
        </w:tc>
        <w:tc>
          <w:tcPr>
            <w:tcW w:type="dxa" w:w="3120"/>
            <w:vAlign w:val="top"/>
            <w:tcMar>
              <w:top w:w="80" w:type="dxa"/>
              <w:right w:w="80" w:type="dxa"/>
              <w:bottom w:w="80" w:type="dxa"/>
              <w:left w:w="80" w:type="dxa"/>
            </w:tcMar>
          </w:tcPr>
          <w:p>
            <w:r>
              <w:t>3 business days</w:t>
            </w:r>
          </w:p>
        </w:tc>
      </w:tr>
    </w:tbl>
    <w:p>
      <w:pPr>
        <w:pStyle w:val="Heading3"/>
      </w:pPr>
      <w:r>
        <w:t>9.3 Escalation and Governance</w:t>
      </w:r>
    </w:p>
    <w:p>
      <w:pPr>
        <w:spacing w:after="120"/>
        <w:ind w:left="360" w:hanging="360"/>
      </w:pPr>
      <w:r>
        <w:rPr>
          <w:rFonts w:ascii="Calibri" w:hAnsi="Calibri"/>
          <w:sz w:val="22"/>
        </w:rPr>
        <w:t xml:space="preserve">• </w:t>
      </w:r>
      <w:r>
        <w:rPr>
          <w:rFonts w:ascii="Calibri" w:hAnsi="Calibri"/>
          <w:b/>
          <w:sz w:val="22"/>
        </w:rPr>
        <w:t>Incident Manager</w:t>
      </w:r>
      <w:r>
        <w:rPr>
          <w:rFonts w:ascii="Calibri" w:hAnsi="Calibri"/>
          <w:sz w:val="22"/>
        </w:rPr>
        <w:t xml:space="preserve"> assigned for Sev 1/2 issues.</w:t>
      </w:r>
    </w:p>
    <w:p>
      <w:pPr>
        <w:spacing w:after="120"/>
        <w:ind w:left="360" w:hanging="360"/>
      </w:pPr>
      <w:r>
        <w:rPr>
          <w:rFonts w:ascii="Calibri" w:hAnsi="Calibri"/>
          <w:sz w:val="22"/>
        </w:rPr>
        <w:t xml:space="preserve">• </w:t>
      </w:r>
      <w:r>
        <w:rPr>
          <w:rFonts w:ascii="Calibri" w:hAnsi="Calibri"/>
          <w:sz w:val="22"/>
        </w:rPr>
        <w:t>Escalation ladder: Support Lead → Program Manager → Executive Sponsor.</w:t>
      </w:r>
    </w:p>
    <w:p>
      <w:pPr>
        <w:spacing w:after="120"/>
        <w:ind w:left="360" w:hanging="360"/>
      </w:pPr>
      <w:r>
        <w:rPr>
          <w:rFonts w:ascii="Calibri" w:hAnsi="Calibri"/>
          <w:sz w:val="22"/>
        </w:rPr>
        <w:t xml:space="preserve">• </w:t>
      </w:r>
      <w:r>
        <w:rPr>
          <w:rFonts w:ascii="Calibri" w:hAnsi="Calibri"/>
          <w:sz w:val="22"/>
        </w:rPr>
        <w:t>Monthly service reviews covering SLA performance, root causes, and improvement actions.</w:t>
      </w:r>
    </w:p>
    <w:p/>
    <w:p>
      <w:pPr>
        <w:pStyle w:val="Heading2"/>
      </w:pPr>
      <w:r>
        <w:t>10. Commercial Proposal</w:t>
      </w:r>
    </w:p>
    <w:p/>
    <w:p>
      <w:r>
        <w:t>FusionAIx will provide a detailed commercial proposal in the final submission package, including a 5-year Total Cost of Ownership (TCO) view.</w:t>
      </w:r>
    </w:p>
    <w:p/>
    <w:p>
      <w:pPr>
        <w:pStyle w:val="Heading3"/>
      </w:pPr>
      <w:r>
        <w:t>10.1 Cost Components</w:t>
      </w:r>
    </w:p>
    <w:p>
      <w:pPr>
        <w:pStyle w:val="ListNumber"/>
      </w:pPr>
      <w:r>
        <w:rPr>
          <w:b/>
        </w:rPr>
        <w:t>Licensing:</w:t>
      </w:r>
    </w:p>
    <w:p>
      <w:pPr>
        <w:spacing w:after="120"/>
        <w:ind w:left="360" w:hanging="360"/>
      </w:pPr>
      <w:r>
        <w:rPr>
          <w:rFonts w:ascii="Calibri" w:hAnsi="Calibri"/>
          <w:sz w:val="22"/>
        </w:rPr>
        <w:t xml:space="preserve">• </w:t>
      </w:r>
      <w:r>
        <w:rPr>
          <w:rFonts w:ascii="Calibri" w:hAnsi="Calibri"/>
          <w:sz w:val="22"/>
        </w:rPr>
        <w:t>Enterprise BPM platform licenses for internal and external users.</w:t>
      </w:r>
    </w:p>
    <w:p>
      <w:pPr>
        <w:pStyle w:val="ListNumber"/>
      </w:pPr>
      <w:r>
        <w:rPr>
          <w:b/>
        </w:rPr>
        <w:t>Implementation Services:</w:t>
      </w:r>
    </w:p>
    <w:p>
      <w:pPr>
        <w:spacing w:after="120"/>
        <w:ind w:left="360" w:hanging="360"/>
      </w:pPr>
      <w:r>
        <w:rPr>
          <w:rFonts w:ascii="Calibri" w:hAnsi="Calibri"/>
          <w:sz w:val="22"/>
        </w:rPr>
        <w:t xml:space="preserve">• </w:t>
      </w:r>
      <w:r>
        <w:rPr>
          <w:rFonts w:ascii="Calibri" w:hAnsi="Calibri"/>
          <w:sz w:val="22"/>
        </w:rPr>
        <w:t>Discovery, design, configuration, integration, testing, and training.</w:t>
      </w:r>
    </w:p>
    <w:p>
      <w:pPr>
        <w:pStyle w:val="ListNumber"/>
      </w:pPr>
      <w:r>
        <w:rPr>
          <w:b/>
        </w:rPr>
        <w:t>Support and Maintenance:</w:t>
      </w:r>
    </w:p>
    <w:p>
      <w:pPr>
        <w:spacing w:after="120"/>
        <w:ind w:left="360" w:hanging="360"/>
      </w:pPr>
      <w:r>
        <w:rPr>
          <w:rFonts w:ascii="Calibri" w:hAnsi="Calibri"/>
          <w:sz w:val="22"/>
        </w:rPr>
        <w:t xml:space="preserve">• </w:t>
      </w:r>
      <w:r>
        <w:rPr>
          <w:rFonts w:ascii="Calibri" w:hAnsi="Calibri"/>
          <w:sz w:val="22"/>
        </w:rPr>
        <w:t>Three years of post go-live support, including patches and upgrades.</w:t>
      </w:r>
    </w:p>
    <w:p>
      <w:pPr>
        <w:pStyle w:val="ListNumber"/>
      </w:pPr>
      <w:r>
        <w:rPr>
          <w:b/>
        </w:rPr>
        <w:t>Optional Components:</w:t>
      </w:r>
    </w:p>
    <w:p>
      <w:pPr>
        <w:spacing w:after="120"/>
        <w:ind w:left="360" w:hanging="360"/>
      </w:pPr>
      <w:r>
        <w:rPr>
          <w:rFonts w:ascii="Calibri" w:hAnsi="Calibri"/>
          <w:sz w:val="22"/>
        </w:rPr>
        <w:t xml:space="preserve">• </w:t>
      </w:r>
      <w:r>
        <w:rPr>
          <w:rFonts w:ascii="Calibri" w:hAnsi="Calibri"/>
          <w:sz w:val="22"/>
        </w:rPr>
        <w:t>Advanced analytics, additional environments, disaster recovery enhancements, AI-assisted features.</w:t>
      </w:r>
    </w:p>
    <w:p/>
    <w:p>
      <w:pPr>
        <w:pStyle w:val="Heading3"/>
      </w:pPr>
      <w:r>
        <w:t>10.2 Payment Milestones</w:t>
      </w:r>
    </w:p>
    <w:p>
      <w:pPr>
        <w:spacing w:after="120"/>
        <w:ind w:left="360" w:hanging="360"/>
      </w:pPr>
      <w:r>
        <w:rPr>
          <w:rFonts w:ascii="Calibri" w:hAnsi="Calibri"/>
          <w:sz w:val="22"/>
        </w:rPr>
        <w:t xml:space="preserve">• </w:t>
      </w:r>
      <w:r>
        <w:rPr>
          <w:rFonts w:ascii="Calibri" w:hAnsi="Calibri"/>
          <w:sz w:val="22"/>
        </w:rPr>
        <w:t>10% on project kickoff</w:t>
      </w:r>
    </w:p>
    <w:p>
      <w:pPr>
        <w:spacing w:after="120"/>
        <w:ind w:left="360" w:hanging="360"/>
      </w:pPr>
      <w:r>
        <w:rPr>
          <w:rFonts w:ascii="Calibri" w:hAnsi="Calibri"/>
          <w:sz w:val="22"/>
        </w:rPr>
        <w:t xml:space="preserve">• </w:t>
      </w:r>
      <w:r>
        <w:rPr>
          <w:rFonts w:ascii="Calibri" w:hAnsi="Calibri"/>
          <w:sz w:val="22"/>
        </w:rPr>
        <w:t>20% on requirements sign-off</w:t>
      </w:r>
    </w:p>
    <w:p>
      <w:pPr>
        <w:spacing w:after="120"/>
        <w:ind w:left="360" w:hanging="360"/>
      </w:pPr>
      <w:r>
        <w:rPr>
          <w:rFonts w:ascii="Calibri" w:hAnsi="Calibri"/>
          <w:sz w:val="22"/>
        </w:rPr>
        <w:t xml:space="preserve">• </w:t>
      </w:r>
      <w:r>
        <w:rPr>
          <w:rFonts w:ascii="Calibri" w:hAnsi="Calibri"/>
          <w:sz w:val="22"/>
        </w:rPr>
        <w:t>30% on UAT completion</w:t>
      </w:r>
    </w:p>
    <w:p>
      <w:pPr>
        <w:spacing w:after="120"/>
        <w:ind w:left="360" w:hanging="360"/>
      </w:pPr>
      <w:r>
        <w:rPr>
          <w:rFonts w:ascii="Calibri" w:hAnsi="Calibri"/>
          <w:sz w:val="22"/>
        </w:rPr>
        <w:t xml:space="preserve">• </w:t>
      </w:r>
      <w:r>
        <w:rPr>
          <w:rFonts w:ascii="Calibri" w:hAnsi="Calibri"/>
          <w:sz w:val="22"/>
        </w:rPr>
        <w:t>30% on go-live</w:t>
      </w:r>
    </w:p>
    <w:p>
      <w:pPr>
        <w:spacing w:after="120"/>
        <w:ind w:left="360" w:hanging="360"/>
      </w:pPr>
      <w:r>
        <w:rPr>
          <w:rFonts w:ascii="Calibri" w:hAnsi="Calibri"/>
          <w:sz w:val="22"/>
        </w:rPr>
        <w:t xml:space="preserve">• </w:t>
      </w:r>
      <w:r>
        <w:rPr>
          <w:rFonts w:ascii="Calibri" w:hAnsi="Calibri"/>
          <w:sz w:val="22"/>
        </w:rPr>
        <w:t>10% on support transition</w:t>
      </w:r>
    </w:p>
    <w:p/>
    <w:p>
      <w:r>
        <w:t>FusionAIx appreciates the opportunity to partner with the Ministry of Trade and Industry in this transformative initiative. Our proposed BPM solution will empower MTI to deliver faster, more transparent, and citizen-centric services—laying the foundation for a truly digital government.</w:t>
      </w:r>
    </w:p>
    <w:p/>
    <w:p>
      <w:r>
        <w:t>Submitted by:</w:t>
      </w:r>
    </w:p>
    <w:p>
      <w:r>
        <w:t>FusionAIx</w:t>
      </w:r>
    </w:p>
    <w:p>
      <w:r>
        <w:t>[Authorized Signatory]</w:t>
      </w:r>
    </w:p>
    <w:p>
      <w:r>
        <w:t>Date: 21 December 2025</w:t>
      </w:r>
    </w:p>
    <w:sectPr w:rsidR="00FC693F" w:rsidRPr="0006063C" w:rsidSect="00034616">
      <w:headerReference w:type="default" r:id="rId13"/>
      <w:footerReference w:type="default" r:id="rId14"/>
      <w:pgSz w:w="12240" w:h="15840"/>
      <w:pgMar w:top="1440" w:right="1440" w:bottom="1440" w:left="1440"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36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