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a revised schedule must be both efficient (makespan) and stable (little change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search method should therefore also be judged by 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In a controlled comparison with the local search aligned, trajectory-based search (ILS), which transforms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continuously, outperformed population-based search (Memetic), which recombines solutions by crossover, in the hypervolume of the high-stability region in every trial of all eight scenarios. We then mounted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based on path relinking, and repair) on both structures, and their effect was asymmetric. In population-based search, the high-stability hypervolume improved in every trial of every scenario, reaching the level of trajectory-based search in seven of the eight scenarios, and with the operators it ranked first in the quality of the whole trade-off. Trajectory-based search, by contrast, fills this region by itself and had almost no room left for improvement. The best method changes with the evaluation criterion.</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fall into two broad classes: static approaches, which build in slack beforehand to raise tolerance,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executing schedule into a feasible one.</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the smallness of the change from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which we call </w:t>
      </w:r>
      <w:r>
        <w:rPr>
          <w:rFonts w:ascii="Times New Roman" w:hAnsi="Times New Roman" w:cs="Times New Roman"/>
          <w:i/>
        </w:rPr>
        <w:t xml:space="preserve">stability</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into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 solution that keeps the change small yet still improves efficiency.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(Garey et al., 1976),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 is the mainstream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little by little,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We test this in a controlled comparison, with the local search aligned, between iterated local search (ILS), representing trajectory-based search, and Memetic, a GA with local search built in, representing population-based search. In addition, we mount </w:t>
      </w:r>
      <w:r>
        <w:rPr>
          <w:rFonts w:ascii="Times New Roman" w:hAnsi="Times New Roman" w:cs="Times New Roman"/>
          <w:i/>
        </w:rPr>
        <w:t xml:space="preserve">stability-inducing operators</w:t>
      </w:r>
      <w:r>
        <w:rPr>
          <w:rFonts w:ascii="Times New Roman" w:hAnsi="Times New Roman" w:cs="Times New Roman"/>
        </w:rPr>
        <w:t xml:space="preserve"> (hereafter, operators), which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both methods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Even with the same local search, population-based search fills it only coarsely and in some scenarios barely reaches it at all.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lift population-based search to the level of trajectory-based search and add little to trajectory-based search itself.</w:t>
      </w:r>
      <w:r>
        <w:rPr>
          <w:rFonts w:ascii="Times New Roman" w:hAnsi="Times New Roman" w:cs="Times New Roman"/>
        </w:rPr>
        <w:t xml:space="preserve"> What the operators fill is the part left unfilled, so trajectory-based search, which fills this region by itself, improves only in the few scenarios where some of it remains unfilled.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changes with the criterion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That the former are the majority has been pointed out repeatedly (Rangsaritratsamee et al., 2004; Sun et al., 2026), and the latter, which this study presupposes, divides further into two lineages by how stability is secured.</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memetic-type method combining a GA with local search, and Zhang et al. (2013) a hybrid of a GA and tabu search; for the flexible JSSP (FJSP), Fattahi and Fallahi (2010) likewise applied a memetic-type method.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original schedule, and Abumaizar and Svestka (1997) proposed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Given the two lineages above, three issues remain to our knowledge.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concentrate on population-based search (Rangsaritratsamee et al., 2004; Fattahi and Fallahi, 2010; Zakaria and Petrovic, 2012; Zhang et al., 2013; Valledor et al., 2022; Luo et al., 2025; Sun et al., 2026). How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differentiates the two search structures (trajectory-based versus population-based) has not been analyzed by comparing them under identical conditions. </w:t>
      </w:r>
      <w:r>
        <w:rPr>
          <w:rFonts w:ascii="Times New Roman" w:hAnsi="Times New Roman" w:cs="Times New Roman"/>
          <w:i/>
        </w:rPr>
        <w:t xml:space="preserve">Second, no evaluation format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quality restricted to the high-stability region. </w:t>
      </w:r>
      <w:r>
        <w:rPr>
          <w:rFonts w:ascii="Times New Roman" w:hAnsi="Times New Roman" w:cs="Times New Roman"/>
          <w:i/>
        </w:rPr>
        <w:t xml:space="preserve">Third, there is no means of moving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lineage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lineage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outside the restriction). Neither has a </w:t>
      </w:r>
      <w:r>
        <w:rPr>
          <w:rFonts w:ascii="Times New Roman" w:hAnsi="Times New Roman" w:cs="Times New Roman"/>
          <w:i/>
        </w:rPr>
        <w:t xml:space="preserve">move</w:t>
      </w:r>
      <w:r>
        <w:rPr>
          <w:rFonts w:ascii="Times New Roman" w:hAnsi="Times New Roman" w:cs="Times New Roman"/>
        </w:rPr>
        <w:t xml:space="preserve"> that brings a solution closer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restricted to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continuous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whereas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filling of this region should be structurally coarse even with the same local search: </w:t>
      </w:r>
      <w:r>
        <w:rPr>
          <w:rFonts w:ascii="Times New Roman" w:hAnsi="Times New Roman" w:cs="Times New Roman"/>
          <w:i/>
        </w:rPr>
        <w:t xml:space="preserve">H1</w:t>
      </w:r>
      <w:r>
        <w:rPr>
          <w:rFonts w:ascii="Times New Roman" w:hAnsi="Times New Roman" w:cs="Times New Roman"/>
        </w:rPr>
        <w:t xml:space="preserve"> (Figure 1(a)). If H1 holds, what population-based search lacks is the ability to fill the high-stability region. This study supplies it by designing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operator (Section 3.3). The intermediate solutions on a path that </w:t>
      </w:r>
      <w:r>
        <w:rPr>
          <w:rFonts w:ascii="Times New Roman" w:hAnsi="Times New Roman" w:cs="Times New Roman"/>
          <w:i/>
        </w:rPr>
        <w:t xml:space="preserve">returns individuals scattered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H2</w:t>
      </w:r>
      <w:r>
        <w:rPr>
          <w:rFonts w:ascii="Times New Roman" w:hAnsi="Times New Roman" w:cs="Times New Roman"/>
        </w:rPr>
        <w:t xml:space="preserv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mount the same operators on both structures and compare the two structures.</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operations used in the search (the N5 neighborhood and the swap moves of the stability-inducing operators, Sections 3.2–3.3) are all permutation operations and because it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the same experiment yields both the speed in practice, by following the search at each point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structural comparison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is an insert move whose strength (the number of insert moves) cycles in a sawtooth according to the degree of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initial population</w:t>
      </w:r>
      <w:r>
        <w:rPr>
          <w:rFonts w:ascii="Times New Roman" w:hAnsi="Times New Roman" w:cs="Times New Roman"/>
        </w:rPr>
        <w:t xml:space="preserve"> likewise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is interpreted uniquely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which directly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it gained only about +1% in overall HV while taking about 8 times longer under large disruptions, so we do not adopt it (preliminary experiments).</w:t>
      </w:r>
    </w:p>
    <w:p>
      <w:pPr>
        <w:pStyle w:val="a8"/>
        <w:spacing w:line="240" w:lineRule="exact"/>
        <w:jc w:val="both"/>
      </w:pPr>
      <w:r>
        <w:rPr>
          <w:rFonts w:ascii="Times New Roman" w:hAnsi="Times New Roman" w:cs="Times New Roman"/>
          <w:b/>
        </w:rPr>
        <w:t xml:space="preserve">Stability repair kick (hereafter, repair).</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for a depth </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to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that is, to "repair" the stability lost by drifting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re-optimizes the point reached by local search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Mounting on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each structure's standard way of building operators in (Table 1). In trajectory-based search (ILS), both operators act as perturbations: they fire upon stagnation, and the repair depth </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repair depth </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each baseline together with its PR and repair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operation that moves a solution (the perturbation of trajectory-based search,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restricted to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per-weight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AOC, conversely, takes </w:t>
      </w:r>
      <w:r>
        <w:rPr>
          <w:rFonts w:ascii="Times New Roman" w:hAnsi="Times New Roman" w:cs="Times New Roman"/>
          <w:i/>
        </w:rPr>
        <w:t xml:space="preserve">the search at each weight as its unit</w:t>
      </w:r>
      <w:r>
        <w:rPr>
          <w:rFonts w:ascii="Times New Roman" w:hAnsi="Times New Roman" w:cs="Times New Roman"/>
        </w:rPr>
        <w:t xml:space="preserve">: the value averaged over wall-clock log-time at each weight is then averaged over all weights for each trial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(Derrac et al., 2011),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 and as the relative deviation from the best method, ARPD% (</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rPr>
        <w:t xml:space="preserve">, lower is better). In the cross-scenario summary (Table 2), each method is described by three quantities: its rank averaged over the eight scenarios, its mean ARPD%, and the number of scenarios in which it belongs to the top group, i.e., shows no significant difference from the best method of that scenario (uncorrected).</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H1 is tested by comparing the high-stability HV of ILS-baseline and Memetic-baseline, which share the local search, and is regarded as supported if ILS is significantly ahead in all eight scenarios. H2 is tested in the same form on the gain in high-stability HV of operator-equipped Memetic over Memetic-baseline, and the level the gain reaches is checked by comparison with ILS-baseline. For the corresponding comparison on the trajectory side (ILS-baseline versus operator-equipped ILS), we do not predict the direction of the effect in advance but contrast it with the population side as a difference in how the operators act. Multiple comparisons are handled by Holm correction, with the same comparison repeated across the eight scenarios forming one family. Neither hypothesis places a directional prediction on overall HV or AOC; these are reported as comparisons among methods.</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returns the best of the top 3 intermediate solutions on the path.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Pareto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Fills the Region Alone, the Population Fills It with Operators (H1, H2)</w:t>
      </w:r>
    </w:p>
    <w:p>
      <w:pPr>
        <w:pStyle w:val="a8"/>
        <w:spacing w:line="240" w:lineRule="exact"/>
        <w:jc w:val="both"/>
      </w:pPr>
      <w:r>
        <w:rPr>
          <w:rFonts w:ascii="Times New Roman" w:hAnsi="Times New Roman" w:cs="Times New Roman"/>
        </w:rPr>
        <w:t xml:space="preserve">Memetic-baseline fails to fill the region in two ways (Figure 2). (a) In ta21S it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enter the region but is inferior to ILS in MS, and the two are level only at the efficiency end. In either case, once the operators are mounted, the fronts of the two structures overlap in the high-stability region, and in five of the eight scenarios the non-dominated solutions of ILS+PR and Memetic+PR coincide exactly as point sets.</w:t>
      </w:r>
    </w:p>
    <w:p>
      <w:pPr>
        <w:pStyle w:val="a8"/>
        <w:spacing w:line="240" w:lineRule="exact"/>
        <w:jc w:val="both"/>
      </w:pPr>
      <w:r>
        <w:rPr>
          <w:rFonts w:ascii="Times New Roman" w:hAnsi="Times New Roman" w:cs="Times New Roman"/>
        </w:rPr>
        <w:t xml:space="preserve">We check with high-stability HV whether this picture holds in all eight scenarios (Figure 3). The gap between the points without operators corresponds to H1, and the slope of the Memetic line to H2.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region. In the remaining five scenarios, ILS is 2.0–4.5 times higher. Significance survives Holm correction in every scenario, and H1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the level of ILS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The level reached matches that of ILS-baseline in seven scenarios: in six there is no significant difference (in five of them the medians differ by at most 1%), and in ta21L it is significantly higher, by 4–5%. Only la40 falls short, and even there the shortfall is only 5–10%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for this one scenario.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checked by a control experiment in two scenarios (mt10, la36S) that matches the strength and randomizes only the direction: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level.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repair,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Repair is omitted because it gives almost the same front as PR in the high-stability region.</w:t>
            </w:r>
          </w:p>
        </w:tc>
      </w:tr>
    </w:tbl>
    <w:p>
      <w:pPr>
        <w:spacing w:line="14" w:lineRule="exact"/>
        <w:rPr>
          <w:sz w:val="2"/>
        </w:rPr>
      </w:pP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same operators act asymmetrically across the structures reflects less a difference between the structures themselves than a difference in whether each structure reaches the attainable level by itself. High-stability HV has a level at which several methods arrive and stop: in every scenario, three to five of the seven methods lie within 2% of the best value (Figure 3). Whether mounted on ILS or on Memetic, the operators raise high-stability HV if the structure has not reached this level, and yield no gain if it has. Because the effect changes with whether the level was reached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level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level as ILS (1.17), but it takes 6.6–7.8 s to get there against 2.5 s for ILS. In la36L, Memetic overtakes ILS at 7–10 s and climbs to 0.94, whereas ILS levels off at 0.80. The endpoint of the curve and the speed of the ramp-up point to different methods as the best.</w:t>
      </w:r>
    </w:p>
    <w:p>
      <w:pPr>
        <w:keepNext/>
        <w:keepLines/>
        <w:spacing w:line="240" w:lineRule="exact"/>
        <w:jc w:val="center"/>
      </w:pPr>
      <w:r>
        <w:rPr>
          <w:rFonts w:ascii="Times New Roman" w:hAnsi="Times New Roman" w:cs="Times New Roman"/>
        </w:rPr>
        <w:t xml:space="preserve">Table 2: Cross-scenario summary of the three metrics (Section 3.4). Each cell gives "average rank / ARPD% / number of top-group scenarios (out of 8)"; lower is better for the first two and higher for the last.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ILS+repair</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Memetic+repair</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The level of the ILS variants depends on the scenario: in four scenarios (la36S, ta21S, la40, la21) they are level with the best, but in the remaining four they fall 5–38% short. Between the two methods without operators the winner switches as well: ILS-baseline is significantly ahead in the four scenarios where the ILS variants are level with the best, and Memetic-baseline in the other four (in one of which the difference is not significant). The difference in the high-stability region in Section 4.2 is therefore not a reflection of ILS being superior overall. The way the operators act divides here in the same direction as in Section 4.2: they raise the overall HV of Memetic significantly in six of the eight scenarios (+2.8–11.7%; in the remaining two Memetic already exceeds ILS without operators), whereas for ILS the change stays within ±0.5% in every scenario, including the three in which the overall HV of ILS is 15–38% below the best. The minimum MS reached over the whole sweep shows the same picture: in the four scenarios where the ILS variants are level with the best, all methods except GA coincide, and in the other four the Memetic variants are lower (by 1.2–2.2% in three of them,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The operators have no effect on this minimum.</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66414"/>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6641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n=10). Symbols give the significance level of the two-sided Mann–Whitney U test against the configuration without operators, in the same color as the corresponding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Because AOC weights the early phase heavily on the log-time scale, it strongly reflects the speed of ILS, which receives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its initial solution (Figure 4). The operators act asymmetrically here too, but in the opposite direction, as a cost to Memetic.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before returning, so each call is expensive, and in Memetic, where it fires per individual, it lowers AOC significantly in five of the eight scenarios (by 7–26%). In ILS, where the operators fire only upon stagnation, the three variants stay within 3% of one another in every scenario, with no significant difference.</w:t>
      </w:r>
    </w:p>
    <w:p>
      <w:pPr>
        <w:pStyle w:val="a8"/>
        <w:spacing w:line="240" w:lineRule="exact"/>
        <w:jc w:val="both"/>
      </w:pPr>
      <w:r>
        <w:rPr>
          <w:rFonts w:ascii="Times New Roman" w:hAnsi="Times New Roman" w:cs="Times New Roman"/>
          <w:b/>
        </w:rPr>
        <w:t xml:space="preserve">PR or repair.</w:t>
      </w:r>
      <w:r>
        <w:rPr>
          <w:rFonts w:ascii="Times New Roman" w:hAnsi="Times New Roman" w:cs="Times New Roman"/>
        </w:rPr>
        <w:t xml:space="preserve"> For ILS the choice hardly matters: the two differ by at most 2% on all three metrics, and the difference is significant only in two scenarios for overall HV, in opposite directions there. For Memetic the answer depends on the criterion. PR is slightly ahead in final quality: the significant differences are few (2/8 scenarios for overall HV, 3/8 for high-stability HV), but all of them favor PR. In AOC the order reverses, and repair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AOC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in hand before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supply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aligned.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Trajectory-based search was ahead in high-stability HV in every trial of all eight scenarios: in three of them population-based search barely reaches the region at all, and in the remaining five the gap is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and the cross-structure comparison: the operators lift population-based search to the level of trajectory-based search and add little to trajectory-based search itself.</w:t>
      </w:r>
      <w:r>
        <w:rPr>
          <w:rFonts w:ascii="Times New Roman" w:hAnsi="Times New Roman" w:cs="Times New Roman"/>
        </w:rPr>
        <w:t xml:space="preserve"> High-stability HV has a level at which several methods arrive and stop. Population-based search does not reach this level by itself, but with the operators mounted its high-stability HV rises in every trial and attains that level in seven of the eight scenarios. Trajectory-based search, which reaches the level by itself, gains little from the operators; they improve it only in the two scenarios where it falls short of the level on its own. Whether the operators help is thus decided not by the difference between the structures but by whether the structure reaches this level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changes with the criterion emphasized.</w:t>
      </w:r>
      <w:r>
        <w:rPr>
          <w:rFonts w:ascii="Times New Roman" w:hAnsi="Times New Roman" w:cs="Times New Roman"/>
        </w:rPr>
        <w:t xml:space="preserve">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to produce a revised plan with few changes quickly (when efficiency alone matters, the Memetic variants are at least as good). Of the operators mounted on Memetic, PR is slightly ahead in final quality and repair in anytime performance (Section 4.3).</w:t>
      </w:r>
    </w:p>
    <w:p>
      <w:pPr>
        <w:pStyle w:val="a8"/>
        <w:spacing w:line="240" w:lineRule="exact"/>
        <w:jc w:val="both"/>
      </w:pPr>
      <w:r>
        <w:rPr>
          <w:rFonts w:ascii="Times New Roman" w:hAnsi="Times New Roman" w:cs="Times New Roman"/>
        </w:rPr>
        <w:t xml:space="preserve">The central contribution of this study is to establish an evaluation format that judges a rescheduling method by </w:t>
      </w:r>
      <w:r>
        <w:rPr>
          <w:rFonts w:ascii="Times New Roman" w:hAnsi="Times New Roman" w:cs="Times New Roman"/>
          <w:i/>
        </w:rPr>
        <w:t xml:space="preserve">the quality restricted to the high-stability region</w:t>
      </w:r>
      <w:r>
        <w:rPr>
          <w:rFonts w:ascii="Times New Roman" w:hAnsi="Times New Roman" w:cs="Times New Roman"/>
        </w:rPr>
        <w:t xml:space="preserve">, and, on that basis, to show in a controlled comparison with the local search aligned that population-based search, the mainstream choice, does not fill this region fully,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w:t>
      </w:r>
      <w:r>
        <w:rPr>
          <w:rFonts w:ascii="Times New Roman" w:hAnsi="Times New Roman" w:cs="Times New Roman"/>
          <w:i/>
        </w:rPr>
        <w:t xml:space="preserve">operator</w:t>
      </w:r>
      <w:r>
        <w:rPr>
          <w:rFonts w:ascii="Times New Roman" w:hAnsi="Times New Roman" w:cs="Times New Roman"/>
        </w:rPr>
        <w:t xml:space="preserve"> makes up the shortfall. The value of an operator is decided by whether the structure that mounts it already fills this region by itself. A report that an operator is effective cannot be generalized without reference to the structure it was mounted on.</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the quality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the results has not been examined. (v) Each search structure is represented by a single method. In addition to re-verification with these conditions varied, future work includes integration of the scope-limiting approach with the operators, verification of a scheme that builds stability into the crossover itself, and re-verification with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Derrac, J., García, S., Molina, D., and Herrera, F. (2011) A practical tutorial on the use of nonparametric statistical tests as a methodology for comparing evolutionary and swarm intelligence algorithms.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1, 3-18.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Garey, M. R., Johnson, D. S., and Sethi, R. (1976) The complexity of flowshop and jobshop scheduling. </w:t>
      </w:r>
      <w:r>
        <w:rPr>
          <w:rFonts w:ascii="Times New Roman" w:hAnsi="Times New Roman" w:cs="Times New Roman"/>
          <w:i/>
          <w:sz w:val="17"/>
          <w:szCs w:val="17"/>
        </w:rPr>
        <w:t xml:space="preserve">Mathematics of Operations Research</w:t>
      </w:r>
      <w:r>
        <w:rPr>
          <w:rFonts w:ascii="Times New Roman" w:hAnsi="Times New Roman" w:cs="Times New Roman"/>
          <w:sz w:val="17"/>
          <w:szCs w:val="17"/>
        </w:rPr>
        <w:t xml:space="preserve">, 1, 117-129.</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24,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