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a revised schedule must be both efficient (makespan) and stable (little change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search method should therefore also be judged by 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In a controlled comparison with the local search aligned, trajectory-based search (ILS), which transforms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continuously, outperformed population-based search (Memetic), which recombines solutions by crossover, in the hypervolume of the high-stability region in every trial of all eight scenarios. We then mounted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based on path relinking, and repair) on both structures, and their effect was asymmetric. In population-based search, the high-stability hypervolume improved in every trial of every scenario, reaching the level of trajectory-based search in seven of the eight scenarios, and with the operators it ranked first in the quality of the whole trade-off. Trajectory-based search, by contrast, fills this region by itself and had almost no room left for improvement. The best method changes with the evaluation criterion.</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original schedule difficult to execute. Responses fall into two broad classes: static approaches, which build in slack beforehand to raise tolerance, and dynamic approaches, which revise the schedule after a disruption occurs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executing schedule into a feasible one.</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the smallness of the change from the pre-disruption schedule (hereafter,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which we call </w:t>
      </w:r>
      <w:r>
        <w:rPr>
          <w:rFonts w:ascii="Times New Roman" w:hAnsi="Times New Roman" w:cs="Times New Roman"/>
          <w:i/>
        </w:rPr>
        <w:t xml:space="preserve">stability</w:t>
      </w:r>
      <w:r>
        <w:rPr>
          <w:rFonts w:ascii="Times New Roman" w:hAnsi="Times New Roman" w:cs="Times New Roman"/>
        </w:rPr>
        <w:t xml:space="preserve">.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into downstream processes and subcontractors. Stability is therefore an objective on a par with efficiency (Wu et al., 1993; Rangsaritratsamee et al., 2004), and this study formulates the problem as multi-objective optimization of efficiency and stability.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i.e., how much the processing sequence on each machine has been reordered (smaller is more stable).</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 is also good in efficiency, but it absorbs the delay as is, leaving room to shorten MS by resequencing. Where schedule-change costs cannot be ignored, the solution sought lies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a solution that keeps the change small yet still improves efficiency. In this problem, therefore, a method must be evaluated not only by the quality of the whole trade-off but also by </w:t>
      </w:r>
      <w:r>
        <w:rPr>
          <w:rFonts w:ascii="Times New Roman" w:hAnsi="Times New Roman" w:cs="Times New Roman"/>
          <w:i/>
        </w:rPr>
        <w:t xml:space="preserve">how well it fills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job-shop scheduling problem (JSSP) addressed in this study is NP-hard (Garey et al., 1976),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 is the mainstream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transforms that solution little by little, be better suited to filling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We test this in a controlled comparison, with the local search aligned, between iterated local search (ILS), representing trajectory-based search, and Memetic, a GA with local search built in, representing population-based search. In addition, we mount </w:t>
      </w:r>
      <w:r>
        <w:rPr>
          <w:rFonts w:ascii="Times New Roman" w:hAnsi="Times New Roman" w:cs="Times New Roman"/>
          <w:i/>
        </w:rPr>
        <w:t xml:space="preserve">stability-inducing operators</w:t>
      </w:r>
      <w:r>
        <w:rPr>
          <w:rFonts w:ascii="Times New Roman" w:hAnsi="Times New Roman" w:cs="Times New Roman"/>
        </w:rPr>
        <w:t xml:space="preserve"> (hereafter, operators), which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both methods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Trajectory-based search (ILS) fills the high-stability region better than population-based search (Memetic).</w:t>
      </w:r>
      <w:r>
        <w:rPr>
          <w:rFonts w:ascii="Times New Roman" w:hAnsi="Times New Roman" w:cs="Times New Roman"/>
        </w:rPr>
        <w:t xml:space="preserve"> Even with the same local search, population-based search fills it only coarsely and in some scenarios barely reaches it at all.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lift population-based search to the level of trajectory-based search and add little to trajectory-based search itself.</w:t>
      </w:r>
      <w:r>
        <w:rPr>
          <w:rFonts w:ascii="Times New Roman" w:hAnsi="Times New Roman" w:cs="Times New Roman"/>
        </w:rPr>
        <w:t xml:space="preserve"> What the operators fill is the part left unfilled, so trajectory-based search, which fills this region by itself, improves only in the few scenarios where some of it remains unfilled.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changes with the criterion emphasized.</w:t>
      </w:r>
      <w:r>
        <w:rPr>
          <w:rFonts w:ascii="Times New Roman" w:hAnsi="Times New Roman" w:cs="Times New Roman"/>
        </w:rPr>
        <w:t xml:space="preserve"> Operator-equipped Memetic is best in the quality of the whole trade-off, ILS is best in anytime performance (a good solution is available whenever the search is stopped), and the two are level in the quality of the high-stability region.</w:t>
      </w:r>
    </w:p>
    <w:p>
      <w:pPr>
        <w:pStyle w:val="a8"/>
        <w:spacing w:line="240" w:lineRule="exact"/>
        <w:jc w:val="both"/>
      </w:pPr>
      <w:r>
        <w:rPr>
          <w:rFonts w:ascii="Times New Roman" w:hAnsi="Times New Roman" w:cs="Times New Roman"/>
        </w:rPr>
        <w:t xml:space="preserve">Figure 1 shows these findings schematically.</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a performance race against state-of-the-art methods but to isolate the relationship between search structure and operators by posing hypotheses and controlling the conditions.</w:t>
      </w:r>
    </w:p>
    <w:p>
      <w:pPr>
        <w:pStyle w:val="2"/>
        <w:keepNext/>
        <w:keepLines/>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That the former are the majority has been pointed out repeatedly (Rangsaritratsamee et al., 2004; Sun et al., 2026), and the latter, which this study presupposes, divides further into two lineages by how stability is secured.</w:t>
      </w:r>
    </w:p>
    <w:p>
      <w:pPr>
        <w:pStyle w:val="a8"/>
        <w:spacing w:line="240" w:lineRule="exact"/>
        <w:jc w:val="both"/>
      </w:pPr>
      <w:r>
        <w:rPr>
          <w:rFonts w:ascii="Times New Roman" w:hAnsi="Times New Roman" w:cs="Times New Roman"/>
          <w:b/>
        </w:rPr>
        <w:t xml:space="preserve">Lineage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memetic-type method combining a GA with local search, and Zhang et al. (2013) a hybrid of a GA and tabu search; for the flexible JSSP (FJSP), Fattahi and Fallahi (2010) likewise applied a memetic-type method. These three combine efficiency and stability into a single scalar objective through a weight. Under Pareto dominance, Valledor et al. (2022) solve a permutation flow shop with three objectives (makespan, total weighted tardiness, and start-time deviation) by an NSGA-II variant, and Luo et al. (2025) solve a dynamic FJSP with two objectives, efficiency and stability, by a parallel NSGA-II. All treat stability as </w:t>
      </w:r>
      <w:r>
        <w:rPr>
          <w:rFonts w:ascii="Times New Roman" w:hAnsi="Times New Roman" w:cs="Times New Roman"/>
          <w:i/>
        </w:rPr>
        <w:t xml:space="preserve">one term of the objective function</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Lineage that secures stability by restricting the search space (scope-limiting).</w:t>
      </w:r>
      <w:r>
        <w:rPr>
          <w:rFonts w:ascii="Times New Roman" w:hAnsi="Times New Roman" w:cs="Times New Roman"/>
        </w:rPr>
        <w:t xml:space="preserve"> By contrast, Bean et al. (1991) proposed match-up scheduling, which reschedules only up to the point of returning to the original schedule, and Abumaizar and Svestka (1997) proposed AOR, which reschedules only the affected operations. Zakaria and Petrovic (2012) restrict the chromosome to an interval, and Sun et al. (2026) organize the range of operations allowed to be re-optimized into four levels.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Given the two lineages above, three issues remain to our knowledge.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lineages, the search-based methods concentrate on population-based search (Rangsaritratsamee et al., 2004; Fattahi and Fallahi, 2010; Zakaria and Petrovic, 2012; Zhang et al., 2013; Valledor et al., 2022; Luo et al., 2025; Sun et al., 2026). How the rescheduling-specific property that a high-quality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differentiates the two search structures (trajectory-based versus population-based) has not been analyzed by comparing them under identical conditions. </w:t>
      </w:r>
      <w:r>
        <w:rPr>
          <w:rFonts w:ascii="Times New Roman" w:hAnsi="Times New Roman" w:cs="Times New Roman"/>
          <w:i/>
        </w:rPr>
        <w:t xml:space="preserve">Second, no evaluation format reveals that difference.</w:t>
      </w:r>
      <w:r>
        <w:rPr>
          <w:rFonts w:ascii="Times New Roman" w:hAnsi="Times New Roman" w:cs="Times New Roman"/>
        </w:rPr>
        <w:t xml:space="preserve"> Comparisons have taken the form of scalar values at a few weight settings (Rangsaritratsamee et al., 2004; Zhang et al., 2013), an efficiency measure reported alongside stability (Sun et al., 2026), or indicators over the whole Pareto front such as hypervolume (Valledor et al., 2022; Luo et al., 2025); none measures the quality restricted to the high-stability region. </w:t>
      </w:r>
      <w:r>
        <w:rPr>
          <w:rFonts w:ascii="Times New Roman" w:hAnsi="Times New Roman" w:cs="Times New Roman"/>
          <w:i/>
        </w:rPr>
        <w:t xml:space="preserve">Third, there is no means of moving a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w:t>
      </w:r>
      <w:r>
        <w:rPr>
          <w:rFonts w:ascii="Times New Roman" w:hAnsi="Times New Roman" w:cs="Times New Roman"/>
        </w:rPr>
        <w:t xml:space="preserve"> The objective-embedding lineage weaves stability into the </w:t>
      </w:r>
      <w:r>
        <w:rPr>
          <w:rFonts w:ascii="Times New Roman" w:hAnsi="Times New Roman" w:cs="Times New Roman"/>
          <w:i/>
        </w:rPr>
        <w:t xml:space="preserve">evaluation</w:t>
      </w:r>
      <w:r>
        <w:rPr>
          <w:rFonts w:ascii="Times New Roman" w:hAnsi="Times New Roman" w:cs="Times New Roman"/>
        </w:rPr>
        <w:t xml:space="preserve"> of a solution, and the scope-limiting lineage cuts the search </w:t>
      </w:r>
      <w:r>
        <w:rPr>
          <w:rFonts w:ascii="Times New Roman" w:hAnsi="Times New Roman" w:cs="Times New Roman"/>
          <w:i/>
        </w:rPr>
        <w:t xml:space="preserve">space</w:t>
      </w:r>
      <w:r>
        <w:rPr>
          <w:rFonts w:ascii="Times New Roman" w:hAnsi="Times New Roman" w:cs="Times New Roman"/>
        </w:rPr>
        <w:t xml:space="preserve"> to guarantee it structurally (at the price of excluding from the search the efficiency–stability trade-off solutions outside the restriction). Neither has a </w:t>
      </w:r>
      <w:r>
        <w:rPr>
          <w:rFonts w:ascii="Times New Roman" w:hAnsi="Times New Roman" w:cs="Times New Roman"/>
          <w:i/>
        </w:rPr>
        <w:t xml:space="preserve">move</w:t>
      </w:r>
      <w:r>
        <w:rPr>
          <w:rFonts w:ascii="Times New Roman" w:hAnsi="Times New Roman" w:cs="Times New Roman"/>
        </w:rPr>
        <w:t xml:space="preserve"> that brings a solution closer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measures </w:t>
      </w:r>
      <w:r>
        <w:rPr>
          <w:rFonts w:ascii="Times New Roman" w:hAnsi="Times New Roman" w:cs="Times New Roman"/>
          <w:i/>
        </w:rPr>
        <w:t xml:space="preserve">the quality restricted to the high-stability region</w:t>
      </w:r>
      <w:r>
        <w:rPr>
          <w:rFonts w:ascii="Times New Roman" w:hAnsi="Times New Roman" w:cs="Times New Roman"/>
        </w:rPr>
        <w:t xml:space="preserve"> separately from the quality of the whole front (Section 3.4) and poses two hypotheses with it as the response (Figure 1). Trajectory-based search (ILS), which applies continuous transformations starting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fill the high-stability region in small steps while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whereas population-based search (Memetic) advances by creating solutions that recombine the structures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filling of this region should be structurally coarse even with the same local search: </w:t>
      </w:r>
      <w:r>
        <w:rPr>
          <w:rFonts w:ascii="Times New Roman" w:hAnsi="Times New Roman" w:cs="Times New Roman"/>
          <w:i/>
        </w:rPr>
        <w:t xml:space="preserve">H1</w:t>
      </w:r>
      <w:r>
        <w:rPr>
          <w:rFonts w:ascii="Times New Roman" w:hAnsi="Times New Roman" w:cs="Times New Roman"/>
        </w:rPr>
        <w:t xml:space="preserve"> (Figure 1(a)). If H1 holds, what population-based search lacks is the ability to fill the high-stability region. This study supplies it by designing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an operator (Section 3.3). The intermediate solutions on a path that </w:t>
      </w:r>
      <w:r>
        <w:rPr>
          <w:rFonts w:ascii="Times New Roman" w:hAnsi="Times New Roman" w:cs="Times New Roman"/>
          <w:i/>
        </w:rPr>
        <w:t xml:space="preserve">returns individuals scattered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back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from the outside</w:t>
      </w:r>
      <w:r>
        <w:rPr>
          <w:rFonts w:ascii="Times New Roman" w:hAnsi="Times New Roman" w:cs="Times New Roman"/>
        </w:rPr>
        <w:t xml:space="preserve"> should fill this gap and raise the quality of the high-stability region of population-based search to the level that trajectory-based search reaches by itself: </w:t>
      </w:r>
      <w:r>
        <w:rPr>
          <w:rFonts w:ascii="Times New Roman" w:hAnsi="Times New Roman" w:cs="Times New Roman"/>
          <w:i/>
        </w:rPr>
        <w:t xml:space="preserve">H2</w:t>
      </w:r>
      <w:r>
        <w:rPr>
          <w:rFonts w:ascii="Times New Roman" w:hAnsi="Times New Roman" w:cs="Times New Roman"/>
        </w:rPr>
        <w:t xml:space="preserve"> (Figure 1(b)). Whether trajectory-based search, which already fills this region by spreading out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gains anything further is not obvious, so we do not predict the direction of the effect but mount the same operators on both structures and compare the two structures.</w:t>
      </w:r>
    </w:p>
    <w:p>
      <w:pPr>
        <w:pStyle w:val="2"/>
        <w:keepNext/>
        <w:keepLines/>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through the problem formulation (Section 3.1) and the design of the two factors and the responses (Sections 3.2–3.4).</w:t>
      </w:r>
    </w:p>
    <w:p>
      <w:pPr>
        <w:pStyle w:val="2"/>
        <w:keepNext/>
        <w:keepLines/>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solution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an operation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we call this actual schedule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Operations that have started 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are </w:t>
      </w:r>
      <w:r>
        <w:rPr>
          <w:rFonts w:ascii="Times New Roman" w:hAnsi="Times New Roman" w:cs="Times New Roman"/>
          <w:i/>
        </w:rPr>
        <w:t xml:space="preserve">frozen</w:t>
      </w:r>
      <w:r>
        <w:rPr>
          <w:rFonts w:ascii="Times New Roman" w:hAnsi="Times New Roman" w:cs="Times New Roman"/>
        </w:rPr>
        <w:t xml:space="preserve">, and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processing sequences of the target operations, and a solution is evaluated as the semi-active schedule obtained by fixing the frozen part at the front and pushing each operation to its earliest feasible start time at or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Deviation measures fall into two families: (i) start-time deviation and (ii) sequence deviation. Sun et al. (2026), for example, distinguish the two explicitly and adopt the former (the sum of absolute start-time deviations) as their stability measure. This study adopts the latter, because the operations used in the search (the N5 neighborhood and the swap moves of the stability-inducing operators, Sections 3.2–3.3) are all permutation operations and because it is largely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the practical operation of rescheduling once with the weight fixed (Rangsaritratsamee et al., 2004). Consequently, the same experiment yields both the speed in practice, by following the search at each point over time, and the quality of the whole trade-off,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structural comparison limited.</w:t>
      </w:r>
    </w:p>
    <w:p>
      <w:pPr>
        <w:pStyle w:val="2"/>
        <w:keepNext/>
        <w:keepLines/>
        <w:spacing w:before="90" w:after="20" w:line="240" w:lineRule="exact"/>
      </w:pPr>
      <w:r>
        <w:rPr>
          <w:rFonts w:ascii="Times New Roman" w:hAnsi="Times New Roman" w:cs="Times New Roman"/>
          <w:sz w:val="22"/>
          <w:szCs w:val="22"/>
        </w:rPr>
        <w:t xml:space="preserve">3.2 Factor 1: Search Structure — ILS and Memetic (H1)</w:t>
      </w:r>
    </w:p>
    <w:p>
      <w:pPr>
        <w:pStyle w:val="a8"/>
        <w:spacing w:line="240" w:lineRule="exact"/>
        <w:jc w:val="both"/>
      </w:pPr>
      <w:r>
        <w:rPr>
          <w:rFonts w:ascii="Times New Roman" w:hAnsi="Times New Roman" w:cs="Times New Roman"/>
        </w:rPr>
        <w:t xml:space="preserve">To test H1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is a framework that improves a single solution by iterating three steps: perturbing the current solution, improving the perturbed solution by local search, and deciding whether to accept the result. We adopt ILS among trajectory-based methods because it clearly separates intensification (local search) from escape (perturbation). This separation lets </w:t>
      </w:r>
      <w:r>
        <w:rPr>
          <w:rFonts w:ascii="Times New Roman" w:hAnsi="Times New Roman" w:cs="Times New Roman"/>
          <w:i/>
        </w:rPr>
        <w:t xml:space="preserve">the perturbation strength, how far the search moves from the current solution at once, be controlled directly as the number of insert moves</w:t>
      </w:r>
      <w:r>
        <w:rPr>
          <w:rFonts w:ascii="Times New Roman" w:hAnsi="Times New Roman" w:cs="Times New Roman"/>
        </w:rPr>
        <w:t xml:space="preserve">, and lets the stability-inducing operators (Section 3.3) be built in naturally as perturbations.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the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is an insert move whose strength (the number of insert moves) cycles in a sawtooth according to the degree of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H1 is </w:t>
      </w:r>
      <w:r>
        <w:rPr>
          <w:rFonts w:ascii="Times New Roman" w:hAnsi="Times New Roman" w:cs="Times New Roman"/>
          <w:i/>
        </w:rPr>
        <w:t xml:space="preserve">Memetic</w:t>
      </w:r>
      <w:r>
        <w:rPr>
          <w:rFonts w:ascii="Times New Roman" w:hAnsi="Times New Roman" w:cs="Times New Roman"/>
        </w:rPr>
        <w:t xml:space="preserve"> (Neri and Cotta, 2012), a GA with local search integrated into it, which is the standard configuration in prior work.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initial population</w:t>
      </w:r>
      <w:r>
        <w:rPr>
          <w:rFonts w:ascii="Times New Roman" w:hAnsi="Times New Roman" w:cs="Times New Roman"/>
        </w:rPr>
        <w:t xml:space="preserve"> likewise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serves as a reference baseline.</w:t>
      </w:r>
    </w:p>
    <w:p>
      <w:pPr>
        <w:pStyle w:val="2"/>
        <w:keepNext/>
        <w:keepLines/>
        <w:spacing w:before="90" w:after="20" w:line="240" w:lineRule="exact"/>
      </w:pPr>
      <w:r>
        <w:rPr>
          <w:rFonts w:ascii="Times New Roman" w:hAnsi="Times New Roman" w:cs="Times New Roman"/>
          <w:sz w:val="22"/>
          <w:szCs w:val="22"/>
        </w:rPr>
        <w:t xml:space="preserve">3.3 Factor 2: Stability-Inducing Operators — PR and 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the path runs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solution with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is returned.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optimal endpoint of the stability objective, so PR is interpreted uniquely as a move toward that endpoint, and (b) on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that raise stability while limiting the loss in MS can be expected to appear, which directly fills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it gained only about +1% in overall HV while taking about 8 times longer under large disruptions, so we do not adopt it (preliminary experiments).</w:t>
      </w:r>
    </w:p>
    <w:p>
      <w:pPr>
        <w:pStyle w:val="a8"/>
        <w:spacing w:line="240" w:lineRule="exact"/>
        <w:jc w:val="both"/>
      </w:pPr>
      <w:r>
        <w:rPr>
          <w:rFonts w:ascii="Times New Roman" w:hAnsi="Times New Roman" w:cs="Times New Roman"/>
          <w:b/>
        </w:rPr>
        <w:t xml:space="preserve">Stability repair kick (hereafter, repair).</w:t>
      </w:r>
      <w:r>
        <w:rPr>
          <w:rFonts w:ascii="Times New Roman" w:hAnsi="Times New Roman" w:cs="Times New Roman"/>
        </w:rPr>
        <w:t xml:space="preserve"> This operator is PR truncated midway. It applies the same swap move </w:t>
      </w:r>
      <w:r>
        <w:rPr>
          <w:rFonts w:ascii="Times New Roman" w:hAnsi="Times New Roman" w:cs="Times New Roman"/>
          <w:i/>
        </w:rPr>
        <w:t xml:space="preserve">k</w:t>
      </w:r>
      <w:r>
        <w:rPr>
          <w:rFonts w:ascii="Times New Roman" w:hAnsi="Times New Roman" w:cs="Times New Roman"/>
        </w:rPr>
        <w:t xml:space="preserve"> times, for a depth </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to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that is, to "repair" the stability lost by drifting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then re-optimizes the point reached by local search without evaluating the intermediate solutions on the path.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fills the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broadly.</w:t>
      </w:r>
    </w:p>
    <w:p>
      <w:pPr>
        <w:pStyle w:val="a8"/>
        <w:spacing w:line="240" w:lineRule="exact"/>
        <w:jc w:val="both"/>
      </w:pPr>
      <w:r>
        <w:rPr>
          <w:rFonts w:ascii="Times New Roman" w:hAnsi="Times New Roman" w:cs="Times New Roman"/>
          <w:b/>
        </w:rPr>
        <w:t xml:space="preserve">Mounting on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each structure's standard way of building operators in (Table 1). In trajectory-based search (ILS), both operators act as perturbations: they fire upon stagnation, and the repair depth </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into the refinement of each individual: after the local search, the operator is applied to each individual stochastically (the repair depth </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 and each baseline together with its PR and repair versions is referred to as </w:t>
      </w:r>
      <w:r>
        <w:rPr>
          <w:rFonts w:ascii="Times New Roman" w:hAnsi="Times New Roman" w:cs="Times New Roman"/>
          <w:i/>
        </w:rPr>
        <w:t xml:space="preserve">the ILS variants</w:t>
      </w:r>
      <w:r>
        <w:rPr>
          <w:rFonts w:ascii="Times New Roman" w:hAnsi="Times New Roman" w:cs="Times New Roman"/>
        </w:rPr>
        <w:t xml:space="preserve"> and </w:t>
      </w:r>
      <w:r>
        <w:rPr>
          <w:rFonts w:ascii="Times New Roman" w:hAnsi="Times New Roman" w:cs="Times New Roman"/>
          <w:i/>
        </w:rPr>
        <w:t xml:space="preserve">the Memetic variants</w:t>
      </w:r>
      <w:r>
        <w:rPr>
          <w:rFonts w:ascii="Times New Roman" w:hAnsi="Times New Roman" w:cs="Times New Roman"/>
        </w:rPr>
        <w:t xml:space="preserve"> (three methods each).</w:t>
      </w:r>
    </w:p>
    <w:p>
      <w:pPr>
        <w:pStyle w:val="2"/>
        <w:keepNext/>
        <w:keepLines/>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hypervolume (HV) of the Pareto front (Zitzler and Thiele, 1999)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solutions are recorded both immediately after every operation that moves a solution (the perturbation of trajectory-based search, the crossover and mutation of population-based search, and the operators of both) and after the local search. An HV that measures the whole front at once buries the difference in whether the high-stability region is filled. This study therefore measures, in addition to this HV, the quality restricted to this region and anytime performance, the availability of a good solution whenever the search is stopped: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(quality of the whole trade-off): the hypervolume over the whole region.</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(quality of the high-stability region):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Pareto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AOC</w:t>
      </w:r>
      <w:r>
        <w:rPr>
          <w:rFonts w:ascii="Times New Roman" w:hAnsi="Times New Roman" w:cs="Times New Roman"/>
        </w:rPr>
        <w:t xml:space="preserve"> (anytime performance; López-Ibáñez and Stützle, 2014): the time average of the per-weight HV-versus-log-time curve. Because the average is taken over log time, it weights the early rise of a search heavily.</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such as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AOC, conversely, takes </w:t>
      </w:r>
      <w:r>
        <w:rPr>
          <w:rFonts w:ascii="Times New Roman" w:hAnsi="Times New Roman" w:cs="Times New Roman"/>
          <w:i/>
        </w:rPr>
        <w:t xml:space="preserve">the search at each weight as its unit</w:t>
      </w:r>
      <w:r>
        <w:rPr>
          <w:rFonts w:ascii="Times New Roman" w:hAnsi="Times New Roman" w:cs="Times New Roman"/>
        </w:rPr>
        <w:t xml:space="preserve">: the value averaged over wall-clock log-time at each weight is then averaged over all weights for each trial (the time window is common to all methods at each weight).</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(Derrac et al., 2011), and all tests are two-sided.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Hypotheses are posed on high-stability HV alone. H1 is tested by comparing ILS-baseline and Memetic-baseline, which share the local search, and is regarded as supported if ILS is significantly ahead in all eight scenarios. H2 is tested in the same form on the gain of operator-equipped Memetic over Memetic-baseline, and the level the gain reaches is checked by comparison with ILS-baseline. Multiple comparisons are handled by Holm correction, with the same comparison repeated across the eight scenarios forming one family.</w:t>
      </w:r>
    </w:p>
    <w:p>
      <w:pPr>
        <w:pStyle w:val="2"/>
        <w:keepNext/>
        <w:keepLines/>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Repair is omitted because it gives almost the same front as PR in the high-stability region.</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For each instance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keepLines/>
        <w:spacing w:line="240" w:lineRule="exact"/>
        <w:jc w:val="center"/>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GA/Memetic variants: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ILS variants: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Memetic variants: fire with probability 0.3 per individual, and PR returns the best of the top 3 intermediate solutions on the path. ILS variants: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Pareto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H1 and H2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keepNext/>
        <w:keepLines/>
        <w:spacing w:before="90" w:after="20" w:line="240" w:lineRule="exact"/>
      </w:pPr>
      <w:r>
        <w:rPr>
          <w:rFonts w:ascii="Times New Roman" w:hAnsi="Times New Roman" w:cs="Times New Roman"/>
          <w:sz w:val="22"/>
          <w:szCs w:val="22"/>
        </w:rPr>
        <w:t xml:space="preserve">4.2 High-Stability HV: ILS Fills the Region Alone, the Population Fills It with Operators (H1, H2)</w:t>
      </w:r>
    </w:p>
    <w:p>
      <w:pPr>
        <w:pStyle w:val="a8"/>
        <w:spacing w:line="240" w:lineRule="exact"/>
        <w:jc w:val="both"/>
      </w:pPr>
      <w:r>
        <w:rPr>
          <w:rFonts w:ascii="Times New Roman" w:hAnsi="Times New Roman" w:cs="Times New Roman"/>
        </w:rPr>
        <w:t xml:space="preserve">Memetic-baseline fails to fill the region in two ways (Figure 2). (a) In ta21S it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enter the region but is inferior to ILS in MS, and the two are level only at the efficiency end. In either case, once the operators are mounted, the fronts of the two structures overlap in the high-stability region, and in five of the eight scenarios the non-dominated solutions of ILS+PR and Memetic+PR coincide exactly as point sets.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66414"/>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6641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Interaction plot of search structure × stability-inducing operator (high-stability HV; medians and interquartile ranges; n=10). Symbols give the significance level of the two-sided Mann–Whitney U test against the configuration without operators, in the same color as the corresponding line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no correction for multiple comparisons).</w:t>
            </w:r>
          </w:p>
        </w:tc>
      </w:tr>
    </w:tbl>
    <w:p>
      <w:pPr>
        <w:spacing w:line="14" w:lineRule="exact"/>
        <w:rPr>
          <w:sz w:val="2"/>
        </w:rPr>
      </w:pPr>
    </w:p>
    <w:p>
      <w:pPr>
        <w:pStyle w:val="a8"/>
        <w:spacing w:line="240" w:lineRule="exact"/>
        <w:jc w:val="both"/>
      </w:pPr>
      <w:r>
        <w:rPr>
          <w:rFonts w:ascii="Times New Roman" w:hAnsi="Times New Roman" w:cs="Times New Roman"/>
        </w:rPr>
        <w:t xml:space="preserve">We check whether this picture holds in all eight scenarios (Figure 3). The gap between the points without operators corresponds to H1, and the slope of the Memetic line to H2.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fills the region. In the remaining five scenarios, ILS is 2.0–4.5 times higher. Significance survives Holm correction in every scenario, and H1 is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H2: The operators raise the high-stability HV of Memetic in every trial of all eight scenarios and bring it to or above the level of ILS-baseline in seven of the eight.</w:t>
      </w:r>
      <w:r>
        <w:rPr>
          <w:rFonts w:ascii="Times New Roman" w:hAnsi="Times New Roman" w:cs="Times New Roman"/>
        </w:rPr>
        <w:t xml:space="preserve"> The gain is a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three scenarios where Memetic-baseline had almost no solution in the high-stability region, solutions appear, and in the remaining five the high-stability HV becomes 2.1–4.7 times larger. Compared with ILS-baseline, the level reached shows no significant difference in six scenarios (in five of them the medians differ by at most 1%), is 4–5% higher in ta21L, and 5–10% lower in la40 (Holm-adjusted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H2 is supported except for the one scenario that falls short. Whether the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checked by a control experiment in two scenarios (mt10, la36S) that matches the strength and randomizes only the direction: a random direction reproduces only about 70% of the gain, falls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and needs 1.7–2.4 times as long to reach the same level.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Adding the operators to ILS yields almost no gain.</w:t>
      </w:r>
      <w:r>
        <w:rPr>
          <w:rFonts w:ascii="Times New Roman" w:hAnsi="Times New Roman" w:cs="Times New Roman"/>
        </w:rPr>
        <w:t xml:space="preserve"> Operator-equipped ILS exceeds its baseline in only two of the eight scenarios (la36L, ta21L). For both PR and repair,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Even in ta21L the gain is small, the median rising from 0.029 to 0.031 (although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p>
      <w:pPr>
        <w:pStyle w:val="a8"/>
        <w:spacing w:line="240" w:lineRule="exact"/>
        <w:jc w:val="both"/>
      </w:pPr>
      <w:r>
        <w:rPr>
          <w:rFonts w:ascii="Times New Roman" w:hAnsi="Times New Roman" w:cs="Times New Roman"/>
          <w:b/>
        </w:rPr>
        <w:t xml:space="preserve">When the operators help.</w:t>
      </w:r>
      <w:r>
        <w:rPr>
          <w:rFonts w:ascii="Times New Roman" w:hAnsi="Times New Roman" w:cs="Times New Roman"/>
        </w:rPr>
        <w:t xml:space="preserve"> That the same operators act asymmetrically across the structures reflects less a difference between the structures themselves than a difference in whether each structure reaches the attainable level by itself. High-stability HV has a level at which several methods arrive and stop: in every scenario, three to five of the seven methods lie within 2% of the best value (Figure 3). Whether mounted on ILS or on Memetic, the operators raise high-stability HV if the structure has not reached this level, and yield no gain if it has. Because the effect changes with whether the level was reached even within the ILS variants, where the firing design is the same, the asymmetry cannot be explained by the firing design differing between the structures (Table 1).</w:t>
      </w:r>
    </w:p>
    <w:p>
      <w:pPr>
        <w:pStyle w:val="2"/>
        <w:keepNext/>
        <w:keepLines/>
        <w:spacing w:before="90" w:after="20" w:line="240" w:lineRule="exact"/>
      </w:pPr>
      <w:r>
        <w:rPr>
          <w:rFonts w:ascii="Times New Roman" w:hAnsi="Times New Roman" w:cs="Times New Roman"/>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rPr>
        <w:t xml:space="preserve">We first look at the anytime overall-HV curves of two representative scenarios, which show both the level reached and how quickly it is reached (Figure 4).</w:t>
      </w:r>
    </w:p>
    <w:p>
      <w:pPr>
        <w:pStyle w:val="a8"/>
        <w:spacing w:line="240" w:lineRule="exact"/>
        <w:jc w:val="both"/>
      </w:pPr>
      <w:r>
        <w:rPr>
          <w:rFonts w:ascii="Times New Roman" w:hAnsi="Times New Roman" w:cs="Times New Roman"/>
        </w:rPr>
        <w:t xml:space="preserve">In ta21S, operator-equipped Memetic reaches the same level as ILS (1.17), but it takes 6.6–7.8 s to get there against 2.5 s for ILS. In la36L, Memetic overtakes ILS at 7–10 s and climbs to 0.94, whereas ILS levels off at 0.80. The endpoint of the curve and the speed of the ramp-up point to different methods as the best.</w:t>
      </w:r>
    </w:p>
    <w:p>
      <w:pPr>
        <w:keepNext/>
        <w:keepLines/>
        <w:spacing w:line="240" w:lineRule="exact"/>
        <w:jc w:val="center"/>
      </w:pPr>
      <w:r>
        <w:rPr>
          <w:rFonts w:ascii="Times New Roman" w:hAnsi="Times New Roman" w:cs="Times New Roman"/>
        </w:rPr>
        <w:t xml:space="preserve">Table 2: Cross-scenario summary of the three metrics. Each cell gives "average rank / ARPD% (relative deviation from the best method) / number of top-group scenarios out of 8 (scenarios in which the method shows no significant difference from the best method of that scenario; uncorrected)"; the first two are averages over the eight scenarios (lower is better); for the last, higher is better. Because the eight scenarios are not independent of one another (Section 4.1), the cross-scenario ranks are an exploratory summary of rank consistency.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1</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ILS+repair</w:t>
            </w:r>
          </w:p>
        </w:tc>
        <w:tc>
          <w:tcPr>
            <w:tcW w:w="1194" w:type="dxa"/>
            <w:tcBorders/>
          </w:tcPr>
          <w:p>
            <w:pPr>
              <w:keepNext/>
              <w:spacing w:line="180" w:lineRule="exact"/>
            </w:pPr>
            <w:r>
              <w:rPr>
                <w:rFonts w:ascii="Times New Roman" w:hAnsi="Times New Roman" w:cs="Times New Roman"/>
                <w:sz w:val="16"/>
                <w:szCs w:val="16"/>
              </w:rPr>
              <w:t xml:space="preserve">3.56 / 9 / 2</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3</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2</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Memetic+repair</w:t>
            </w:r>
          </w:p>
        </w:tc>
        <w:tc>
          <w:tcPr>
            <w:tcW w:w="1194" w:type="dxa"/>
            <w:tcBorders/>
          </w:tcPr>
          <w:p>
            <w:pPr>
              <w:keepNext/>
              <w:spacing w:line="180" w:lineRule="exact"/>
            </w:pPr>
            <w:r>
              <w:rPr>
                <w:rFonts w:ascii="Times New Roman" w:hAnsi="Times New Roman" w:cs="Times New Roman"/>
                <w:sz w:val="16"/>
                <w:szCs w:val="16"/>
              </w:rPr>
              <w:t xml:space="preserve">2.50 / 1 / 6</w:t>
            </w:r>
          </w:p>
        </w:tc>
        <w:tc>
          <w:tcPr>
            <w:tcW w:w="1194" w:type="dxa"/>
            <w:tcBorders/>
          </w:tcPr>
          <w:p>
            <w:pPr>
              <w:keepNext/>
              <w:spacing w:line="180" w:lineRule="exact"/>
            </w:pPr>
            <w:r>
              <w:rPr>
                <w:rFonts w:ascii="Times New Roman" w:hAnsi="Times New Roman" w:cs="Times New Roman"/>
                <w:sz w:val="16"/>
                <w:szCs w:val="16"/>
              </w:rPr>
              <w:t xml:space="preserve">3.31 / 2 / 6</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level is reached by operator-equipped Memetic, which also occupies the top group in Table 2. As in Section 4.2, the operators lift only Memetic: they raise its overall HV significantly in six of the eight scenarios (+2.8–11.7%), whereas for ILS the change stays within ±0.5% in every scenario. Which structure wins changes with the scenario: in la36S, ta21S, la40, and la21 (hereafter group A) ILS-baseline is significantly ahead of Memetic-baseline, whereas in la36M, la36L, mt10, and ta21L (hereafter group B) Memetic-baseline is ahead instead (in one of the four the difference is not significant). The ILS variants are level with the best only in group A; in group B they fall 5–38% short. The difference in the high-stability region in Section 4.2 is therefore not a reflection of ILS being superior overall. The same split appears in the minimum MS reached over the whole sweep: in group A all methods except GA reach the same value, whereas in la36M, la36L, and mt10 of group B the Memetic variants are 1.2–2.2% lower (significant for all three pairs with matching operators,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in ta21L the gap is within 0.6%).</w:t>
      </w:r>
    </w:p>
    <w:p>
      <w:pPr>
        <w:pStyle w:val="a8"/>
        <w:spacing w:line="240" w:lineRule="exact"/>
        <w:jc w:val="both"/>
      </w:pPr>
      <w:r>
        <w:rPr>
          <w:rFonts w:ascii="Times New Roman" w:hAnsi="Times New Roman" w:cs="Times New Roman"/>
          <w:b/>
        </w:rPr>
        <w:t xml:space="preserve">AOC.</w:t>
      </w:r>
      <w:r>
        <w:rPr>
          <w:rFonts w:ascii="Times New Roman" w:hAnsi="Times New Roman" w:cs="Times New Roman"/>
        </w:rPr>
        <w:t xml:space="preserve"> The three ILS variants are level with the best, lying within 2% of it in six scenarios (Table 2; in the remaining la36S and mt10, Memetic-baseline is best and the ILS variants fall 10–22% short). The fast start of the ILS variants can be attributed to their trajectory, which improves the single good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small steps (Figure 4). The operators do not impair this fast start: in ILS, where they fire only upon stagnation, the three variants stay within 3% of one another in every scenario, with no significant difference. In Memetic, by contrast, they come at a cost: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so each call is expensive, and because it fires per individual it lowers AOC significantly in five of the eight scenarios (by 7–26%).</w:t>
      </w:r>
    </w:p>
    <w:p>
      <w:pPr>
        <w:pStyle w:val="a8"/>
        <w:spacing w:line="240" w:lineRule="exact"/>
        <w:jc w:val="both"/>
      </w:pPr>
      <w:r>
        <w:rPr>
          <w:rFonts w:ascii="Times New Roman" w:hAnsi="Times New Roman" w:cs="Times New Roman"/>
          <w:b/>
        </w:rPr>
        <w:t xml:space="preserve">PR or repair.</w:t>
      </w:r>
      <w:r>
        <w:rPr>
          <w:rFonts w:ascii="Times New Roman" w:hAnsi="Times New Roman" w:cs="Times New Roman"/>
        </w:rPr>
        <w:t xml:space="preserve"> For ILS the choice hardly matters: the two differ by at most 2% on all three metrics, and the difference is significant only in two scenarios for overall HV, in opposite directions there. For Memetic the answer depends on the criterion. PR is slightly ahead in final quality: the significant differences are few (2/8 scenarios for overall HV, 3/8 for high-stability HV), but all of them favor PR. In AOC the order reverses, and repair significantly exceeds PR in 6/8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curves of overall HV, measured on the points visited up to time </w:t>
            </w:r>
            <w:r>
              <w:rPr>
                <w:rFonts w:ascii="Times New Roman" w:hAnsi="Times New Roman" w:cs="Times New Roman"/>
                <w:i/>
              </w:rPr>
              <w:t xml:space="preserve">t</w:t>
            </w:r>
            <w:r>
              <w:rPr>
                <w:rFonts w:ascii="Times New Roman" w:hAnsi="Times New Roman" w:cs="Times New Roman"/>
              </w:rPr>
              <w:t xml:space="preserve"> (medians over trials). AOC is the average of the per-weight curves and does not equal the area under the weight-merged curves shown here.</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In rescheduling,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is in hand before the search begins. With the aim of securing stability by making use of it, this study examined the relationship between search structure and stability-inducing operators through a controlled comparison over 8 scenarios × 7 methods × n=10 trials, with the local search, the objective function, the supply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all aligned.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H1: Trajectory-based search (ILS) fills the high-stability region better than population-based search (Memetic).</w:t>
      </w:r>
      <w:r>
        <w:rPr>
          <w:rFonts w:ascii="Times New Roman" w:hAnsi="Times New Roman" w:cs="Times New Roman"/>
        </w:rPr>
        <w:t xml:space="preserve"> Trajectory-based search was ahead in high-stability HV in every trial of all eight scenarios: in three of them population-based search barely reaches the region at all, and in the remaining five the gap is a factor of 2.0–4.5.</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H2 and the cross-structure comparison: the operators lift population-based search to the level of trajectory-based search and add little to trajectory-based search itself.</w:t>
      </w:r>
      <w:r>
        <w:rPr>
          <w:rFonts w:ascii="Times New Roman" w:hAnsi="Times New Roman" w:cs="Times New Roman"/>
        </w:rPr>
        <w:t xml:space="preserve"> High-stability HV has a level at which several methods arrive and stop. Population-based search does not reach this level by itself, but with the operators mounted its high-stability HV rises in every trial and attains that level in seven of the eight scenarios. Trajectory-based search, which reaches the level by itself, gains little from the operators; they improve it only in the two scenarios where it falls short of the level on its own. Whether the operators help is thus decided not by the difference between the structures but by whether the structure reaches this level by itself.</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changes with the criterion emphasized.</w:t>
      </w:r>
      <w:r>
        <w:rPr>
          <w:rFonts w:ascii="Times New Roman" w:hAnsi="Times New Roman" w:cs="Times New Roman"/>
        </w:rPr>
        <w:t xml:space="preserve"> Memetic with stability-inducing operators excels in the quality of the whole trade-off (overall HV), both ILS and operator-equipped Memetic in the quality of the high-stability region (high-stability HV), and the ILS variants in anytime performance (AOC). Hence one chooses operator-equipped Memetic to pursue the quality of the whole trade-off when computation time is affordable, and ILS to produce a revised plan with few changes quickly (when efficiency alone matters, the Memetic variants are at least as good). Of the operators mounted on Memetic, PR is slightly ahead in final quality and repair in anytime performance (Section 4.3).</w:t>
      </w:r>
    </w:p>
    <w:p>
      <w:pPr>
        <w:pStyle w:val="a8"/>
        <w:spacing w:line="240" w:lineRule="exact"/>
        <w:jc w:val="both"/>
      </w:pPr>
      <w:r>
        <w:rPr>
          <w:rFonts w:ascii="Times New Roman" w:hAnsi="Times New Roman" w:cs="Times New Roman"/>
        </w:rPr>
        <w:t xml:space="preserve">The central contribution of this study is to establish an evaluation format that judges a rescheduling method by </w:t>
      </w:r>
      <w:r>
        <w:rPr>
          <w:rFonts w:ascii="Times New Roman" w:hAnsi="Times New Roman" w:cs="Times New Roman"/>
          <w:i/>
        </w:rPr>
        <w:t xml:space="preserve">the quality restricted to the high-stability region</w:t>
      </w:r>
      <w:r>
        <w:rPr>
          <w:rFonts w:ascii="Times New Roman" w:hAnsi="Times New Roman" w:cs="Times New Roman"/>
        </w:rPr>
        <w:t xml:space="preserve">, and, on that basis, to show in a controlled comparison with the local search aligned that population-based search, the mainstream choice, does not fill this region fully, and that supplying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an </w:t>
      </w:r>
      <w:r>
        <w:rPr>
          <w:rFonts w:ascii="Times New Roman" w:hAnsi="Times New Roman" w:cs="Times New Roman"/>
          <w:i/>
        </w:rPr>
        <w:t xml:space="preserve">operator</w:t>
      </w:r>
      <w:r>
        <w:rPr>
          <w:rFonts w:ascii="Times New Roman" w:hAnsi="Times New Roman" w:cs="Times New Roman"/>
        </w:rPr>
        <w:t xml:space="preserve"> makes up the shortfall. The value of an operator is decided by whether the structure that mounts it already fills this region by itself. A report that an operator is effective cannot be generalized without reference to the structure it was mounted on.</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Comparisons whose </w:t>
      </w:r>
      <w:r>
        <w:rPr>
          <w:rFonts w:ascii="Times New Roman" w:hAnsi="Times New Roman" w:cs="Times New Roman"/>
          <w:i/>
        </w:rPr>
        <w:t xml:space="preserve">p</w:t>
      </w:r>
      <w:r>
        <w:rPr>
          <w:rFonts w:ascii="Times New Roman" w:hAnsi="Times New Roman" w:cs="Times New Roman"/>
        </w:rPr>
        <w:t xml:space="preserve"> lies at the edge of the significance level are not settled at n=10. (ii) Validity under start-time deviation has not been examined. (iii) The disruptions are limited to operation delays. (iv) The effect of the quality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the results has not been examined. (v) Each search structure is represented by a single method. In addition to re-verification with these conditions varied, future work includes integration of the scope-limiting approach with the operators, verification of a scheme that builds stability into the crossover itself, and re-verification with Pareto-native methods such as NSGA-II.</w:t>
      </w:r>
    </w:p>
    <w:p>
      <w:pPr>
        <w:pStyle w:val="2"/>
        <w:keepNext/>
        <w:keepLines/>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Derrac, J., García, S., Molina, D., and Herrera, F. (2011) A practical tutorial on the use of nonparametric statistical tests as a methodology for comparing evolutionary and swarm intelligence algorithms.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1, 3-18.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Garey, M. R., Johnson, D. S., and Sethi, R. (1976) The complexity of flowshop and jobshop scheduling. </w:t>
      </w:r>
      <w:r>
        <w:rPr>
          <w:rFonts w:ascii="Times New Roman" w:hAnsi="Times New Roman" w:cs="Times New Roman"/>
          <w:i/>
          <w:sz w:val="17"/>
          <w:szCs w:val="17"/>
        </w:rPr>
        <w:t xml:space="preserve">Mathematics of Operations Research</w:t>
      </w:r>
      <w:r>
        <w:rPr>
          <w:rFonts w:ascii="Times New Roman" w:hAnsi="Times New Roman" w:cs="Times New Roman"/>
          <w:sz w:val="17"/>
          <w:szCs w:val="17"/>
        </w:rPr>
        <w:t xml:space="preserve">, 1, 117-129.</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Luo, J., El Baz, D., Xue, R., Hu, J., and Shi, L. (2025) A fully parallel multi-objective genetic algorithm for optimization of flexible shop floor production performance and schedule stability under dynamic environments. </w:t>
      </w:r>
      <w:r>
        <w:rPr>
          <w:rFonts w:ascii="Times New Roman" w:hAnsi="Times New Roman" w:cs="Times New Roman"/>
          <w:i/>
          <w:sz w:val="17"/>
          <w:szCs w:val="17"/>
        </w:rPr>
        <w:t xml:space="preserve">Annals of Operations Research</w:t>
      </w:r>
      <w:r>
        <w:rPr>
          <w:rFonts w:ascii="Times New Roman" w:hAnsi="Times New Roman" w:cs="Times New Roman"/>
          <w:sz w:val="17"/>
          <w:szCs w:val="17"/>
        </w:rPr>
        <w:t xml:space="preserve">, 351, 489-524.</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24,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Valledor, P., Gómez, A., Puente, J., and Fernández, I. (2022) Solving rescheduling problems in dynamic permutation flow shop environments with multiple objectives using the hybrid dynamic non-dominated sorting genetic II algorithm. </w:t>
      </w:r>
      <w:r>
        <w:rPr>
          <w:rFonts w:ascii="Times New Roman" w:hAnsi="Times New Roman" w:cs="Times New Roman"/>
          <w:i/>
          <w:sz w:val="17"/>
          <w:szCs w:val="17"/>
        </w:rPr>
        <w:t xml:space="preserve">Mathematics</w:t>
      </w:r>
      <w:r>
        <w:rPr>
          <w:rFonts w:ascii="Times New Roman" w:hAnsi="Times New Roman" w:cs="Times New Roman"/>
          <w:sz w:val="17"/>
          <w:szCs w:val="17"/>
        </w:rPr>
        <w:t xml:space="preserve">, 10, 2395.</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