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bundle the two objectives into one weighted-sum scalar (Rangsaritratsamee et al., 2004; Katragjini et al., 2013), where stability enters not as an independent mechanism but passively, as a single evaluation term of the objective.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PR/repair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Since P50 is pooled over the compared methods, we swept it over P25–P75: the comparisons behind H1 and H2 never reverse at any threshold (H2's population-side gains hold at </w:t>
      </w:r>
      <w:r>
        <w:rPr>
          <w:rFonts w:ascii="Times New Roman" w:hAnsi="Times New Roman" w:cs="Times New Roman"/>
          <w:i/>
        </w:rPr>
        <w:t xml:space="preserve">p</w:t>
      </w:r>
      <w:r>
        <w:rPr>
          <w:rFonts w:ascii="Times New Roman" w:hAnsi="Times New Roman" w:cs="Times New Roman"/>
        </w:rPr>
        <w:t xml:space="preserve">=0.001 throughout; H1's complete separation holds over P33–P67 and only weakens—without reversing—at the extremes).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and H2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