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a revised schedule must be both efficient (makespan) and stable (little change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search method should therefore also be judged by 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In a controlled comparison with the local search aligned, trajectory-based search (ILS), which transforms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continuously, outperformed population-based search (Memetic), which recombines solutions by crossover, in the hypervolume of the high-stability region in every trial of all eight scenarios. We then mounted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based on path relinking, and repair) on both structures, and the effect was asymmetric. For population-based search, the high-stability hypervolume improved in every trial of every scenario and matched trajectory-based search in seven of the eight scenarios, and population-based search ranked first in the quality of the whole trade-off, whereas trajectory-based search, which fills this region by itself, had almost no room left for improvement. The best method changes with the evaluation criterion.</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are either static, building in slack beforehand to raise tolerance, or dynamic, revising the schedule after the disruption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executing schedule into a feasible one.</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the smallness of the change from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which we call </w:t>
      </w:r>
      <w:r>
        <w:rPr>
          <w:rFonts w:ascii="Times New Roman" w:hAnsi="Times New Roman" w:cs="Times New Roman"/>
          <w:i/>
        </w:rPr>
        <w:t xml:space="preserve">stability</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into downstream processes and subcontractors. Stability is therefore an objective on a par with efficiency (Wu et al., 1993; Rangsaritratsamee et al., 2004), and this study formulates the problem as </w:t>
      </w:r>
      <w:r>
        <w:rPr>
          <w:rFonts w:ascii="Times New Roman" w:hAnsi="Times New Roman" w:cs="Times New Roman"/>
          <w:i/>
        </w:rPr>
        <w:t xml:space="preserve">multi-objective optimization of efficiency and stability</w:t>
      </w:r>
      <w:r>
        <w:rPr>
          <w:rFonts w:ascii="Times New Roman" w:hAnsi="Times New Roman" w:cs="Times New Roman"/>
        </w:rPr>
        <w:t xml:space="preserve">.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 definitions in Section 3.1).</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what is sought is a solution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one that keeps the change small yet improves efficiency.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w:t>
      </w:r>
      <w:r>
        <w:rPr>
          <w:rFonts w:ascii="Times New Roman" w:hAnsi="Times New Roman" w:cs="Times New Roman"/>
          <w:i/>
        </w:rPr>
        <w:t xml:space="preserve">job-shop scheduling problem (JSSP)</w:t>
      </w:r>
      <w:r>
        <w:rPr>
          <w:rFonts w:ascii="Times New Roman" w:hAnsi="Times New Roman" w:cs="Times New Roman"/>
        </w:rPr>
        <w:t xml:space="preserve"> addressed in this study is NP-hard (Garey et al., 1976),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 is the mainstream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little by little,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We test this in a controlled comparison, with the local search aligned, between iterated local search (ILS), representing trajectory-based search, and Memetic, a GA with local search built in, representing population-based search. In addition, we mount </w:t>
      </w:r>
      <w:r>
        <w:rPr>
          <w:rFonts w:ascii="Times New Roman" w:hAnsi="Times New Roman" w:cs="Times New Roman"/>
          <w:i/>
        </w:rPr>
        <w:t xml:space="preserve">stability-inducing operators</w:t>
      </w:r>
      <w:r>
        <w:rPr>
          <w:rFonts w:ascii="Times New Roman" w:hAnsi="Times New Roman" w:cs="Times New Roman"/>
        </w:rPr>
        <w:t xml:space="preserve"> (hereafter, operators), which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both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What the operators fill is the part left unfilled, so trajectory-based search, which fills this region by itself, improves only in the few scenarios where some of it remains unfilled.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changes with the criterion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sketches these findings on the same (</w:t>
      </w:r>
      <w:r>
        <w:rPr>
          <w:rFonts w:ascii="Times New Roman" w:hAnsi="Times New Roman" w:cs="Times New Roman"/>
          <w:i/>
        </w:rPr>
        <w:t xml:space="preserve">D</w:t>
      </w:r>
      <w:r>
        <w:rPr>
          <w:rFonts w:ascii="Times New Roman" w:hAnsi="Times New Roman" w:cs="Times New Roman"/>
        </w:rPr>
        <w:t xml:space="preserve">, MS) plane.</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 The horizontal axis is the 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vertical axis is the makespan MS, the same coordinates as in the result figures (★: the right-shift solution that keeps the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boundary of the high-stability region is defined in Section 3.4). (a) Without operators; (b) with a stability-inducing operator mounted on the population-based side.</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That the former are the majority has been pointed out repeatedly (Rangsaritratsamee et al., 2004; Sun et al., 2026). This study presupposes the latter, and that lineage divides further into two by how stability is secured. Under this organization, this section surveys prior work and derives two hypotheses from the remaining issues.</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memetic-type method combining a GA with local search, and Zhang et al. (2013) a hybrid of a GA and tabu search; for the flexible JSSP (FJSP), Fattahi and Fallahi (2010) likewise applied a memetic-type method. All treat stability as </w:t>
      </w:r>
      <w:r>
        <w:rPr>
          <w:rFonts w:ascii="Times New Roman" w:hAnsi="Times New Roman" w:cs="Times New Roman"/>
          <w:i/>
        </w:rPr>
        <w:t xml:space="preserve">one term of the objective function</w:t>
      </w:r>
      <w:r>
        <w:rPr>
          <w:rFonts w:ascii="Times New Roman" w:hAnsi="Times New Roman" w:cs="Times New Roman"/>
        </w:rPr>
        <w:t xml:space="preserve"> and balance it against efficiency through a weight.</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Another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which reschedules only up to the point of returning to the original schedule (Bean et al., 1991); AOR, which reschedules only the affected operations (Abumaizar and Svestka, 1997); Zakaria and Petrovic (2012), who restrict the chromosome to an interval; and Sun et al. (2026), who organize the range of operations allowed to be re-optimized into four levels, from right-shift only to full re-optimization.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Given the two lineages above, three issues remain to our knowledge.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concentrate on population-based search (Rangsaritratsamee et al., 2004; Fattahi and Fallahi, 2010; Zakaria and Petrovic, 2012; Zhang et al., 2013; Sun et al., 2026), and how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differentiates the search structures (trajectory-based versus population-based) has not been analyzed by comparing the two under identical conditions. </w:t>
      </w:r>
      <w:r>
        <w:rPr>
          <w:rFonts w:ascii="Times New Roman" w:hAnsi="Times New Roman" w:cs="Times New Roman"/>
          <w:i/>
        </w:rPr>
        <w:t xml:space="preserve">Second, no evaluation format reveals that difference.</w:t>
      </w:r>
      <w:r>
        <w:rPr>
          <w:rFonts w:ascii="Times New Roman" w:hAnsi="Times New Roman" w:cs="Times New Roman"/>
        </w:rPr>
        <w:t xml:space="preserve"> The difference between search structures shows up in how well the solution set a method reaches fills the high-stability region. Comparisons, however, have taken the form of scalar values at a few weight settings (Rangsaritratsamee et al., 2004; Zhang et al., 2013) or an efficiency measure reported alongside stability (Sun et al., 2026); each gives only a few points per method and cannot measure how the region is filled. </w:t>
      </w:r>
      <w:r>
        <w:rPr>
          <w:rFonts w:ascii="Times New Roman" w:hAnsi="Times New Roman" w:cs="Times New Roman"/>
          <w:i/>
        </w:rPr>
        <w:t xml:space="preserve">Third, there is no means of supplying stability as a move.</w:t>
      </w:r>
      <w:r>
        <w:rPr>
          <w:rFonts w:ascii="Times New Roman" w:hAnsi="Times New Roman" w:cs="Times New Roman"/>
        </w:rPr>
        <w:t xml:space="preserve"> The objective-embedding lineage weaves stability into the evaluation of a solution, and the scope-limiting lineage cuts the search space to guarantee stability structurally, at the price of excluding from the search the efficiency–stability trade-off solutions outside the restriction. Neither has a move that shifts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while keeping the space intact.</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restricted to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continuous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filling of this region should be structurally coarse even with the same local search: </w:t>
      </w:r>
      <w:r>
        <w:rPr>
          <w:rFonts w:ascii="Times New Roman" w:hAnsi="Times New Roman" w:cs="Times New Roman"/>
          <w:i/>
        </w:rPr>
        <w:t xml:space="preserve">H1</w:t>
      </w:r>
      <w:r>
        <w:rPr>
          <w:rFonts w:ascii="Times New Roman" w:hAnsi="Times New Roman" w:cs="Times New Roman"/>
        </w:rPr>
        <w:t xml:space="preserve"> (Figure 1(a)). If H1 holds, what population-based search lacks is the ability to fill the high-stability region. This study designs the move that supplies it as an operator (Section 3.3). The intermediate solutions on a path that </w:t>
      </w:r>
      <w:r>
        <w:rPr>
          <w:rFonts w:ascii="Times New Roman" w:hAnsi="Times New Roman" w:cs="Times New Roman"/>
          <w:i/>
        </w:rPr>
        <w:t xml:space="preserve">returns individuals scattered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H2</w:t>
      </w:r>
      <w:r>
        <w:rPr>
          <w:rFonts w:ascii="Times New Roman" w:hAnsi="Times New Roman" w:cs="Times New Roman"/>
        </w:rPr>
        <w:t xml:space="preserv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mount the identical operators on both structures and compare them.</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the problem and the objective function (Section 3.1); factor 1, the search structure (ILS and Memetic with the local search aligned), which tests H1 (Section 3.2); factor 2, the stability-inducing operators mounted on both structures, which serves H2 and the cross-structure comparison (Section 3.3); and the responses, a framework of three metrics (Section 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operations used in the search (the N5 neighborhood and the swap moves of the stability-inducing operators, Sections 3.2–3.3) are all permutation operations and because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one experiment yields both the speed in practice (by following each point's search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structural comparison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improves a single solution by iterating a perturbation of the current solution, a local search from the perturbed solution, and an acceptance decision on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is an insert move whose strength (the number of insert moves) cycles in a sawtooth according to the degree of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the configuration standard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initial population</w:t>
      </w:r>
      <w:r>
        <w:rPr>
          <w:rFonts w:ascii="Times New Roman" w:hAnsi="Times New Roman" w:cs="Times New Roman"/>
        </w:rPr>
        <w:t xml:space="preserve"> likewise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is interpreted uniquely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which directly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it gained only about +1% in overall HV while taking about 8 times longer under large disruptions, so we do not adopt it (preliminary experiments).</w:t>
      </w:r>
    </w:p>
    <w:p>
      <w:pPr>
        <w:pStyle w:val="a8"/>
        <w:spacing w:line="240" w:lineRule="exact"/>
        <w:jc w:val="both"/>
      </w:pPr>
      <w:r>
        <w:rPr>
          <w:rFonts w:ascii="Times New Roman" w:hAnsi="Times New Roman" w:cs="Times New Roman"/>
          <w:b/>
        </w:rPr>
        <w:t xml:space="preserve">Stability repair kick (hereafter, repair).</w:t>
      </w:r>
      <w:r>
        <w:rPr>
          <w:rFonts w:ascii="Times New Roman" w:hAnsi="Times New Roman" w:cs="Times New Roman"/>
        </w:rPr>
        <w:t xml:space="preserve"> This operator is PR truncated midway. It applies the same swap move only </w:t>
      </w:r>
      <w:r>
        <w:rPr>
          <w:rFonts w:ascii="Times New Roman" w:hAnsi="Times New Roman" w:cs="Times New Roman"/>
          <w:i/>
        </w:rPr>
        <w:t xml:space="preserve">k</w:t>
      </w:r>
      <w:r>
        <w:rPr>
          <w:rFonts w:ascii="Times New Roman" w:hAnsi="Times New Roman" w:cs="Times New Roman"/>
        </w:rPr>
        <w:t xml:space="preserve"> times, for a depth </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to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(that is, to "repair" the stability lost by drifting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without evaluating the intermediate solutions on the path, re-optimizes the point reached by local search.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Mounting on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each structure's standard way of building operators in (Table 1). In trajectory-based search (ILS), both operators act as perturbations: they fire upon stagnation, and the repair depth </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repair depth </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repair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operation that moves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restricted to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overall-HV-versus-log-time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AOC, conversely, takes </w:t>
      </w:r>
      <w:r>
        <w:rPr>
          <w:rFonts w:ascii="Times New Roman" w:hAnsi="Times New Roman" w:cs="Times New Roman"/>
          <w:i/>
        </w:rPr>
        <w:t xml:space="preserve">the search at each weight as its unit</w:t>
      </w:r>
      <w:r>
        <w:rPr>
          <w:rFonts w:ascii="Times New Roman" w:hAnsi="Times New Roman" w:cs="Times New Roman"/>
        </w:rPr>
        <w:t xml:space="preserve">: HV(</w:t>
      </w:r>
      <w:r>
        <w:rPr>
          <w:rFonts w:ascii="Times New Roman" w:hAnsi="Times New Roman" w:cs="Times New Roman"/>
          <w:i/>
        </w:rPr>
        <w:t xml:space="preserve">t</w:t>
      </w:r>
      <w:r>
        <w:rPr>
          <w:rFonts w:ascii="Times New Roman" w:hAnsi="Times New Roman" w:cs="Times New Roman"/>
        </w:rPr>
        <w:t xml:space="preserve">) of each weight and each trial is averaged over wall-clock log-time (the time window is common to all methods for each weight), and the resulting values are averaged over all weights for each trial.</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(Derrac et al., 2011),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 and as the relative deviation from the best method, ARPD% (</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rPr>
        <w:t xml:space="preserve">, lower is better).</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H1 is tested by comparing the high-stability HV of ILS-baseline and Memetic-baseline, which share the local search, and is regarded as supported if ILS is significantly ahead in all eight scenarios. H2 is tested in the same form on the gain in high-stability HV of operator-equipped Memetic over Memetic-baseline, and the level the gain reaches is checked by comparison with ILS-baseline. For the corresponding comparison on the trajectory side (ILS-baseline versus operator-equipped ILS), we do not predict the direction of the effect in advance, and contrast it as a difference from the population side in how the operators act. Multiple comparisons are handled by Holm correction, with the same comparison repeated across the eight scenarios forming one family. Neither hypothesis places a directional prediction on overall HV or AOC; these are reported as comparisons among methods.</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 H1 and H2 are tested on high-stability HV (Section 4.2), and overall HV and AOC are compared next (Section 4.3).</w:t>
      </w: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Region: ILS Fills It Alone, the Population Fills It with Operators (H1, H2)</w:t>
      </w:r>
    </w:p>
    <w:p>
      <w:pPr>
        <w:pStyle w:val="a8"/>
        <w:spacing w:line="240" w:lineRule="exact"/>
        <w:jc w:val="both"/>
      </w:pPr>
      <w:r>
        <w:rPr>
          <w:rFonts w:ascii="Times New Roman" w:hAnsi="Times New Roman" w:cs="Times New Roman"/>
        </w:rPr>
        <w:t xml:space="preserve">The way Memetic-baseline fails to fill the region takes two forms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form, once the operators are mounted, the fronts of the two structures overlap in the high-stability region, and in five of the eight scenarios the non-dominated solutions of ILS+PR and Memetic+PR coincide exactly as point sets.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The coordinates are the same as in Figure 1; color and marker denote the search structure and line style the operator (common to Figures 3 and 4). Repair is omitted because it gives almost the same front as PR in the high-stability region.</w:t>
            </w:r>
          </w:p>
        </w:tc>
      </w:tr>
    </w:tbl>
    <w:p>
      <w:pPr>
        <w:spacing w:line="14" w:lineRule="exact"/>
        <w:rPr>
          <w:sz w:val="2"/>
        </w:rPr>
      </w:pPr>
    </w:p>
    <w:p>
      <w:pPr>
        <w:pStyle w:val="a8"/>
        <w:spacing w:line="240" w:lineRule="exact"/>
        <w:jc w:val="both"/>
      </w:pPr>
      <w:r>
        <w:rPr>
          <w:rFonts w:ascii="Times New Roman" w:hAnsi="Times New Roman" w:cs="Times New Roman"/>
        </w:rPr>
        <w:t xml:space="preserve">We check with high-stability HV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high-stability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the level of ILS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The level reached matches that of ILS-baseline in seven scenarios: in six there is no significant difference (in five of them the medians differ by at most 1%), and in ta21L it is significantly higher, by 4–5%. Only la40 falls short, and even there the shortfall is only 5–10%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for this one scenario.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checked by a control experiment in two scenarios (mt10, la36S) that matches the strength and randomizes only the direction: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repair,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The asymmetry in the effect of the same operators is less a difference between the structures themselves than a difference in whether the structure reaches the attainable level by itself. High-stability HV has a level at which several methods arrive and stop: in every scenario, three to five of the seven methods lie within 2% of the best value (Figure 3). Whether mounted on ILS or on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rPr>
        <w:t xml:space="preserve">The anytime overall-HV curves of two representative scenarios show the level reached and the speed of reaching it at once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all eight scenarios; n=10). Symbols give the significance level of the two-sided Mann–Whitney U test against the configuration without operators, in the same color as the corresponding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keepNext/>
        <w:keepLines/>
        <w:spacing w:line="240" w:lineRule="exact"/>
        <w:jc w:val="center"/>
      </w:pPr>
      <w:r>
        <w:rPr>
          <w:rFonts w:ascii="Times New Roman" w:hAnsi="Times New Roman" w:cs="Times New Roman"/>
        </w:rPr>
        <w:t xml:space="preserve">Table 2: Cross-scenario summary of the three metrics. Each cell gives "Friedman average rank / ARPD% (relative deviation from the best method of each scenario, averaged over the eight scenarios) / number of top-group scenarios (scenarios with no significant difference from the best method of that scenario, out of 8; two-sided Mann–Whitney U, uncorrected)"; lower is better for the first two and higher for the last. The Friedman test gives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0.0001 for all three metrics, and Kendall's </w:t>
      </w:r>
      <w:r>
        <w:rPr>
          <w:rFonts w:ascii="Times New Roman" w:hAnsi="Times New Roman" w:cs="Times New Roman"/>
          <w:i/>
        </w:rPr>
        <w:t xml:space="preserve">W</w:t>
      </w:r>
      <w:r>
        <w:rPr>
          <w:rFonts w:ascii="Times New Roman" w:hAnsi="Times New Roman" w:cs="Times New Roman"/>
        </w:rPr>
        <w:t xml:space="preserve"> is 0.59, 0.81, and 0.63 in column order.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ILS+repair</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Memetic+repair</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The level of the ILS variants depends on the scenario: in four scenarios (la36S, ta21S, la40, la21) they are level with the best, but in the remaining four they fall 5–38% short. Between the two methods without operators the winner switches as well: ILS-baseline is significantly ahead in the four scenarios where the ILS variants are level with the best, and Memetic-baseline in the other four (in one of which the difference is not significant). The difference in the high-stability region in Section 4.2 is therefore not a reflection of ILS being superior overall. The way the operators act divides here in the same direction as in Section 4.2: they raise the overall HV of Memetic significantly in six of the eight scenarios (+2.8–11.7%; in the remaining two Memetic already exceeds ILS without operators), whereas for ILS the change stays within ±0.5% in every scenario, including the three in which the overall HV of ILS is 15–38% below the best. The minimum MS reached over the whole sweep shows the same picture: in the four scenarios where the ILS variants are level with the best, all methods except GA coincide, and in the other four the Memetic variants are lower (by 1.2–2.2% in three of them,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The operators have no effect on this minimum.</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within 2% of the best in six scenarios (Table 2). In the remaining la36S and mt10, Memetic-baseline is best and the ILS variants fall 10–22% short. Because AOC weights the early phase heavily on the log-time scale, it strongly reflects the speed of ILS, which receives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its initial solution (Figure 4). The operators act asymmetrically here too, but in the opposite direction, as a cost to Memetic.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before returning, so each call is expensive, and in Memetic, where it fires on every individual, it lowers AOC significantly in five of the eight scenarios (by 7–26%). In ILS, where the operators fire only upon stagnation, the three variants stay within 3% of one another in every scenario, with no significant difference.</w:t>
      </w:r>
    </w:p>
    <w:p>
      <w:pPr>
        <w:pStyle w:val="a8"/>
        <w:spacing w:line="240" w:lineRule="exact"/>
        <w:jc w:val="both"/>
      </w:pPr>
      <w:r>
        <w:rPr>
          <w:rFonts w:ascii="Times New Roman" w:hAnsi="Times New Roman" w:cs="Times New Roman"/>
          <w:b/>
        </w:rPr>
        <w:t xml:space="preserve">PR or repair.</w:t>
      </w:r>
      <w:r>
        <w:rPr>
          <w:rFonts w:ascii="Times New Roman" w:hAnsi="Times New Roman" w:cs="Times New Roman"/>
        </w:rPr>
        <w:t xml:space="preserve"> For ILS the choice hardly matters: the two differ by at most 2% on all three metrics, and the difference is significant only in two scenarios for overall HV, in opposite directions there. For Memetic the answer depends on the criterion. PR is slightly ahead in final quality: the significant differences are few (2/8 scenarios for overall HV, 3/8 for high-stability HV), but all of them favor PR. In AOC the order reverses, and repair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overall-HV curves (two representative scenarios; medians over trials). The horizontal axis is the elapsed time of each run, and the vertical axis is the overall HV of the merged points visited by the runs of the 10 weights up to time </w:t>
            </w:r>
            <w:r>
              <w:rPr>
                <w:rFonts w:ascii="Times New Roman" w:hAnsi="Times New Roman" w:cs="Times New Roman"/>
                <w:i/>
              </w:rPr>
              <w:t xml:space="preserve">t</w:t>
            </w:r>
            <w:r>
              <w:rPr>
                <w:rFonts w:ascii="Times New Roman" w:hAnsi="Times New Roman" w:cs="Times New Roman"/>
              </w:rPr>
              <w:t xml:space="preserve">; the endpoint corresponds to the overall HV of Section 4.3. AOC is the log-time average of the curve of each weight, then averaged over all weights, so it is not the area in this figure itself, but it can be read as the difference in ramp-up. The plotted range is cut off at the time by which all methods have reached 99.5% of their final values (all curves are flat thereafter).</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in hand before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supply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aligned.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at which several methods arrive and stop. Population-based search does not reach this level by itself, but with the operators mounted its high-stability HV rises in every trial and attains that level in seven of the eight scenarios. Trajectory-based search, which reaches the level by itself, gains little from the operators; they improve it only in the two scenarios where it falls short of the level on its own. Whether the operators help thus divides not along the difference between the structures but along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changes with the criterion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to produce a revised plan with few changes quickly (when efficiency alone matters, the Memetic variants are at least as good). Of the operators mounted on Memetic, PR is slightly ahead in final quality and repair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format that judges a rescheduling method by </w:t>
      </w:r>
      <w:r>
        <w:rPr>
          <w:rFonts w:ascii="Times New Roman" w:hAnsi="Times New Roman" w:cs="Times New Roman"/>
          <w:i/>
        </w:rPr>
        <w:t xml:space="preserve">the quality restricted to the high-stability region</w:t>
      </w:r>
      <w:r>
        <w:rPr>
          <w:rFonts w:ascii="Times New Roman" w:hAnsi="Times New Roman" w:cs="Times New Roman"/>
        </w:rPr>
        <w:t xml:space="preserve">, and, on that basis, to show in a controlled comparison with the local search aligned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that mounts it already fills this region by itself. A report that an operator is effective cannot be generalized without reference to the structure it was mounted on.</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The results rest on n=10 (the main conclusions, which show complete separation, are robust; borderline cases are another matter). (ii) Stability is measured only by sequence deviation, and validity under start-time deviation is unverified (Section 3.1). (iii) The disruptions are limited to operation delays, which preserve the operation set. Under disruptions that change the operation set itself, such as rush-job insertion,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ceases to be a complete reference solution and the very definition of stability (Eq. (1)) changes. (iv) Each scenario has a single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effect of its quality on the results has not been examined. (v) Each search structure is represented by a single method (trajectory-based = ILS, population-based = Memetic, with PPX as the sole crossover).</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Directions include re-verification with the conditions of (ii), (iii), and (v) above varied; integration of the scope-limiting approach with the operators (using them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that restricts recombination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direct test of the explanation behind H1); and re-verification with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Derrac, J., García, S., Molina, D., and Herrera, F. (2011) A practical tutorial on the use of nonparametric statistical tests as a methodology for comparing evolutionary and swarm intelligence algorithms.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1, 3-18.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Garey, M. R., Johnson, D. S., and Sethi, R. (1976) The complexity of flowshop and jobshop scheduling. </w:t>
      </w:r>
      <w:r>
        <w:rPr>
          <w:rFonts w:ascii="Times New Roman" w:hAnsi="Times New Roman" w:cs="Times New Roman"/>
          <w:i/>
          <w:sz w:val="17"/>
          <w:szCs w:val="17"/>
        </w:rPr>
        <w:t xml:space="preserve">Mathematics of Operations Research</w:t>
      </w:r>
      <w:r>
        <w:rPr>
          <w:rFonts w:ascii="Times New Roman" w:hAnsi="Times New Roman" w:cs="Times New Roman"/>
          <w:sz w:val="17"/>
          <w:szCs w:val="17"/>
        </w:rPr>
        <w:t xml:space="preserve">, 1, 117-129.</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24,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