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Among the static (built-in tolerance) and dynamic (after-the-fact revision) responses, 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Alongside, we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speed, Pareto coverage, and performance by stability band.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Zhang et al. (2013) (GA + tabu search), and for flow shops by Katragjini et al. (2013). These works mostly bundle the two objectives into one weighted-sum scalar (Rangsaritratsamee et al., 2004; Zhang et al., 2013), where stability enters not as an independent mechanism but passively, as a single evaluation term of the objective. Of the two metaheuristic families—trajectory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steers the search toward stability actively. They fall into two families: scope limiting, which excludes trade-off solutions outside the restriction; and objective embedding, in which the search itself does not pursue stability, leaving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convergence speed, and stability bands;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its difference reduces solely to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 and repair) and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they differ only in when it fires.</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We adopt </w:t>
      </w:r>
      <w:r>
        <w:rPr>
          <w:rFonts w:ascii="Times New Roman" w:hAnsi="Times New Roman" w:cs="Times New Roman"/>
          <w:i/>
        </w:rPr>
        <w:t xml:space="preserve">ρ</w:t>
      </w:r>
      <w:r>
        <w:rPr>
          <w:rFonts w:ascii="Times New Roman" w:hAnsi="Times New Roman" w:cs="Times New Roman"/>
        </w:rPr>
        <w:t xml:space="preserve"> as the control axis because it appears to be the main determinant of effective difficulty here (see the end of Section 4.4).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completion delay of one operation; </w:t>
      </w:r>
      <w:r>
        <w:rPr>
          <w:rFonts w:ascii="Times New Roman" w:hAnsi="Times New Roman" w:cs="Times New Roman"/>
          <w:i/>
        </w:rPr>
        <w:t xml:space="preserve">Δ</w:t>
      </w:r>
      <w:r>
        <w:rPr>
          <w:rFonts w:ascii="Times New Roman" w:hAnsi="Times New Roman" w:cs="Times New Roman"/>
        </w:rPr>
        <w:t xml:space="preserve"> is about 0.9–1.5 times the affected operation's processing time (</w:t>
      </w:r>
      <w:r>
        <w:rPr>
          <w:rFonts w:ascii="Times New Roman" w:hAnsi="Times New Roman" w:cs="Times New Roman"/>
          <w:i/>
        </w:rPr>
        <w:t xml:space="preserve">Δ</w:t>
      </w:r>
      <w:r>
        <w:rPr>
          <w:rFonts w:ascii="Times New Roman" w:hAnsi="Times New Roman" w:cs="Times New Roman"/>
        </w:rPr>
        <w:t xml:space="preserve">=60–148),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the delay-resolution time (i.e., the delayed completion time) (Section 3.1). Complete per-scenario definitions (the affected operation, </w:t>
      </w:r>
      <w:r>
        <w:rPr>
          <w:rFonts w:ascii="Times New Roman" w:hAnsi="Times New Roman" w:cs="Times New Roman"/>
          <w:i/>
        </w:rPr>
        <w:t xml:space="preserve">Δ</w:t>
      </w:r>
      <w:r>
        <w:rPr>
          <w:rFonts w:ascii="Times New Roman" w:hAnsi="Times New Roman" w:cs="Times New Roman"/>
        </w:rPr>
        <w:t xml:space="preserv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and the control of </w:t>
      </w:r>
      <w:r>
        <w:rPr>
          <w:rFonts w:ascii="Times New Roman" w:hAnsi="Times New Roman" w:cs="Times New Roman"/>
          <w:i/>
        </w:rPr>
        <w:t xml:space="preserve">ρ</w:t>
      </w:r>
      <w:r>
        <w:rPr>
          <w:rFonts w:ascii="Times New Roman" w:hAnsi="Times New Roman" w:cs="Times New Roman"/>
        </w:rPr>
        <w:t xml:space="preserve"> via the disrupted operation's position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the trial: one trial is the whole 10-weight sweep—the non-dominated set merging each weight's visited solutions under UEA. HV thus yields one value per trial, and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 leaves little headroom by filling the neighborhood itself, and a small margin remains only when the disruption is so large that the filling cannot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(the trajectory fills it natively) and H2 (the operators complement the population's coarseness so it catches up)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it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(overtaking later when headroom exists); AOC aggregates this crossover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depending on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extremely high rescheduling ratios where ILS's filling cannot keep up (ta21L, 82%), a significant operator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methods carry no weak metric across the three axes and serve as balanced defaults—Memetic+repair (leaning to overall quality) and the ILS family (leaning to speed)—chosen between by that emphasis.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(the saturated main conclusions are robust; borderline cases are another matter).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representation dependence,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