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a controlled comparison holding the local search identical, we tested the hypothesis that, in this problem where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initial solution, trajectory-based search (ILS), which changes it little by little, obtains better non-dominated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trajectory-based search, which obtains such solutions without the operators, barely changed. The best method differs by metric: population-based search with the operators for the HV of the whole non-dominated set,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w:t>
      </w:r>
      <w:r>
        <w:rPr>
          <w:rFonts w:ascii="Times New Roman" w:hAnsi="Times New Roman" w:cs="Times New Roman"/>
          <w:i/>
        </w:rPr>
        <w:t xml:space="preserve">initial schedule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w:t>
      </w:r>
      <w:r>
        <w:rPr>
          <w:rFonts w:ascii="Times New Roman" w:hAnsi="Times New Roman" w:cs="Times New Roman"/>
          <w:i/>
        </w:rPr>
        <w:t xml:space="preserve">the HV restricted to the high-stability region</w:t>
      </w:r>
      <w:r>
        <w:rPr>
          <w:rFonts w:ascii="Times New Roman" w:hAnsi="Times New Roman" w:cs="Times New Roman"/>
        </w:rPr>
        <w:t xml:space="preserve">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changes that solution little by little, be better suited to obtaining non-dominated solutions in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are completely separated in every trial of all eight scenarios: in three scenarios population-based search obtains no non-dominated solution in the high-stability region in 9–10 of the 10 trials, and in the remaining five ILS is ahead by a factor of 2.0–4.5.</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in every trial of all eight scenarios, whereas trajectory-based search improves in only two of the eight, and in those two the median rises by less than 7%.</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w:t>
      </w:r>
      <w:r>
        <w:rPr>
          <w:rFonts w:ascii="Times New Roman" w:hAnsi="Times New Roman" w:cs="Times New Roman"/>
          <w:i/>
        </w:rPr>
        <w:t xml:space="preserve">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w:t>
      </w:r>
      <w:r>
        <w:rPr>
          <w:rFonts w:ascii="Times New Roman" w:hAnsi="Times New Roman" w:cs="Times New Roman"/>
          <w:i/>
        </w:rPr>
        <w:t xml:space="preserve">high-stability HV</w:t>
      </w:r>
      <w:r>
        <w:rPr>
          <w:rFonts w:ascii="Times New Roman" w:hAnsi="Times New Roman" w:cs="Times New Roman"/>
        </w:rPr>
        <w:t xml:space="preserve">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Equipping population-based search with such an operator therefore </w:t>
      </w:r>
      <w:r>
        <w:rPr>
          <w:rFonts w:ascii="Times New Roman" w:hAnsi="Times New Roman" w:cs="Times New Roman"/>
          <w:i/>
        </w:rPr>
        <w:t xml:space="preserve">raises its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w:t>
      </w:r>
      <w:r>
        <w:rPr>
          <w:rFonts w:ascii="Times New Roman" w:hAnsi="Times New Roman" w:cs="Times New Roman"/>
          <w:i/>
        </w:rPr>
        <w:t xml:space="preserve">frozen</w:t>
      </w:r>
      <w:r>
        <w:rPr>
          <w:rFonts w:ascii="Times New Roman" w:hAnsi="Times New Roman" w:cs="Times New Roman"/>
        </w:rPr>
        <w:t xml:space="preserve">.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sequence deviation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w:t>
      </w:r>
      <w:r>
        <w:rPr>
          <w:rFonts w:ascii="Times New Roman" w:hAnsi="Times New Roman" w:cs="Times New Roman"/>
          <w:i/>
        </w:rPr>
        <w:t xml:space="preserve">Memetic+PR</w:t>
      </w:r>
      <w:r>
        <w:rPr>
          <w:rFonts w:ascii="Times New Roman" w:hAnsi="Times New Roman" w:cs="Times New Roman"/>
        </w:rPr>
        <w:t xml:space="preserve">.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that measures the whole front at once buries the difference in whether good non-dominated solutions exist in the high-stability region. This study therefore measures, in addition to this HV, the HV restricted to this region and anytime performance — the availability of a good solution whenever the search is stopped — by the area under the curve (AUC; López-Ibáñez and Stützle, 2014):</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AUC</w:t>
      </w:r>
      <w:r>
        <w:rPr>
          <w:rFonts w:ascii="Times New Roman" w:hAnsi="Times New Roman" w:cs="Times New Roman"/>
        </w:rPr>
        <w:t xml:space="preserve">: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AUC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Multiple comparisons are handled by Holm correction, with the same comparison repeated across the eight scenarios forming one family.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is regarded as supported if the gain is significant in all eight scenarios. Trajectory-based search, on which no hypothesis is posed (Section 2), is tested in the same form: ILS with the operators against ILS-baseline.</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Figure 2 shows the actual fronts.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placed above the ILS line and below the Memetic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Significance survives Holm correction in every scenario, and Hypothesis 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The operators raise the high-stability HV of Memetic in every trial of all eight scenarios.</w:t>
      </w:r>
      <w:r>
        <w:rPr>
          <w:rFonts w:ascii="Times New Roman" w:hAnsi="Times New Roman" w:cs="Times New Roman"/>
        </w:rPr>
        <w:t xml:space="preserve"> The gain shows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and Hypothesis 2 is supported. In the three scenarios where Memetic-baseline had almost no solution in the high-stability region, solutions appear, and in the remaining five the high-stability HV becomes 2.1–4.7 times larger. Beyond the hypothesis, comparison with ILS-baseline shows that the value reached is not significantly different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That is, with the operators added, Memetic reaches a high-stability HV at least on a par with ILS-baseline in seven of the eight scenarios. A control experiment in two scenarios (mt10, la36S), matching the strength and randomizing only the direction, tests whether this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attained by the compared methods (Figure 3). Memetic-baseline lies outside the band in all eight scenarios, and adding the operators brings it into the band in seven. ILS-baseline is already inside the band in six scenarios without the operators, and the only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AUC: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it takes 6.6–7.8 s to get there against 2.5 s for ILS. In la36L, Memetic overtakes ILS at 7–10 s and reaches 0.94, whereas ILS stops at 0.80. The endpoint of the curve and how quickly it rises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(average relative percentage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values are attained by operator-equipped Memetic, which also occupies the top group in Table 2. As in Section 4.2, the operators produce a significant gain only in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AUC.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AUC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metric: in the HV at the end of the search all five significant differences (2/8 scenarios for overall HV, 3/8 for high-stability HV) favor PR, whereas in AUC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AUC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attained in this study.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gains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AUC.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AUC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HV restricted to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w:t>
      </w:r>
      <w:r>
        <w:rPr>
          <w:rFonts w:ascii="Times New Roman" w:hAnsi="Times New Roman" w:cs="Times New Roman"/>
          <w:i/>
        </w:rPr>
        <w:t xml:space="preserve">stability-inducing operator</w:t>
      </w:r>
      <w:r>
        <w:rPr>
          <w:rFonts w:ascii="Times New Roman" w:hAnsi="Times New Roman" w:cs="Times New Roman"/>
        </w:rPr>
        <w:t xml:space="preserve">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