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a revised schedule must be both efficient (makespan) and stable (little change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search method should therefore also be judged by 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In a controlled comparison with the local search aligned, trajectory-based search (ILS), which transforms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continuously, outperformed population-based search (Memetic), which recombines solutions by crossover, in the hypervolume of the high-stability region in every trial of all eight scenarios. We then mounted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based on path relinking, and repair) on both structures, and the effect appeared asymmetrically. For population-based search, the high-stability hypervolume improved in every trial of every scenario and matched ILS in seven of the eight scenarios, and population-based search ranked first in the quality of the whole trade-off; for trajectory-based search, the improvement was marginal. The best method changes with the evaluation criterion.</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original schedule difficult to execute. Responses are either static, building in slack beforehand to raise tolerance, or dynamic, revising the schedule after the disruption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executing schedule into a feasible one.</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the smallness of the change from the pre-disruption schedule (hereafter,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which we call </w:t>
      </w:r>
      <w:r>
        <w:rPr>
          <w:rFonts w:ascii="Times New Roman" w:hAnsi="Times New Roman" w:cs="Times New Roman"/>
          <w:i/>
        </w:rPr>
        <w:t xml:space="preserve">stability</w:t>
      </w:r>
      <w:r>
        <w:rPr>
          <w:rFonts w:ascii="Times New Roman" w:hAnsi="Times New Roman" w:cs="Times New Roman"/>
        </w:rPr>
        <w:t xml:space="preserve">.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into downstream processes and subcontractors. Stability is therefore an objective on a par with efficiency (Wu et al., 1993; Rangsaritratsamee et al., 2004), and this study formulates the problem as </w:t>
      </w:r>
      <w:r>
        <w:rPr>
          <w:rFonts w:ascii="Times New Roman" w:hAnsi="Times New Roman" w:cs="Times New Roman"/>
          <w:i/>
        </w:rPr>
        <w:t xml:space="preserve">multi-objective optimization of efficiency and stability</w:t>
      </w:r>
      <w:r>
        <w:rPr>
          <w:rFonts w:ascii="Times New Roman" w:hAnsi="Times New Roman" w:cs="Times New Roman"/>
        </w:rPr>
        <w:t xml:space="preserve">.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i.e., how much the processing sequence on each machine has been reordered (smaller is more stable; definitions in Section 3.1).</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 is also good in efficiency, but it absorbs the delay as is, leaving room to shorten MS by resequencing. Where schedule-change costs cannot be ignored, what is sought is a solution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one that keeps the change small yet improves efficiency. In this problem, therefore, a method must be evaluated not only by the quality of the whole trade-off but also by </w:t>
      </w:r>
      <w:r>
        <w:rPr>
          <w:rFonts w:ascii="Times New Roman" w:hAnsi="Times New Roman" w:cs="Times New Roman"/>
          <w:i/>
        </w:rPr>
        <w:t xml:space="preserve">how well it fills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w:t>
      </w:r>
      <w:r>
        <w:rPr>
          <w:rFonts w:ascii="Times New Roman" w:hAnsi="Times New Roman" w:cs="Times New Roman"/>
          <w:i/>
        </w:rPr>
        <w:t xml:space="preserve">job-shop scheduling problem (JSSP)</w:t>
      </w:r>
      <w:r>
        <w:rPr>
          <w:rFonts w:ascii="Times New Roman" w:hAnsi="Times New Roman" w:cs="Times New Roman"/>
        </w:rPr>
        <w:t xml:space="preserve"> addressed in this study is NP-hard (Garey et al., 1976),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 is the mainstream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transforms that solution little by little, be better suited to filling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We test this in a controlled comparison, with the local search aligned, between iterated local search (ILS), representing trajectory-based search, and Memetic, a GA with local search built in, representing population-based search. In addition, we mount </w:t>
      </w:r>
      <w:r>
        <w:rPr>
          <w:rFonts w:ascii="Times New Roman" w:hAnsi="Times New Roman" w:cs="Times New Roman"/>
          <w:i/>
        </w:rPr>
        <w:t xml:space="preserve">stability-inducing operators</w:t>
      </w:r>
      <w:r>
        <w:rPr>
          <w:rFonts w:ascii="Times New Roman" w:hAnsi="Times New Roman" w:cs="Times New Roman"/>
        </w:rPr>
        <w:t xml:space="preserve"> (hereafter, operators), which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both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Trajectory-based search (ILS) fills the high-stability region better than population-based search (Memetic).</w:t>
      </w:r>
      <w:r>
        <w:rPr>
          <w:rFonts w:ascii="Times New Roman" w:hAnsi="Times New Roman" w:cs="Times New Roman"/>
        </w:rPr>
        <w:t xml:space="preserve"> ILS fills this region by itself, whereas Memetic, equipped with the same local search, fills it coarsely and barely reaches it in three scenarios. In the hypervolume (HV) of the high-stability region, ILS is ahead in every trial of all eight scenarios.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bring population-based search level with ILS, whereas trajectory-based search has no headroom left.</w:t>
      </w:r>
      <w:r>
        <w:rPr>
          <w:rFonts w:ascii="Times New Roman" w:hAnsi="Times New Roman" w:cs="Times New Roman"/>
        </w:rPr>
        <w:t xml:space="preserve"> The operators fill the part of the high-stability region that population-based search did not reach: the high-stability HV of Memetic improves in every trial of all eight scenarios and matches ILS in seven of them, and Memetic matches or exceeds ILS in the quality of the whole trade-off as well. For ILS, which fills this region by itself, the improvement is marginal.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changes with the criterion emphasized.</w:t>
      </w:r>
      <w:r>
        <w:rPr>
          <w:rFonts w:ascii="Times New Roman" w:hAnsi="Times New Roman" w:cs="Times New Roman"/>
        </w:rPr>
        <w:t xml:space="preserve"> Operator-equipped Memetic is best in the quality of the whole trade-off, ILS is best in anytime performance (a good solution is available whenever the search is stopped), and the two are level in the quality of the high-stability region. Hence ILS is the choice for quickly producing a revised plan with few changes, and operator-equipped Memetic for pursuing overall quality when computation time is affordable; the two structures answer different demands of rescheduling.</w:t>
      </w:r>
    </w:p>
    <w:p>
      <w:pPr>
        <w:pStyle w:val="a8"/>
        <w:spacing w:line="240" w:lineRule="exact"/>
        <w:jc w:val="both"/>
      </w:pPr>
      <w:r>
        <w:rPr>
          <w:rFonts w:ascii="Times New Roman" w:hAnsi="Times New Roman" w:cs="Times New Roman"/>
        </w:rPr>
        <w:t xml:space="preserve">Figure 1 sketches these findings on the same (</w:t>
      </w:r>
      <w:r>
        <w:rPr>
          <w:rFonts w:ascii="Times New Roman" w:hAnsi="Times New Roman" w:cs="Times New Roman"/>
          <w:i/>
        </w:rPr>
        <w:t xml:space="preserve">D</w:t>
      </w:r>
      <w:r>
        <w:rPr>
          <w:rFonts w:ascii="Times New Roman" w:hAnsi="Times New Roman" w:cs="Times New Roman"/>
        </w:rPr>
        <w:t xml:space="preserve">, MS) plane.</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 The horizontal axis is the 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vertical axis is the makespan MS, the same coordinates as in the result figures (★: the right-shift solution that keeps the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boundary of the high-stability region is defined in Section 3.4). (a) Without operators; (b) with a stability-inducing operator mounted on the population-based side.</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a performance race against state-of-the-art methods but to isolate the relationship between search structure and operators by posing hypotheses and controlling the conditions.</w:t>
      </w:r>
    </w:p>
    <w:p>
      <w:pPr>
        <w:pStyle w:val="2"/>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That the former are the majority has been pointed out repeatedly (Rangsaritratsamee et al., 2004; Sun et al., 2026). This study presupposes the latter, and that lineage divides further into two by how stability is secured. Under this organization, this section surveys prior work and derives two hypotheses from the remaining issues.</w:t>
      </w:r>
    </w:p>
    <w:p>
      <w:pPr>
        <w:pStyle w:val="a8"/>
        <w:spacing w:line="240" w:lineRule="exact"/>
        <w:jc w:val="both"/>
      </w:pPr>
      <w:r>
        <w:rPr>
          <w:rFonts w:ascii="Times New Roman" w:hAnsi="Times New Roman" w:cs="Times New Roman"/>
          <w:b/>
        </w:rPr>
        <w:t xml:space="preserve">Lineage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memetic-type method combining a GA with local search, and Zhang et al. (2013) a hybrid of a GA and tabu search; for the flexible JSSP (FJSP), Fattahi and Fallahi (2010) likewise applied a memetic-type method. All treat stability as </w:t>
      </w:r>
      <w:r>
        <w:rPr>
          <w:rFonts w:ascii="Times New Roman" w:hAnsi="Times New Roman" w:cs="Times New Roman"/>
          <w:i/>
        </w:rPr>
        <w:t xml:space="preserve">one term of the objective function</w:t>
      </w:r>
      <w:r>
        <w:rPr>
          <w:rFonts w:ascii="Times New Roman" w:hAnsi="Times New Roman" w:cs="Times New Roman"/>
        </w:rPr>
        <w:t xml:space="preserve"> and balance it against efficiency through a weight.</w:t>
      </w:r>
    </w:p>
    <w:p>
      <w:pPr>
        <w:pStyle w:val="a8"/>
        <w:spacing w:line="240" w:lineRule="exact"/>
        <w:jc w:val="both"/>
      </w:pPr>
      <w:r>
        <w:rPr>
          <w:rFonts w:ascii="Times New Roman" w:hAnsi="Times New Roman" w:cs="Times New Roman"/>
          <w:b/>
        </w:rPr>
        <w:t xml:space="preserve">Lineage that secures stability by restricting the search space (scope-limiting).</w:t>
      </w:r>
      <w:r>
        <w:rPr>
          <w:rFonts w:ascii="Times New Roman" w:hAnsi="Times New Roman" w:cs="Times New Roman"/>
        </w:rPr>
        <w:t xml:space="preserve"> Another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which reschedules only up to the point of returning to the original schedule (Bean et al., 1991); AOR, which reschedules only the affected operations (Abumaizar and Svestka, 1997); Zakaria and Petrovic (2012), who restrict the chromosome to an interval; and Sun et al. (2026), who organize the range of operations allowed to be re-optimized into four levels, from right-shift only to full re-optimization.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Given the two lineages above, three issues remain to our knowledge.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lineages, the search-based methods concentrate on population-based search (Rangsaritratsamee et al., 2004; Fattahi and Fallahi, 2010; Zakaria and Petrovic, 2012; Zhang et al., 2013; Sun et al., 2026), and how the rescheduling-specific property that a high-quality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differentiates the search structures (trajectory-based versus population-based) has not been analyzed by comparing the two under identical conditions. </w:t>
      </w:r>
      <w:r>
        <w:rPr>
          <w:rFonts w:ascii="Times New Roman" w:hAnsi="Times New Roman" w:cs="Times New Roman"/>
          <w:i/>
        </w:rPr>
        <w:t xml:space="preserve">Second, no evaluation format reveals that difference.</w:t>
      </w:r>
      <w:r>
        <w:rPr>
          <w:rFonts w:ascii="Times New Roman" w:hAnsi="Times New Roman" w:cs="Times New Roman"/>
        </w:rPr>
        <w:t xml:space="preserve"> The difference between search structures shows up in how well the solution set a method reaches fills the high-stability region. Comparisons, however, have taken the form of scalar values at a few weight settings (Rangsaritratsamee et al., 2004; Zhang et al., 2013) or an efficiency measure reported alongside stability (Sun et al., 2026); each gives only a few points per method and cannot measure how the region is filled. </w:t>
      </w:r>
      <w:r>
        <w:rPr>
          <w:rFonts w:ascii="Times New Roman" w:hAnsi="Times New Roman" w:cs="Times New Roman"/>
          <w:i/>
        </w:rPr>
        <w:t xml:space="preserve">Third, there is no means of supplying stability as a move.</w:t>
      </w:r>
      <w:r>
        <w:rPr>
          <w:rFonts w:ascii="Times New Roman" w:hAnsi="Times New Roman" w:cs="Times New Roman"/>
        </w:rPr>
        <w:t xml:space="preserve"> The objective-embedding lineage weaves stability into the evaluation of a solution, and the scope-limiting lineage cuts the search space to guarantee stability structurally, at the price of excluding from the search the efficiency–stability trade-off solutions outside the restriction. Neither has a move that shifts a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while keeping the space intact.</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measures </w:t>
      </w:r>
      <w:r>
        <w:rPr>
          <w:rFonts w:ascii="Times New Roman" w:hAnsi="Times New Roman" w:cs="Times New Roman"/>
          <w:i/>
        </w:rPr>
        <w:t xml:space="preserve">the quality restricted to the high-stability region</w:t>
      </w:r>
      <w:r>
        <w:rPr>
          <w:rFonts w:ascii="Times New Roman" w:hAnsi="Times New Roman" w:cs="Times New Roman"/>
        </w:rPr>
        <w:t xml:space="preserve"> separately from the quality of the whole front (Section 3.4) and poses two hypotheses with it as the response (Figure 1). Trajectory-based search (ILS), which applies continuous transformations starting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fill the high-stability region in small steps while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population-based search (Memetic) advances by creating solutions that recombine the structures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filling of this region should be structurally coarse even with the same local search: </w:t>
      </w:r>
      <w:r>
        <w:rPr>
          <w:rFonts w:ascii="Times New Roman" w:hAnsi="Times New Roman" w:cs="Times New Roman"/>
          <w:i/>
        </w:rPr>
        <w:t xml:space="preserve">H1</w:t>
      </w:r>
      <w:r>
        <w:rPr>
          <w:rFonts w:ascii="Times New Roman" w:hAnsi="Times New Roman" w:cs="Times New Roman"/>
        </w:rPr>
        <w:t xml:space="preserve"> (Figure 1(a)). If H1 holds, what population-based search lacks is the ability to fill the high-stability region. This study designs that move as an operator (Section 3.3). The intermediate solutions on a path that </w:t>
      </w:r>
      <w:r>
        <w:rPr>
          <w:rFonts w:ascii="Times New Roman" w:hAnsi="Times New Roman" w:cs="Times New Roman"/>
          <w:i/>
        </w:rPr>
        <w:t xml:space="preserve">returns individuals scattered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back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from the outside</w:t>
      </w:r>
      <w:r>
        <w:rPr>
          <w:rFonts w:ascii="Times New Roman" w:hAnsi="Times New Roman" w:cs="Times New Roman"/>
        </w:rPr>
        <w:t xml:space="preserve"> should fill this gap and raise the quality of the high-stability region of population-based search to the level that trajectory-based search reaches by itself: </w:t>
      </w:r>
      <w:r>
        <w:rPr>
          <w:rFonts w:ascii="Times New Roman" w:hAnsi="Times New Roman" w:cs="Times New Roman"/>
          <w:i/>
        </w:rPr>
        <w:t xml:space="preserve">H2</w:t>
      </w:r>
      <w:r>
        <w:rPr>
          <w:rFonts w:ascii="Times New Roman" w:hAnsi="Times New Roman" w:cs="Times New Roman"/>
        </w:rPr>
        <w:t xml:space="preserve"> (Figure 1(b)). Whether trajectory-based search, which already fills this region by spreading out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gains anything further is not obvious, so we do not predict the direction of the effect but mount the identical operators on both structures and compare them.</w:t>
      </w:r>
    </w:p>
    <w:p>
      <w:pPr>
        <w:pStyle w:val="2"/>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the problem and the objective function (Section 3.1); factor 1, the search structure (ILS and Memetic with the local search aligned), which tests H1 (Section 3.2); factor 2, the stability-inducing operators mounted on both structures, which serves H2 and the cross-structure comparison (Section 3.3); and the responses, a framework of three metrics (Section 3.4). The benchmark scenarios and the computational budget are given in Section 4.1.</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solution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an operation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we call this actual schedule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Operations that have started 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are </w:t>
      </w:r>
      <w:r>
        <w:rPr>
          <w:rFonts w:ascii="Times New Roman" w:hAnsi="Times New Roman" w:cs="Times New Roman"/>
          <w:i/>
        </w:rPr>
        <w:t xml:space="preserve">frozen</w:t>
      </w:r>
      <w:r>
        <w:rPr>
          <w:rFonts w:ascii="Times New Roman" w:hAnsi="Times New Roman" w:cs="Times New Roman"/>
        </w:rPr>
        <w:t xml:space="preserve">, and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processing sequences of the target operations, and a solution is evaluated as the semi-active schedule obtained by fixing the frozen part at the front and pushing each operation to its earliest feasible start time at or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Deviation measures fall into two families: (i) start-time deviation and (ii) sequence deviation. Sun et al. (2026), for example, distinguish the two explicitly and adopt the former (the sum of absolute start-time deviations) as their stability measure. This study adopts the latter, because the operations used in the search (the N5 neighborhood and the swap moves of the stability-inducing operators, Sections 3.2–3.3) are all permutation operations and because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the practical operation of rescheduling once with the weight fixed (Rangsaritratsamee et al., 2004). Consequently, one experiment yields both the speed in practice (by following each point's search over time) and the quality of the whole trade-off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structural comparison limited.</w:t>
      </w:r>
    </w:p>
    <w:p>
      <w:pPr>
        <w:pStyle w:val="2"/>
        <w:spacing w:before="90" w:after="20" w:line="240" w:lineRule="exact"/>
      </w:pPr>
      <w:r>
        <w:rPr>
          <w:rFonts w:ascii="Times New Roman" w:hAnsi="Times New Roman" w:cs="Times New Roman"/>
          <w:sz w:val="22"/>
          <w:szCs w:val="22"/>
        </w:rPr>
        <w:t xml:space="preserve">3.2 Factor 1: Search Structure — ILS and Memetic (H1)</w:t>
      </w:r>
    </w:p>
    <w:p>
      <w:pPr>
        <w:pStyle w:val="a8"/>
        <w:spacing w:line="240" w:lineRule="exact"/>
        <w:jc w:val="both"/>
      </w:pPr>
      <w:r>
        <w:rPr>
          <w:rFonts w:ascii="Times New Roman" w:hAnsi="Times New Roman" w:cs="Times New Roman"/>
        </w:rPr>
        <w:t xml:space="preserve">To test H1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rPr>
        <w:t xml:space="preserve">ILS (Lourenço et al., 2019) improves a single solution by iterating a perturbation of the current solution, a local search from the perturbed solution, and an acceptance decision on the result. We adopt ILS among trajectory-based methods because it clearly separates intensification (local search) from escape (perturbation). This separation lets </w:t>
      </w:r>
      <w:r>
        <w:rPr>
          <w:rFonts w:ascii="Times New Roman" w:hAnsi="Times New Roman" w:cs="Times New Roman"/>
          <w:i/>
        </w:rPr>
        <w:t xml:space="preserve">the perturbation strength, how far the search moves from the current solution at once, be controlled directly as the number of insert moves</w:t>
      </w:r>
      <w:r>
        <w:rPr>
          <w:rFonts w:ascii="Times New Roman" w:hAnsi="Times New Roman" w:cs="Times New Roman"/>
        </w:rPr>
        <w:t xml:space="preserve">, and lets the stability-inducing operators (Section 3.3) be built in naturally as perturbations.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is an insert move whose strength (the number of insert moves) cycles in a sawtooth according to the degree of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H1 is a standard GA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initial population</w:t>
      </w:r>
      <w:r>
        <w:rPr>
          <w:rFonts w:ascii="Times New Roman" w:hAnsi="Times New Roman" w:cs="Times New Roman"/>
        </w:rPr>
        <w:t xml:space="preserve"> likewise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w:t>
      </w:r>
      <w:r>
        <w:rPr>
          <w:rFonts w:ascii="Times New Roman" w:hAnsi="Times New Roman" w:cs="Times New Roman"/>
          <w:i/>
        </w:rPr>
        <w:t xml:space="preserve">Memetic</w:t>
      </w:r>
      <w:r>
        <w:rPr>
          <w:rFonts w:ascii="Times New Roman" w:hAnsi="Times New Roman" w:cs="Times New Roman"/>
        </w:rPr>
        <w:t xml:space="preserve"> integrates local search into this GA (Neri and Cotta, 2012): the N5 above is applied to each individual and the improved solution is written back to the chromosome (Lamarckian). We take this Memetic as the representative of population-based search both to remove the confound of whether local search is present and because combining population-based search with local search is the standard configuration in existing studies (Rangsaritratsamee et al., 2004; Fattahi and Fallahi, 2010; Zhang et al., 2013). The plain GA without local search serves as a reference baseline.</w:t>
      </w:r>
    </w:p>
    <w:p>
      <w:pPr>
        <w:pStyle w:val="2"/>
        <w:spacing w:before="90" w:after="20" w:line="240" w:lineRule="exact"/>
      </w:pPr>
      <w:r>
        <w:rPr>
          <w:rFonts w:ascii="Times New Roman" w:hAnsi="Times New Roman" w:cs="Times New Roman"/>
          <w:sz w:val="22"/>
          <w:szCs w:val="22"/>
        </w:rPr>
        <w:t xml:space="preserve">3.3 Factor 2: Stability-Inducing Operators — PR and 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the path runs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solution with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is returned.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optimal endpoint of the stability objective, so PR is interpreted uniquely as a move toward that endpoint, and (b) on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that raise stability while limiting the loss in MS can be expected to appear, which directly fills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it gained only about +1% in overall HV while taking about 8 times longer under large disruptions, so we do not adopt it (preliminary experiments).</w:t>
      </w:r>
    </w:p>
    <w:p>
      <w:pPr>
        <w:pStyle w:val="a8"/>
        <w:spacing w:line="240" w:lineRule="exact"/>
        <w:jc w:val="both"/>
      </w:pPr>
      <w:r>
        <w:rPr>
          <w:rFonts w:ascii="Times New Roman" w:hAnsi="Times New Roman" w:cs="Times New Roman"/>
          <w:b/>
        </w:rPr>
        <w:t xml:space="preserve">Stability repair kick (hereafter, repair).</w:t>
      </w:r>
      <w:r>
        <w:rPr>
          <w:rFonts w:ascii="Times New Roman" w:hAnsi="Times New Roman" w:cs="Times New Roman"/>
        </w:rPr>
        <w:t xml:space="preserve"> This operator is PR truncated midway. It applies the same swap move only </w:t>
      </w:r>
      <w:r>
        <w:rPr>
          <w:rFonts w:ascii="Times New Roman" w:hAnsi="Times New Roman" w:cs="Times New Roman"/>
          <w:i/>
        </w:rPr>
        <w:t xml:space="preserve">k</w:t>
      </w:r>
      <w:r>
        <w:rPr>
          <w:rFonts w:ascii="Times New Roman" w:hAnsi="Times New Roman" w:cs="Times New Roman"/>
        </w:rPr>
        <w:t xml:space="preserve"> times, for a depth </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to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(that is, to "repair" the stability lost by drifting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without evaluating the intermediate solutions on the path, re-optimizes the point reached by local search.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fills the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broadly.</w:t>
      </w:r>
    </w:p>
    <w:p>
      <w:pPr>
        <w:pStyle w:val="a8"/>
        <w:spacing w:line="240" w:lineRule="exact"/>
        <w:jc w:val="both"/>
      </w:pPr>
      <w:r>
        <w:rPr>
          <w:rFonts w:ascii="Times New Roman" w:hAnsi="Times New Roman" w:cs="Times New Roman"/>
          <w:b/>
        </w:rPr>
        <w:t xml:space="preserve">Mounting on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each structure's standard way of building operators in (Table 1). In trajectory-based search (ILS), both operators act as perturbations: they fire upon stagnation, and the repair depth </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into the refinement of each individual: after the local search, the operator is applied to each individual stochastically (the repair depth </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w:t>
      </w:r>
    </w:p>
    <w:p>
      <w:pPr>
        <w:pStyle w:val="2"/>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hypervolume (HV) of the Pareto front (Zitzler and Thiele, 1999)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solutions are recorded both immediately after every operation that moves a solution (the perturbation of ILS, the crossover and mutation of population-based search, and the operators of both) and after the local search. An HV that measures the whole front at once buries the difference in whether the high-stability region is filled. This study therefore measures, in addition to this HV, the quality restricted to this region and anytime performance, the availability of a good solution whenever the search is stopped: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(quality of the whole trade-off): the hypervolume over the whole region.</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(quality of the high-stability region):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Pareto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AOC</w:t>
      </w:r>
      <w:r>
        <w:rPr>
          <w:rFonts w:ascii="Times New Roman" w:hAnsi="Times New Roman" w:cs="Times New Roman"/>
        </w:rPr>
        <w:t xml:space="preserve"> (anytime performance; López-Ibáñez and Stützle, 2014):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such as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AOC, conversely, takes </w:t>
      </w:r>
      <w:r>
        <w:rPr>
          <w:rFonts w:ascii="Times New Roman" w:hAnsi="Times New Roman" w:cs="Times New Roman"/>
          <w:i/>
        </w:rPr>
        <w:t xml:space="preserve">the search at each weight as its unit</w:t>
      </w:r>
      <w:r>
        <w:rPr>
          <w:rFonts w:ascii="Times New Roman" w:hAnsi="Times New Roman" w:cs="Times New Roman"/>
        </w:rPr>
        <w:t xml:space="preserve">: HV(</w:t>
      </w:r>
      <w:r>
        <w:rPr>
          <w:rFonts w:ascii="Times New Roman" w:hAnsi="Times New Roman" w:cs="Times New Roman"/>
          <w:i/>
        </w:rPr>
        <w:t xml:space="preserve">t</w:t>
      </w:r>
      <w:r>
        <w:rPr>
          <w:rFonts w:ascii="Times New Roman" w:hAnsi="Times New Roman" w:cs="Times New Roman"/>
        </w:rPr>
        <w:t xml:space="preserve">) of each weight and each trial is averaged over wall-clock log-time (the time window is common to all methods for each weight), and the resulting values are averaged over all weights for each trial. The three metrics are built from the record of the same search: high-stability HV is the same point set as overall HV cut out by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and AOC reads the same point set weight by weight along the time axis.</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(Derrac et al., 2011), and all tests are two-sided.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 and as the relative deviation from the best method, ARPD% (</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rPr>
        <w:t xml:space="preserve">, lower is better).</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H1 is tested by comparing the high-stability HV of ILS-baseline and Memetic-baseline, which share the local search, and is regarded as supported if ILS is significantly ahead in all eight scenarios. H2 is tested in the same form on the gain in high-stability HV of operator-equipped Memetic over Memetic-baseline, and the level the gain reaches is checked by comparison with ILS-baseline. For the corresponding comparison on the trajectory side (ILS-baseline versus operator-equipped ILS), we do not predict the direction of the effect in advance, and contrast it in Section 4.2 as a difference from the population side in how the operators act. Multiple comparisons are handled by Holm correction with the eight scenarios as one family (the operator effect forms a family per search structure, and the comparison of the level reached a further separate family). Neither hypothesis places a directional prediction on overall HV or AOC; these are reported as comparisons among methods.</w:t>
      </w:r>
    </w:p>
    <w:p>
      <w:pPr>
        <w:pStyle w:val="2"/>
        <w:spacing w:before="90" w:after="20" w:line="240" w:lineRule="exact"/>
      </w:pPr>
      <w:r>
        <w:rPr>
          <w:rFonts w:ascii="Times New Roman" w:hAnsi="Times New Roman" w:cs="Times New Roman"/>
          <w:sz w:val="22"/>
          <w:szCs w:val="22"/>
        </w:rPr>
        <w:t xml:space="preserve">4. COMPUTATIONAL EXPERIMENTS</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spacing w:line="240" w:lineRule="exact"/>
        <w:jc w:val="center"/>
        <w:ind w:left="284" w:right="284"/>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spacing w:line="180" w:lineRule="exact"/>
            </w:pPr>
            <w:r>
              <w:rPr>
                <w:rFonts w:ascii="Times New Roman" w:hAnsi="Times New Roman" w:cs="Times New Roman"/>
                <w:b/>
                <w:sz w:val="16"/>
                <w:szCs w:val="16"/>
              </w:rPr>
              <w:t xml:space="preserve">Setting</w:t>
            </w:r>
          </w:p>
        </w:tc>
      </w:tr>
      <w:tr>
        <w:tc>
          <w:tcPr>
            <w:tcW w:w="1393" w:type="dxa"/>
            <w:tcBorders/>
          </w:tcPr>
          <w:p>
            <w:pPr>
              <w:spacing w:line="180" w:lineRule="exact"/>
            </w:pPr>
            <w:r>
              <w:rPr>
                <w:rFonts w:ascii="Times New Roman" w:hAnsi="Times New Roman" w:cs="Times New Roman"/>
                <w:sz w:val="16"/>
                <w:szCs w:val="16"/>
              </w:rPr>
              <w:t xml:space="preserve">Weight sweep</w:t>
            </w:r>
          </w:p>
        </w:tc>
        <w:tc>
          <w:tcPr>
            <w:tcW w:w="3582" w:type="dxa"/>
            <w:tcBorders/>
          </w:tcPr>
          <w:p>
            <w:pPr>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sz w:val="16"/>
                <w:szCs w:val="16"/>
              </w:rPr>
              <w:t xml:space="preserve">)</w:t>
            </w:r>
          </w:p>
        </w:tc>
      </w:tr>
      <w:tr>
        <w:tc>
          <w:tcPr>
            <w:tcW w:w="1393" w:type="dxa"/>
            <w:tcBorders/>
          </w:tcPr>
          <w:p>
            <w:pPr>
              <w:spacing w:line="180" w:lineRule="exact"/>
            </w:pPr>
            <w:r>
              <w:rPr>
                <w:rFonts w:ascii="Times New Roman" w:hAnsi="Times New Roman" w:cs="Times New Roman"/>
                <w:sz w:val="16"/>
                <w:szCs w:val="16"/>
              </w:rPr>
              <w:t xml:space="preserve">Trials</w:t>
            </w:r>
          </w:p>
        </w:tc>
        <w:tc>
          <w:tcPr>
            <w:tcW w:w="3582" w:type="dxa"/>
            <w:tcBorders/>
          </w:tcPr>
          <w:p>
            <w:pPr>
              <w:spacing w:line="180" w:lineRule="exact"/>
            </w:pPr>
            <w:r>
              <w:rPr>
                <w:rFonts w:ascii="Times New Roman" w:hAnsi="Times New Roman" w:cs="Times New Roman"/>
                <w:sz w:val="16"/>
                <w:szCs w:val="16"/>
              </w:rPr>
              <w:t xml:space="preserve">10 trials per (scenario × method); tests use n=10 and representative values are medians unless noted otherwise</w:t>
            </w:r>
          </w:p>
        </w:tc>
      </w:tr>
      <w:tr>
        <w:tc>
          <w:tcPr>
            <w:tcW w:w="1393" w:type="dxa"/>
            <w:tcBorders/>
          </w:tcPr>
          <w:p>
            <w:pPr>
              <w:spacing w:line="180" w:lineRule="exact"/>
            </w:pPr>
            <w:r>
              <w:rPr>
                <w:rFonts w:ascii="Times New Roman" w:hAnsi="Times New Roman" w:cs="Times New Roman"/>
                <w:sz w:val="16"/>
                <w:szCs w:val="16"/>
              </w:rPr>
              <w:t xml:space="preserve">Boundary of the high-stability region</w:t>
            </w:r>
          </w:p>
        </w:tc>
        <w:tc>
          <w:tcPr>
            <w:tcW w:w="3582" w:type="dxa"/>
            <w:tcBorders/>
          </w:tcPr>
          <w:p>
            <w:pPr>
              <w:spacing w:line="180" w:lineRule="exact"/>
            </w:pPr>
            <w:r>
              <w:rPr>
                <w:rFonts w:ascii="Times New Roman" w:hAnsi="Times New Roman" w:cs="Times New Roman"/>
                <w:i/>
                <w:sz w:val="16"/>
                <w:szCs w:val="16"/>
              </w:rPr>
              <w:t xml:space="preserve">θ</w:t>
            </w:r>
            <w:r>
              <w:rPr>
                <w:rFonts w:ascii="Times New Roman" w:hAnsi="Times New Roman" w:cs="Times New Roman"/>
                <w:sz w:val="16"/>
                <w:szCs w:val="16"/>
              </w:rPr>
              <w:t xml:space="preserve">=50 (the percentile of </w:t>
            </w:r>
            <w:r>
              <w:rPr>
                <w:rFonts w:ascii="Times New Roman" w:hAnsi="Times New Roman" w:cs="Times New Roman"/>
                <w:i/>
                <w:sz w:val="16"/>
                <w:szCs w:val="16"/>
              </w:rPr>
              <w:t xml:space="preserve">P</w:t>
            </w:r>
            <w:r>
              <w:rPr>
                <w:rFonts w:ascii="Times New Roman" w:hAnsi="Times New Roman" w:cs="Times New Roman"/>
                <w:i/>
                <w:vertAlign w:val="subscript"/>
                <w:sz w:val="16"/>
                <w:szCs w:val="16"/>
              </w:rPr>
              <w:t xml:space="preserve">θ</w:t>
            </w:r>
            <w:r>
              <w:rPr>
                <w:rFonts w:ascii="Times New Roman" w:hAnsi="Times New Roman" w:cs="Times New Roman"/>
                <w:sz w:val="16"/>
                <w:szCs w:val="16"/>
              </w:rPr>
              <w:t xml:space="preserve">, Section 3.4)</w:t>
            </w:r>
          </w:p>
        </w:tc>
      </w:tr>
      <w:tr>
        <w:tc>
          <w:tcPr>
            <w:tcW w:w="1393" w:type="dxa"/>
            <w:tcBorders/>
          </w:tcPr>
          <w:p>
            <w:pPr>
              <w:spacing w:line="180" w:lineRule="exact"/>
            </w:pPr>
            <w:r>
              <w:rPr>
                <w:rFonts w:ascii="Times New Roman" w:hAnsi="Times New Roman" w:cs="Times New Roman"/>
                <w:sz w:val="16"/>
                <w:szCs w:val="16"/>
              </w:rPr>
              <w:t xml:space="preserve">Computational budget</w:t>
            </w:r>
          </w:p>
        </w:tc>
        <w:tc>
          <w:tcPr>
            <w:tcW w:w="3582" w:type="dxa"/>
            <w:tcBorders/>
          </w:tcPr>
          <w:p>
            <w:pPr>
              <w:spacing w:line="180" w:lineRule="exact"/>
            </w:pPr>
            <w:r>
              <w:rPr>
                <w:rFonts w:ascii="Times New Roman" w:hAnsi="Times New Roman" w:cs="Times New Roman"/>
                <w:sz w:val="16"/>
                <w:szCs w:val="16"/>
              </w:rPr>
              <w:t xml:space="preserve">3000 iterations for every ILS variant, 500 generations for every GA/Memetic variant</w:t>
            </w:r>
          </w:p>
        </w:tc>
      </w:tr>
      <w:tr>
        <w:tc>
          <w:tcPr>
            <w:tcW w:w="1393" w:type="dxa"/>
            <w:tcBorders/>
          </w:tcPr>
          <w:p>
            <w:pPr>
              <w:spacing w:line="180" w:lineRule="exact"/>
            </w:pPr>
            <w:r>
              <w:rPr>
                <w:rFonts w:ascii="Times New Roman" w:hAnsi="Times New Roman" w:cs="Times New Roman"/>
                <w:sz w:val="16"/>
                <w:szCs w:val="16"/>
              </w:rPr>
              <w:t xml:space="preserve">Initial solution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p>
        </w:tc>
        <w:tc>
          <w:tcPr>
            <w:tcW w:w="3582" w:type="dxa"/>
            <w:tcBorders/>
          </w:tcPr>
          <w:p>
            <w:pPr>
              <w:spacing w:line="180" w:lineRule="exact"/>
            </w:pPr>
            <w:r>
              <w:rPr>
                <w:rFonts w:ascii="Times New Roman" w:hAnsi="Times New Roman" w:cs="Times New Roman"/>
                <w:sz w:val="16"/>
                <w:szCs w:val="16"/>
              </w:rPr>
              <w:t xml:space="preserve">Generated by GA-500</w:t>
            </w:r>
          </w:p>
        </w:tc>
      </w:tr>
      <w:tr>
        <w:tc>
          <w:tcPr>
            <w:tcW w:w="1393" w:type="dxa"/>
            <w:tcBorders/>
          </w:tcPr>
          <w:p>
            <w:pPr>
              <w:spacing w:line="180" w:lineRule="exact"/>
            </w:pPr>
            <w:r>
              <w:rPr>
                <w:rFonts w:ascii="Times New Roman" w:hAnsi="Times New Roman" w:cs="Times New Roman"/>
                <w:sz w:val="16"/>
                <w:szCs w:val="16"/>
              </w:rPr>
              <w:t xml:space="preserve">Population-based search</w:t>
            </w:r>
          </w:p>
        </w:tc>
        <w:tc>
          <w:tcPr>
            <w:tcW w:w="3582" w:type="dxa"/>
            <w:tcBorders/>
          </w:tcPr>
          <w:p>
            <w:pPr>
              <w:spacing w:line="180" w:lineRule="exact"/>
            </w:pP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w:t>
            </w:r>
          </w:p>
        </w:tc>
      </w:tr>
      <w:tr>
        <w:tc>
          <w:tcPr>
            <w:tcW w:w="1393" w:type="dxa"/>
            <w:tcBorders/>
          </w:tcPr>
          <w:p>
            <w:pPr>
              <w:spacing w:line="180" w:lineRule="exact"/>
            </w:pPr>
            <w:r>
              <w:rPr>
                <w:rFonts w:ascii="Times New Roman" w:hAnsi="Times New Roman" w:cs="Times New Roman"/>
                <w:sz w:val="16"/>
                <w:szCs w:val="16"/>
              </w:rPr>
              <w:t xml:space="preserve">Trajectory-based search</w:t>
            </w:r>
          </w:p>
        </w:tc>
        <w:tc>
          <w:tcPr>
            <w:tcW w:w="3582" w:type="dxa"/>
            <w:tcBorders/>
          </w:tcPr>
          <w:p>
            <w:pPr>
              <w:spacing w:line="180" w:lineRule="exact"/>
            </w:pPr>
            <w:r>
              <w:rPr>
                <w:rFonts w:ascii="Times New Roman" w:hAnsi="Times New Roman" w:cs="Times New Roman"/>
                <w:sz w:val="16"/>
                <w:szCs w:val="16"/>
              </w:rPr>
              <w:t xml:space="preserve">The strength of the insert perturbation (number of insert moves) cycles over 2–5 in a sawtooth</w:t>
            </w:r>
          </w:p>
        </w:tc>
      </w:tr>
      <w:tr>
        <w:tc>
          <w:tcPr>
            <w:tcW w:w="1393" w:type="dxa"/>
            <w:tcBorders/>
          </w:tcPr>
          <w:p>
            <w:pPr>
              <w:spacing w:line="180" w:lineRule="exact"/>
            </w:pPr>
            <w:r>
              <w:rPr>
                <w:rFonts w:ascii="Times New Roman" w:hAnsi="Times New Roman" w:cs="Times New Roman"/>
                <w:sz w:val="16"/>
                <w:szCs w:val="16"/>
              </w:rPr>
              <w:t xml:space="preserve">Operators (population side)</w:t>
            </w:r>
          </w:p>
        </w:tc>
        <w:tc>
          <w:tcPr>
            <w:tcW w:w="3582" w:type="dxa"/>
            <w:tcBorders/>
          </w:tcPr>
          <w:p>
            <w:pPr>
              <w:spacing w:line="180" w:lineRule="exact"/>
            </w:pPr>
            <w:r>
              <w:rPr>
                <w:rFonts w:ascii="Times New Roman" w:hAnsi="Times New Roman" w:cs="Times New Roman"/>
                <w:sz w:val="16"/>
                <w:szCs w:val="16"/>
              </w:rPr>
              <w:t xml:space="preserve">Fire with probability 0.3 per individual. PR returns the best of the top 3 intermediate solutions on the path</w:t>
            </w:r>
          </w:p>
        </w:tc>
      </w:tr>
      <w:tr>
        <w:tc>
          <w:tcPr>
            <w:tcW w:w="1393" w:type="dxa"/>
            <w:tcBorders/>
          </w:tcPr>
          <w:p>
            <w:pPr>
              <w:spacing w:line="180" w:lineRule="exact"/>
            </w:pPr>
            <w:r>
              <w:rPr>
                <w:rFonts w:ascii="Times New Roman" w:hAnsi="Times New Roman" w:cs="Times New Roman"/>
                <w:sz w:val="16"/>
                <w:szCs w:val="16"/>
              </w:rPr>
              <w:t xml:space="preserve">Operators (trajectory side)</w:t>
            </w:r>
          </w:p>
        </w:tc>
        <w:tc>
          <w:tcPr>
            <w:tcW w:w="3582" w:type="dxa"/>
            <w:tcBorders/>
          </w:tcPr>
          <w:p>
            <w:pPr>
              <w:spacing w:line="180" w:lineRule="exact"/>
            </w:pPr>
            <w:r>
              <w:rPr>
                <w:rFonts w:ascii="Times New Roman" w:hAnsi="Times New Roman" w:cs="Times New Roman"/>
                <w:sz w:val="16"/>
                <w:szCs w:val="16"/>
              </w:rPr>
              <w:t xml:space="preserve">Fire first after 400 iterations without improvement, then every 10 iterations. PR returns the single best solution on the path</w:t>
            </w:r>
          </w:p>
        </w:tc>
      </w:tr>
      <w:t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defined from the pool of compared methods, but varying the percentile </w:t>
      </w:r>
      <w:r>
        <w:rPr>
          <w:rFonts w:ascii="Times New Roman" w:hAnsi="Times New Roman" w:cs="Times New Roman"/>
          <w:i/>
        </w:rPr>
        <w:t xml:space="preserve">θ</w:t>
      </w:r>
      <w:r>
        <w:rPr>
          <w:rFonts w:ascii="Times New Roman" w:hAnsi="Times New Roman" w:cs="Times New Roman"/>
        </w:rPr>
        <w:t xml:space="preserve"> from 50 over 33–67 leaves the conclusions of H1 and H2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spacing w:before="90" w:after="20" w:line="240" w:lineRule="exact"/>
      </w:pPr>
      <w:r>
        <w:rPr>
          <w:rFonts w:ascii="Times New Roman" w:hAnsi="Times New Roman" w:cs="Times New Roman"/>
          <w:sz w:val="22"/>
          <w:szCs w:val="22"/>
        </w:rPr>
        <w:t xml:space="preserve">4.2 High-Stability Region: ILS Fills It Alone, the Population Fills It with Operators (H1, H2, Cross-Structure Comparison)</w:t>
      </w:r>
    </w:p>
    <w:p>
      <w:pPr>
        <w:pStyle w:val="a8"/>
        <w:spacing w:line="240" w:lineRule="exact"/>
        <w:jc w:val="both"/>
      </w:pPr>
      <w:r>
        <w:rPr>
          <w:rFonts w:ascii="Times New Roman" w:hAnsi="Times New Roman" w:cs="Times New Roman"/>
        </w:rPr>
        <w:t xml:space="preserve">Figure 2 shows, for the ta21 pair, the non-dominated solutions of both structures without operators and with PR, in the same coordinates as Figure 1. The way population-based search without operators fails to fill the region takes two forms. (a) In ta21S, Memetic-baseline has not a single non-dominated solution in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rPr>
        <w:t xml:space="preserve">1</w:t>
      </w:r>
      <w:r>
        <w:rPr>
          <w:rFonts w:ascii="Times New Roman" w:hAnsi="Times New Roman" w:cs="Times New Roman"/>
        </w:rPr>
        <w:t xml:space="preserve">2</w:t>
      </w:r>
      <w:r>
        <w:rPr>
          <w:rFonts w:ascii="Times New Roman" w:hAnsi="Times New Roman" w:cs="Times New Roman"/>
        </w:rPr>
        <w:t xml:space="preserve">), and the MS that ILS attains at </w:t>
      </w:r>
      <w:r>
        <w:rPr>
          <w:rFonts w:ascii="Times New Roman" w:hAnsi="Times New Roman" w:cs="Times New Roman"/>
          <w:i/>
        </w:rPr>
        <w:t xml:space="preserve">D</w:t>
      </w:r>
      <w:r>
        <w:rPr>
          <w:rFonts w:ascii="Times New Roman" w:hAnsi="Times New Roman" w:cs="Times New Roman"/>
        </w:rPr>
        <w:t xml:space="preserve">=2, one of its four points there, is not reached by Memetic-baseline until </w:t>
      </w:r>
      <w:r>
        <w:rPr>
          <w:rFonts w:ascii="Times New Roman" w:hAnsi="Times New Roman" w:cs="Times New Roman"/>
          <w:i/>
        </w:rPr>
        <w:t xml:space="preserve">D</w:t>
      </w:r>
      <w:r>
        <w:rPr>
          <w:rFonts w:ascii="Times New Roman" w:hAnsi="Times New Roman" w:cs="Times New Roman"/>
        </w:rPr>
        <w:t xml:space="preserve">=16. (b) In ta21L, it does enter the region but is inferior in MS (1918 or more, against 1883 for ILS), and the two are level only at the efficiency end. In either form, once the operators are mounted, the fronts of the two structures overlap in the high-stability region, and in five of the eight scenarios the non-dominated solutions of ILS+PR and Memetic+PR coincide down to the point set. That Memetic-baseline has no point in (a) means that population-based search generated not one solution improving 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in this region (it is not that selection discarded them; Section 3.4).</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The coordinates are the same as in Figure 1; color and marker denote the search structure and line style the operator (common to Figures 3 and 4). Repair is omitted because it gives almost the same front as PR in the high-stability region.</w:t>
            </w:r>
          </w:p>
        </w:tc>
      </w:tr>
    </w:tbl>
    <w:p>
      <w:pPr>
        <w:spacing w:line="14" w:lineRule="exact"/>
        <w:rPr>
          <w:sz w:val="2"/>
        </w:rPr>
      </w:pPr>
    </w:p>
    <w:p>
      <w:pPr>
        <w:pStyle w:val="a8"/>
        <w:spacing w:line="240" w:lineRule="exact"/>
        <w:jc w:val="both"/>
      </w:pPr>
      <w:r>
        <w:rPr>
          <w:rFonts w:ascii="Times New Roman" w:hAnsi="Times New Roman" w:cs="Times New Roman"/>
        </w:rPr>
        <w:t xml:space="preserve">We check with high-stability HV whether this picture holds in all eight scenarios (Figure 3). The gap between the points without operators corresponds to H1, the slope of the Memetic line to H2, and the flatness of the ILS line to the difference between structures.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fills the high-stability region. In the remaining five scenarios, ILS is 2.1–4.5 times higher. Significance survives Holm correction in every scenario, and H1 is supported. This difference is not due to the presence or absence of local search: the two are given the identical N5, the identical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(Section 3.2), and both saturate within the budget (Section 4.1).</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H2: The operators raise the high-stability HV of Memetic in every trial of all eight scenarios and bring it to the level of trajectory-based search in seven of the eight.</w:t>
      </w:r>
      <w:r>
        <w:rPr>
          <w:rFonts w:ascii="Times New Roman" w:hAnsi="Times New Roman" w:cs="Times New Roman"/>
        </w:rPr>
        <w:t xml:space="preserve"> The gain is a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the three scenarios that were barely reached without operators become reachable, and the remaining five gain 2.1–4.7 times). Comparing the level reached with ILS-baseline, there is no significant difference in six scenarios, and in five of them the median ratio is also 1.00–1.01, an almost exact match (in the remaining la36L the median is 6% higher,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=0.078). In ta21L operator-equipped Memetic exceeds ILS-baseline (in Figure 3, the green line reaches the orange one); only la40 falls short, and even there the difference is 5–10%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H2 is supported except for this one scenario. The explanation that attributes this gain to "the mere addition of a perturbation" is closed by a control that disables only the core of the operators,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perturbation with the same operation (a swap of two positions on a machine) and the same strength (depth drawn from the measured depth distribution of the operators) but a randomized direction reproduced only around 70% of the gain in two scenarios (mt10, la36S; n=10), fell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both scenarios), and needed 1.7–2.4 times the computation time to reach the same level. Guidance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not a necessary condition for filling the high-stability region, but a random direction of the same strength is inferior to it in both quality and cost.</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Cross-structure comparison: the trajectory side is nearly saturated.</w:t>
      </w:r>
      <w:r>
        <w:rPr>
          <w:rFonts w:ascii="Times New Roman" w:hAnsi="Times New Roman" w:cs="Times New Roman"/>
        </w:rPr>
        <w:t xml:space="preserve"> The high-stability HV of ILS-baseline is at or above the level of operator-equipped Memetic in six of the eight scenarios (Figure 3), leaving the operators no headroom. This level is one that the top five methods (the three ILS variants and operator-equipped Memetic) reach in common: in five scenarios the medians of these five methods lie within 2% of the best value, and in three of them (la21, la36M, mt10) the values coincide (Figure 3). The operators have a significant effect only in the two scenarios in which ILS-baseline does not reach this level (la36L, ta21L). For both PR and repair,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over the eight-scenario family on the ILS side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The improvement is also small (the ta21L median rises from 0.029 to 0.031), but there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all eight scenarios; n=10). Symbols give the significance level of the two-sided Mann–Whitney U test against the configuration without operators, in the same color as the corresponding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pStyle w:val="a8"/>
        <w:spacing w:line="240" w:lineRule="exact"/>
        <w:jc w:val="both"/>
      </w:pPr>
      <w:r>
        <w:rPr>
          <w:rFonts w:ascii="Times New Roman" w:hAnsi="Times New Roman" w:cs="Times New Roman"/>
        </w:rPr>
        <w:t xml:space="preserve">Taken together, the effect of the same operators appears asymmetrically depending on the search structure that mounts them. What separates the two, however, is not so much the structure itself as whether the structure leaves part of the high-stability region unfilled: the operators work by filling the region not yet reached, so a search structure that has filled it by itself up to the level noted above has no headroom left for them. This correspondence is consistent over the 16 cells (2 structures × 8 scenarios): all 8 cells on the population side, where room remains, gain; the 6 cells on the trajectory side that have reached the level do not; and only the 2 cells on the trajectory side where room remains gain. The dependence on structure appears through this mediator, and which structure leaves the region unfilled is what H1 shows. Since the effect changes only with whether room remains, under the same firing design, the asymmetry cannot be explained by the difference in how often the operators fire (Table 1: with probability 0.3 per individual in population-based search, only upon stagnation in trajectory-based search). Moreover, although the way the operators are built in (the number of solutions returned and how the depth is drawn, Section 3.3) differs between structures, PR and repair, which are built in differently, show the same asymmetry, so the result does not depend on those details.</w:t>
      </w:r>
    </w:p>
    <w:p>
      <w:pPr>
        <w:pStyle w:val="2"/>
        <w:spacing w:before="90" w:after="20" w:line="240" w:lineRule="exact"/>
      </w:pPr>
      <w:r>
        <w:rPr>
          <w:rFonts w:ascii="Times New Roman" w:hAnsi="Times New Roman" w:cs="Times New Roman"/>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rPr>
        <w:t xml:space="preserve">Whereas Section 4.2 placed hypotheses on high-stability HV, this section compares overall HV and AOC, on which no hypothesis is placed. The anytime overall-HV curves of two representative scenarios show the level reached and the speed of reaching it at once (Figure 4).</w:t>
      </w:r>
    </w:p>
    <w:p>
      <w:pPr>
        <w:pStyle w:val="a8"/>
        <w:spacing w:line="240" w:lineRule="exact"/>
        <w:jc w:val="both"/>
      </w:pPr>
      <w:r>
        <w:rPr>
          <w:rFonts w:ascii="Times New Roman" w:hAnsi="Times New Roman" w:cs="Times New Roman"/>
        </w:rPr>
        <w:t xml:space="preserve">ILS already has a high overall HV at the start of the search because it receives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its initial solution and the first local search improves it. In ta21S, operator-equipped Memetic reaches the same level as ILS (1.17), but it takes 6.6–7.8 s to get there against 2.5 s for ILS. In la36L, population-based search overtakes ILS at 7–10 s and climbs to 0.94, whereas ILS levels off at 0.80. The endpoint of the curve and the speed of the ramp-up point to different methods as the best.</w:t>
      </w:r>
    </w:p>
    <w:p>
      <w:pPr>
        <w:spacing w:line="240" w:lineRule="exact"/>
        <w:jc w:val="center"/>
        <w:ind w:left="284" w:right="284"/>
      </w:pPr>
      <w:r>
        <w:rPr>
          <w:rFonts w:ascii="Times New Roman" w:hAnsi="Times New Roman" w:cs="Times New Roman"/>
        </w:rPr>
        <w:t xml:space="preserve">Table 2: Cross-scenario summary of the three metrics. Each cell gives "Friedman average rank (lower is better) / ARPD% (relative deviation from the best method of each scenario, averaged over the eight scenarios; lower is better) / number of best-group scenarios (scenarios with no significant difference from the best method of that scenario, out of 8; two-sided Mann–Whitney U, uncorrected)". The Friedman test gives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0.0001 for all three metrics; Kendall's </w:t>
      </w:r>
      <w:r>
        <w:rPr>
          <w:rFonts w:ascii="Times New Roman" w:hAnsi="Times New Roman" w:cs="Times New Roman"/>
          <w:i/>
        </w:rPr>
        <w:t xml:space="preserve">W</w:t>
      </w:r>
      <w:r>
        <w:rPr>
          <w:rFonts w:ascii="Times New Roman" w:hAnsi="Times New Roman" w:cs="Times New Roman"/>
        </w:rPr>
        <w:t xml:space="preserve"> is 0.59 for overall HV, 0.81 for high-stability HV, and 0.63 for AOC. Because the eight scenarios include the la36 ladder and the ta21 pair and are not independent of one another, the cross-scenario ranks are treated as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b/>
                <w:sz w:val="16"/>
                <w:szCs w:val="16"/>
              </w:rPr>
              <w:t xml:space="preserve">AOC</w:t>
            </w:r>
          </w:p>
        </w:tc>
      </w:tr>
      <w:tr>
        <w:tc>
          <w:tcPr>
            <w:tcW w:w="1393" w:type="dxa"/>
            <w:tcBorders/>
          </w:tcPr>
          <w:p>
            <w:pPr>
              <w:spacing w:line="180" w:lineRule="exact"/>
            </w:pPr>
            <w:r>
              <w:rPr>
                <w:rFonts w:ascii="Times New Roman" w:hAnsi="Times New Roman" w:cs="Times New Roman"/>
                <w:sz w:val="16"/>
                <w:szCs w:val="16"/>
              </w:rPr>
              <w:t xml:space="preserve">ILS-baseline</w:t>
            </w:r>
          </w:p>
        </w:tc>
        <w:tc>
          <w:tcPr>
            <w:tcW w:w="1194" w:type="dxa"/>
            <w:tcBorders/>
          </w:tcPr>
          <w:p>
            <w:pPr>
              <w:spacing w:line="180" w:lineRule="exact"/>
            </w:pPr>
            <w:r>
              <w:rPr>
                <w:rFonts w:ascii="Times New Roman" w:hAnsi="Times New Roman" w:cs="Times New Roman"/>
                <w:sz w:val="16"/>
                <w:szCs w:val="16"/>
              </w:rPr>
              <w:t xml:space="preserve">4.44 / 10 / 1</w:t>
            </w:r>
          </w:p>
        </w:tc>
        <w:tc>
          <w:tcPr>
            <w:tcW w:w="1194" w:type="dxa"/>
            <w:tcBorders/>
          </w:tcPr>
          <w:p>
            <w:pPr>
              <w:spacing w:line="180" w:lineRule="exact"/>
            </w:pPr>
            <w:r>
              <w:rPr>
                <w:rFonts w:ascii="Times New Roman" w:hAnsi="Times New Roman" w:cs="Times New Roman"/>
                <w:sz w:val="16"/>
                <w:szCs w:val="16"/>
              </w:rPr>
              <w:t xml:space="preserve">3.44 / 2 / 6</w:t>
            </w:r>
          </w:p>
        </w:tc>
        <w:tc>
          <w:tcPr>
            <w:tcW w:w="1194" w:type="dxa"/>
            <w:tcBorders/>
          </w:tcPr>
          <w:p>
            <w:pPr>
              <w:spacing w:line="180" w:lineRule="exact"/>
            </w:pPr>
            <w:r>
              <w:rPr>
                <w:rFonts w:ascii="Times New Roman" w:hAnsi="Times New Roman" w:cs="Times New Roman"/>
                <w:sz w:val="16"/>
                <w:szCs w:val="16"/>
              </w:rPr>
              <w:t xml:space="preserve">2.75 / 4 / 6</w:t>
            </w:r>
          </w:p>
        </w:tc>
      </w:tr>
      <w:tr>
        <w:tc>
          <w:tcPr>
            <w:tcW w:w="1393" w:type="dxa"/>
            <w:tcBorders/>
          </w:tcPr>
          <w:p>
            <w:pPr>
              <w:spacing w:line="180" w:lineRule="exact"/>
            </w:pPr>
            <w:r>
              <w:rPr>
                <w:rFonts w:ascii="Times New Roman" w:hAnsi="Times New Roman" w:cs="Times New Roman"/>
                <w:sz w:val="16"/>
                <w:szCs w:val="16"/>
              </w:rPr>
              <w:t xml:space="preserve">ILS+repair</w:t>
            </w:r>
          </w:p>
        </w:tc>
        <w:tc>
          <w:tcPr>
            <w:tcW w:w="1194" w:type="dxa"/>
            <w:tcBorders/>
          </w:tcPr>
          <w:p>
            <w:pPr>
              <w:spacing w:line="180" w:lineRule="exact"/>
            </w:pPr>
            <w:r>
              <w:rPr>
                <w:rFonts w:ascii="Times New Roman" w:hAnsi="Times New Roman" w:cs="Times New Roman"/>
                <w:sz w:val="16"/>
                <w:szCs w:val="16"/>
              </w:rPr>
              <w:t xml:space="preserve">3.56 / 9 / 2</w:t>
            </w:r>
          </w:p>
        </w:tc>
        <w:tc>
          <w:tcPr>
            <w:tcW w:w="1194" w:type="dxa"/>
            <w:tcBorders/>
          </w:tcPr>
          <w:p>
            <w:pPr>
              <w:spacing w:line="180" w:lineRule="exact"/>
            </w:pPr>
            <w:r>
              <w:rPr>
                <w:rFonts w:ascii="Times New Roman" w:hAnsi="Times New Roman" w:cs="Times New Roman"/>
                <w:sz w:val="16"/>
                <w:szCs w:val="16"/>
              </w:rPr>
              <w:t xml:space="preserve">2.62 / 0 / 8</w:t>
            </w:r>
          </w:p>
        </w:tc>
        <w:tc>
          <w:tcPr>
            <w:tcW w:w="1194" w:type="dxa"/>
            <w:tcBorders/>
          </w:tcPr>
          <w:p>
            <w:pPr>
              <w:spacing w:line="180" w:lineRule="exact"/>
            </w:pPr>
            <w:r>
              <w:rPr>
                <w:rFonts w:ascii="Times New Roman" w:hAnsi="Times New Roman" w:cs="Times New Roman"/>
                <w:sz w:val="16"/>
                <w:szCs w:val="16"/>
              </w:rPr>
              <w:t xml:space="preserve">2.62 / 5 / 6</w:t>
            </w:r>
          </w:p>
        </w:tc>
      </w:tr>
      <w:tr>
        <w:tc>
          <w:tcPr>
            <w:tcW w:w="1393" w:type="dxa"/>
            <w:tcBorders/>
          </w:tcPr>
          <w:p>
            <w:pPr>
              <w:spacing w:line="180" w:lineRule="exact"/>
            </w:pPr>
            <w:r>
              <w:rPr>
                <w:rFonts w:ascii="Times New Roman" w:hAnsi="Times New Roman" w:cs="Times New Roman"/>
                <w:sz w:val="16"/>
                <w:szCs w:val="16"/>
              </w:rPr>
              <w:t xml:space="preserve">ILS+PR</w:t>
            </w:r>
          </w:p>
        </w:tc>
        <w:tc>
          <w:tcPr>
            <w:tcW w:w="1194" w:type="dxa"/>
            <w:tcBorders/>
          </w:tcPr>
          <w:p>
            <w:pPr>
              <w:spacing w:line="180" w:lineRule="exact"/>
            </w:pPr>
            <w:r>
              <w:rPr>
                <w:rFonts w:ascii="Times New Roman" w:hAnsi="Times New Roman" w:cs="Times New Roman"/>
                <w:sz w:val="16"/>
                <w:szCs w:val="16"/>
              </w:rPr>
              <w:t xml:space="preserve">3.75 / 10 / 3</w:t>
            </w:r>
          </w:p>
        </w:tc>
        <w:tc>
          <w:tcPr>
            <w:tcW w:w="1194" w:type="dxa"/>
            <w:tcBorders/>
          </w:tcPr>
          <w:p>
            <w:pPr>
              <w:spacing w:line="180" w:lineRule="exact"/>
            </w:pPr>
            <w:r>
              <w:rPr>
                <w:rFonts w:ascii="Times New Roman" w:hAnsi="Times New Roman" w:cs="Times New Roman"/>
                <w:sz w:val="16"/>
                <w:szCs w:val="16"/>
              </w:rPr>
              <w:t xml:space="preserve">2.75 / 0 / 8</w:t>
            </w:r>
          </w:p>
        </w:tc>
        <w:tc>
          <w:tcPr>
            <w:tcW w:w="1194" w:type="dxa"/>
            <w:tcBorders/>
          </w:tcPr>
          <w:p>
            <w:pPr>
              <w:spacing w:line="180" w:lineRule="exact"/>
            </w:pPr>
            <w:r>
              <w:rPr>
                <w:rFonts w:ascii="Times New Roman" w:hAnsi="Times New Roman" w:cs="Times New Roman"/>
                <w:sz w:val="16"/>
                <w:szCs w:val="16"/>
              </w:rPr>
              <w:t xml:space="preserve">2.50 / 4 / 6</w:t>
            </w:r>
          </w:p>
        </w:tc>
      </w:tr>
      <w:tr>
        <w:tc>
          <w:tcPr>
            <w:tcW w:w="1393" w:type="dxa"/>
            <w:tcBorders/>
          </w:tcPr>
          <w:p>
            <w:pPr>
              <w:spacing w:line="180" w:lineRule="exact"/>
            </w:pPr>
            <w:r>
              <w:rPr>
                <w:rFonts w:ascii="Times New Roman" w:hAnsi="Times New Roman" w:cs="Times New Roman"/>
                <w:sz w:val="16"/>
                <w:szCs w:val="16"/>
              </w:rPr>
              <w:t xml:space="preserve">GA</w:t>
            </w:r>
          </w:p>
        </w:tc>
        <w:tc>
          <w:tcPr>
            <w:tcW w:w="1194" w:type="dxa"/>
            <w:tcBorders/>
          </w:tcPr>
          <w:p>
            <w:pPr>
              <w:spacing w:line="180" w:lineRule="exact"/>
            </w:pPr>
            <w:r>
              <w:rPr>
                <w:rFonts w:ascii="Times New Roman" w:hAnsi="Times New Roman" w:cs="Times New Roman"/>
                <w:sz w:val="16"/>
                <w:szCs w:val="16"/>
              </w:rPr>
              <w:t xml:space="preserve">6.94 / 25 / 0</w:t>
            </w:r>
          </w:p>
        </w:tc>
        <w:tc>
          <w:tcPr>
            <w:tcW w:w="1194" w:type="dxa"/>
            <w:tcBorders/>
          </w:tcPr>
          <w:p>
            <w:pPr>
              <w:spacing w:line="180" w:lineRule="exact"/>
            </w:pPr>
            <w:r>
              <w:rPr>
                <w:rFonts w:ascii="Times New Roman" w:hAnsi="Times New Roman" w:cs="Times New Roman"/>
                <w:sz w:val="16"/>
                <w:szCs w:val="16"/>
              </w:rPr>
              <w:t xml:space="preserve">6.38 / 71 / 0</w:t>
            </w:r>
          </w:p>
        </w:tc>
        <w:tc>
          <w:tcPr>
            <w:tcW w:w="1194" w:type="dxa"/>
            <w:tcBorders/>
          </w:tcPr>
          <w:p>
            <w:pPr>
              <w:spacing w:line="180" w:lineRule="exact"/>
            </w:pPr>
            <w:r>
              <w:rPr>
                <w:rFonts w:ascii="Times New Roman" w:hAnsi="Times New Roman" w:cs="Times New Roman"/>
                <w:sz w:val="16"/>
                <w:szCs w:val="16"/>
              </w:rPr>
              <w:t xml:space="preserve">7.00 / 48 / 0</w:t>
            </w:r>
          </w:p>
        </w:tc>
      </w:tr>
      <w:tr>
        <w:tc>
          <w:tcPr>
            <w:tcW w:w="1393" w:type="dxa"/>
            <w:tcBorders/>
          </w:tcPr>
          <w:p>
            <w:pPr>
              <w:spacing w:line="180" w:lineRule="exact"/>
            </w:pPr>
            <w:r>
              <w:rPr>
                <w:rFonts w:ascii="Times New Roman" w:hAnsi="Times New Roman" w:cs="Times New Roman"/>
                <w:sz w:val="16"/>
                <w:szCs w:val="16"/>
              </w:rPr>
              <w:t xml:space="preserve">Memetic-baseline</w:t>
            </w:r>
          </w:p>
        </w:tc>
        <w:tc>
          <w:tcPr>
            <w:tcW w:w="1194" w:type="dxa"/>
            <w:tcBorders/>
          </w:tcPr>
          <w:p>
            <w:pPr>
              <w:spacing w:line="180" w:lineRule="exact"/>
            </w:pPr>
            <w:r>
              <w:rPr>
                <w:rFonts w:ascii="Times New Roman" w:hAnsi="Times New Roman" w:cs="Times New Roman"/>
                <w:sz w:val="16"/>
                <w:szCs w:val="16"/>
              </w:rPr>
              <w:t xml:space="preserve">4.81 / 5 / 2</w:t>
            </w:r>
          </w:p>
        </w:tc>
        <w:tc>
          <w:tcPr>
            <w:tcW w:w="1194" w:type="dxa"/>
            <w:tcBorders/>
          </w:tcPr>
          <w:p>
            <w:pPr>
              <w:spacing w:line="180" w:lineRule="exact"/>
            </w:pPr>
            <w:r>
              <w:rPr>
                <w:rFonts w:ascii="Times New Roman" w:hAnsi="Times New Roman" w:cs="Times New Roman"/>
                <w:sz w:val="16"/>
                <w:szCs w:val="16"/>
              </w:rPr>
              <w:t xml:space="preserve">6.62 / 78 / 0</w:t>
            </w:r>
          </w:p>
        </w:tc>
        <w:tc>
          <w:tcPr>
            <w:tcW w:w="1194" w:type="dxa"/>
            <w:tcBorders/>
          </w:tcPr>
          <w:p>
            <w:pPr>
              <w:spacing w:line="180" w:lineRule="exact"/>
            </w:pPr>
            <w:r>
              <w:rPr>
                <w:rFonts w:ascii="Times New Roman" w:hAnsi="Times New Roman" w:cs="Times New Roman"/>
                <w:sz w:val="16"/>
                <w:szCs w:val="16"/>
              </w:rPr>
              <w:t xml:space="preserve">3.50 / 18 / 2</w:t>
            </w:r>
          </w:p>
        </w:tc>
      </w:tr>
      <w:tr>
        <w:tc>
          <w:tcPr>
            <w:tcW w:w="1393" w:type="dxa"/>
            <w:tcBorders/>
          </w:tcPr>
          <w:p>
            <w:pPr>
              <w:spacing w:line="180" w:lineRule="exact"/>
            </w:pPr>
            <w:r>
              <w:rPr>
                <w:rFonts w:ascii="Times New Roman" w:hAnsi="Times New Roman" w:cs="Times New Roman"/>
                <w:sz w:val="16"/>
                <w:szCs w:val="16"/>
              </w:rPr>
              <w:t xml:space="preserve">Memetic+repair</w:t>
            </w:r>
          </w:p>
        </w:tc>
        <w:tc>
          <w:tcPr>
            <w:tcW w:w="1194" w:type="dxa"/>
            <w:tcBorders/>
          </w:tcPr>
          <w:p>
            <w:pPr>
              <w:spacing w:line="180" w:lineRule="exact"/>
            </w:pPr>
            <w:r>
              <w:rPr>
                <w:rFonts w:ascii="Times New Roman" w:hAnsi="Times New Roman" w:cs="Times New Roman"/>
                <w:sz w:val="16"/>
                <w:szCs w:val="16"/>
              </w:rPr>
              <w:t xml:space="preserve">2.50 / 1 / 6</w:t>
            </w:r>
          </w:p>
        </w:tc>
        <w:tc>
          <w:tcPr>
            <w:tcW w:w="1194" w:type="dxa"/>
            <w:tcBorders/>
          </w:tcPr>
          <w:p>
            <w:pPr>
              <w:spacing w:line="180" w:lineRule="exact"/>
            </w:pPr>
            <w:r>
              <w:rPr>
                <w:rFonts w:ascii="Times New Roman" w:hAnsi="Times New Roman" w:cs="Times New Roman"/>
                <w:sz w:val="16"/>
                <w:szCs w:val="16"/>
              </w:rPr>
              <w:t xml:space="preserve">3.31 / 2 / 6</w:t>
            </w:r>
          </w:p>
        </w:tc>
        <w:tc>
          <w:tcPr>
            <w:tcW w:w="1194" w:type="dxa"/>
            <w:tcBorders/>
          </w:tcPr>
          <w:p>
            <w:pPr>
              <w:spacing w:line="180" w:lineRule="exact"/>
            </w:pPr>
            <w:r>
              <w:rPr>
                <w:rFonts w:ascii="Times New Roman" w:hAnsi="Times New Roman" w:cs="Times New Roman"/>
                <w:sz w:val="16"/>
                <w:szCs w:val="16"/>
              </w:rPr>
              <w:t xml:space="preserve">4.00 / 22 / 1</w:t>
            </w:r>
          </w:p>
        </w:tc>
      </w:tr>
      <w:t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rPr>
        <w:t xml:space="preserve">The high-stability HV column of Table 2 reconfirms the results of Section 4.2 in cross-scenario ranks, and its rank consistency is also the highest of the three metrics (Kendall's </w:t>
      </w:r>
      <w:r>
        <w:rPr>
          <w:rFonts w:ascii="Times New Roman" w:hAnsi="Times New Roman" w:cs="Times New Roman"/>
          <w:i/>
        </w:rPr>
        <w:t xml:space="preserve">W</w:t>
      </w:r>
      <w:r>
        <w:rPr>
          <w:rFonts w:ascii="Times New Roman" w:hAnsi="Times New Roman" w:cs="Times New Roman"/>
        </w:rPr>
        <w:t xml:space="preserve">=0.81). Below we examine the remaining two metrics over all eight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138084"/>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13808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overall-HV curves (two representative scenarios; medians over trials). The horizontal axis is the elapsed time of each run, and the vertical axis is the overall HV of the merged points visited by the runs of the 10 weights up to time </w:t>
            </w:r>
            <w:r>
              <w:rPr>
                <w:rFonts w:ascii="Times New Roman" w:hAnsi="Times New Roman" w:cs="Times New Roman"/>
                <w:i/>
              </w:rPr>
              <w:t xml:space="preserve">t</w:t>
            </w:r>
            <w:r>
              <w:rPr>
                <w:rFonts w:ascii="Times New Roman" w:hAnsi="Times New Roman" w:cs="Times New Roman"/>
              </w:rPr>
              <w:t xml:space="preserve">; the endpoint corresponds to the overall HV of Section 4.3. AOC is the log-time average of the curve of each weight, then averaged over all weights, so it is not the area in this figure itself, but it can be read as the difference in ramp-up. The plotted range is cut off at the time by which all methods have reached 99.5% of their final values (all curves are flat thereafter).</w:t>
            </w:r>
          </w:p>
        </w:tc>
      </w:tr>
    </w:tbl>
    <w:p>
      <w:pPr>
        <w:spacing w:line="14" w:lineRule="exact"/>
        <w:rPr>
          <w:sz w:val="2"/>
        </w:rPr>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level is reached by operator-equipped Memetic, which also occupies the top group in Table 2. The level of the ILS variants depends on the scenario: in four scenarios (la36S, ta21S, la40, la21) they are level with the best, but in the remaining four they fall 5–38% short (the two panels of Figure 4 are one of each). Between the two methods without operators, the two structures are evenly matched: ILS-baseline is significantly ahead in the former four scenarios, Memetic-baseline is ahead in la36M, mt10, and la36L, and ta21L shows no significant difference (</w:t>
      </w:r>
      <w:r>
        <w:rPr>
          <w:rFonts w:ascii="Times New Roman" w:hAnsi="Times New Roman" w:cs="Times New Roman"/>
          <w:i/>
        </w:rPr>
        <w:t xml:space="preserve">p</w:t>
      </w:r>
      <w:r>
        <w:rPr>
          <w:rFonts w:ascii="Times New Roman" w:hAnsi="Times New Roman" w:cs="Times New Roman"/>
        </w:rPr>
        <w:t xml:space="preserve">=0.16). Since the winner switches, the difference in the high-stability region in Section 4.2 is not a reflection of ILS being superior overall. The way the operators act divides here in the same direction as in Section 4.2: they raise the overall HV of Memetic significantly in six of the eight scenarios (+2.8–11.7%; the remaining two are scenarios in which Memetic already exceeds ILS even without operators), whereas for ILS, which fills the high-stability region by itself, the change stays within ±0.5% in every scenario. The efficiency end of the front (the minimum MS reached over the whole 10-weight sweep) shows the same picture: in the former four scenarios all methods except GA coincide, and in the latter the population side is lower (by 1.2–2.2% in three of them,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The operators have no effect on this endpoint.</w:t>
      </w:r>
    </w:p>
    <w:p>
      <w:pPr>
        <w:pStyle w:val="a8"/>
        <w:spacing w:line="240" w:lineRule="exact"/>
        <w:jc w:val="both"/>
      </w:pPr>
      <w:r>
        <w:rPr>
          <w:rFonts w:ascii="Times New Roman" w:hAnsi="Times New Roman" w:cs="Times New Roman"/>
          <w:b/>
        </w:rPr>
        <w:t xml:space="preserve">AOC.</w:t>
      </w:r>
      <w:r>
        <w:rPr>
          <w:rFonts w:ascii="Times New Roman" w:hAnsi="Times New Roman" w:cs="Times New Roman"/>
        </w:rPr>
        <w:t xml:space="preserve"> The three ILS variants are level with the best, within 2% of the best in six scenarios (Table 2). In the remaining la36S and mt10, Memetic-baseline is best and the ILS variants fall 10–22% short; the significant differences between the two methods without operators split in the same 6-to-2 way. Because AOC weights the early phase heavily on the log-time scale, it strongly reflects the speed of ILS, which receives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its initial solution (Figure 4). The way the operators act is asymmetric here too, but in the opposite direction from overall HV, appearing as a cost on the population side, and its cause is not the unfilled region but the way of firing itself: for ILS the differences among the three variants are within 3% in every scenario and not significant (because on the trajectory side the operators fire only upon stagnation), whereas PR lowers the AOC of Memetic significantly in five of the eight scenarios (by 7–26%).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before returning, so each call is expensive. Comparing the two operators mounted on population-based search, their final quality is nearly the same (significant differences in only 2/8 scenarios for overall HV and 3/8 for high-stability HV), and in AOC repair significantly exceeds PR in 6/8 scenarios.</w:t>
      </w:r>
    </w:p>
    <w:p>
      <w:pPr>
        <w:pStyle w:val="a8"/>
        <w:spacing w:line="240" w:lineRule="exact"/>
        <w:jc w:val="both"/>
      </w:pPr>
      <w:r>
        <w:rPr>
          <w:rFonts w:ascii="Times New Roman" w:hAnsi="Times New Roman" w:cs="Times New Roman"/>
        </w:rPr>
        <w:t xml:space="preserve">The best method changes with the evaluation criterion (Table 2): operator-equipped Memetic for overall HV, the ILS variants for AOC, and the two level for high-stability HV. The methods that never fall into the bottom group on any of the three metrics are the ILS variants and Memetic+repair.</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This study examined the relationship between search structure and stability-inducing operators in rescheduling, where a high-quality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through a controlled comparison with the local search aligned over 8 scenarios × 7 methods × n=10 trials.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H1: Trajectory-based search (ILS) fills the high-stability region better than population-based search (Memetic).</w:t>
      </w:r>
      <w:r>
        <w:rPr>
          <w:rFonts w:ascii="Times New Roman" w:hAnsi="Times New Roman" w:cs="Times New Roman"/>
        </w:rPr>
        <w:t xml:space="preserve"> In high-stability HV, ILS exceeded population-based search sharing the identical N5 in all eight scenarios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2–4.5 times in five scenarios, and in the remaining three population-based search barely reaches the high-stability region). In overall HV the two are evenly matched. This difference remained under conditions in which the local search, the objective function, the supply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were aligned (each structure is represented by one method, so the reach of generalization is limitation (v)).</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H2 and cross-structure comparison: the effect of the stability-inducing operators appears asymmetrically depending on the search structure that mounts them.</w:t>
      </w:r>
      <w:r>
        <w:rPr>
          <w:rFonts w:ascii="Times New Roman" w:hAnsi="Times New Roman" w:cs="Times New Roman"/>
        </w:rPr>
        <w:t xml:space="preserve"> For population-based search, they raise high-stability HV in every trial of all eight scenarios and lift it to the ILS level in seven of the eight (H2), whereas for trajectory-based search, which has filled the high-stability region by itself, the effect is nearly saturated. In ta21L, however, which ILS cannot fill completely, a small but consistent gain remains even for trajectory-based search. Since the direction of the comparison on the trajectory side was not predicted in advance (Section 3.4), this asymmetry is not the result of a hypothesis test but a result that refines the hypothesis: the value of an operator is conditional on whether the structure that mounts it fills the high-stability region by itself.</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changes with the criterion emphasized.</w:t>
      </w:r>
      <w:r>
        <w:rPr>
          <w:rFonts w:ascii="Times New Roman" w:hAnsi="Times New Roman" w:cs="Times New Roman"/>
        </w:rPr>
        <w:t xml:space="preserve"> When methods are measured on these three axes, the best method changes from axis to axis: Memetic with stability-inducing operators excels in the quality of the whole trade-off (overall HV), both ILS and operator-equipped Memetic in the quality of the high-stability region (high-stability HV), and the ILS variants in anytime performance (AOC). Hence one chooses operator-equipped Memetic to pursue the quality of the whole trade-off when computation time is affordable, and ILS to produce a revised plan with few changes quickly. When efficiency alone matters, the population side is at least as good (Section 4.3). Of the operators mounted on Memetic, PR and repair are nearly level in final quality, and repair is ahead in anytime performance (Section 4.3).</w:t>
      </w:r>
    </w:p>
    <w:p>
      <w:pPr>
        <w:pStyle w:val="a8"/>
        <w:spacing w:line="240" w:lineRule="exact"/>
        <w:jc w:val="both"/>
      </w:pPr>
      <w:r>
        <w:rPr>
          <w:rFonts w:ascii="Times New Roman" w:hAnsi="Times New Roman" w:cs="Times New Roman"/>
        </w:rPr>
        <w:t xml:space="preserve">The central contribution of this study is to implement the securing of stability as an operator rather than as a restriction of the search space, and </w:t>
      </w:r>
      <w:r>
        <w:rPr>
          <w:rFonts w:ascii="Times New Roman" w:hAnsi="Times New Roman" w:cs="Times New Roman"/>
          <w:i/>
        </w:rPr>
        <w:t xml:space="preserve">to isolate, in a controlled comparison with the local search aligned, how greatly the value of the same operator changes with the search structure that mounts it (more precisely, with whether that structure fills the high-stability region by itself)</w:t>
      </w:r>
      <w:r>
        <w:rPr>
          <w:rFonts w:ascii="Times New Roman" w:hAnsi="Times New Roman" w:cs="Times New Roman"/>
        </w:rPr>
        <w:t xml:space="preserve">. The results are consistent with the explanation on which the hypotheses in Section 2 were founded: population-based search scattered by recombination cannot generate solutions in the high-stability region, and the intermediate solutions on the path back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make up for this.</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The results rest on n=10 (the main conclusions, which show complete separation, are robust; borderline cases are another matter). (ii) Stability is measured only by sequence deviation, and validity under start-time deviation is unverified (Section 3.1). (iii) H1, H2, and the asymmetry of the operator effect were established for delay-type disruptions that preserve the operation set. Under disruptions that change the operation set itself, such as rush-job insertion or job cancellation,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ceases to be a complete reference solution and the very definition of stability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Eq. (1)) changes, so whether the same asymmetry holds is outside the scope of this study. (iv) Each scenario has a single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(generated by GA-500), and the effect of the quality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the results has not been examined. (v) Each search structure is represented by a single method (trajectory-based = ILS, population-based = Memetic, with PPX as the sole crossover), and how far the difference between structures depends on the choice of method within each structure or on the crossover scheme has not been examined.</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extension to disruptions that change the operation set, such as rush-job insertion; verification of integrating the scope-limiting approach with the stability-inducing operators (using the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that restricts recombination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direct test of the explanation of H1); and re-verification with Pareto-native methods such as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Derrac, J., García, S., Molina, D., and Herrera, F. (2011) A practical tutorial on the use of nonparametric statistical tests as a methodology for comparing evolutionary and swarm intelligence algorithms.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1, 3-18.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Garey, M. R., Johnson, D. S., and Sethi, R. (1976) The complexity of flowshop and jobshop scheduling. </w:t>
      </w:r>
      <w:r>
        <w:rPr>
          <w:rFonts w:ascii="Times New Roman" w:hAnsi="Times New Roman" w:cs="Times New Roman"/>
          <w:i/>
          <w:sz w:val="17"/>
          <w:szCs w:val="17"/>
        </w:rPr>
        <w:t xml:space="preserve">Mathematics of Operations Research</w:t>
      </w:r>
      <w:r>
        <w:rPr>
          <w:rFonts w:ascii="Times New Roman" w:hAnsi="Times New Roman" w:cs="Times New Roman"/>
          <w:sz w:val="17"/>
          <w:szCs w:val="17"/>
        </w:rPr>
        <w:t xml:space="preserve">, 1, 117-129.</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24,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