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bundle the two objectives into one weighted-sum scalar (Rangsaritratsamee et al., 2004; Katragjini et al., 2013), where stability enters not as an independent mechanism but passively, as a single evaluation term of the objective.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the high-stability threshold P50 is pooled over the compared methods, we swept it over P25–P75: this dichotomy—GA and plain Memetic-LS in the bottom group, the ILS family and operator-equipped Memetic on top—holds at every threshold, and the H1/H2 comparisons behind it never reverse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keeping its direction at the extremes). Only the ordering within the closely packed top group shifts with the threshold.</w:t>
      </w: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