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Of the two response types—static (built-in tolerance) and dynamic (after-the-fact revision)—we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controlled conditions,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We also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for flow shops by Katragjini et al. (2013). These works mostly bundle the two objectives into one weighted-sum scalar, where stability enters not as an independent mechanism but passively, as a single evaluation term of the objective. Of the two metaheuristic families—trajectory-based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actively steers the search toward it: scope limiting excludes trade-off solutions outside the restriction, and objective embedding leaves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Memetic-LS differs from it solely in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 and repair) and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hosts differ only in how it is fired.</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 (Figure 1).</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(reported values are medians over trials unless noted);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for PR and repair alike;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ILS's own filling leaves little headroom; a small margin remains only when the disruption is too large for the filling to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a8"/>
        <w:spacing w:line="240" w:lineRule="exact"/>
        <w:jc w:val="both"/>
      </w:pPr>
      <w:r>
        <w:rPr>
          <w:rFonts w:ascii="Times New Roman" w:hAnsi="Times New Roman" w:cs="Times New Roman"/>
          <w:b/>
        </w:rPr>
        <w:t xml:space="preserve">Threshold robustness.</w:t>
      </w:r>
      <w:r>
        <w:rPr>
          <w:rFonts w:ascii="Times New Roman" w:hAnsi="Times New Roman" w:cs="Times New Roman"/>
        </w:rPr>
        <w:t xml:space="preserve"> The high-stability conclusions above (H1 and H2) do not depend on the P50 cut. Since P50 is pooled over the compared methods, we swept it over P25–P75: no high-stability comparison reverses (H2's population-side gains hold at </w:t>
      </w:r>
      <w:r>
        <w:rPr>
          <w:rFonts w:ascii="Times New Roman" w:hAnsi="Times New Roman" w:cs="Times New Roman"/>
          <w:i/>
        </w:rPr>
        <w:t xml:space="preserve">p</w:t>
      </w:r>
      <w:r>
        <w:rPr>
          <w:rFonts w:ascii="Times New Roman" w:hAnsi="Times New Roman" w:cs="Times New Roman"/>
        </w:rPr>
        <w:t xml:space="preserve">=0.001 at every threshold; H1's complete separation holds over P33–P67), and only orderings among the top methods shift.</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with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(the trajectory fills it natively) and H2 (the operators complement the population's coarseness so it catches up)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that distant region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crossing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with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 rescheduling ratios where ILS's filling cannot keep up (ta21L, 82%), a significant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options avoid the bottom group on all three metrics: Memetic+repair (mid-tier in anytime) when overall quality matters more, the ILS family (mid-tier in union HV) when speed does.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(saturated main conclusions are robust; borderline cases less so).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stability representation,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