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などが取り組んできた。これらは安定性を、(多くは重み付き和の)スカラー目的に畳み込む一評価項として受動的に扱う (Rangsaritratsamee et al., 2004; Katragjini et al., 2013)。また解法は、メタヒューリスティクスの二系統——軌道（単一解）ベースと集団ベース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 と H2 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高安定 HV の閾値 P50 は比較手法プールに相対的なため、P25〜P75 で掃引して確認した：全閾値で GA・素の Memetic-LS が最下位群に留まり ILS 系・機構込み Memetic が上位群を占めるこの二分構造は不変で、それを支える H1・H2 の高安定比較も逆転しない（H2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で保たれ両端でも向きは不変）。閾値で動くのは僅差で密集する上位群の内部順位のみである。</w:t>
      </w: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