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revised schedules must be both efficient (makespan) and stable (small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Filling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hAnsi="Times New Roman" w:cs="Times New Roman"/>
          <w:i/>
        </w:rPr>
        <w:t xml:space="preserve">δ</w:t>
      </w:r>
      <w:r>
        <w:rPr>
          <w:rFonts w:ascii="Times New Roman" w:hAnsi="Times New Roman" w:cs="Times New Roman"/>
        </w:rPr>
        <w:t xml:space="preserve">|=1.0). We further propose a rescheduling-specific adaptation of path relinking whose guiding solution is fixed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and its truncated variant (repair), as stability-inducing operators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Manufacturing shop floors frequently face disruptions—operation delays, machine breakdowns—that make the original schedule infeasible. Of the two response types—static (built-in tolerance) and dynamic (after-the-fact revision)—we address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repairs the executing schedule into a feasible one after a disruption. We focus on </w:t>
      </w:r>
      <w:r>
        <w:rPr>
          <w:rFonts w:ascii="Times New Roman" w:hAnsi="Times New Roman" w:cs="Times New Roman"/>
          <w:i/>
        </w:rPr>
        <w:t xml:space="preserve">operation delays</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efficiency of the revised schedule (makespan, MS) and the amount of change from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(stability) trade off. Large changes incur shop-floor confusion, setup and fixture changeovers, material re-kitting, worker re-assignment, and rippling schedule changes to downstream or outsourced operations, so stability is an objective on par with MS (Wu et al., 1993; Rangsaritratsamee et al., 2004); we formulate </w:t>
      </w:r>
      <w:r>
        <w:rPr>
          <w:rFonts w:ascii="Times New Roman" w:hAnsi="Times New Roman" w:cs="Times New Roman"/>
          <w:i/>
        </w:rPr>
        <w:t xml:space="preserve">multi-objective optimization of efficiency and stability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essential peculiarity of rescheduling is that </w:t>
      </w:r>
      <w:r>
        <w:rPr>
          <w:rFonts w:ascii="Times New Roman" w:hAnsi="Times New Roman" w:cs="Times New Roman"/>
          <w:i/>
        </w:rPr>
        <w:t xml:space="preserve">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already exists as an initial solution, and the revised schedule must deviate little from it</w:t>
      </w:r>
      <w:r>
        <w:rPr>
          <w:rFonts w:ascii="Times New Roman" w:hAnsi="Times New Roman" w:cs="Times New Roman"/>
        </w:rPr>
        <w:t xml:space="preserve">. Optimal solutions are likely distributed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 the evaluation of a search method gains a new axis: not mere global search ability, but </w:t>
      </w:r>
      <w:r>
        <w:rPr>
          <w:rFonts w:ascii="Times New Roman" w:hAnsi="Times New Roman" w:cs="Times New Roman"/>
          <w:i/>
        </w:rPr>
        <w:t xml:space="preserve">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Our aim is to analyze, under controlled conditions,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reshapes the behavior of the two metaheuristic families—trajectory and population. We also propose </w:t>
      </w:r>
      <w:r>
        <w:rPr>
          <w:rFonts w:ascii="Times New Roman" w:hAnsi="Times New Roman" w:cs="Times New Roman"/>
          <w:i/>
        </w:rPr>
        <w:t xml:space="preserve">stability-inducing operators (PR and repair)</w:t>
      </w:r>
      <w:r>
        <w:rPr>
          <w:rFonts w:ascii="Times New Roman" w:hAnsi="Times New Roman" w:cs="Times New Roman"/>
        </w:rPr>
        <w:t xml:space="preserve">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verify the whole comparison under a multi-perspective evaluation methodology integrating Pareto coverage, performance by stability band, and speed. Our focus is the structural analysis of this operator–host interaction rather than a performance race against the state of the art (Sörensen, 2015).</w:t>
      </w:r>
    </w:p>
    <w:p>
      <w:pPr>
        <w:pStyle w:val="2"/>
        <w:spacing w:before="90" w:after="20" w:line="240" w:lineRule="exact"/>
      </w:pPr>
      <w:r>
        <w:rPr>
          <w:rFonts w:ascii="Times New Roman" w:hAnsi="Times New Roman" w:cs="Times New Roman"/>
          <w:sz w:val="22"/>
          <w:szCs w:val="22"/>
        </w:rPr>
        <w:t xml:space="preserve">2. RELATED WORK AND POSITIONING</w:t>
      </w:r>
    </w:p>
    <w:p>
      <w:pPr>
        <w:pStyle w:val="a8"/>
        <w:spacing w:line="240" w:lineRule="exact"/>
        <w:jc w:val="both"/>
      </w:pPr>
      <w:r>
        <w:rPr>
          <w:rFonts w:ascii="Times New Roman" w:hAnsi="Times New Roman" w:cs="Times New Roman"/>
          <w:b/>
        </w:rPr>
        <w:t xml:space="preserve">Joint consideration of efficiency and stability.</w:t>
      </w:r>
      <w:r>
        <w:rPr>
          <w:rFonts w:ascii="Times New Roman" w:hAnsi="Times New Roman" w:cs="Times New Roman"/>
        </w:rPr>
        <w:t xml:space="preserve"> The JSSP is NP-hard and metaheuristics are the mainstream (Ouelhadj and Petrovic, 2009). Joint optimization of efficiency and stability in rescheduling was pioneered by Wu et al. (1993) and pursued for the JSSP by Rangsaritratsamee et al. (2004) (hybrid GA) and for flow shops by Katragjini et al. (2013). These works mostly treat stability passively, as one more evaluation term folded into a (typically weighted-sum) objective (Rangsaritratsamee et al., 2004; Katragjini et al., 2013). Of the two metaheuristic families—trajectory-based (single-solution) and population-based (Blum and Roli, 2003)—the solvers here are </w:t>
      </w:r>
      <w:r>
        <w:rPr>
          <w:rFonts w:ascii="Times New Roman" w:hAnsi="Times New Roman" w:cs="Times New Roman"/>
          <w:i/>
        </w:rPr>
        <w:t xml:space="preserve">predominantly population-based</w:t>
      </w:r>
      <w:r>
        <w:rPr>
          <w:rFonts w:ascii="Times New Roman" w:hAnsi="Times New Roman" w:cs="Times New Roman"/>
        </w:rPr>
        <w:t xml:space="preserve">, anchored in GAs.</w:t>
      </w:r>
    </w:p>
    <w:p>
      <w:pPr>
        <w:pStyle w:val="a8"/>
        <w:spacing w:line="240" w:lineRule="exact"/>
        <w:jc w:val="both"/>
      </w:pPr>
      <w:r>
        <w:rPr>
          <w:rFonts w:ascii="Times New Roman" w:hAnsi="Times New Roman" w:cs="Times New Roman"/>
          <w:b/>
        </w:rPr>
        <w:t xml:space="preserve">Embedding stability as a mechanism (scope-limiting approaches).</w:t>
      </w:r>
      <w:r>
        <w:rPr>
          <w:rFonts w:ascii="Times New Roman" w:hAnsi="Times New Roman" w:cs="Times New Roman"/>
        </w:rPr>
        <w:t xml:space="preserve"> A separate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(Bean et al., 1991), AOR, which reschedules only the affected operations (Abumaizar and Svestka, 1997), Zakaria and Petrovic (2012), who restrict the chromosome to an interval, and Sun et al. (2026), who formalize the scope into a four-level hierarchy. Common to all is guaranteeing stability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 and positioning.</w:t>
      </w:r>
      <w:r>
        <w:rPr>
          <w:rFonts w:ascii="Times New Roman" w:hAnsi="Times New Roman" w:cs="Times New Roman"/>
        </w:rPr>
        <w:t xml:space="preserve"> Three issues remain. First, existing rescheduling studies are predominantly GA-based (population) and lack a controlled contrast with a trajectory-based method; to our knowledge,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search-structure behavior (trajectory vs. population) has not been analyzed head-on; we do so via a controlled contrast between ILS and a memetic algorithm sharing the same local search (N5). Second, neither existing means of securing stability actively steers the search toward it: scope limiting excludes trade-off solutions outside the restriction, and objective embedding leaves high-stability filling to the raw ability of the base search. We propose operators (PR, repair)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securing stability as an operator rather than by restricting the space is our core design claim against the scope-limiting family. Third, existing evaluations are mostly scalar comparisons at a few fixed weights, lacking a multi-axis methodology covering Pareto coverage, stability bands, and convergence speed; we evaluate with union HV, high-stability HV, and AOC (Section 3.4).</w:t>
      </w:r>
    </w:p>
    <w:p>
      <w:pPr>
        <w:pStyle w:val="a8"/>
        <w:spacing w:line="240" w:lineRule="exact"/>
        <w:jc w:val="both"/>
      </w:pPr>
      <w:r>
        <w:rPr>
          <w:rFonts w:ascii="Times New Roman" w:hAnsi="Times New Roman" w:cs="Times New Roman"/>
        </w:rPr>
        <w:t xml:space="preserve">We pose two hypotheses. </w:t>
      </w:r>
      <w:r>
        <w:rPr>
          <w:rFonts w:ascii="Times New Roman" w:hAnsi="Times New Roman" w:cs="Times New Roman"/>
          <w:i/>
        </w:rPr>
        <w:t xml:space="preserve">H1 (suitability)</w:t>
      </w:r>
      <w:r>
        <w:rPr>
          <w:rFonts w:ascii="Times New Roman" w:hAnsi="Times New Roman" w:cs="Times New Roman"/>
        </w:rPr>
        <w:t xml:space="preserve">: a population-based method (memetic) that recombines solutions wholesale by crossover scatters offspring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fills the high-stability region only coarsely, whereas a trajectory-based method (ILS) that fills the neighborhood by continuous transformation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covers it efficiently. </w:t>
      </w:r>
      <w:r>
        <w:rPr>
          <w:rFonts w:ascii="Times New Roman" w:hAnsi="Times New Roman" w:cs="Times New Roman"/>
          <w:i/>
        </w:rPr>
        <w:t xml:space="preserve">H2 (complementarity)</w:t>
      </w:r>
      <w:r>
        <w:rPr>
          <w:rFonts w:ascii="Times New Roman" w:hAnsi="Times New Roman" w:cs="Times New Roman"/>
        </w:rPr>
        <w:t xml:space="preserve">: operators pulling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repair) complement precisely the neighborhood filling that populations are structurally poor at, so their effect appears </w:t>
      </w:r>
      <w:r>
        <w:rPr>
          <w:rFonts w:ascii="Times New Roman" w:hAnsi="Times New Roman" w:cs="Times New Roman"/>
          <w:i/>
        </w:rPr>
        <w:t xml:space="preserve">asymmetrically</w:t>
      </w:r>
      <w:r>
        <w:rPr>
          <w:rFonts w:ascii="Times New Roman" w:hAnsi="Times New Roman" w:cs="Times New Roman"/>
        </w:rPr>
        <w:t xml:space="preserve"> with the host structure (large for the population, marginal for the trajectory).</w:t>
      </w:r>
    </w:p>
    <w:p>
      <w:pPr>
        <w:pStyle w:val="2"/>
        <w:spacing w:before="90" w:after="20" w:line="240" w:lineRule="exact"/>
      </w:pPr>
      <w:r>
        <w:rPr>
          <w:rFonts w:ascii="Times New Roman" w:hAnsi="Times New Roman" w:cs="Times New Roman"/>
          <w:sz w:val="22"/>
          <w:szCs w:val="22"/>
        </w:rPr>
        <w:t xml:space="preserve">3. PROBLEM SETTING AND PROPOSED METHODS</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We target operation delays because they leave the operation set unchanged and can be handled by resequencing alone, so the revised schedule stays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premise on which rescheduling most cleanly rests. After a single operation delay (length </w:t>
      </w:r>
      <w:r>
        <w:rPr>
          <w:rFonts w:ascii="Times New Roman" w:hAnsi="Times New Roman" w:cs="Times New Roman"/>
          <w:i/>
        </w:rPr>
        <w:t xml:space="preserve">Δ</w:t>
      </w:r>
      <w:r>
        <w:rPr>
          <w:rFonts w:ascii="Times New Roman" w:hAnsi="Times New Roman" w:cs="Times New Roman"/>
        </w:rPr>
        <w:t xml:space="preserve">)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reference is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—the schedule the shop floor follows by keeping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absorbing the delay. Operations started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(when the delay is resolved) are </w:t>
      </w:r>
      <w:r>
        <w:rPr>
          <w:rFonts w:ascii="Times New Roman" w:hAnsi="Times New Roman" w:cs="Times New Roman"/>
          <w:i/>
        </w:rPr>
        <w:t xml:space="preserve">frozen</w:t>
      </w:r>
      <w:r>
        <w:rPr>
          <w:rFonts w:ascii="Times New Roman" w:hAnsi="Times New Roman" w:cs="Times New Roman"/>
        </w:rPr>
        <w:t xml:space="preserve">; those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sequences of the target operations; a solution becomes an executable schedule by fixing the frozen part and shifting each operation to its earliest feasible start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under the given machine sequences.</w:t>
      </w:r>
    </w:p>
    <w:p>
      <w:pPr>
        <w:pStyle w:val="a8"/>
        <w:spacing w:line="240" w:lineRule="exact"/>
        <w:jc w:val="both"/>
      </w:pPr>
      <w:r>
        <w:rPr>
          <w:rFonts w:ascii="Times New Roman" w:hAnsi="Times New Roman" w:cs="Times New Roman"/>
          <w:b/>
        </w:rPr>
        <w:t xml:space="preserve">Stability metric.</w:t>
      </w:r>
      <w:r>
        <w:rPr>
          <w:rFonts w:ascii="Times New Roman" w:hAnsi="Times New Roman" w:cs="Times New Roman"/>
        </w:rPr>
        <w:t xml:space="preserve"> Deviation measures fall into two families: (i) start-time deviation (temporal stability) and (ii) processing-sequence (permutation) deviation (sequence stability). Sun et al. (2026), for example, distinguish the two explicitly and adopt the former (the sum of absolute start-time deviations, ADST). We adopt the latter because our search operators (the swap moves of PR/repair, the N5 neighborhood) are all permutation operations and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=0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Temporal stability based on start times is outside this metric's scope—an explicit limitation.</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minimize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jointly via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rPr>
        <w:t xml:space="preserve">Hatted symbols denote min–max normalized values. We sweep the weight over multiple points, merge the solutions, and evaluate Pareto coverage (Section 3.4).</w:t>
      </w:r>
    </w:p>
    <w:p>
      <w:pPr>
        <w:pStyle w:val="a8"/>
        <w:spacing w:line="240" w:lineRule="exact"/>
        <w:jc w:val="both"/>
      </w:pPr>
      <w:r>
        <w:rPr>
          <w:rFonts w:ascii="Times New Roman" w:hAnsi="Times New Roman" w:cs="Times New Roman"/>
          <w:b/>
        </w:rPr>
        <w:t xml:space="preserve">Why weighted scalarization rather than Pareto-native methods.</w:t>
      </w:r>
      <w:r>
        <w:rPr>
          <w:rFonts w:ascii="Times New Roman" w:hAnsi="Times New Roman" w:cs="Times New Roman"/>
        </w:rPr>
        <w:t xml:space="preserve"> First, </w:t>
      </w:r>
      <w:r>
        <w:rPr>
          <w:rFonts w:ascii="Times New Roman" w:hAnsi="Times New Roman" w:cs="Times New Roman"/>
          <w:i/>
        </w:rPr>
        <w:t xml:space="preserve">consistency with operational practice</w:t>
      </w:r>
      <w:r>
        <w:rPr>
          <w:rFonts w:ascii="Times New Roman" w:hAnsi="Times New Roman" w:cs="Times New Roman"/>
        </w:rPr>
        <w:t xml:space="preserve">: the efficiency–stability priority is specified in advance as a weight by the decision maker (the standard rescheduling framework (Rangsaritratsamee et al., 2004)); each weight yields a solution, aligning with the per-weight anytime HV(</w:t>
      </w:r>
      <w:r>
        <w:rPr>
          <w:rFonts w:ascii="Times New Roman" w:hAnsi="Times New Roman" w:cs="Times New Roman"/>
          <w:i/>
        </w:rPr>
        <w:t xml:space="preserve">t</w:t>
      </w:r>
      <w:r>
        <w:rPr>
          <w:rFonts w:ascii="Times New Roman" w:hAnsi="Times New Roman" w:cs="Times New Roman"/>
        </w:rPr>
        <w:t xml:space="preserve">) (AOC, Section 3.4) that measures preference-specific ramp-up. Second, </w:t>
      </w:r>
      <w:r>
        <w:rPr>
          <w:rFonts w:ascii="Times New Roman" w:hAnsi="Times New Roman" w:cs="Times New Roman"/>
          <w:i/>
        </w:rPr>
        <w:t xml:space="preserve">a common basis for controlled comparison</w:t>
      </w:r>
      <w:r>
        <w:rPr>
          <w:rFonts w:ascii="Times New Roman" w:hAnsi="Times New Roman" w:cs="Times New Roman"/>
        </w:rPr>
        <w:t xml:space="preserve">: only by having ILS and the memetic share the same scalar objective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can we mount the same operator on both structures unmodified and isolate structural differences (methods premised on population-specific non-dominated sorting, e.g., NSGA-II, do not fit this control). To avoid dependence on any single weight, we sweep </w:t>
      </w:r>
      <w:r>
        <w:rPr>
          <w:rFonts w:ascii="Times New Roman" w:hAnsi="Times New Roman" w:cs="Times New Roman"/>
          <w:i/>
        </w:rPr>
        <w:t xml:space="preserve">λ</w:t>
      </w:r>
      <w:r>
        <w:rPr>
          <w:rFonts w:ascii="Times New Roman" w:hAnsi="Times New Roman" w:cs="Times New Roman"/>
        </w:rPr>
        <w:t xml:space="preserve"> and merge all non-dominated solutions under UEA (Ishibuchi et al., 2020). The weighted sum misses concave parts of the front (Marler and Arora, 2010), but because all methods are evaluated under identical conditions, the structural discussion is unaffected.</w:t>
      </w:r>
    </w:p>
    <w:p>
      <w:pPr>
        <w:pStyle w:val="2"/>
        <w:spacing w:before="90" w:after="20" w:line="240" w:lineRule="exact"/>
      </w:pPr>
      <w:r>
        <w:rPr>
          <w:rFonts w:ascii="Times New Roman" w:hAnsi="Times New Roman" w:cs="Times New Roman"/>
          <w:sz w:val="22"/>
          <w:szCs w:val="22"/>
        </w:rPr>
        <w:t xml:space="preserve">3.2 Base Search Structures: ILS and Memetic-LS (H1)</w:t>
      </w:r>
    </w:p>
    <w:p>
      <w:pPr>
        <w:pStyle w:val="a8"/>
        <w:spacing w:line="240" w:lineRule="exact"/>
        <w:jc w:val="both"/>
      </w:pPr>
      <w:r>
        <w:rPr>
          <w:rFonts w:ascii="Times New Roman" w:hAnsi="Times New Roman" w:cs="Times New Roman"/>
        </w:rPr>
        <w:t xml:space="preserve">In rescheduling—where the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high-quality and optima lie near it—a trajectory (single-solution) method that continuously transforms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should fill the high-stability region better (H1). We therefore center the comparison on </w:t>
      </w:r>
      <w:r>
        <w:rPr>
          <w:rFonts w:ascii="Times New Roman" w:hAnsi="Times New Roman" w:cs="Times New Roman"/>
          <w:i/>
        </w:rPr>
        <w:t xml:space="preserve">ILS vs. Memetic-LS with the local search (N5) aligned</w:t>
      </w:r>
      <w:r>
        <w:rPr>
          <w:rFonts w:ascii="Times New Roman" w:hAnsi="Times New Roman" w:cs="Times New Roman"/>
        </w:rPr>
        <w:t xml:space="preserve">, removing the local-search confound and contrasting only the search structure.</w:t>
      </w:r>
    </w:p>
    <w:p>
      <w:pPr>
        <w:pStyle w:val="a8"/>
        <w:spacing w:line="240" w:lineRule="exact"/>
        <w:jc w:val="both"/>
      </w:pPr>
      <w:r>
        <w:rPr>
          <w:rFonts w:ascii="Times New Roman" w:hAnsi="Times New Roman" w:cs="Times New Roman"/>
        </w:rPr>
        <w:t xml:space="preserve">Among single-solution methods we adopt ILS (Lourenço et al., 2019) because it cleanly separates exploitation (local search) from escape (perturbation). This separation lets the perturbation strength directly control the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lets the stability-inducing operator (Section 3.3) slot in naturally as a perturbation. The </w:t>
      </w:r>
      <w:r>
        <w:rPr>
          <w:rFonts w:ascii="Times New Roman" w:hAnsi="Times New Roman" w:cs="Times New Roman"/>
          <w:i/>
        </w:rPr>
        <w:t xml:space="preserve">local search</w:t>
      </w:r>
      <w:r>
        <w:rPr>
          <w:rFonts w:ascii="Times New Roman" w:hAnsi="Times New Roman" w:cs="Times New Roman"/>
        </w:rPr>
        <w:t xml:space="preserve"> is the N5 neighborhood standard in the JSSP literature (Nowicki and Smutnicki, 1996), shared by ILS and Memetic-LS: it restricts candidates to adjacent-job swaps at critical-block ends (only moves with a prospect of makespan improvement) but accepts them by their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value. This adjacent swap is a minimal structural change, so it fills the high-stability region in fine increments of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fitting our stability-focused setting. The </w:t>
      </w:r>
      <w:r>
        <w:rPr>
          <w:rFonts w:ascii="Times New Roman" w:hAnsi="Times New Roman" w:cs="Times New Roman"/>
          <w:i/>
        </w:rPr>
        <w:t xml:space="preserve">perturbation</w:t>
      </w:r>
      <w:r>
        <w:rPr>
          <w:rFonts w:ascii="Times New Roman" w:hAnsi="Times New Roman" w:cs="Times New Roman"/>
        </w:rPr>
        <w:t xml:space="preserve"> is an insert move whose strength (=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cycles in a sawtooth with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one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methods (GA / Memetic-LS).</w:t>
      </w:r>
      <w:r>
        <w:rPr>
          <w:rFonts w:ascii="Times New Roman" w:hAnsi="Times New Roman" w:cs="Times New Roman"/>
        </w:rPr>
        <w:t xml:space="preserve"> The population-based counterpart (the control arm for H1) encodes individuals in the operation-based representation (Bierwirth, 1995) (chromosomes decoded by the GT algorithm (Giffler and Thompson, 1960)) with a standard GA (PPX crossover (Bierwirth et al., 1996), inversion mutation, tournament selection with elitism), applying the same N5 to each individual in a Lamarckian manner to form </w:t>
      </w:r>
      <w:r>
        <w:rPr>
          <w:rFonts w:ascii="Times New Roman" w:hAnsi="Times New Roman" w:cs="Times New Roman"/>
          <w:i/>
        </w:rPr>
        <w:t xml:space="preserve">Memetic-LS</w:t>
      </w:r>
      <w:r>
        <w:rPr>
          <w:rFonts w:ascii="Times New Roman" w:hAnsi="Times New Roman" w:cs="Times New Roman"/>
        </w:rPr>
        <w:t xml:space="preserve"> (GA + local-search integration (Neri and Cotta, 2012)); the plain GA is a reference baseline. Sharing N5 with ILS, Memetic-LS differs from it solely in the search structure (single trajectory vs. population + crossover). </w:t>
      </w:r>
      <w:r>
        <w:rPr>
          <w:rFonts w:ascii="Times New Roman" w:hAnsi="Times New Roman" w:cs="Times New Roman"/>
          <w:i/>
        </w:rPr>
        <w:t xml:space="preserve">Crossover is a destructive operation splicing two parents, so offspring readily jump away from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even Memetic-LS with N5 therefore fills the high-stability region only coarsely—the crux of H1.</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5270500" cy="2210209"/>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5270500" cy="221020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search behavior on the (MS, D) plane. (a) population scatters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via crossover; (b) trajectory (ILS)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 PR/repair pulls scattered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3.3 Stability-Inducing Operators: PR/repair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rFonts w:ascii="Times New Roman" w:hAnsi="Times New Roman" w:cs="Times New Roman"/>
          <w:i/>
        </w:rPr>
        <w:t xml:space="preserve">the guiding solution is fixed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path is traced by swap moves—each picks a position where the current per-machine sequence disagrees with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swaps in the operation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has there, advancing one step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—shrinking the disagreements one by one, returning the best solution on the path. Fixing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makes PR uniquely interpretable as a "directed move toward the stability anchor,"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being the optimal endpoint of the stability objective, and (b) lines the intermediates between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rPr>
        <w:t xml:space="preserve">, a local optimum of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up along the MS–stability trade-off, contributing directly to Pareto filling. Each step picks one feasible disagreement swap at random, keeping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 = number of disagreements; no significant HV difference from best-selection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w:t>
      </w:r>
    </w:p>
    <w:p>
      <w:pPr>
        <w:pStyle w:val="a8"/>
        <w:spacing w:line="240" w:lineRule="exact"/>
        <w:jc w:val="both"/>
      </w:pPr>
      <w:r>
        <w:rPr>
          <w:rFonts w:ascii="Times New Roman" w:hAnsi="Times New Roman" w:cs="Times New Roman"/>
          <w:b/>
        </w:rPr>
        <w:t xml:space="preserve">Stability repair kick (repair).</w:t>
      </w:r>
      <w:r>
        <w:rPr>
          <w:rFonts w:ascii="Times New Roman" w:hAnsi="Times New Roman" w:cs="Times New Roman"/>
        </w:rPr>
        <w:t xml:space="preserve"> A mini-PR truncated midway: a few such swap moves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("repairing" the stability lost by drifting), and the local search re-optimizes from the pulled-back solution. Varying the depth (the number of swaps) covers the stability side of the front in a band.</w:t>
      </w:r>
    </w:p>
    <w:p>
      <w:pPr>
        <w:pStyle w:val="a8"/>
        <w:spacing w:line="240" w:lineRule="exact"/>
        <w:jc w:val="both"/>
      </w:pPr>
      <w:r>
        <w:rPr>
          <w:rFonts w:ascii="Times New Roman" w:hAnsi="Times New Roman" w:cs="Times New Roman"/>
          <w:b/>
        </w:rPr>
        <w:t xml:space="preserve">Mounting on the hosts.</w:t>
      </w:r>
      <w:r>
        <w:rPr>
          <w:rFonts w:ascii="Times New Roman" w:hAnsi="Times New Roman" w:cs="Times New Roman"/>
        </w:rPr>
        <w:t xml:space="preserve"> On the trajectory host the operators serve as the perturbation of ILS: they fire upon stagnation, with the repair depth cycling in a sawtooth (Section 3.2). On the population host they are embedded in each individual's refinement: after the local-search pass the operator is applied stochastically to the individual, with the depth drawn at random up to the disagreement count, and the outcome, re-optimized by N5, returns to the population unconditionally, leaving acceptance to tournament selection. What both hosts mount is the identical operator—swap moves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hosts differ only in how it is fired.</w:t>
      </w:r>
    </w:p>
    <w:p>
      <w:pPr>
        <w:pStyle w:val="a8"/>
        <w:spacing w:line="240" w:lineRule="exact"/>
        <w:jc w:val="both"/>
      </w:pPr>
      <w:r>
        <w:rPr>
          <w:rFonts w:ascii="Times New Roman" w:hAnsi="Times New Roman" w:cs="Times New Roman"/>
          <w:b/>
        </w:rPr>
        <w:t xml:space="preserve">H2 (complementarity hypothesis).</w:t>
      </w:r>
      <w:r>
        <w:rPr>
          <w:rFonts w:ascii="Times New Roman" w:hAnsi="Times New Roman" w:cs="Times New Roman"/>
        </w:rPr>
        <w:t xml:space="preserve"> PR and repair both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complementing exactly the high-stability filling that population-based search is poor at; ILS has already filled the neighborhood by itself (H1), leaving little headroom. The mechanism lies in solution redundancy and path length: GA-derived solutions are not MS-optimized as rigorously as N5 achieves—leaving redundant sequences whose stability can improve without hurting MS—and sit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long PR paths, while ILS clings to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short paths. Hence we predict </w:t>
      </w:r>
      <w:r>
        <w:rPr>
          <w:rFonts w:ascii="Times New Roman" w:hAnsi="Times New Roman" w:cs="Times New Roman"/>
          <w:i/>
        </w:rPr>
        <w:t xml:space="preserve">an asymmetry: large effects on the population, marginal on the trajectory</w:t>
      </w:r>
      <w:r>
        <w:rPr>
          <w:rFonts w:ascii="Times New Roman" w:hAnsi="Times New Roman" w:cs="Times New Roman"/>
        </w:rPr>
        <w:t xml:space="preserve"> (Figure 1).</w:t>
      </w:r>
    </w:p>
    <w:p>
      <w:pPr>
        <w:pStyle w:val="a8"/>
        <w:spacing w:line="240" w:lineRule="exact"/>
        <w:jc w:val="both"/>
      </w:pPr>
      <w:r>
        <w:rPr>
          <w:rFonts w:ascii="Times New Roman" w:hAnsi="Times New Roman" w:cs="Times New Roman"/>
        </w:rPr>
        <w:t xml:space="preserve">We study seven methods: ILS-baseline / ILS+repair / ILS+PR / GA / Memetic-LS / Memetic+PR / Memetic+repair.</w:t>
      </w:r>
    </w:p>
    <w:p>
      <w:pPr>
        <w:pStyle w:val="2"/>
        <w:spacing w:before="90" w:after="20" w:line="240" w:lineRule="exact"/>
      </w:pPr>
      <w:r>
        <w:rPr>
          <w:rFonts w:ascii="Times New Roman" w:hAnsi="Times New Roman" w:cs="Times New Roman"/>
          <w:sz w:val="22"/>
          <w:szCs w:val="22"/>
        </w:rPr>
        <w:t xml:space="preserve">3.4 Evaluation Framework</w:t>
      </w:r>
    </w:p>
    <w:p>
      <w:pPr>
        <w:pStyle w:val="a8"/>
        <w:spacing w:line="240" w:lineRule="exact"/>
        <w:jc w:val="both"/>
      </w:pPr>
      <w:r>
        <w:rPr>
          <w:rFonts w:ascii="Times New Roman" w:hAnsi="Times New Roman" w:cs="Times New Roman"/>
        </w:rPr>
        <w:t xml:space="preserve">Because a single-weight scalar comparison is weight-dependent and blind to trade-off coverage, we sweep </w:t>
      </w:r>
      <w:r>
        <w:rPr>
          <w:rFonts w:ascii="Times New Roman" w:hAnsi="Times New Roman" w:cs="Times New Roman"/>
          <w:i/>
        </w:rPr>
        <w:t xml:space="preserve">λ</w:t>
      </w:r>
      <w:r>
        <w:rPr>
          <w:rFonts w:ascii="Times New Roman" w:hAnsi="Times New Roman" w:cs="Times New Roman"/>
        </w:rPr>
        <w:t xml:space="preserve"> (weighted-sum sweep) and measure Pareto coverage under </w:t>
      </w:r>
      <w:r>
        <w:rPr>
          <w:rFonts w:ascii="Times New Roman" w:hAnsi="Times New Roman" w:cs="Times New Roman"/>
          <w:i/>
        </w:rPr>
        <w:t xml:space="preserve">UEA</w:t>
      </w:r>
      <w:r>
        <w:rPr>
          <w:rFonts w:ascii="Times New Roman" w:hAnsi="Times New Roman" w:cs="Times New Roman"/>
        </w:rPr>
        <w:t xml:space="preserve"> (Ishibuchi et al., 2020), which archives all non-dominated solutions visited. Rescheduling also values stable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over the efficiency extreme, and anytime availability of a good solution matters operationally. Three metrics answer the three questions—</w:t>
      </w:r>
      <w:r>
        <w:rPr>
          <w:rFonts w:ascii="Times New Roman" w:hAnsi="Times New Roman" w:cs="Times New Roman"/>
          <w:i/>
        </w:rPr>
        <w:t xml:space="preserve">overall quality, filling with stable solutions, speed</w:t>
      </w:r>
      <w:r>
        <w:rPr>
          <w:rFonts w:ascii="Times New Roman" w:hAnsi="Times New Roman" w:cs="Times New Roman"/>
        </w:rPr>
        <w:t xml:space="preserve">: </w:t>
      </w:r>
      <w:r>
        <w:rPr>
          <w:rFonts w:ascii="Times New Roman" w:hAnsi="Times New Roman" w:cs="Times New Roman"/>
          <w:i/>
        </w:rPr>
        <w:t xml:space="preserve">union HV (overall quality)</w:t>
      </w:r>
      <w:r>
        <w:rPr>
          <w:rFonts w:ascii="Times New Roman" w:hAnsi="Times New Roman" w:cs="Times New Roman"/>
        </w:rPr>
        <w:t xml:space="preserve"> = hypervolume over the whole region; </w:t>
      </w:r>
      <w:r>
        <w:rPr>
          <w:rFonts w:ascii="Times New Roman" w:hAnsi="Times New Roman" w:cs="Times New Roman"/>
          <w:i/>
        </w:rPr>
        <w:t xml:space="preserve">high-stability HV (primary)</w:t>
      </w:r>
      <w:r>
        <w:rPr>
          <w:rFonts w:ascii="Times New Roman" w:hAnsi="Times New Roman" w:cs="Times New Roman"/>
        </w:rPr>
        <w:t xml:space="preserve"> = hypervolume restricted to </w:t>
      </w:r>
      <w:r>
        <w:rPr>
          <w:rFonts w:ascii="Times New Roman" w:hAnsi="Times New Roman" w:cs="Times New Roman"/>
          <w:i/>
        </w:rPr>
        <w:t xml:space="preserve">D</w:t>
      </w:r>
      <w:r>
        <w:rPr>
          <w:rFonts w:ascii="Times New Roman" w:hAnsi="Times New Roman" w:cs="Times New Roman"/>
        </w:rPr>
        <w:t xml:space="preserve"> &lt; P50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P50 being the median </w:t>
      </w:r>
      <w:r>
        <w:rPr>
          <w:rFonts w:ascii="Times New Roman" w:hAnsi="Times New Roman" w:cs="Times New Roman"/>
          <w:i/>
        </w:rPr>
        <w:t xml:space="preserve">D</w:t>
      </w:r>
      <w:r>
        <w:rPr>
          <w:rFonts w:ascii="Times New Roman" w:hAnsi="Times New Roman" w:cs="Times New Roman"/>
        </w:rPr>
        <w:t xml:space="preserve"> of Pareto solutions pooled over all methods and trials; </w:t>
      </w:r>
      <w:r>
        <w:rPr>
          <w:rFonts w:ascii="Times New Roman" w:hAnsi="Times New Roman" w:cs="Times New Roman"/>
          <w:i/>
        </w:rPr>
        <w:t xml:space="preserve">AOC (anytime performance (López-Ibáñez and Stützle, 2014))</w:t>
      </w:r>
      <w:r>
        <w:rPr>
          <w:rFonts w:ascii="Times New Roman" w:hAnsi="Times New Roman" w:cs="Times New Roman"/>
        </w:rPr>
        <w:t xml:space="preserve"> = the time average of the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per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The anytime HV(</w:t>
      </w:r>
      <w:r>
        <w:rPr>
          <w:rFonts w:ascii="Times New Roman" w:hAnsi="Times New Roman" w:cs="Times New Roman"/>
          <w:i/>
        </w:rPr>
        <w:t xml:space="preserve">t</w:t>
      </w:r>
      <w:r>
        <w:rPr>
          <w:rFonts w:ascii="Times New Roman" w:hAnsi="Times New Roman" w:cs="Times New Roman"/>
        </w:rPr>
        <w:t xml:space="preserve">) for AOC is measured on the wall clock, with the integration window </w:t>
      </w:r>
      <w:r>
        <w:rPr>
          <w:rFonts w:ascii="Times New Roman" w:hAnsi="Times New Roman" w:cs="Times New Roman"/>
          <w:i/>
        </w:rPr>
        <w:t xml:space="preserve">common to all methods</w:t>
      </w:r>
      <w:r>
        <w:rPr>
          <w:rFonts w:ascii="Times New Roman" w:hAnsi="Times New Roman" w:cs="Times New Roman"/>
        </w:rPr>
        <w:t xml:space="preserve"> and the same logarithmic-width normalization (apples-to-apples). AOC averages the anytime HV(</w:t>
      </w:r>
      <w:r>
        <w:rPr>
          <w:rFonts w:ascii="Times New Roman" w:hAnsi="Times New Roman" w:cs="Times New Roman"/>
          <w:i/>
        </w:rPr>
        <w:t xml:space="preserve">t</w:t>
      </w:r>
      <w:r>
        <w:rPr>
          <w:rFonts w:ascii="Times New Roman" w:hAnsi="Times New Roman" w:cs="Times New Roman"/>
        </w:rPr>
        <w:t xml:space="preserve">) over the 10-weight sweep.</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Within each scenario we use the one-sided Wilcoxon signed-rank test (paired by trial; one-sided since H1 and H2 fix the direction in advance) plus Cliff's </w:t>
      </w:r>
      <w:r>
        <w:rPr>
          <w:rFonts w:ascii="Times New Roman" w:hAnsi="Times New Roman" w:cs="Times New Roman"/>
          <w:i/>
        </w:rPr>
        <w:t xml:space="preserve">δ</w:t>
      </w:r>
      <w:r>
        <w:rPr>
          <w:rFonts w:ascii="Times New Roman" w:hAnsi="Times New Roman" w:cs="Times New Roman"/>
        </w:rPr>
        <w:t xml:space="preserve">. When |</w:t>
      </w:r>
      <w:r>
        <w:rPr>
          <w:rFonts w:ascii="Times New Roman" w:hAnsi="Times New Roman" w:cs="Times New Roman"/>
          <w:i/>
        </w:rPr>
        <w:t xml:space="preserve">δ</w:t>
      </w:r>
      <w:r>
        <w:rPr>
          <w:rFonts w:ascii="Times New Roman" w:hAnsi="Times New Roman" w:cs="Times New Roman"/>
        </w:rPr>
        <w:t xml:space="preserve">|=1.0 (complete separation), the one-sided Wilcoxon with n=10 reaches its lower bound </w:t>
      </w:r>
      <w:r>
        <w:rPr>
          <w:rFonts w:ascii="Times New Roman" w:hAnsi="Times New Roman" w:cs="Times New Roman"/>
          <w:i/>
        </w:rPr>
        <w:t xml:space="preserve">p</w:t>
      </w:r>
      <w:r>
        <w:rPr>
          <w:rFonts w:ascii="Times New Roman" w:hAnsi="Times New Roman" w:cs="Times New Roman"/>
        </w:rPr>
        <w:t xml:space="preserve"> ≈ 0.001, so "</w:t>
      </w:r>
      <w:r>
        <w:rPr>
          <w:rFonts w:ascii="Times New Roman" w:hAnsi="Times New Roman" w:cs="Times New Roman"/>
          <w:i/>
        </w:rPr>
        <w:t xml:space="preserve">p</w:t>
      </w:r>
      <w:r>
        <w:rPr>
          <w:rFonts w:ascii="Times New Roman" w:hAnsi="Times New Roman" w:cs="Times New Roman"/>
        </w:rPr>
        <w:t xml:space="preserve">=0.001" below signifies complete directional consistency (magnitudes are reported via </w:t>
      </w:r>
      <w:r>
        <w:rPr>
          <w:rFonts w:ascii="Times New Roman" w:hAnsi="Times New Roman" w:cs="Times New Roman"/>
          <w:i/>
        </w:rPr>
        <w:t xml:space="preserve">δ</w:t>
      </w:r>
      <w:r>
        <w:rPr>
          <w:rFonts w:ascii="Times New Roman" w:hAnsi="Times New Roman" w:cs="Times New Roman"/>
        </w:rPr>
        <w:t xml:space="preserve"> and ratios). Cross-scenario tendencies are summarized by Friedman tests, average ranks, and Kendall's </w:t>
      </w:r>
      <w:r>
        <w:rPr>
          <w:rFonts w:ascii="Times New Roman" w:hAnsi="Times New Roman" w:cs="Times New Roman"/>
          <w:i/>
        </w:rPr>
        <w:t xml:space="preserve">W</w:t>
      </w:r>
      <w:r>
        <w:rPr>
          <w:rFonts w:ascii="Times New Roman" w:hAnsi="Times New Roman" w:cs="Times New Roman"/>
        </w:rPr>
        <w:t xml:space="preserve">; since the eight scenarios derive from five instances and the la36 ladder and ta21 pair vary only the disruption within one instance, these cross statistics are an </w:t>
      </w:r>
      <w:r>
        <w:rPr>
          <w:rFonts w:ascii="Times New Roman" w:hAnsi="Times New Roman" w:cs="Times New Roman"/>
          <w:i/>
        </w:rPr>
        <w:t xml:space="preserve">exploratory summary of rank consistency</w:t>
      </w:r>
      <w:r>
        <w:rPr>
          <w:rFonts w:ascii="Times New Roman" w:hAnsi="Times New Roman" w:cs="Times New Roman"/>
        </w:rPr>
        <w:t xml:space="preserve">, not independent-sample tests. Magnitudes are also given as ARPD% ((best − </w:t>
      </w:r>
      <w:r>
        <w:rPr>
          <w:rFonts w:ascii="Times New Roman" w:hAnsi="Times New Roman" w:cs="Times New Roman"/>
          <w:i/>
        </w:rPr>
        <w:t xml:space="preserve">x</w:t>
      </w:r>
      <w:r>
        <w:rPr>
          <w:rFonts w:ascii="Times New Roman" w:hAnsi="Times New Roman" w:cs="Times New Roman"/>
        </w:rPr>
        <w:t xml:space="preserve">)/best × 100; lower is better).</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establishes H1 (Section 4.2, the trajectory's suitability for the high-stability region) and H2 (Section 4.3, the host-dependent asymmetric effect of the same operator) through controlled pairwise comparisons, then surveys their implications—a complementary structure in which the best method changes with the evaluation axis—with an overall scoreboard (Section 4.4).</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Benchmarks: mt10, la21, la36, la40, ta21. Disruptions total 8 scenarios: la36S/la36M/la36L (27/54/73%), ta21S/ta21L (32/82%), mt10 (72%), la21 (35%), la40 (32%), where the percentage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—the fraction of all operations that became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—which we use as the control axis. In particular, the </w:t>
      </w:r>
      <w:r>
        <w:rPr>
          <w:rFonts w:ascii="Times New Roman" w:hAnsi="Times New Roman" w:cs="Times New Roman"/>
          <w:i/>
        </w:rPr>
        <w:t xml:space="preserve">la36 ladder</w:t>
      </w:r>
      <w:r>
        <w:rPr>
          <w:rFonts w:ascii="Times New Roman" w:hAnsi="Times New Roman" w:cs="Times New Roman"/>
        </w:rPr>
        <w:t xml:space="preserve"> (27/54/73%) and the </w:t>
      </w:r>
      <w:r>
        <w:rPr>
          <w:rFonts w:ascii="Times New Roman" w:hAnsi="Times New Roman" w:cs="Times New Roman"/>
          <w:i/>
        </w:rPr>
        <w:t xml:space="preserve">ta21 pair</w:t>
      </w:r>
      <w:r>
        <w:rPr>
          <w:rFonts w:ascii="Times New Roman" w:hAnsi="Times New Roman" w:cs="Times New Roman"/>
        </w:rPr>
        <w:t xml:space="preserve"> (32/82%) vary only the rescheduling ratio stepwise within the same instance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isolating the </w:t>
      </w:r>
      <w:r>
        <w:rPr>
          <w:rFonts w:ascii="Times New Roman" w:hAnsi="Times New Roman" w:cs="Times New Roman"/>
          <w:i/>
        </w:rPr>
        <w:t xml:space="preserve">ρ</w:t>
      </w:r>
      <w:r>
        <w:rPr>
          <w:rFonts w:ascii="Times New Roman" w:hAnsi="Times New Roman" w:cs="Times New Roman"/>
        </w:rPr>
        <w:t xml:space="preserve">-dependence of method differences without confounds. Each disruption is a one-operation completion delay with </w:t>
      </w:r>
      <w:r>
        <w:rPr>
          <w:rFonts w:ascii="Times New Roman" w:hAnsi="Times New Roman" w:cs="Times New Roman"/>
          <w:i/>
        </w:rPr>
        <w:t xml:space="preserve">Δ</w:t>
      </w:r>
      <w:r>
        <w:rPr>
          <w:rFonts w:ascii="Times New Roman" w:hAnsi="Times New Roman" w:cs="Times New Roman"/>
        </w:rPr>
        <w:t xml:space="preserve">=60–148 (≈0.9–1.5× the affected operation's processing time), and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is its delay-resolution time (Section 3.1). Complete per-scenario definitions are in the public repository (https://github.com/kitotakumi/stability_scheduling).</w:t>
      </w:r>
    </w:p>
    <w:p>
      <w:pPr>
        <w:pStyle w:val="a8"/>
        <w:spacing w:line="240" w:lineRule="exact"/>
        <w:jc w:val="both"/>
      </w:pPr>
      <w:r>
        <w:rPr>
          <w:rFonts w:ascii="Times New Roman" w:hAnsi="Times New Roman" w:cs="Times New Roman"/>
          <w:b/>
        </w:rPr>
        <w:t xml:space="preserve">Weights and trials.</w:t>
      </w:r>
      <w:r>
        <w:rPr>
          <w:rFonts w:ascii="Times New Roman" w:hAnsi="Times New Roman" w:cs="Times New Roman"/>
        </w:rPr>
        <w:t xml:space="preserve"> </w:t>
      </w:r>
      <w:r>
        <w:rPr>
          <w:rFonts w:ascii="Times New Roman" w:hAnsi="Times New Roman" w:cs="Times New Roman"/>
          <w:i/>
        </w:rPr>
        <w:t xml:space="preserve">λ</w:t>
      </w:r>
      <w:r>
        <w:rPr>
          <w:rFonts w:ascii="Times New Roman" w:hAnsi="Times New Roman" w:cs="Times New Roman"/>
        </w:rPr>
        <w:t xml:space="preserve"> is swept over 10 points (0–0.9, step 0.1; the pure-stability endpoint </w:t>
      </w:r>
      <w:r>
        <w:rPr>
          <w:rFonts w:ascii="Times New Roman" w:hAnsi="Times New Roman" w:cs="Times New Roman"/>
          <w:i/>
        </w:rPr>
        <w:t xml:space="preserve">λ</w:t>
      </w:r>
      <w:r>
        <w:rPr>
          <w:rFonts w:ascii="Times New Roman" w:hAnsi="Times New Roman" w:cs="Times New Roman"/>
        </w:rPr>
        <w:t xml:space="preserve">=1.0 is excluded since the optimum degenerates to the trivial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10 trials per (scenario × method). The unit of analysis is one trial (the whole 10-weight sweep), yielding one HV per trial (reported values are medians over trials unless noted); all tests use n=10.</w:t>
      </w:r>
    </w:p>
    <w:p>
      <w:pPr>
        <w:pStyle w:val="a8"/>
        <w:spacing w:line="240" w:lineRule="exact"/>
        <w:jc w:val="both"/>
      </w:pPr>
      <w:r>
        <w:rPr>
          <w:rFonts w:ascii="Times New Roman" w:hAnsi="Times New Roman" w:cs="Times New Roman"/>
          <w:b/>
        </w:rPr>
        <w:t xml:space="preserve">Computational budget.</w:t>
      </w:r>
      <w:r>
        <w:rPr>
          <w:rFonts w:ascii="Times New Roman" w:hAnsi="Times New Roman" w:cs="Times New Roman"/>
        </w:rPr>
        <w:t xml:space="preserve"> ILS iteration cap 3000; GA/memetic 500 generations (both budgets large enough for natural convergence). Iterations and generations differ in unit, so nominal values are aligned within each family and cross-method speed is compared by wall-clock AOC. Wall-clock time differs across families (Memetic+PR is 5–8× ILS), but a convergence check over all seven methods shows the median run reaching 99% of its final HV within half its budget—so the gap is not a truncation artifact.</w:t>
      </w:r>
    </w:p>
    <w:p>
      <w:pPr>
        <w:pStyle w:val="a8"/>
        <w:spacing w:line="240" w:lineRule="exact"/>
        <w:jc w:val="both"/>
      </w:pPr>
      <w:r>
        <w:rPr>
          <w:rFonts w:ascii="Times New Roman" w:hAnsi="Times New Roman" w:cs="Times New Roman"/>
          <w:b/>
        </w:rPr>
        <w:t xml:space="preserve">Initial solution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b/>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schedule generated by GA-500. All methods receive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common start (ILS as the initial solution; GA/memetic within the initial population).</w:t>
      </w:r>
    </w:p>
    <w:p>
      <w:pPr>
        <w:pStyle w:val="a8"/>
        <w:spacing w:line="240" w:lineRule="exact"/>
        <w:jc w:val="both"/>
      </w:pPr>
      <w:r>
        <w:rPr>
          <w:rFonts w:ascii="Times New Roman" w:hAnsi="Times New Roman" w:cs="Times New Roman"/>
          <w:b/>
        </w:rPr>
        <w:t xml:space="preserve">Search-structure settings (population: GA/Memetic; trajectory: ILS).</w:t>
      </w:r>
      <w:r>
        <w:rPr>
          <w:rFonts w:ascii="Times New Roman" w:hAnsi="Times New Roman" w:cs="Times New Roman"/>
        </w:rPr>
        <w:t xml:space="preserve"> The population (GA/Memetic) fixes the GA backbone (</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rPr>
        <w:t xml:space="preserve">=0.1, pop=50) at standard values, not an independent variable. The trajectory (ILS) cycles the insert perturbation strength (number of insert moves) over 2–5 in a sawtooth (Section 3.2).</w:t>
      </w:r>
    </w:p>
    <w:p>
      <w:pPr>
        <w:pStyle w:val="a8"/>
        <w:spacing w:line="240" w:lineRule="exact"/>
        <w:jc w:val="both"/>
      </w:pPr>
      <w:r>
        <w:rPr>
          <w:rFonts w:ascii="Times New Roman" w:hAnsi="Times New Roman" w:cs="Times New Roman"/>
          <w:b/>
        </w:rPr>
        <w:t xml:space="preserve">Stability-inducing operator (PR/repair) settings.</w:t>
      </w:r>
      <w:r>
        <w:rPr>
          <w:rFonts w:ascii="Times New Roman" w:hAnsi="Times New Roman" w:cs="Times New Roman"/>
        </w:rPr>
        <w:t xml:space="preserve"> Firing conditions differ by host. On the population host the operator fires with probability 0.3 per individual, its depth drawn at random up to the disagreement count (for PR, N5 re-optimizes the top-3 path intermediates). On the trajectory host it fires as a perturbation upon stagnation—thresholded at 400 stagnant iterations for the first kick (letting the initial descent converge) and 10 thereafter (PR uses k=1, the single best intermediate; the repair depth sweeps the full path length—the disagreement count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—in a sawtooth). All values are common to the eight scenarios, not tuned per instance.</w:t>
      </w:r>
    </w:p>
    <w:p>
      <w:pPr>
        <w:pStyle w:val="a8"/>
        <w:spacing w:line="240" w:lineRule="exact"/>
        <w:jc w:val="both"/>
      </w:pPr>
      <w:r>
        <w:rPr>
          <w:rFonts w:ascii="Times New Roman" w:hAnsi="Times New Roman" w:cs="Times New Roman"/>
          <w:b/>
        </w:rPr>
        <w:t xml:space="preserve">Environment and reproducibility.</w:t>
      </w:r>
      <w:r>
        <w:rPr>
          <w:rFonts w:ascii="Times New Roman" w:hAnsi="Times New Roman" w:cs="Times New Roman"/>
        </w:rPr>
        <w:t xml:space="preserve"> AMD Ryzen 5 7530U; Python 3.12 (NumPy, DEAP, SciPy). All seeds fixed. Code is available in the same repository.</w:t>
      </w:r>
    </w:p>
    <w:p>
      <w:pPr>
        <w:pStyle w:val="2"/>
        <w:spacing w:before="90" w:after="20" w:line="240" w:lineRule="exact"/>
      </w:pPr>
      <w:r>
        <w:rPr>
          <w:rFonts w:ascii="Times New Roman" w:hAnsi="Times New Roman" w:cs="Times New Roman"/>
          <w:sz w:val="22"/>
          <w:szCs w:val="22"/>
        </w:rPr>
        <w:t xml:space="preserve">4.2 Result 1: Trajectory (ILS) vs. Population (Memetic) (H1)</w:t>
      </w:r>
    </w:p>
    <w:p>
      <w:pPr>
        <w:pStyle w:val="a8"/>
        <w:spacing w:line="240" w:lineRule="exact"/>
        <w:jc w:val="both"/>
      </w:pPr>
      <w:r>
        <w:rPr>
          <w:rFonts w:ascii="Times New Roman" w:hAnsi="Times New Roman" w:cs="Times New Roman"/>
        </w:rPr>
        <w:t xml:space="preserve">To avoid operator confounds, we compare ILS-baseline and Memetic-LS with the local search aligned. The high-stability gap is therefore attributable to the fact that even a competent population with the same local search cannot structurally fill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of crossover. Figure 2 shows the results.</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Union HV: comparable</w:t>
      </w:r>
      <w:r>
        <w:rPr>
          <w:rFonts w:ascii="Times New Roman" w:hAnsi="Times New Roman" w:cs="Times New Roman"/>
        </w:rPr>
        <w:t xml:space="preserve"> (ILS 5 wins, Memetic 3). Memetic wins precisely on the scenarios with large improvement headroom at mid-to-high rescheduling ratios (la36M, mt10, la36L; 54–73%), the winner switching with the ratio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High-stability HV (primary): ILS wins in all 8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In the three low-ratio scenarios (la36S, ta21S, la40), Memetic-LS places not a single solution in the high-stability region—only ILS covers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the remaining five, ILS is 2–4.5×. With |</w:t>
      </w:r>
      <w:r>
        <w:rPr>
          <w:rFonts w:ascii="Times New Roman" w:hAnsi="Times New Roman" w:cs="Times New Roman"/>
          <w:i/>
        </w:rPr>
        <w:t xml:space="preserve">δ</w:t>
      </w:r>
      <w:r>
        <w:rPr>
          <w:rFonts w:ascii="Times New Roman" w:hAnsi="Times New Roman" w:cs="Times New Roman"/>
        </w:rPr>
        <w:t xml:space="preserve">|=1.0, significance survives Holm correction over the 8-scenario family everywhere.</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AOC: ILS significantly ahead in 6/8</w:t>
      </w:r>
      <w:r>
        <w:rPr>
          <w:rFonts w:ascii="Times New Roman" w:hAnsi="Times New Roman" w:cs="Times New Roman"/>
        </w:rPr>
        <w:t xml:space="preserve"> (exceptions: la36S and 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H1—(a) union HV is comparable, but (b) high-stability HV favors ILS in all 8 scenarios, and (c) AOC favors ILS in 6/8 (ILS-baseline vs. Memetic-LS, medians;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Structural cause (visit-density difference map, Figure 3).</w:t>
      </w:r>
      <w:r>
        <w:rPr>
          <w:rFonts w:ascii="Times New Roman" w:hAnsi="Times New Roman" w:cs="Times New Roman"/>
        </w:rPr>
        <w:t xml:space="preserve"> The per-method normalized visit-density difference on an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grid shows ILS concentrating on the low-</w:t>
      </w:r>
      <w:r>
        <w:rPr>
          <w:rFonts w:ascii="Times New Roman" w:hAnsi="Times New Roman" w:cs="Times New Roman"/>
          <w:i/>
        </w:rPr>
        <w:t xml:space="preserve">D</w:t>
      </w:r>
      <w:r>
        <w:rPr>
          <w:rFonts w:ascii="Times New Roman" w:hAnsi="Times New Roman" w:cs="Times New Roman"/>
        </w:rPr>
        <w:t xml:space="preserve"> front band while Memetic disperses into the high-</w:t>
      </w:r>
      <w:r>
        <w:rPr>
          <w:rFonts w:ascii="Times New Roman" w:hAnsi="Times New Roman" w:cs="Times New Roman"/>
          <w:i/>
        </w:rPr>
        <w:t xml:space="preserve">D</w:t>
      </w:r>
      <w:r>
        <w:rPr>
          <w:rFonts w:ascii="Times New Roman" w:hAnsi="Times New Roman" w:cs="Times New Roman"/>
        </w:rPr>
        <w:t xml:space="preserve"> unstable region. The population does visit low </w:t>
      </w:r>
      <w:r>
        <w:rPr>
          <w:rFonts w:ascii="Times New Roman" w:hAnsi="Times New Roman" w:cs="Times New Roman"/>
          <w:i/>
        </w:rPr>
        <w:t xml:space="preserve">D</w:t>
      </w:r>
      <w:r>
        <w:rPr>
          <w:rFonts w:ascii="Times New Roman" w:hAnsi="Times New Roman" w:cs="Times New Roman"/>
        </w:rPr>
        <w:t xml:space="preserve">, but destructive crossover keeps it from refining MS there as thoroughly as the continuously transforming ILS, even with the same N5; at equal low </w:t>
      </w:r>
      <w:r>
        <w:rPr>
          <w:rFonts w:ascii="Times New Roman" w:hAnsi="Times New Roman" w:cs="Times New Roman"/>
          <w:i/>
        </w:rPr>
        <w:t xml:space="preserve">D</w:t>
      </w:r>
      <w:r>
        <w:rPr>
          <w:rFonts w:ascii="Times New Roman" w:hAnsi="Times New Roman" w:cs="Times New Roman"/>
        </w:rPr>
        <w:t xml:space="preserve"> its solutions lose to ILS in MS and fail to fill the region in the Pareto sense—the structural cause of the high-stability HV gap. Holding many solutions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also lengthens the paths, creating exactly the headroom the operators (PR/repair) can fill by pulling back—picked up in H2 (Section 4.3).</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Structural cause of H1—normalized visit-density difference maps (red: ILS-baseline denser; blue: Memetic-LS denser; sign·√|Δ|); orange: ILS PF; green: Memetic PF. Four representative scenarios; the rest are in the repository.</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4.3 Result 2: Asymmetric Effects of the PR/repair Operators (H2)</w:t>
      </w:r>
    </w:p>
    <w:p>
      <w:pPr>
        <w:pStyle w:val="a8"/>
        <w:spacing w:line="240" w:lineRule="exact"/>
        <w:jc w:val="both"/>
      </w:pPr>
      <w:r>
        <w:rPr>
          <w:rFonts w:ascii="Times New Roman" w:hAnsi="Times New Roman" w:cs="Times New Roman"/>
        </w:rPr>
        <w:t xml:space="preserve">We examine the high-stability HV gain from adding the operators to each baseline, by host (Figure 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Population (Memetic): substantial improvement</w:t>
      </w:r>
      <w:r>
        <w:rPr>
          <w:rFonts w:ascii="Times New Roman" w:hAnsi="Times New Roman" w:cs="Times New Roman"/>
        </w:rPr>
        <w:t xml:space="preserve"> (more than 2× in all 8 scenarios,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The operators directly fill the previously unreachable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population </w:t>
      </w:r>
      <w:r>
        <w:rPr>
          <w:rFonts w:ascii="Times New Roman" w:hAnsi="Times New Roman" w:cs="Times New Roman"/>
          <w:i/>
        </w:rPr>
        <w:t xml:space="preserve">catches up with ILS in the high-stability region and overtakes it in overall quality (union HV)</w:t>
      </w:r>
      <w:r>
        <w:rPr>
          <w:rFonts w:ascii="Times New Roman" w:hAnsi="Times New Roman" w:cs="Times New Roman"/>
        </w:rPr>
        <w:t xml:space="preserve">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Trajectory (ILS): mostly saturated.</w:t>
      </w:r>
      <w:r>
        <w:rPr>
          <w:rFonts w:ascii="Times New Roman" w:hAnsi="Times New Roman" w:cs="Times New Roman"/>
        </w:rPr>
        <w:t xml:space="preserve"> In most scenarios the baseline has already filled the high-stability region, tying at the ceiling. The operators are significant </w:t>
      </w:r>
      <w:r>
        <w:rPr>
          <w:rFonts w:ascii="Times New Roman" w:hAnsi="Times New Roman" w:cs="Times New Roman"/>
          <w:i/>
        </w:rPr>
        <w:t xml:space="preserve">only in the highest-ratio band: la36L (73%) and ta21L (82%)</w:t>
      </w:r>
      <w:r>
        <w:rPr>
          <w:rFonts w:ascii="Times New Roman" w:hAnsi="Times New Roman" w:cs="Times New Roman"/>
        </w:rPr>
        <w:t xml:space="preserve"> (raw </w:t>
      </w:r>
      <w:r>
        <w:rPr>
          <w:rFonts w:ascii="Times New Roman" w:hAnsi="Times New Roman" w:cs="Times New Roman"/>
          <w:i/>
        </w:rPr>
        <w:t xml:space="preserve">p</w:t>
      </w:r>
      <w:r>
        <w:rPr>
          <w:rFonts w:ascii="Times New Roman" w:hAnsi="Times New Roman" w:cs="Times New Roman"/>
        </w:rPr>
        <w:t xml:space="preserve">=0.016, 0.001 for PR and repair alike; after Holm correction over the 8-scenario ILS family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≈0.008; the gain is small—the ta21L median rises 0.029 → 0.031—but consistently positive across all trials). The effect is thus not absent: ILS's own filling leaves little headroom; a small margin remains only when the disruption is too large for the filling to keep up.</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H2—the operators (PR, repair) (a) more than double the population's high-stability HV in every scenario, but (b) are mostly saturated on the trajectory host (high-stability HV medians vs. baseline;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Mechanistic cause (PR path statistics, Figure 5).</w:t>
      </w:r>
      <w:r>
        <w:rPr>
          <w:rFonts w:ascii="Times New Roman" w:hAnsi="Times New Roman" w:cs="Times New Roman"/>
        </w:rPr>
        <w:t xml:space="preserve"> The path statistics directly corroborate the asymmetry: </w:t>
      </w:r>
      <w:r>
        <w:rPr>
          <w:rFonts w:ascii="Times New Roman" w:hAnsi="Times New Roman" w:cs="Times New Roman"/>
          <w:i/>
        </w:rPr>
        <w:t xml:space="preserve">Memetic has large path lengths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i/>
        </w:rPr>
        <w:t xml:space="preserve"> and finds improving solutions on roughly 30–65% of paths</w:t>
      </w:r>
      <w:r>
        <w:rPr>
          <w:rFonts w:ascii="Times New Roman" w:hAnsi="Times New Roman" w:cs="Times New Roman"/>
        </w:rPr>
        <w:t xml:space="preserve">, whereas </w:t>
      </w:r>
      <w:r>
        <w:rPr>
          <w:rFonts w:ascii="Times New Roman" w:hAnsi="Times New Roman" w:cs="Times New Roman"/>
          <w:i/>
        </w:rPr>
        <w:t xml:space="preserve">ILS has short paths and a discovery rate near 0% everywhere</w:t>
      </w:r>
      <w:r>
        <w:rPr>
          <w:rFonts w:ascii="Times New Roman" w:hAnsi="Times New Roman" w:cs="Times New Roman"/>
        </w:rPr>
        <w:t xml:space="preserve"> (0.4% even on ta21L). This reflects more than trial opportunities: ILS has already filled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short paths are themselves a symptom—so no headroom remains on the segments PR traverses, whereas in Memetic many unoptimized intermediates remain between the scattered solutions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directed move thus comes up empty on ILS. The slight la36L/ta21L effect owes to the post-kick local search re-optimizing pockets that ILS's own filling left unfilled, not to the directing itself.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5: Mechanistic cause of H2—(a) PR path length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rPr>
              <w:t xml:space="preserve"> (mean disagreements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(b) improvement discovery rate (share of calls finding a solution better than the initiating one). Memetic: long paths, many improvements; ILS: short paths, almost none.</w:t>
            </w:r>
          </w:p>
        </w:tc>
      </w:tr>
    </w:tbl>
    <w:p>
      <w:pPr>
        <w:spacing w:line="14" w:lineRule="exact"/>
        <w:rPr>
          <w:sz w:val="2"/>
        </w:rPr>
      </w:pPr>
    </w:p>
    <w:p>
      <w:pPr>
        <w:pStyle w:val="a8"/>
        <w:spacing w:line="240" w:lineRule="exact"/>
        <w:jc w:val="both"/>
      </w:pPr>
      <w:r>
        <w:rPr>
          <w:rFonts w:ascii="Times New Roman" w:hAnsi="Times New Roman" w:cs="Times New Roman"/>
          <w:b/>
        </w:rPr>
        <w:t xml:space="preserve">PR or repair—host-dependent usage.</w:t>
      </w:r>
      <w:r>
        <w:rPr>
          <w:rFonts w:ascii="Times New Roman" w:hAnsi="Times New Roman" w:cs="Times New Roman"/>
        </w:rPr>
        <w:t xml:space="preserve"> Whether PR and repair need distinguishing—on quality (union/high-stability HV) and anytime performance (AOC)—depends on the host. On </w:t>
      </w:r>
      <w:r>
        <w:rPr>
          <w:rFonts w:ascii="Times New Roman" w:hAnsi="Times New Roman" w:cs="Times New Roman"/>
          <w:i/>
        </w:rPr>
        <w:t xml:space="preserve">ILS</w:t>
      </w:r>
      <w:r>
        <w:rPr>
          <w:rFonts w:ascii="Times New Roman" w:hAnsi="Times New Roman" w:cs="Times New Roman"/>
        </w:rPr>
        <w:t xml:space="preserve"> (small </w:t>
      </w:r>
      <w:r>
        <w:rPr>
          <w:rFonts w:ascii="Times New Roman" w:hAnsi="Times New Roman" w:cs="Times New Roman"/>
          <w:i/>
        </w:rPr>
        <w:t xml:space="preserve">d</w:t>
      </w:r>
      <w:r>
        <w:rPr>
          <w:rFonts w:ascii="Times New Roman" w:hAnsi="Times New Roman" w:cs="Times New Roman"/>
        </w:rPr>
        <w:t xml:space="preserve">) they are nearly indistinguishable: quality is saturated with either (significant only on la36L/ta21L), and—the operator fires only upon stagnation (and not in the early phase, which the log-time AOC weights heavily) with short, cheap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paths—the AOC differences among ILS-baseline/+repair/+PR are non-significant in all 8 scenarios (effectively tied); the choice is immaterial. On </w:t>
      </w:r>
      <w:r>
        <w:rPr>
          <w:rFonts w:ascii="Times New Roman" w:hAnsi="Times New Roman" w:cs="Times New Roman"/>
          <w:i/>
        </w:rPr>
        <w:t xml:space="preserve">Memetic</w:t>
      </w:r>
      <w:r>
        <w:rPr>
          <w:rFonts w:ascii="Times New Roman" w:hAnsi="Times New Roman" w:cs="Times New Roman"/>
        </w:rPr>
        <w:t xml:space="preserve"> (large </w:t>
      </w:r>
      <w:r>
        <w:rPr>
          <w:rFonts w:ascii="Times New Roman" w:hAnsi="Times New Roman" w:cs="Times New Roman"/>
          <w:i/>
        </w:rPr>
        <w:t xml:space="preserve">d</w:t>
      </w:r>
      <w:r>
        <w:rPr>
          <w:rFonts w:ascii="Times New Roman" w:hAnsi="Times New Roman" w:cs="Times New Roman"/>
        </w:rPr>
        <w:t xml:space="preserve">) the division is clear: </w:t>
      </w:r>
      <w:r>
        <w:rPr>
          <w:rFonts w:ascii="Times New Roman" w:hAnsi="Times New Roman" w:cs="Times New Roman"/>
          <w:i/>
        </w:rPr>
        <w:t xml:space="preserve">PR is slightly better in quality</w:t>
      </w:r>
      <w:r>
        <w:rPr>
          <w:rFonts w:ascii="Times New Roman" w:hAnsi="Times New Roman" w:cs="Times New Roman"/>
        </w:rPr>
        <w:t xml:space="preserve">, while </w:t>
      </w:r>
      <w:r>
        <w:rPr>
          <w:rFonts w:ascii="Times New Roman" w:hAnsi="Times New Roman" w:cs="Times New Roman"/>
          <w:i/>
        </w:rPr>
        <w:t xml:space="preserve">repair beats PR in AOC in all 8 scenarios</w:t>
      </w:r>
      <w:r>
        <w:rPr>
          <w:rFonts w:ascii="Times New Roman" w:hAnsi="Times New Roman" w:cs="Times New Roman"/>
        </w:rPr>
        <w:t xml:space="preserve"> (</w:t>
      </w:r>
      <w:r>
        <w:rPr>
          <w:rFonts w:ascii="Times New Roman" w:hAnsi="Times New Roman" w:cs="Times New Roman"/>
          <w:i/>
        </w:rPr>
        <w:t xml:space="preserve">δ</w:t>
      </w:r>
      <w:r>
        <w:rPr>
          <w:rFonts w:ascii="Times New Roman" w:hAnsi="Times New Roman" w:cs="Times New Roman"/>
        </w:rPr>
        <w:t xml:space="preserve"> up to +1.00)—PR traverses the long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before returning the best intermediate, ramping up slowly, whereas repair truncates after a few moves and updates the incumbent immediately. Hence: Memetic+PR when final quality is paramount, repair when the budget is tight and anytime performance matters.</w:t>
      </w:r>
    </w:p>
    <w:p>
      <w:pPr>
        <w:pStyle w:val="2"/>
        <w:spacing w:before="90" w:after="20" w:line="240" w:lineRule="exact"/>
      </w:pPr>
      <w:r>
        <w:rPr>
          <w:rFonts w:ascii="Times New Roman" w:hAnsi="Times New Roman" w:cs="Times New Roman"/>
          <w:sz w:val="22"/>
          <w:szCs w:val="22"/>
        </w:rPr>
        <w:t xml:space="preserve">4.4 Overall Scoreboard and Integration of Results</w:t>
      </w:r>
    </w:p>
    <w:p>
      <w:pPr>
        <w:pStyle w:val="a8"/>
        <w:spacing w:line="240" w:lineRule="exact"/>
        <w:jc w:val="both"/>
      </w:pPr>
      <w:r>
        <w:rPr>
          <w:rFonts w:ascii="Times New Roman" w:hAnsi="Times New Roman" w:cs="Times New Roman"/>
        </w:rPr>
        <w:t xml:space="preserve">We survey the structures established by H1 and H2 on the </w:t>
      </w:r>
      <w:r>
        <w:rPr>
          <w:rFonts w:ascii="Times New Roman" w:hAnsi="Times New Roman" w:cs="Times New Roman"/>
          <w:i/>
        </w:rPr>
        <w:t xml:space="preserve">overall scoreboard</w:t>
      </w:r>
      <w:r>
        <w:rPr>
          <w:rFonts w:ascii="Times New Roman" w:hAnsi="Times New Roman" w:cs="Times New Roman"/>
        </w:rPr>
        <w:t xml:space="preserve"> of 7 methods × 8 scenarios × 3 metrics (Figure 6), corroborating the complementary structure announced at the outset, in which the best method switches with the metric. Friedman average ranks separate the methods clearly on all three metrics, with medium-to-large cross-scenario rank consistency (Kendall's </w:t>
      </w:r>
      <w:r>
        <w:rPr>
          <w:rFonts w:ascii="Times New Roman" w:hAnsi="Times New Roman" w:cs="Times New Roman"/>
          <w:i/>
        </w:rPr>
        <w:t xml:space="preserve">W</w:t>
      </w:r>
      <w:r>
        <w:rPr>
          <w:rFonts w:ascii="Times New Roman" w:hAnsi="Times New Roman" w:cs="Times New Roman"/>
        </w:rPr>
        <w:t xml:space="preserve">=0.59/0.81/0.63, </w:t>
      </w:r>
      <w:r>
        <w:rPr>
          <w:rFonts w:ascii="Times New Roman" w:hAnsi="Times New Roman" w:cs="Times New Roman"/>
          <w:i/>
        </w:rPr>
        <w:t xml:space="preserve">p</w:t>
      </w:r>
      <w:r>
        <w:rPr>
          <w:rFonts w:ascii="Times New Roman" w:hAnsi="Times New Roman" w:cs="Times New Roman"/>
        </w:rPr>
        <w:t xml:space="preserve">&lt;0.0001; per Section 3.4, an exploratory summary given the correlated scenarios).</w:t>
      </w:r>
    </w:p>
    <w:p>
      <w:pPr>
        <w:pStyle w:val="a8"/>
        <w:spacing w:line="240" w:lineRule="exact"/>
        <w:jc w:val="both"/>
      </w:pPr>
      <w:r>
        <w:rPr>
          <w:rFonts w:ascii="Times New Roman" w:hAnsi="Times New Roman" w:cs="Times New Roman"/>
          <w:b/>
        </w:rPr>
        <w:t xml:space="preserve">Reading the metrics.</w:t>
      </w:r>
      <w:r>
        <w:rPr>
          <w:rFonts w:ascii="Times New Roman" w:hAnsi="Times New Roman" w:cs="Times New Roman"/>
        </w:rPr>
        <w:t xml:space="preserve"> Reading the green (best) distribution metric by metric makes the complementary structure concrete (parenthetical figures are Friedman average ranks, lower is better). On </w:t>
      </w:r>
      <w:r>
        <w:rPr>
          <w:rFonts w:ascii="Times New Roman" w:hAnsi="Times New Roman" w:cs="Times New Roman"/>
          <w:i/>
        </w:rPr>
        <w:t xml:space="preserve">union HV (quality)</w:t>
      </w:r>
      <w:r>
        <w:rPr>
          <w:rFonts w:ascii="Times New Roman" w:hAnsi="Times New Roman" w:cs="Times New Roman"/>
        </w:rPr>
        <w:t xml:space="preserve">, the operator-equipped populations form the top group (Memetic+PR 2.0, Memetic+repair 2.5), the three ILS variants and the plain Memetic-LS sit in the middle (3.6–4.8), and only GA trails (6.9); the method that tied with ILS in Section 4.2 was the plain population (Memetic-LS), and the operator-equipped Memetic+PR rises above it to lead—robust to leave-one-out (unchanged whichever scenario is removed), so the narrow margin is not driven by any single scenario. On </w:t>
      </w:r>
      <w:r>
        <w:rPr>
          <w:rFonts w:ascii="Times New Roman" w:hAnsi="Times New Roman" w:cs="Times New Roman"/>
          <w:i/>
        </w:rPr>
        <w:t xml:space="preserve">high-stability HV (primary)</w:t>
      </w:r>
      <w:r>
        <w:rPr>
          <w:rFonts w:ascii="Times New Roman" w:hAnsi="Times New Roman" w:cs="Times New Roman"/>
        </w:rPr>
        <w:t xml:space="preserve">, the ILS family and the operator-equipped Memetic cluster at the top (2.6–3.4), while only the operator-less populations collapse with ARPD ≈ 70–78%, failing to reach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 6.4, Memetic-LS 6.6)—exactly what H1 and H2 predict. On </w:t>
      </w:r>
      <w:r>
        <w:rPr>
          <w:rFonts w:ascii="Times New Roman" w:hAnsi="Times New Roman" w:cs="Times New Roman"/>
          <w:i/>
        </w:rPr>
        <w:t xml:space="preserve">AOC (anytime)</w:t>
      </w:r>
      <w:r>
        <w:rPr>
          <w:rFonts w:ascii="Times New Roman" w:hAnsi="Times New Roman" w:cs="Times New Roman"/>
        </w:rPr>
        <w:t xml:space="preserve">, the three ILS variants lead (2.5–2.8), the plain Memetic-LS and Memetic+repair are in the middle (3.5, 4.0), and the slow-starting Memetic+PR and GA trail (5.6, 7.0). The best method changes with the evaluation axis (Memetic+PR for overall quality; the ILS family for speed; high stability shared by ILS and the operator-equipped Memetic), and the two structures complement the different demands of rescheduling.</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6: Overall scoreboard—(a) union HV, (b) high-stability HV, (c) AOC over 7 methods × 8 scenarios. Cells: RPD% relative to the best of each scenario (green = best, 0%); each panel sorted by its own Friedman average rank. The right-most column reports ARPD% as mean/median across scenarios.</w:t>
            </w:r>
          </w:p>
        </w:tc>
      </w:tr>
    </w:tbl>
    <w:p>
      <w:pPr>
        <w:spacing w:line="14" w:lineRule="exact"/>
        <w:rPr>
          <w:sz w:val="2"/>
        </w:rPr>
      </w:pPr>
    </w:p>
    <w:p>
      <w:pPr>
        <w:pStyle w:val="a8"/>
        <w:spacing w:line="240" w:lineRule="exact"/>
        <w:jc w:val="both"/>
      </w:pPr>
      <w:r>
        <w:rPr>
          <w:rFonts w:ascii="Times New Roman" w:hAnsi="Times New Roman" w:cs="Times New Roman"/>
          <w:b/>
        </w:rPr>
        <w:t xml:space="preserve">Threshold robustness.</w:t>
      </w:r>
      <w:r>
        <w:rPr>
          <w:rFonts w:ascii="Times New Roman" w:hAnsi="Times New Roman" w:cs="Times New Roman"/>
        </w:rPr>
        <w:t xml:space="preserve"> Since the high-stability threshold P50 is pooled over the compared methods, we swept it over P25–P75: this dichotomy—GA and plain Memetic-LS in the bottom group, the ILS family and operator-equipped Memetic on top—holds at every threshold, and the H1/H2 comparisons behind it never reverse (H2's population-side gains hold at </w:t>
      </w:r>
      <w:r>
        <w:rPr>
          <w:rFonts w:ascii="Times New Roman" w:hAnsi="Times New Roman" w:cs="Times New Roman"/>
          <w:i/>
        </w:rPr>
        <w:t xml:space="preserve">p</w:t>
      </w:r>
      <w:r>
        <w:rPr>
          <w:rFonts w:ascii="Times New Roman" w:hAnsi="Times New Roman" w:cs="Times New Roman"/>
        </w:rPr>
        <w:t xml:space="preserve">=0.001 throughout; H1's complete separation holds over P33–P67, keeping its direction at the extremes). Only the ordering within the closely packed top group shifts with the threshold.</w:t>
      </w:r>
    </w:p>
    <w:p>
      <w:pPr>
        <w:pStyle w:val="a8"/>
        <w:spacing w:line="240" w:lineRule="exact"/>
        <w:jc w:val="both"/>
      </w:pPr>
      <w:r>
        <w:rPr>
          <w:rFonts w:ascii="Times New Roman" w:hAnsi="Times New Roman" w:cs="Times New Roman"/>
          <w:b/>
        </w:rPr>
        <w:t xml:space="preserve">[Exploratory observation] Union-HV winner and the rescheduling ratio.</w:t>
      </w:r>
      <w:r>
        <w:rPr>
          <w:rFonts w:ascii="Times New Roman" w:hAnsi="Times New Roman" w:cs="Times New Roman"/>
        </w:rPr>
        <w:t xml:space="preserve"> The union HV winner corresponds to </w:t>
      </w:r>
      <w:r>
        <w:rPr>
          <w:rFonts w:ascii="Times New Roman" w:hAnsi="Times New Roman" w:cs="Times New Roman"/>
          <w:i/>
        </w:rPr>
        <w:t xml:space="preserve">ρ</w:t>
      </w:r>
      <w:r>
        <w:rPr>
          <w:rFonts w:ascii="Times New Roman" w:hAnsi="Times New Roman" w:cs="Times New Roman"/>
        </w:rPr>
        <w:t xml:space="preserve">, splitting at around 50%: ILS below, Memetic at mid-to-high (on the same la36 ladder 27/54/73%, ILS → Memetic → Memetic); only </w:t>
      </w:r>
      <w:r>
        <w:rPr>
          <w:rFonts w:ascii="Times New Roman" w:hAnsi="Times New Roman" w:cs="Times New Roman"/>
          <w:i/>
        </w:rPr>
        <w:t xml:space="preserve">ρ</w:t>
      </w:r>
      <w:r>
        <w:rPr>
          <w:rFonts w:ascii="Times New Roman" w:hAnsi="Times New Roman" w:cs="Times New Roman"/>
        </w:rPr>
        <w:t xml:space="preserve">, which incorporates the fixed-skeleton proportion, captures this split—the number of movable operations or the problem size does not. Our reading: the stability term makes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an attractor. At small </w:t>
      </w:r>
      <w:r>
        <w:rPr>
          <w:rFonts w:ascii="Times New Roman" w:hAnsi="Times New Roman" w:cs="Times New Roman"/>
          <w:i/>
        </w:rPr>
        <w:t xml:space="preserve">ρ</w:t>
      </w:r>
      <w:r>
        <w:rPr>
          <w:rFonts w:ascii="Times New Roman" w:hAnsi="Times New Roman" w:cs="Times New Roman"/>
        </w:rPr>
        <w:t xml:space="preserve"> the fixed skeleton dominates the solution, so no good local optimum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arise however the movable part is reordered; good solutions are thus confined to the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neighborhood, and ILS's neighborhood filling suffices. As </w:t>
      </w:r>
      <w:r>
        <w:rPr>
          <w:rFonts w:ascii="Times New Roman" w:hAnsi="Times New Roman" w:cs="Times New Roman"/>
          <w:i/>
        </w:rPr>
        <w:t xml:space="preserve">ρ</w:t>
      </w:r>
      <w:r>
        <w:rPr>
          <w:rFonts w:ascii="Times New Roman" w:hAnsi="Times New Roman" w:cs="Times New Roman"/>
        </w:rPr>
        <w:t xml:space="preserve"> grows and the efficiency extreme recedes, the single trajectory struggles to escape the basin while Memetic, retaining crossover-scattered individuals, reaches that distant region (isomorphic to H1)—</w:t>
      </w:r>
      <w:r>
        <w:rPr>
          <w:rFonts w:ascii="Times New Roman" w:hAnsi="Times New Roman" w:cs="Times New Roman"/>
          <w:i/>
        </w:rPr>
        <w:t xml:space="preserve">ρ</w:t>
      </w:r>
      <w:r>
        <w:rPr>
          <w:rFonts w:ascii="Times New Roman" w:hAnsi="Times New Roman" w:cs="Times New Roman"/>
        </w:rPr>
        <w:t xml:space="preserve"> thus proxies the difficulty for the trajectory of escaping the attractor. However, ta21L (82%) is an exception (≈tie, </w:t>
      </w:r>
      <w:r>
        <w:rPr>
          <w:rFonts w:ascii="Times New Roman" w:hAnsi="Times New Roman" w:cs="Times New Roman"/>
          <w:i/>
        </w:rPr>
        <w:t xml:space="preserve">p</w:t>
      </w:r>
      <w:r>
        <w:rPr>
          <w:rFonts w:ascii="Times New Roman" w:hAnsi="Times New Roman" w:cs="Times New Roman"/>
        </w:rPr>
        <w:t xml:space="preserve">=0.053), and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permutation-deviation representation remain, so this stays exploratory; the primary high-stability dominance and operator asymmetry are established independently by direct tests on all 8 scenarios.</w:t>
      </w:r>
    </w:p>
    <w:p>
      <w:pPr>
        <w:pStyle w:val="a8"/>
        <w:spacing w:line="240" w:lineRule="exact"/>
        <w:jc w:val="both"/>
      </w:pPr>
      <w:r>
        <w:rPr>
          <w:rFonts w:ascii="Times New Roman" w:hAnsi="Times New Roman" w:cs="Times New Roman"/>
          <w:b/>
        </w:rPr>
        <w:t xml:space="preserve">Divergent vs. convergent.</w:t>
      </w:r>
      <w:r>
        <w:rPr>
          <w:rFonts w:ascii="Times New Roman" w:hAnsi="Times New Roman" w:cs="Times New Roman"/>
        </w:rPr>
        <w:t xml:space="preserve"> ILS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Memetic+PR (pulling a scattered population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reach similar final Pareto quality from opposite directions, but ILS holds a good incumbent early while Memetic+PR ramps up after a warm-up; AOC aggregates this crossing on a log-time axis, reflecting early performance—hence the ILS family's clear lead there.</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pPr>
        <w:pStyle w:val="a8"/>
        <w:spacing w:line="240" w:lineRule="exact"/>
        <w:ind w:firstLineChars="0" w:firstLine="0"/>
        <w:jc w:val="both"/>
      </w:pPr>
      <w:r>
        <w:rPr>
          <w:rFonts w:ascii="Times New Roman" w:hAnsi="Times New Roman" w:cs="Times New Roman"/>
        </w:rPr>
        <w:t xml:space="preserve">1. </w:t>
      </w:r>
      <w:r>
        <w:rPr>
          <w:rFonts w:ascii="Times New Roman" w:hAnsi="Times New Roman" w:cs="Times New Roman"/>
          <w:b/>
        </w:rPr>
        <w:t xml:space="preserve">The trajectory-based method (ILS) efficiently fills the high-stability region (H1).</w:t>
      </w:r>
      <w:r>
        <w:rPr>
          <w:rFonts w:ascii="Times New Roman" w:hAnsi="Times New Roman" w:cs="Times New Roman"/>
        </w:rPr>
        <w:t xml:space="preserve"> Comparable to the population in overall quality, in the primary high-stability region it wins in all 8 scenarios with complete separation over the counterpart sharing the identical N5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2–4.5× in five scenarios, the population reaching the region not at all in the other three) and leads in anytime performance in 6/8—derived from the search structure, not the presence of local search.</w:t>
      </w:r>
    </w:p>
    <w:p>
      <w:pPr>
        <w:pStyle w:val="a8"/>
        <w:spacing w:line="240" w:lineRule="exact"/>
        <w:ind w:firstLineChars="0" w:firstLine="0"/>
        <w:jc w:val="both"/>
      </w:pPr>
      <w:r>
        <w:rPr>
          <w:rFonts w:ascii="Times New Roman" w:hAnsi="Times New Roman" w:cs="Times New Roman"/>
        </w:rPr>
        <w:t xml:space="preserve">2. </w:t>
      </w:r>
      <w:r>
        <w:rPr>
          <w:rFonts w:ascii="Times New Roman" w:hAnsi="Times New Roman" w:cs="Times New Roman"/>
          <w:b/>
        </w:rPr>
        <w:t xml:space="preserve">The effects of PR and repair appear asymmetrically with the host structure (H2).</w:t>
      </w:r>
      <w:r>
        <w:rPr>
          <w:rFonts w:ascii="Times New Roman" w:hAnsi="Times New Roman" w:cs="Times New Roman"/>
        </w:rPr>
        <w:t xml:space="preserve"> They more than double the population's high-stability HV, lifting it to the ILS level, whereas the trajectory, having already filled the neighborhood, is mostly saturated. The asymmetry is not fixed, however: at extreme rescheduling ratios where ILS's filling cannot keep up (ta21L, 82%), a significant effect remains even on the trajectory.</w:t>
      </w:r>
    </w:p>
    <w:p>
      <w:pPr>
        <w:pStyle w:val="a8"/>
        <w:spacing w:line="240" w:lineRule="exact"/>
        <w:ind w:firstLineChars="0" w:firstLine="0"/>
        <w:jc w:val="both"/>
      </w:pPr>
      <w:r>
        <w:rPr>
          <w:rFonts w:ascii="Times New Roman" w:hAnsi="Times New Roman" w:cs="Times New Roman"/>
        </w:rPr>
        <w:t xml:space="preserve">3. </w:t>
      </w:r>
      <w:r>
        <w:rPr>
          <w:rFonts w:ascii="Times New Roman" w:hAnsi="Times New Roman" w:cs="Times New Roman"/>
          <w:b/>
        </w:rPr>
        <w:t xml:space="preserve">Complementary structure of trajectory and population.</w:t>
      </w:r>
      <w:r>
        <w:rPr>
          <w:rFonts w:ascii="Times New Roman" w:hAnsi="Times New Roman" w:cs="Times New Roman"/>
        </w:rPr>
        <w:t xml:space="preserve"> The best method changes with the metric: overall quality (union HV) favors Memetic + mechanism, high stability is shared by ILS and Memetic + mechanism, and speed (anytime) favors the ILS family. Two options avoid the bottom group on all three metrics: Memetic+repair (mid-tier in anytime) when overall quality matters more, the ILS family (mid-tier in union HV) when speed does. Only when squeezing out the last of final quality, at the cost of a slow ramp-up, does Memetic+PR edge ahead. The two structures thus complement the different demands of rescheduling (Section 4.3).</w:t>
      </w:r>
    </w:p>
    <w:p>
      <w:pPr>
        <w:pStyle w:val="a8"/>
        <w:spacing w:line="240" w:lineRule="exact"/>
        <w:jc w:val="both"/>
      </w:pPr>
      <w:r>
        <w:rPr>
          <w:rFonts w:ascii="Times New Roman" w:hAnsi="Times New Roman" w:cs="Times New Roman"/>
        </w:rPr>
        <w:t xml:space="preserve">Implementing the stability lever as an "operator" made it portable to both hosts, and </w:t>
      </w:r>
      <w:r>
        <w:rPr>
          <w:rFonts w:ascii="Times New Roman" w:hAnsi="Times New Roman" w:cs="Times New Roman"/>
          <w:i/>
        </w:rPr>
        <w:t xml:space="preserve">isolating its host-dependent asymmetry under control is the central contribution of this study</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Results rest on n=10 (saturated main conclusions are robust; borderline cases less so). (ii) The rescheduling-ratio–union-HV-winner correspondence involves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stability representation, and stays exploratory. (iii) Stability is measured only by permutation deviation; validity under start-time (temporal) deviation is unverified (Section 3.1).</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(temporal stability); extension to disruptions altering machine assignments (e.g., breakdowns); integrating the scope lever with the operator lever (the inducing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as an alternative population-side prescription (a direct test of the crossover-destructiveness reading of H1); and re-verification with Pareto-native methods (e.g.,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39</w:t>
      </w:r>
      <w:r>
        <w:rPr>
          <w:rFonts w:ascii="Times New Roman" w:hAnsi="Times New Roman" w:cs="Times New Roman"/>
          <w:sz w:val="17"/>
          <w:szCs w:val="17"/>
        </w:rPr>
        <w:t xml:space="preserve">,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w:t>
      </w:r>
      <w:r>
        <w:rPr>
          <w:rFonts w:ascii="Times New Roman" w:hAnsi="Times New Roman" w:cs="Times New Roman"/>
          <w:b/>
          <w:sz w:val="17"/>
          <w:szCs w:val="17"/>
        </w:rPr>
        <w:t xml:space="preserve">17</w:t>
      </w:r>
      <w:r>
        <w:rPr>
          <w:rFonts w:ascii="Times New Roman" w:hAnsi="Times New Roman" w:cs="Times New Roman"/>
          <w:sz w:val="17"/>
          <w:szCs w:val="17"/>
        </w:rPr>
        <w:t xml:space="preserve">,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268-308.</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8</w:t>
      </w:r>
      <w:r>
        <w:rPr>
          <w:rFonts w:ascii="Times New Roman" w:hAnsi="Times New Roman" w:cs="Times New Roman"/>
          <w:sz w:val="17"/>
          <w:szCs w:val="17"/>
        </w:rPr>
        <w:t xml:space="preserve">,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w:t>
      </w:r>
      <w:r>
        <w:rPr>
          <w:rFonts w:ascii="Times New Roman" w:hAnsi="Times New Roman" w:cs="Times New Roman"/>
          <w:b/>
          <w:sz w:val="17"/>
          <w:szCs w:val="17"/>
        </w:rPr>
        <w:t xml:space="preserve">29</w:t>
      </w:r>
      <w:r>
        <w:rPr>
          <w:rFonts w:ascii="Times New Roman" w:hAnsi="Times New Roman" w:cs="Times New Roman"/>
          <w:sz w:val="17"/>
          <w:szCs w:val="17"/>
        </w:rPr>
        <w:t xml:space="preserve">,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Katragjini, K., Vallada, E., and Ruiz, R. (2013) Flow shop rescheduling under different types of disruption.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780-797.</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235</w:t>
      </w:r>
      <w:r>
        <w:rPr>
          <w:rFonts w:ascii="Times New Roman" w:hAnsi="Times New Roman" w:cs="Times New Roman"/>
          <w:sz w:val="17"/>
          <w:szCs w:val="17"/>
        </w:rPr>
        <w:t xml:space="preserve">,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w:t>
      </w:r>
      <w:r>
        <w:rPr>
          <w:rFonts w:ascii="Times New Roman" w:hAnsi="Times New Roman" w:cs="Times New Roman"/>
          <w:b/>
          <w:sz w:val="17"/>
          <w:szCs w:val="17"/>
        </w:rPr>
        <w:t xml:space="preserve">41</w:t>
      </w:r>
      <w:r>
        <w:rPr>
          <w:rFonts w:ascii="Times New Roman" w:hAnsi="Times New Roman" w:cs="Times New Roman"/>
          <w:sz w:val="17"/>
          <w:szCs w:val="17"/>
        </w:rPr>
        <w:t xml:space="preserve">,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24</w:t>
      </w:r>
      <w:r>
        <w:rPr>
          <w:rFonts w:ascii="Times New Roman" w:hAnsi="Times New Roman" w:cs="Times New Roman"/>
          <w:sz w:val="17"/>
          <w:szCs w:val="17"/>
        </w:rPr>
        <w:t xml:space="preserve">,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w:t>
      </w:r>
      <w:r>
        <w:rPr>
          <w:rFonts w:ascii="Times New Roman" w:hAnsi="Times New Roman" w:cs="Times New Roman"/>
          <w:b/>
          <w:sz w:val="17"/>
          <w:szCs w:val="17"/>
        </w:rPr>
        <w:t xml:space="preserve">2</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w:t>
      </w:r>
      <w:r>
        <w:rPr>
          <w:rFonts w:ascii="Times New Roman" w:hAnsi="Times New Roman" w:cs="Times New Roman"/>
          <w:b/>
          <w:sz w:val="17"/>
          <w:szCs w:val="17"/>
        </w:rPr>
        <w:t xml:space="preserve">42</w:t>
      </w:r>
      <w:r>
        <w:rPr>
          <w:rFonts w:ascii="Times New Roman" w:hAnsi="Times New Roman" w:cs="Times New Roman"/>
          <w:sz w:val="17"/>
          <w:szCs w:val="17"/>
        </w:rPr>
        <w:t xml:space="preserve">,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w:t>
      </w:r>
      <w:r>
        <w:rPr>
          <w:rFonts w:ascii="Times New Roman" w:hAnsi="Times New Roman" w:cs="Times New Roman"/>
          <w:b/>
          <w:sz w:val="17"/>
          <w:szCs w:val="17"/>
        </w:rPr>
        <w:t xml:space="preserve">12</w:t>
      </w:r>
      <w:r>
        <w:rPr>
          <w:rFonts w:ascii="Times New Roman" w:hAnsi="Times New Roman" w:cs="Times New Roman"/>
          <w:sz w:val="17"/>
          <w:szCs w:val="17"/>
        </w:rPr>
        <w:t xml:space="preserve">,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53</w:t>
      </w:r>
      <w:r>
        <w:rPr>
          <w:rFonts w:ascii="Times New Roman" w:hAnsi="Times New Roman" w:cs="Times New Roman"/>
          <w:sz w:val="17"/>
          <w:szCs w:val="17"/>
        </w:rPr>
        <w:t xml:space="preserve">,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46</w:t>
      </w:r>
      <w:r>
        <w:rPr>
          <w:rFonts w:ascii="Times New Roman" w:hAnsi="Times New Roman" w:cs="Times New Roman"/>
          <w:sz w:val="17"/>
          <w:szCs w:val="17"/>
        </w:rPr>
        <w:t xml:space="preserve">, 1-15.</w:t>
      </w:r>
    </w:p>
    <w:p>
      <w:pPr>
        <w:spacing w:line="190" w:lineRule="exact"/>
        <w:ind w:left="284" w:hanging="284"/>
        <w:jc w:val="both"/>
      </w:pPr>
      <w:r>
        <w:rPr>
          <w:rFonts w:ascii="Times New Roman" w:hAnsi="Times New Roman" w:cs="Times New Roman"/>
          <w:sz w:val="17"/>
          <w:szCs w:val="17"/>
        </w:rPr>
        <w:t xml:space="preserve">Sörensen, K. (2015) Metaheuristics—the metaphor exposed. </w:t>
      </w:r>
      <w:r>
        <w:rPr>
          <w:rFonts w:ascii="Times New Roman" w:hAnsi="Times New Roman" w:cs="Times New Roman"/>
          <w:i/>
          <w:sz w:val="17"/>
          <w:szCs w:val="17"/>
        </w:rPr>
        <w:t xml:space="preserve">International Transactions in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22</w:t>
      </w:r>
      <w:r>
        <w:rPr>
          <w:rFonts w:ascii="Times New Roman" w:hAnsi="Times New Roman" w:cs="Times New Roman"/>
          <w:sz w:val="17"/>
          <w:szCs w:val="17"/>
        </w:rPr>
        <w:t xml:space="preserve">, 3-18.</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215</w:t>
      </w:r>
      <w:r>
        <w:rPr>
          <w:rFonts w:ascii="Times New Roman" w:hAnsi="Times New Roman" w:cs="Times New Roman"/>
          <w:sz w:val="17"/>
          <w:szCs w:val="17"/>
        </w:rPr>
        <w:t xml:space="preserve">, Article 111943.</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20</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62</w:t>
      </w:r>
      <w:r>
        <w:rPr>
          <w:rFonts w:ascii="Times New Roman" w:hAnsi="Times New Roman" w:cs="Times New Roman"/>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